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bidi w:val="0"/>
        <w:spacing w:lineRule="auto" w:line="288" w:before="80" w:after="283"/>
        <w:jc w:val="left"/>
        <w:rPr>
          <w:color w:val="000000"/>
        </w:rPr>
      </w:pPr>
      <w:r>
        <w:rPr>
          <w:color w:val="000000"/>
        </w:rPr>
        <w:t> </w:t>
      </w:r>
      <w:r>
        <w:rPr>
          <w:rFonts w:ascii="Times New Roman;sans-serif" w:hAnsi="Times New Roman;sans-serif"/>
          <w:b w:val="false"/>
          <w:color w:val="000000"/>
          <w:sz w:val="18"/>
        </w:rPr>
        <w:t>(Mark One)</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 xml:space="preserve">QUARTERLY REPORT PURSUANT TO SECTION 13 OR 15(d) OF THE SECURITIES EXCHANGE ACT OF 1934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2025 </w:t>
      </w:r>
    </w:p>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1-07183 </w:t>
      </w:r>
    </w:p>
    <w:p>
      <w:pPr>
        <w:pStyle w:val="TextBody"/>
        <w:bidi w:val="0"/>
        <w:spacing w:before="180" w:after="283"/>
        <w:jc w:val="center"/>
        <w:rPr/>
      </w:pPr>
      <w:r>
        <w:rPr/>
        <w:drawing>
          <wp:inline distT="0" distB="0" distL="0" distR="0">
            <wp:extent cx="7048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4850" cy="704850"/>
                    </a:xfrm>
                    <a:prstGeom prst="rect">
                      <a:avLst/>
                    </a:prstGeom>
                  </pic:spPr>
                </pic:pic>
              </a:graphicData>
            </a:graphic>
          </wp:inline>
        </w:drawing>
      </w:r>
      <w:bookmarkStart w:id="0" w:name="i-1"/>
      <w:bookmarkEnd w:id="0"/>
    </w:p>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 xml:space="preserve">TEJON RANCH CO.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77-0196136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4436 Lebec Road, P.O. Box 1000, Lebec, California 93243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(661) 248-3000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9616" w:type="dxa"/>
        <w:jc w:val="center"/>
        <w:tblInd w:w="0" w:type="dxa"/>
        <w:tblLayout w:type="fixed"/>
        <w:tblCellMar>
          <w:top w:w="28" w:type="dxa"/>
          <w:left w:w="28" w:type="dxa"/>
          <w:bottom w:w="28" w:type="dxa"/>
          <w:right w:w="28" w:type="dxa"/>
        </w:tblCellMar>
      </w:tblPr>
      <w:tblGrid>
        <w:gridCol w:w="124"/>
        <w:gridCol w:w="109"/>
        <w:gridCol w:w="109"/>
        <w:gridCol w:w="933"/>
        <w:gridCol w:w="933"/>
        <w:gridCol w:w="938"/>
        <w:gridCol w:w="109"/>
        <w:gridCol w:w="109"/>
        <w:gridCol w:w="109"/>
        <w:gridCol w:w="554"/>
        <w:gridCol w:w="554"/>
        <w:gridCol w:w="556"/>
        <w:gridCol w:w="109"/>
        <w:gridCol w:w="109"/>
        <w:gridCol w:w="109"/>
        <w:gridCol w:w="1259"/>
        <w:gridCol w:w="1259"/>
        <w:gridCol w:w="126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$0.50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3"/>
        <w:gridCol w:w="381"/>
        <w:gridCol w:w="381"/>
        <w:gridCol w:w="1022"/>
        <w:gridCol w:w="385"/>
        <w:gridCol w:w="381"/>
        <w:gridCol w:w="381"/>
        <w:gridCol w:w="381"/>
        <w:gridCol w:w="381"/>
        <w:gridCol w:w="575"/>
        <w:gridCol w:w="381"/>
        <w:gridCol w:w="381"/>
        <w:gridCol w:w="381"/>
        <w:gridCol w:w="381"/>
        <w:gridCol w:w="381"/>
        <w:gridCol w:w="381"/>
        <w:gridCol w:w="381"/>
        <w:gridCol w:w="381"/>
        <w:gridCol w:w="381"/>
        <w:gridCol w:w="381"/>
        <w:gridCol w:w="381"/>
        <w:gridCol w:w="381"/>
        <w:gridCol w:w="381"/>
        <w:gridCol w:w="551"/>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80" w:after="18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w:t>
            </w:r>
            <w:r>
              <w:rPr>
                <w:color w:val="000000"/>
              </w:rPr>
              <w:t xml:space="preserve"> ☐</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60" w:after="18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w:t>
            </w:r>
            <w:r>
              <w:rPr>
                <w:color w:val="000000"/>
              </w:rPr>
              <w:t xml:space="preserve"> ☐</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1143"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1143"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w:t>
            </w:r>
            <w:r>
              <w:rPr>
                <w:color w:val="000000"/>
              </w:rPr>
              <w:t xml:space="preserve"> ☒</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the Company’s outstanding shares of Common Stock on April 30, 2025 was 26,881,174.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9"/>
        <w:gridCol w:w="262"/>
        <w:gridCol w:w="265"/>
        <w:gridCol w:w="2943"/>
        <w:gridCol w:w="2943"/>
        <w:gridCol w:w="2951"/>
        <w:gridCol w:w="158"/>
        <w:gridCol w:w="158"/>
        <w:gridCol w:w="226"/>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6">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6">
              <w:r>
                <w:rPr>
                  <w:rStyle w:val="InternetLink"/>
                  <w:rFonts w:ascii="Times New Roman;sans-serif" w:hAnsi="Times New Roman;sans-serif"/>
                  <w:b w:val="false"/>
                  <w:strike w:val="false"/>
                  <w:dstrike w:val="false"/>
                  <w:color w:val="000000"/>
                  <w:sz w:val="20"/>
                  <w:u w:val="none"/>
                  <w:effect w:val="non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9">
              <w:r>
                <w:rPr>
                  <w:rStyle w:val="InternetLink"/>
                  <w:rFonts w:ascii="Times New Roman;sans-serif" w:hAnsi="Times New Roman;sans-serif"/>
                  <w:b w:val="false"/>
                  <w:strike w:val="false"/>
                  <w:dstrike w:val="false"/>
                  <w:color w:val="000000"/>
                  <w:sz w:val="20"/>
                  <w:u w:val="none"/>
                  <w:effect w:val="none"/>
                </w:rPr>
                <w:t xml:space="preserve">Consolidated Balance Sheets as of </w:t>
              </w:r>
            </w:hyperlink>
            <w:r>
              <w:rPr>
                <w:rFonts w:ascii="Times New Roman;sans-serif" w:hAnsi="Times New Roman;sans-serif"/>
                <w:b w:val="false"/>
                <w:color w:val="000000"/>
                <w:sz w:val="20"/>
              </w:rPr>
              <w:t>March 31, 2025</w:t>
            </w:r>
            <w:hyperlink w:anchor="i65ac2e1b2b9d477b9f25809e14f9bfa2_19">
              <w:r>
                <w:rPr>
                  <w:rStyle w:val="InternetLink"/>
                  <w:rFonts w:ascii="Times New Roman;sans-serif" w:hAnsi="Times New Roman;sans-serif"/>
                  <w:b w:val="false"/>
                  <w:strike w:val="false"/>
                  <w:dstrike w:val="false"/>
                  <w:color w:val="000000"/>
                  <w:sz w:val="20"/>
                  <w:u w:val="none"/>
                  <w:effect w:val="none"/>
                </w:rPr>
                <w:t xml:space="preserve"> (unaudited) and </w:t>
              </w:r>
            </w:hyperlink>
            <w:r>
              <w:rPr>
                <w:rFonts w:ascii="Times New Roman;sans-serif" w:hAnsi="Times New Roman;sans-serif"/>
                <w:b w:val="false"/>
                <w:color w:val="000000"/>
                <w:sz w:val="20"/>
              </w:rPr>
              <w:t>December 31, 2024</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9">
              <w:r>
                <w:rPr>
                  <w:rStyle w:val="InternetLink"/>
                  <w:rFonts w:ascii="Times New Roman;sans-serif" w:hAnsi="Times New Roman;sans-serif"/>
                  <w:b w:val="false"/>
                  <w:strike w:val="false"/>
                  <w:dstrike w:val="false"/>
                  <w:color w:val="000000"/>
                  <w:sz w:val="20"/>
                  <w:u w:val="none"/>
                  <w:effect w:val="non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22">
              <w:r>
                <w:rPr>
                  <w:rStyle w:val="InternetLink"/>
                  <w:rFonts w:ascii="Times New Roman;sans-serif" w:hAnsi="Times New Roman;sans-serif"/>
                  <w:b w:val="false"/>
                  <w:strike w:val="false"/>
                  <w:dstrike w:val="false"/>
                  <w:color w:val="000080"/>
                  <w:sz w:val="20"/>
                  <w:u w:val="single"/>
                  <w:effect w:val="none"/>
                </w:rPr>
                <w:t>Unaudited Consolidated Statements of Operations for the</w:t>
              </w:r>
            </w:hyperlink>
            <w:hyperlink w:anchor="i65ac2e1b2b9d477b9f25809e14f9bfa2_22">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Three</w:t>
            </w:r>
            <w:hyperlink w:anchor="i65ac2e1b2b9d477b9f25809e14f9bfa2_22">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March 31, 2025</w:t>
            </w:r>
            <w:hyperlink w:anchor="i65ac2e1b2b9d477b9f25809e14f9bfa2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22">
              <w:r>
                <w:rPr>
                  <w:rStyle w:val="InternetLink"/>
                  <w:rFonts w:ascii="Times New Roman;sans-serif" w:hAnsi="Times New Roman;sans-serif"/>
                  <w:b w:val="false"/>
                  <w:strike w:val="false"/>
                  <w:dstrike w:val="false"/>
                  <w:color w:val="000000"/>
                  <w:sz w:val="20"/>
                  <w:u w:val="none"/>
                  <w:effect w:val="non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25">
              <w:r>
                <w:rPr>
                  <w:rStyle w:val="InternetLink"/>
                  <w:rFonts w:ascii="Times New Roman;sans-serif" w:hAnsi="Times New Roman;sans-serif"/>
                  <w:b w:val="false"/>
                  <w:strike w:val="false"/>
                  <w:dstrike w:val="false"/>
                  <w:color w:val="000000"/>
                  <w:sz w:val="20"/>
                  <w:u w:val="none"/>
                  <w:effect w:val="none"/>
                </w:rPr>
                <w:t xml:space="preserve">Unaudited Consolidated Statements of Comprehensive (Loss) Income </w:t>
              </w:r>
            </w:hyperlink>
            <w:r>
              <w:rPr>
                <w:rFonts w:ascii="Times New Roman;sans-serif" w:hAnsi="Times New Roman;sans-serif"/>
                <w:b w:val="false"/>
                <w:color w:val="000000"/>
                <w:sz w:val="20"/>
              </w:rPr>
              <w:t>for the Three Months Ended March 31, 2025 and 2024</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25">
              <w:r>
                <w:rPr>
                  <w:rStyle w:val="InternetLink"/>
                  <w:rFonts w:ascii="Times New Roman;sans-serif" w:hAnsi="Times New Roman;sans-serif"/>
                  <w:b w:val="false"/>
                  <w:strike w:val="false"/>
                  <w:dstrike w:val="false"/>
                  <w:color w:val="000000"/>
                  <w:sz w:val="20"/>
                  <w:u w:val="none"/>
                  <w:effect w:val="none"/>
                </w:rPr>
                <w:t>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28">
              <w:r>
                <w:rPr>
                  <w:rStyle w:val="InternetLink"/>
                  <w:rFonts w:ascii="Times New Roman;sans-serif" w:hAnsi="Times New Roman;sans-serif"/>
                  <w:b w:val="false"/>
                  <w:strike w:val="false"/>
                  <w:dstrike w:val="false"/>
                  <w:color w:val="000000"/>
                  <w:sz w:val="20"/>
                  <w:u w:val="none"/>
                  <w:effect w:val="none"/>
                </w:rPr>
                <w:t xml:space="preserve">Unaudited Consolidated Statements of Cash Flows for the </w:t>
              </w:r>
            </w:hyperlink>
            <w:r>
              <w:rPr>
                <w:rFonts w:ascii="Times New Roman;sans-serif" w:hAnsi="Times New Roman;sans-serif"/>
                <w:b w:val="false"/>
                <w:color w:val="000000"/>
                <w:sz w:val="20"/>
              </w:rPr>
              <w:t>Three</w:t>
            </w:r>
            <w:hyperlink w:anchor="i65ac2e1b2b9d477b9f25809e14f9bfa2_28">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March 31, 2025 and 2024</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28">
              <w:r>
                <w:rPr>
                  <w:rStyle w:val="InternetLink"/>
                  <w:rFonts w:ascii="Times New Roman;sans-serif" w:hAnsi="Times New Roman;sans-serif"/>
                  <w:b w:val="false"/>
                  <w:strike w:val="false"/>
                  <w:dstrike w:val="false"/>
                  <w:color w:val="000000"/>
                  <w:sz w:val="20"/>
                  <w:u w:val="none"/>
                  <w:effect w:val="non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34">
              <w:r>
                <w:rPr>
                  <w:rStyle w:val="InternetLink"/>
                  <w:rFonts w:ascii="Times New Roman;sans-serif" w:hAnsi="Times New Roman;sans-serif"/>
                  <w:b w:val="false"/>
                  <w:strike w:val="false"/>
                  <w:dstrike w:val="false"/>
                  <w:color w:val="000080"/>
                  <w:sz w:val="20"/>
                  <w:u w:val="single"/>
                  <w:effect w:val="none"/>
                </w:rPr>
                <w:t>Unaudited Consolidated Statements of Changes in Equity for</w:t>
              </w:r>
            </w:hyperlink>
            <w:hyperlink w:anchor="i65ac2e1b2b9d477b9f25809e14f9bfa2_34">
              <w:r>
                <w:rPr>
                  <w:rStyle w:val="InternetLink"/>
                  <w:rFonts w:ascii="Times New Roman;sans-serif" w:hAnsi="Times New Roman;sans-serif"/>
                  <w:b w:val="false"/>
                  <w:strike w:val="false"/>
                  <w:dstrike w:val="false"/>
                  <w:color w:val="000080"/>
                  <w:sz w:val="20"/>
                  <w:u w:val="single"/>
                  <w:effect w:val="none"/>
                </w:rPr>
                <w:t xml:space="preserve"> </w:t>
              </w:r>
            </w:hyperlink>
            <w:hyperlink w:anchor="i65ac2e1b2b9d477b9f25809e14f9bfa2_34">
              <w:r>
                <w:rPr>
                  <w:rStyle w:val="InternetLink"/>
                  <w:rFonts w:ascii="Times New Roman;sans-serif" w:hAnsi="Times New Roman;sans-serif"/>
                  <w:b w:val="false"/>
                  <w:strike w:val="false"/>
                  <w:dstrike w:val="false"/>
                  <w:color w:val="000080"/>
                  <w:sz w:val="20"/>
                  <w:u w:val="single"/>
                  <w:effect w:val="none"/>
                </w:rPr>
                <w:t>the</w:t>
              </w:r>
            </w:hyperlink>
            <w:hyperlink w:anchor="i65ac2e1b2b9d477b9f25809e14f9bfa2_34">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Three</w:t>
            </w:r>
            <w:hyperlink w:anchor="i65ac2e1b2b9d477b9f25809e14f9bfa2_34">
              <w:r>
                <w:rPr>
                  <w:rStyle w:val="InternetLink"/>
                  <w:rFonts w:ascii="Times New Roman;sans-serif" w:hAnsi="Times New Roman;sans-serif"/>
                  <w:b w:val="false"/>
                  <w:strike w:val="false"/>
                  <w:dstrike w:val="false"/>
                  <w:color w:val="000000"/>
                  <w:sz w:val="20"/>
                  <w:u w:val="none"/>
                  <w:effect w:val="none"/>
                </w:rPr>
                <w:t xml:space="preserve"> Months </w:t>
              </w:r>
            </w:hyperlink>
            <w:r>
              <w:rPr>
                <w:rFonts w:ascii="Times New Roman;sans-serif" w:hAnsi="Times New Roman;sans-serif"/>
                <w:b w:val="false"/>
                <w:color w:val="000000"/>
                <w:sz w:val="20"/>
              </w:rPr>
              <w:t>Ended March 31, 2025 and 2024</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34">
              <w:r>
                <w:rPr>
                  <w:rStyle w:val="InternetLink"/>
                  <w:rFonts w:ascii="Times New Roman;sans-serif" w:hAnsi="Times New Roman;sans-serif"/>
                  <w:b w:val="false"/>
                  <w:strike w:val="false"/>
                  <w:dstrike w:val="false"/>
                  <w:color w:val="000000"/>
                  <w:sz w:val="20"/>
                  <w:u w:val="none"/>
                  <w:effect w:val="none"/>
                </w:rPr>
                <w:t>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40">
              <w:r>
                <w:rPr>
                  <w:rStyle w:val="InternetLink"/>
                  <w:rFonts w:ascii="Times New Roman;sans-serif" w:hAnsi="Times New Roman;sans-serif"/>
                  <w:b w:val="false"/>
                  <w:strike w:val="false"/>
                  <w:dstrike w:val="false"/>
                  <w:color w:val="000000"/>
                  <w:sz w:val="20"/>
                  <w:u w:val="none"/>
                  <w:effect w:val="none"/>
                </w:rPr>
                <w:t>Notes to Unaudited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40">
              <w:r>
                <w:rPr>
                  <w:rStyle w:val="InternetLink"/>
                  <w:rFonts w:ascii="Times New Roman;sans-serif" w:hAnsi="Times New Roman;sans-serif"/>
                  <w:b w:val="false"/>
                  <w:strike w:val="false"/>
                  <w:dstrike w:val="false"/>
                  <w:color w:val="000000"/>
                  <w:sz w:val="20"/>
                  <w:u w:val="none"/>
                  <w:effect w:val="none"/>
                </w:rPr>
                <w:t>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0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00">
              <w:r>
                <w:rPr>
                  <w:rStyle w:val="InternetLink"/>
                  <w:rFonts w:ascii="Times New Roman;sans-serif" w:hAnsi="Times New Roman;sans-serif"/>
                  <w:b w:val="false"/>
                  <w:strike w:val="false"/>
                  <w:dstrike w:val="false"/>
                  <w:color w:val="000000"/>
                  <w:sz w:val="20"/>
                  <w:u w:val="none"/>
                  <w:effect w:val="non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36">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36">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39">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39">
              <w:r>
                <w:rPr>
                  <w:rStyle w:val="InternetLink"/>
                  <w:rFonts w:ascii="Times New Roman;sans-serif" w:hAnsi="Times New Roman;sans-serif"/>
                  <w:b w:val="false"/>
                  <w:strike w:val="false"/>
                  <w:dstrike w:val="false"/>
                  <w:color w:val="000000"/>
                  <w:sz w:val="20"/>
                  <w:u w:val="none"/>
                  <w:effect w:val="none"/>
                </w:rPr>
                <w:t>45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42">
              <w:r>
                <w:rPr>
                  <w:rStyle w:val="InternetLink"/>
                  <w:rFonts w:ascii="Times New Roman;sans-serif" w:hAnsi="Times New Roman;sans-serif"/>
                  <w:b w:val="false"/>
                  <w:strike w:val="false"/>
                  <w:dstrike w:val="false"/>
                  <w:color w:val="000000"/>
                  <w:sz w:val="20"/>
                  <w:u w:val="none"/>
                  <w:effect w:val="non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45">
              <w:r>
                <w:rPr>
                  <w:rStyle w:val="InternetLink"/>
                  <w:rFonts w:ascii="Times New Roman;sans-serif" w:hAnsi="Times New Roman;sans-serif"/>
                  <w:b w:val="false"/>
                  <w:strike w:val="false"/>
                  <w:dstrike w:val="false"/>
                  <w:color w:val="000000"/>
                  <w:sz w:val="20"/>
                  <w:u w:val="none"/>
                  <w:effect w:val="non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45">
              <w:r>
                <w:rPr>
                  <w:rStyle w:val="InternetLink"/>
                  <w:rFonts w:ascii="Times New Roman;sans-serif" w:hAnsi="Times New Roman;sans-serif"/>
                  <w:b w:val="false"/>
                  <w:strike w:val="false"/>
                  <w:dstrike w:val="false"/>
                  <w:color w:val="000000"/>
                  <w:sz w:val="20"/>
                  <w:u w:val="none"/>
                  <w:effect w:val="none"/>
                </w:rPr>
                <w:t>46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48">
              <w:r>
                <w:rPr>
                  <w:rStyle w:val="InternetLink"/>
                  <w:rFonts w:ascii="Times New Roman;sans-serif" w:hAnsi="Times New Roman;sans-serif"/>
                  <w:b w:val="false"/>
                  <w:strike w:val="false"/>
                  <w:dstrike w:val="false"/>
                  <w:color w:val="000000"/>
                  <w:sz w:val="20"/>
                  <w:u w:val="none"/>
                  <w:effect w:val="non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48">
              <w:r>
                <w:rPr>
                  <w:rStyle w:val="InternetLink"/>
                  <w:rFonts w:ascii="Times New Roman;sans-serif" w:hAnsi="Times New Roman;sans-serif"/>
                  <w:b w:val="false"/>
                  <w:strike w:val="false"/>
                  <w:dstrike w:val="false"/>
                  <w:color w:val="000000"/>
                  <w:sz w:val="20"/>
                  <w:u w:val="none"/>
                  <w:effect w:val="none"/>
                </w:rPr>
                <w:t>46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51">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51">
              <w:r>
                <w:rPr>
                  <w:rStyle w:val="InternetLink"/>
                  <w:rFonts w:ascii="Times New Roman;sans-serif" w:hAnsi="Times New Roman;sans-serif"/>
                  <w:b w:val="false"/>
                  <w:strike w:val="false"/>
                  <w:dstrike w:val="false"/>
                  <w:color w:val="000000"/>
                  <w:sz w:val="20"/>
                  <w:u w:val="none"/>
                  <w:effect w:val="none"/>
                </w:rPr>
                <w:t>46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54">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54">
              <w:r>
                <w:rPr>
                  <w:rStyle w:val="InternetLink"/>
                  <w:rFonts w:ascii="Times New Roman;sans-serif" w:hAnsi="Times New Roman;sans-serif"/>
                  <w:b w:val="false"/>
                  <w:strike w:val="false"/>
                  <w:dstrike w:val="false"/>
                  <w:color w:val="000000"/>
                  <w:sz w:val="20"/>
                  <w:u w:val="none"/>
                  <w:effect w:val="none"/>
                </w:rPr>
                <w:t>46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57">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57">
              <w:r>
                <w:rPr>
                  <w:rStyle w:val="InternetLink"/>
                  <w:rFonts w:ascii="Times New Roman;sans-serif" w:hAnsi="Times New Roman;sans-serif"/>
                  <w:b w:val="false"/>
                  <w:strike w:val="false"/>
                  <w:dstrike w:val="false"/>
                  <w:color w:val="000000"/>
                  <w:sz w:val="20"/>
                  <w:u w:val="none"/>
                  <w:effect w:val="none"/>
                </w:rPr>
                <w:t>46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60">
              <w:r>
                <w:rPr>
                  <w:rStyle w:val="InternetLink"/>
                  <w:rFonts w:ascii="Times New Roman;sans-serif" w:hAnsi="Times New Roman;sans-serif"/>
                  <w:b w:val="false"/>
                  <w:strike w:val="false"/>
                  <w:dstrike w:val="false"/>
                  <w:color w:val="000000"/>
                  <w:sz w:val="20"/>
                  <w:u w:val="none"/>
                  <w:effect w:val="non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60">
              <w:r>
                <w:rPr>
                  <w:rStyle w:val="InternetLink"/>
                  <w:rFonts w:ascii="Times New Roman;sans-serif" w:hAnsi="Times New Roman;sans-serif"/>
                  <w:b w:val="false"/>
                  <w:strike w:val="false"/>
                  <w:dstrike w:val="false"/>
                  <w:color w:val="000000"/>
                  <w:sz w:val="20"/>
                  <w:u w:val="none"/>
                  <w:effect w:val="none"/>
                </w:rPr>
                <w:t>46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63">
              <w:r>
                <w:rPr>
                  <w:rStyle w:val="InternetLink"/>
                  <w:rFonts w:ascii="Times New Roman;sans-serif" w:hAnsi="Times New Roman;sans-serif"/>
                  <w:b w:val="false"/>
                  <w:strike w:val="false"/>
                  <w:dstrike w:val="false"/>
                  <w:color w:val="000000"/>
                  <w:sz w:val="20"/>
                  <w:u w:val="none"/>
                  <w:effect w:val="non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63">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5ac2e1b2b9d477b9f25809e14f9bfa2_166">
              <w:r>
                <w:rPr>
                  <w:rStyle w:val="InternetLink"/>
                  <w:rFonts w:ascii="Times New Roman;sans-serif" w:hAnsi="Times New Roman;sans-serif"/>
                  <w:b w:val="false"/>
                  <w:strike w:val="false"/>
                  <w:dstrike w:val="false"/>
                  <w:color w:val="000000"/>
                  <w:sz w:val="20"/>
                  <w:u w:val="none"/>
                  <w:effect w:val="non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ac2e1b2b9d477b9f25809e14f9bfa2_166">
              <w:r>
                <w:rPr>
                  <w:rStyle w:val="InternetLink"/>
                  <w:rFonts w:ascii="Times New Roman;sans-serif" w:hAnsi="Times New Roman;sans-serif"/>
                  <w:b w:val="false"/>
                  <w:strike w:val="false"/>
                  <w:dstrike w:val="false"/>
                  <w:color w:val="000000"/>
                  <w:sz w:val="20"/>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6EBF"/>
          <w:sz w:val="20"/>
        </w:rPr>
      </w:pPr>
      <w:r>
        <w:rPr>
          <w:rFonts w:ascii="Times New Roman;sans-serif" w:hAnsi="Times New Roman;sans-serif"/>
          <w:b/>
          <w:color w:val="006EBF"/>
          <w:sz w:val="20"/>
        </w:rPr>
        <w:t>Glossary</w:t>
      </w:r>
    </w:p>
    <w:tbl>
      <w:tblPr>
        <w:tblW w:w="10205" w:type="dxa"/>
        <w:jc w:val="left"/>
        <w:tblInd w:w="0" w:type="dxa"/>
        <w:tblLayout w:type="fixed"/>
        <w:tblCellMar>
          <w:top w:w="28" w:type="dxa"/>
          <w:left w:w="28" w:type="dxa"/>
          <w:bottom w:w="28" w:type="dxa"/>
          <w:right w:w="28" w:type="dxa"/>
        </w:tblCellMar>
      </w:tblPr>
      <w:tblGrid>
        <w:gridCol w:w="1001"/>
        <w:gridCol w:w="730"/>
        <w:gridCol w:w="730"/>
        <w:gridCol w:w="730"/>
        <w:gridCol w:w="730"/>
        <w:gridCol w:w="730"/>
        <w:gridCol w:w="1780"/>
        <w:gridCol w:w="1572"/>
        <w:gridCol w:w="2202"/>
      </w:tblGrid>
      <w:tr>
        <w:trPr/>
        <w:tc>
          <w:tcPr>
            <w:tcW w:w="100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initialisms or acronyms may be used in this document and shall be defined as set forth below:</w:t>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AKIP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Kern Incentive Program</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AVEK</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Antelope Valley East Kern Water Agency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CFL</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 Founders, LLC</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 for Biological Diversity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CEQA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Environmental Quality Act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Facilities District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CNPS</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Native Plant Society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EIR</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Impact Report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FTZ</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Trade Zone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 Sustainability Plan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Village at Tejon Ranch</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NOI</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NLER</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to Equity Ratio</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PEF</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Pastoria Energy Facility, LLC</w:t>
            </w:r>
          </w:p>
        </w:tc>
      </w:tr>
      <w:tr>
        <w:trPr/>
        <w:tc>
          <w:tcPr>
            <w:tcW w:w="2461"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RCL</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Line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Conservation and Land Use Agreement, a.k.a. Ranch Wide Agreement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Water Project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TCWD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Tejon-Castac Water District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Commerce Center</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TRPFFA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Public Facilities Financing Authority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WRMWSD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Wheeler Ridge Maricopa Water Storage District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per share data)</w:t>
      </w:r>
    </w:p>
    <w:tbl>
      <w:tblPr>
        <w:tblW w:w="10205" w:type="dxa"/>
        <w:jc w:val="center"/>
        <w:tblInd w:w="0" w:type="dxa"/>
        <w:tblLayout w:type="fixed"/>
        <w:tblCellMar>
          <w:top w:w="28" w:type="dxa"/>
          <w:left w:w="28" w:type="dxa"/>
          <w:bottom w:w="28" w:type="dxa"/>
          <w:right w:w="28" w:type="dxa"/>
        </w:tblCellMar>
      </w:tblPr>
      <w:tblGrid>
        <w:gridCol w:w="2658"/>
        <w:gridCol w:w="2263"/>
        <w:gridCol w:w="2152"/>
        <w:gridCol w:w="238"/>
        <w:gridCol w:w="933"/>
        <w:gridCol w:w="122"/>
        <w:gridCol w:w="109"/>
        <w:gridCol w:w="109"/>
        <w:gridCol w:w="109"/>
        <w:gridCol w:w="266"/>
        <w:gridCol w:w="1046"/>
        <w:gridCol w:w="200"/>
      </w:tblGrid>
      <w:tr>
        <w:trPr/>
        <w:tc>
          <w:tcPr>
            <w:tcW w:w="265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7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available-for-sale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improvements - held for lease,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development (includes $124,980 at March 31, 2025 and $124,136 at December 31, 2024, attributable to CFL (Note 14))</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water assets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607,998 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07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gains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 stockholders’ equity</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$0.50 par value per share:</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- 50,000,000</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shares - 26,867,600 at March 31, 2025 and 26,822,768 at December 31, 2024</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Tejon Ranch Co. stockholders’ equity</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473,594 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614,555 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607,998 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05"/>
        <w:gridCol w:w="2254"/>
        <w:gridCol w:w="2271"/>
        <w:gridCol w:w="241"/>
        <w:gridCol w:w="780"/>
        <w:gridCol w:w="124"/>
        <w:gridCol w:w="124"/>
        <w:gridCol w:w="124"/>
        <w:gridCol w:w="124"/>
        <w:gridCol w:w="241"/>
        <w:gridCol w:w="705"/>
        <w:gridCol w:w="124"/>
        <w:gridCol w:w="109"/>
        <w:gridCol w:w="109"/>
        <w:gridCol w:w="109"/>
        <w:gridCol w:w="161"/>
      </w:tblGrid>
      <w:tr>
        <w:trPr/>
        <w:tc>
          <w:tcPr>
            <w:tcW w:w="260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resort/residential</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before equity in earnings of unconsolidated joint ventures and income tax benefit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joint ventures,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benefit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diluted</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CONSOLIDATED STATEMENTS OF COMPREHENSIVE LOSS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0" w:after="0"/>
        <w:jc w:val="center"/>
        <w:rPr/>
      </w:pPr>
      <w:r>
        <w:rPr/>
      </w:r>
    </w:p>
    <w:tbl>
      <w:tblPr>
        <w:tblW w:w="8189" w:type="dxa"/>
        <w:jc w:val="center"/>
        <w:tblInd w:w="0" w:type="dxa"/>
        <w:tblLayout w:type="fixed"/>
        <w:tblCellMar>
          <w:top w:w="28" w:type="dxa"/>
          <w:left w:w="28" w:type="dxa"/>
          <w:bottom w:w="28" w:type="dxa"/>
          <w:right w:w="28" w:type="dxa"/>
        </w:tblCellMar>
      </w:tblPr>
      <w:tblGrid>
        <w:gridCol w:w="1819"/>
        <w:gridCol w:w="1589"/>
        <w:gridCol w:w="1617"/>
        <w:gridCol w:w="257"/>
        <w:gridCol w:w="844"/>
        <w:gridCol w:w="133"/>
        <w:gridCol w:w="133"/>
        <w:gridCol w:w="133"/>
        <w:gridCol w:w="133"/>
        <w:gridCol w:w="257"/>
        <w:gridCol w:w="660"/>
        <w:gridCol w:w="133"/>
        <w:gridCol w:w="109"/>
        <w:gridCol w:w="109"/>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available-for-sale securities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other comprehensive loss items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common stockholders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9912" w:type="dxa"/>
        <w:jc w:val="center"/>
        <w:tblInd w:w="0" w:type="dxa"/>
        <w:tblLayout w:type="fixed"/>
        <w:tblCellMar>
          <w:top w:w="28" w:type="dxa"/>
          <w:left w:w="28" w:type="dxa"/>
          <w:bottom w:w="28" w:type="dxa"/>
          <w:right w:w="28" w:type="dxa"/>
        </w:tblCellMar>
      </w:tblPr>
      <w:tblGrid>
        <w:gridCol w:w="2603"/>
        <w:gridCol w:w="2285"/>
        <w:gridCol w:w="2297"/>
        <w:gridCol w:w="234"/>
        <w:gridCol w:w="802"/>
        <w:gridCol w:w="121"/>
        <w:gridCol w:w="121"/>
        <w:gridCol w:w="121"/>
        <w:gridCol w:w="121"/>
        <w:gridCol w:w="234"/>
        <w:gridCol w:w="802"/>
        <w:gridCol w:w="171"/>
      </w:tblGrid>
      <w:tr>
        <w:trPr/>
        <w:tc>
          <w:tcPr>
            <w:tcW w:w="260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provided by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of marketable securities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joint ventures,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retirement plan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plant and equipment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compensation expense </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provision (benefit) from stock-based compensation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earnings from unconsolidated joint ventures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inventories, prepaids and other assets,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sales of marketable securities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invested in marketable securities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equipment expenditures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proceeds from Community Facilities District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joint ventures</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equity from unconsolidated joint ventures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water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vested stock grants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to amounts on consolidated balance sheets: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(Shown in prepaid expenses and other current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tbl>
      <w:tblPr>
        <w:tblW w:w="7393" w:type="dxa"/>
        <w:jc w:val="center"/>
        <w:tblInd w:w="0" w:type="dxa"/>
        <w:tblLayout w:type="fixed"/>
        <w:tblCellMar>
          <w:top w:w="28" w:type="dxa"/>
          <w:left w:w="28" w:type="dxa"/>
          <w:bottom w:w="28" w:type="dxa"/>
          <w:right w:w="28" w:type="dxa"/>
        </w:tblCellMar>
      </w:tblPr>
      <w:tblGrid>
        <w:gridCol w:w="1824"/>
        <w:gridCol w:w="1606"/>
        <w:gridCol w:w="1610"/>
        <w:gridCol w:w="211"/>
        <w:gridCol w:w="616"/>
        <w:gridCol w:w="109"/>
        <w:gridCol w:w="109"/>
        <w:gridCol w:w="109"/>
        <w:gridCol w:w="109"/>
        <w:gridCol w:w="211"/>
        <w:gridCol w:w="616"/>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long-term water assets included in current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2353" w:type="dxa"/>
            <w:gridSpan w:val="10"/>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CHANGES IN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shares outstanding)</w:t>
      </w:r>
    </w:p>
    <w:p>
      <w:pPr>
        <w:pStyle w:val="TextBody"/>
        <w:bidi w:val="0"/>
        <w:spacing w:before="0" w:after="0"/>
        <w:jc w:val="center"/>
        <w:rPr/>
      </w:pPr>
      <w:r>
        <w:rPr/>
      </w:r>
    </w:p>
    <w:tbl>
      <w:tblPr>
        <w:tblW w:w="13624" w:type="dxa"/>
        <w:jc w:val="center"/>
        <w:tblInd w:w="0" w:type="dxa"/>
        <w:tblLayout w:type="fixed"/>
        <w:tblCellMar>
          <w:top w:w="28" w:type="dxa"/>
          <w:left w:w="28" w:type="dxa"/>
          <w:bottom w:w="28" w:type="dxa"/>
          <w:right w:w="28" w:type="dxa"/>
        </w:tblCellMar>
      </w:tblPr>
      <w:tblGrid>
        <w:gridCol w:w="805"/>
        <w:gridCol w:w="272"/>
        <w:gridCol w:w="274"/>
        <w:gridCol w:w="711"/>
        <w:gridCol w:w="370"/>
        <w:gridCol w:w="371"/>
        <w:gridCol w:w="109"/>
        <w:gridCol w:w="109"/>
        <w:gridCol w:w="109"/>
        <w:gridCol w:w="211"/>
        <w:gridCol w:w="721"/>
        <w:gridCol w:w="109"/>
        <w:gridCol w:w="109"/>
        <w:gridCol w:w="109"/>
        <w:gridCol w:w="109"/>
        <w:gridCol w:w="211"/>
        <w:gridCol w:w="826"/>
        <w:gridCol w:w="109"/>
        <w:gridCol w:w="109"/>
        <w:gridCol w:w="109"/>
        <w:gridCol w:w="109"/>
        <w:gridCol w:w="363"/>
        <w:gridCol w:w="829"/>
        <w:gridCol w:w="189"/>
        <w:gridCol w:w="109"/>
        <w:gridCol w:w="109"/>
        <w:gridCol w:w="109"/>
        <w:gridCol w:w="211"/>
        <w:gridCol w:w="826"/>
        <w:gridCol w:w="109"/>
        <w:gridCol w:w="109"/>
        <w:gridCol w:w="109"/>
        <w:gridCol w:w="109"/>
        <w:gridCol w:w="221"/>
        <w:gridCol w:w="865"/>
        <w:gridCol w:w="115"/>
        <w:gridCol w:w="109"/>
        <w:gridCol w:w="109"/>
        <w:gridCol w:w="109"/>
        <w:gridCol w:w="289"/>
        <w:gridCol w:w="987"/>
        <w:gridCol w:w="150"/>
        <w:gridCol w:w="109"/>
        <w:gridCol w:w="109"/>
        <w:gridCol w:w="109"/>
        <w:gridCol w:w="211"/>
        <w:gridCol w:w="826"/>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26,822,768 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26,867,600 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26,770,545 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26,797,440 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467,358 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See accompanying notes.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before="60" w:after="283"/>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    BASIS OF PRESENTATION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summarized information of Tejon Ranch Co. and its subsidiaries (the Company, TRC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periods ended March 31, 2025 and 2024 include the consolidation of CFL’s statements of operations within the resort/residential real estate development segment, statements of changes in equity, and statements of cash flows. The Company’s March 31, 2025 and December 31, 2024 balance sheets are presented on a consolidated basis, including the consolidation of CFL.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 period reported herein are not indicative of the results to be expected for the full year due to the seasonal nature of the Company’s agricultural activities, water activities, and timing of real estate sales and leasing activities. Historically, the Company’s largest percentages of farming revenues are recognized during the third and fourth quarters of the fiscal year.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and a summary of significant accounting policies, refer to the Consolidated Financial Statements and notes thereto included in the Company’s Annual Report on Form 10-K for the year ended December 31, 2024.</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is included in Prepaid expenses and other current assets within the Consolidated Balance Sheets and primarily relates to funds held in escrow. The Company had $500,000 of restricted cash as of March 31, 2025 and December 31, 2024.</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 Adopted</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Combinations - Joint Venture Formations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FASB issued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did not have a material effect on our consolidated financial statements.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 and Climate Change Related Update by SEC Effective in Future Periods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the amount of income taxes paid disaggregated by federal, state and foreign taxes. This ASU is effective for annual periods beginning after December 15, 2024. The pronouncement is not expected to have a material effect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Rules to Enhance and Standardize Climate-related Disclosures for Investors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2024, the SEC adopted final rules to require registrants to disclose certain climate-related information in registration statements and annual reports. 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ending December 31, 2027; however, the SEC disclosed in its litigation filings that it would publish a new effective date for the rules at the conclusion of its stay. On February 11, 2025, the SEC also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We are continuing to evaluate the implications of the pending adoption of these requirements in light of this development, including potential impacts on our financial statement disclosures.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Expense Disaggregation Disclosures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 annual reporting periods beginning after December 15, 2026. We are currently evaluating the impact of these requirements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    EQUITY</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Earnings Per Share (EPS)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stockholders is based upon the weighted-average number of shares of common stock outstanding during reporting periods.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tbl>
      <w:tblPr>
        <w:tblW w:w="10205" w:type="dxa"/>
        <w:jc w:val="center"/>
        <w:tblInd w:w="0" w:type="dxa"/>
        <w:tblLayout w:type="fixed"/>
        <w:tblCellMar>
          <w:top w:w="28" w:type="dxa"/>
          <w:left w:w="28" w:type="dxa"/>
          <w:bottom w:w="28" w:type="dxa"/>
          <w:right w:w="28" w:type="dxa"/>
        </w:tblCellMar>
      </w:tblPr>
      <w:tblGrid>
        <w:gridCol w:w="1586"/>
        <w:gridCol w:w="1393"/>
        <w:gridCol w:w="1398"/>
        <w:gridCol w:w="1173"/>
        <w:gridCol w:w="469"/>
        <w:gridCol w:w="312"/>
        <w:gridCol w:w="312"/>
        <w:gridCol w:w="312"/>
        <w:gridCol w:w="312"/>
        <w:gridCol w:w="1173"/>
        <w:gridCol w:w="469"/>
        <w:gridCol w:w="312"/>
        <w:gridCol w:w="165"/>
        <w:gridCol w:w="165"/>
        <w:gridCol w:w="165"/>
        <w:gridCol w:w="109"/>
        <w:gridCol w:w="109"/>
        <w:gridCol w:w="109"/>
        <w:gridCol w:w="162"/>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w:t>
            </w:r>
          </w:p>
        </w:tc>
        <w:tc>
          <w:tcPr>
            <w:tcW w:w="1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26,852,573 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26,788,345 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 outstanding</w:t>
            </w:r>
          </w:p>
        </w:tc>
        <w:tc>
          <w:tcPr>
            <w:tcW w:w="1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26,852,573 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26,788,345 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three months ended March 31, 2025, 15,583 shares of restricted stock were excluded from the calculation of diluted net loss per share as the shares were antidilutive. For the three months ended March 31, 2024, 69,348 shares of restricted stock were excluded from the calculation of diluted net loss per share as the shares were antidilutive.</w:t>
            </w:r>
          </w:p>
        </w:tc>
        <w:tc>
          <w:tcPr>
            <w:tcW w:w="489"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tbl>
      <w:tblPr>
        <w:tblW w:w="9959" w:type="dxa"/>
        <w:jc w:val="left"/>
        <w:tblInd w:w="0" w:type="dxa"/>
        <w:tblLayout w:type="fixed"/>
        <w:tblCellMar>
          <w:top w:w="28" w:type="dxa"/>
          <w:left w:w="28" w:type="dxa"/>
          <w:bottom w:w="28" w:type="dxa"/>
          <w:right w:w="28" w:type="dxa"/>
        </w:tblCellMar>
      </w:tblPr>
      <w:tblGrid>
        <w:gridCol w:w="1384"/>
        <w:gridCol w:w="1217"/>
        <w:gridCol w:w="1224"/>
        <w:gridCol w:w="314"/>
        <w:gridCol w:w="314"/>
        <w:gridCol w:w="31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br/>
              <w:t>Hierarchy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Certificates of deposit</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gains</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Certificates of deposit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Treasury and agency notes</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less than 12 months</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gains</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Treasury and agency notes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 notes</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less than 12 months</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Corporate notes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Municipal notes</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less than 12 months</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Municipal notes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March 31, 2025, the Company has not recorded any credit losses.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fair market value of investment securities was $4,000 below their cost basis. The Company’s gross unrealized holding gains equaled $4,000 and gross unrealized holding losses equaled $8,000. For the three months ended March 31, 2025, the adjustment to accumulated other comprehensive loss reflected a decrease in market value of $8,000, including estimated taxes of $2,000.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exclude applicable accrued interest from both the fair value and the amortized cost basis of the available-for-sale debt securities, and separately present the accrued interest receivable balance. The accrued interest receivables balance totaled $145,000 as of March 31, 2025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 </w:t>
      </w:r>
    </w:p>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 Treasury and agency notes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unrealized losses on the Company's investments in U.S. Treasury and agency notes at March 31, 2025 and December 31, 2024 were caused by relative changes in interest rates since the time of purchase and not changes in credit quality. The contractual cash flows for these securities are guaranteed by U.S. government agencies. As of March 31, 2025 and December 31, 2024, the Company did not intend to sell these securities and it is not more-likely-than-not that the Company would be required to sell these securities before recovery of their cost basis. Therefore, these investments did not require an ACL as of March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pPr>
      <w:r>
        <w:rPr>
          <w:rFonts w:ascii="Times New Roman;sans-serif" w:hAnsi="Times New Roman;sans-serif"/>
          <w:b w:val="false"/>
          <w:color w:val="000000"/>
          <w:sz w:val="20"/>
          <w:u w:val="single"/>
        </w:rPr>
        <w:t>Corporate notes</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unrealized losses on corporate notes are a function of changes in investment spreads and interest rate movements and not changes in credit quality. The Company expects to recover the entire amortized cost basis of these securities. As of March 31, 2025 and December 31, 2024, the Company did not intend to sell these securities and it is not more-likely-than-not the Company would be required to sell these securities before recovery of their cost basis. Therefore, these investments did not require an ACL as of March 31, 2025 and December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maturities, at par, of marketable securities as of:</w:t>
      </w:r>
    </w:p>
    <w:tbl>
      <w:tblPr>
        <w:tblW w:w="7702" w:type="dxa"/>
        <w:jc w:val="left"/>
        <w:tblInd w:w="0" w:type="dxa"/>
        <w:tblLayout w:type="fixed"/>
        <w:tblCellMar>
          <w:top w:w="28" w:type="dxa"/>
          <w:left w:w="28" w:type="dxa"/>
          <w:bottom w:w="28" w:type="dxa"/>
          <w:right w:w="28" w:type="dxa"/>
        </w:tblCellMar>
      </w:tblPr>
      <w:tblGrid>
        <w:gridCol w:w="960"/>
        <w:gridCol w:w="844"/>
        <w:gridCol w:w="850"/>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109"/>
        <w:gridCol w:w="109"/>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agency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7702" w:type="dxa"/>
        <w:jc w:val="left"/>
        <w:tblInd w:w="0" w:type="dxa"/>
        <w:tblLayout w:type="fixed"/>
        <w:tblCellMar>
          <w:top w:w="28" w:type="dxa"/>
          <w:left w:w="28" w:type="dxa"/>
          <w:bottom w:w="28" w:type="dxa"/>
          <w:right w:w="28" w:type="dxa"/>
        </w:tblCellMar>
      </w:tblPr>
      <w:tblGrid>
        <w:gridCol w:w="960"/>
        <w:gridCol w:w="844"/>
        <w:gridCol w:w="850"/>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agency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corporate notes are with companies that have an investment grade rating from Standard &amp; Poor’s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4.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accumulated real estate development costs by project consisted of the following:</w:t>
      </w:r>
    </w:p>
    <w:tbl>
      <w:tblPr>
        <w:tblW w:w="7572" w:type="dxa"/>
        <w:jc w:val="left"/>
        <w:tblInd w:w="0" w:type="dxa"/>
        <w:tblLayout w:type="fixed"/>
        <w:tblCellMar>
          <w:top w:w="28" w:type="dxa"/>
          <w:left w:w="28" w:type="dxa"/>
          <w:bottom w:w="28" w:type="dxa"/>
          <w:right w:w="28" w:type="dxa"/>
        </w:tblCellMar>
      </w:tblPr>
      <w:tblGrid>
        <w:gridCol w:w="1493"/>
        <w:gridCol w:w="1312"/>
        <w:gridCol w:w="1320"/>
        <w:gridCol w:w="257"/>
        <w:gridCol w:w="1006"/>
        <w:gridCol w:w="132"/>
        <w:gridCol w:w="109"/>
        <w:gridCol w:w="109"/>
        <w:gridCol w:w="109"/>
        <w:gridCol w:w="305"/>
        <w:gridCol w:w="1197"/>
        <w:gridCol w:w="223"/>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development</w:t>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Village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Grapevine</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Commerce Center</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Commercial</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Residential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Tejon Ranch Commerce Center</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development</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394,780 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377,905 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improvements - held for lease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Commerce Center</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improvements - held for lease, net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LONG-TERM WATER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water assets consist of water and water purchase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secured SWP water purchase contracts from the Tulare Lake Basin Water Storage District and the Dudley-Ridge Water District, totaling 3,444 acre-feet of SWP water annually, subject to SWP allocations. These contracts extend through 2085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term of the water purchase agreement with Nickel runs to 2044 and includes a Company option to extend the contract for an additional 35 years. The purchase cost of water in 2025 is $986 per acre-foot. The purchase cost is subject to annual cost increases based on the greater of the Consumer Price Index or 3%. </w:t>
      </w:r>
    </w:p>
    <w:p>
      <w:pPr>
        <w:pStyle w:val="TextBody"/>
        <w:bidi w:val="0"/>
        <w:spacing w:lineRule="auto" w:line="26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revenues and cost of sales were as follows for the three months ended ($ in thousands):</w:t>
      </w:r>
    </w:p>
    <w:tbl>
      <w:tblPr>
        <w:tblW w:w="4479" w:type="dxa"/>
        <w:jc w:val="center"/>
        <w:tblInd w:w="0" w:type="dxa"/>
        <w:tblLayout w:type="fixed"/>
        <w:tblCellMar>
          <w:top w:w="28" w:type="dxa"/>
          <w:left w:w="28" w:type="dxa"/>
          <w:bottom w:w="28" w:type="dxa"/>
          <w:right w:w="28" w:type="dxa"/>
        </w:tblCellMar>
      </w:tblPr>
      <w:tblGrid>
        <w:gridCol w:w="477"/>
        <w:gridCol w:w="420"/>
        <w:gridCol w:w="422"/>
        <w:gridCol w:w="314"/>
        <w:gridCol w:w="918"/>
        <w:gridCol w:w="162"/>
        <w:gridCol w:w="109"/>
        <w:gridCol w:w="109"/>
        <w:gridCol w:w="109"/>
        <w:gridCol w:w="309"/>
        <w:gridCol w:w="904"/>
        <w:gridCol w:w="22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Acre-Feet Sold</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assigned to water assets held for future use were as follows ($ in thousands):</w:t>
      </w:r>
    </w:p>
    <w:tbl>
      <w:tblPr>
        <w:tblW w:w="7015" w:type="dxa"/>
        <w:jc w:val="center"/>
        <w:tblInd w:w="0" w:type="dxa"/>
        <w:tblLayout w:type="fixed"/>
        <w:tblCellMar>
          <w:top w:w="28" w:type="dxa"/>
          <w:left w:w="28" w:type="dxa"/>
          <w:bottom w:w="28" w:type="dxa"/>
          <w:right w:w="28" w:type="dxa"/>
        </w:tblCellMar>
      </w:tblPr>
      <w:tblGrid>
        <w:gridCol w:w="1292"/>
        <w:gridCol w:w="1135"/>
        <w:gridCol w:w="1143"/>
        <w:gridCol w:w="282"/>
        <w:gridCol w:w="966"/>
        <w:gridCol w:w="146"/>
        <w:gridCol w:w="109"/>
        <w:gridCol w:w="109"/>
        <w:gridCol w:w="109"/>
        <w:gridCol w:w="335"/>
        <w:gridCol w:w="1145"/>
        <w:gridCol w:w="24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Banked water and water for future delivery</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Transferable water</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held for future use at cost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Intangible Water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carrying amounts of its purchased water contracts were as follows ($ in thousands):</w:t>
      </w:r>
    </w:p>
    <w:tbl>
      <w:tblPr>
        <w:tblW w:w="10205" w:type="dxa"/>
        <w:jc w:val="center"/>
        <w:tblInd w:w="0" w:type="dxa"/>
        <w:tblLayout w:type="fixed"/>
        <w:tblCellMar>
          <w:top w:w="28" w:type="dxa"/>
          <w:left w:w="28" w:type="dxa"/>
          <w:bottom w:w="28" w:type="dxa"/>
          <w:right w:w="28" w:type="dxa"/>
        </w:tblCellMar>
      </w:tblPr>
      <w:tblGrid>
        <w:gridCol w:w="1115"/>
        <w:gridCol w:w="979"/>
        <w:gridCol w:w="984"/>
        <w:gridCol w:w="211"/>
        <w:gridCol w:w="721"/>
        <w:gridCol w:w="109"/>
        <w:gridCol w:w="109"/>
        <w:gridCol w:w="109"/>
        <w:gridCol w:w="109"/>
        <w:gridCol w:w="399"/>
        <w:gridCol w:w="1399"/>
        <w:gridCol w:w="209"/>
        <w:gridCol w:w="109"/>
        <w:gridCol w:w="109"/>
        <w:gridCol w:w="109"/>
        <w:gridCol w:w="211"/>
        <w:gridCol w:w="721"/>
        <w:gridCol w:w="109"/>
        <w:gridCol w:w="109"/>
        <w:gridCol w:w="109"/>
        <w:gridCol w:w="109"/>
        <w:gridCol w:w="392"/>
        <w:gridCol w:w="1371"/>
        <w:gridCol w:w="29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Dudley-Ridge water purchase contract </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Nickel water purchase contract </w:t>
            </w:r>
            <w:r>
              <w:rPr>
                <w:rFonts w:ascii="Times New Roman;sans-serif" w:hAnsi="Times New Roman;sans-serif"/>
                <w:b w:val="false"/>
                <w:color w:val="000000"/>
                <w:sz w:val="13"/>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Tulare Lake Basin water purchase contract </w:t>
            </w:r>
            <w:r>
              <w:rPr>
                <w:rFonts w:ascii="Times New Roman;sans-serif" w:hAnsi="Times New Roman;sans-serif"/>
                <w:b w:val="false"/>
                <w:color w:val="000000"/>
                <w:sz w:val="13"/>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cost of purchased water contracts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water held for future 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investments in water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w:t>
            </w:r>
            <w:r>
              <w:rPr>
                <w:rFonts w:ascii="Times New Roman;sans-serif" w:hAnsi="Times New Roman;sans-serif"/>
                <w:b w:val="false"/>
                <w:color w:val="000000"/>
                <w:sz w:val="16"/>
              </w:rPr>
              <w:t>All water purchase contracts were acquired from third parties.</w:t>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tbl>
      <w:tblPr>
        <w:tblW w:w="8470" w:type="dxa"/>
        <w:jc w:val="center"/>
        <w:tblInd w:w="0" w:type="dxa"/>
        <w:tblLayout w:type="fixed"/>
        <w:tblCellMar>
          <w:top w:w="28" w:type="dxa"/>
          <w:left w:w="28" w:type="dxa"/>
          <w:bottom w:w="28" w:type="dxa"/>
          <w:right w:w="28" w:type="dxa"/>
        </w:tblCellMar>
      </w:tblPr>
      <w:tblGrid>
        <w:gridCol w:w="1821"/>
        <w:gridCol w:w="1596"/>
        <w:gridCol w:w="1608"/>
        <w:gridCol w:w="464"/>
        <w:gridCol w:w="464"/>
        <w:gridCol w:w="466"/>
        <w:gridCol w:w="109"/>
        <w:gridCol w:w="109"/>
        <w:gridCol w:w="109"/>
        <w:gridCol w:w="504"/>
        <w:gridCol w:w="504"/>
        <w:gridCol w:w="716"/>
      </w:tblGrid>
      <w:tr>
        <w:trPr/>
        <w:tc>
          <w:tcPr>
            <w:tcW w:w="182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acre-feet, unaudited)</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held for future use</w:t>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TCWD - Banked water owned by the Company</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60,936 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60,936 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water bank</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Transferable water</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Recharged water</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held for future use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129,526 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122,966 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 contracts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Contracts (Dudley-Ridge, Nickel and Tulare)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WRMWSD - Contracts with the Company</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TCWD - Contracts with the Company</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purchased water contracts</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31,433 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31,433 </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held for future use and purchased water contracts</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160,959 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154,399 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ACCRUED LIABILITIES AND OTHER CURRENT LIABILITIES</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current liabilities consisted of the following:</w:t>
      </w:r>
    </w:p>
    <w:tbl>
      <w:tblPr>
        <w:tblW w:w="7104" w:type="dxa"/>
        <w:jc w:val="center"/>
        <w:tblInd w:w="0" w:type="dxa"/>
        <w:tblLayout w:type="fixed"/>
        <w:tblCellMar>
          <w:top w:w="28" w:type="dxa"/>
          <w:left w:w="28" w:type="dxa"/>
          <w:bottom w:w="28" w:type="dxa"/>
          <w:right w:w="28" w:type="dxa"/>
        </w:tblCellMar>
      </w:tblPr>
      <w:tblGrid>
        <w:gridCol w:w="1246"/>
        <w:gridCol w:w="1094"/>
        <w:gridCol w:w="1104"/>
        <w:gridCol w:w="334"/>
        <w:gridCol w:w="976"/>
        <w:gridCol w:w="172"/>
        <w:gridCol w:w="115"/>
        <w:gridCol w:w="115"/>
        <w:gridCol w:w="115"/>
        <w:gridCol w:w="394"/>
        <w:gridCol w:w="1152"/>
        <w:gridCol w:w="287"/>
      </w:tblGrid>
      <w:tr>
        <w:trPr/>
        <w:tc>
          <w:tcPr>
            <w:tcW w:w="12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paid personal leave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tax payable</w:t>
            </w:r>
            <w:r>
              <w:rPr>
                <w:rFonts w:ascii="Times New Roman;sans-serif" w:hAnsi="Times New Roman;sans-serif"/>
                <w:b w:val="false"/>
                <w:color w:val="000000"/>
                <w:sz w:val="13"/>
              </w:rPr>
              <w:t>1</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stock compensation expense</w:t>
            </w:r>
            <w:r>
              <w:rPr>
                <w:rFonts w:ascii="Times New Roman;sans-serif" w:hAnsi="Times New Roman;sans-serif"/>
                <w:b w:val="false"/>
                <w:color w:val="000000"/>
                <w:sz w:val="13"/>
              </w:rPr>
              <w:t>2</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California property taxes are accrued throughout the year and are paid every April and December.</w:t>
            </w:r>
          </w:p>
        </w:tc>
      </w:tr>
      <w:tr>
        <w:trPr/>
        <w:tc>
          <w:tcPr>
            <w:tcW w:w="7104"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Cash settled awards classified as liabilities.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LINE OF CREDIT AND LONG-TERM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consisted of the following: </w:t>
      </w:r>
    </w:p>
    <w:tbl>
      <w:tblPr>
        <w:tblW w:w="10205" w:type="dxa"/>
        <w:jc w:val="center"/>
        <w:tblInd w:w="0" w:type="dxa"/>
        <w:tblLayout w:type="fixed"/>
        <w:tblCellMar>
          <w:top w:w="28" w:type="dxa"/>
          <w:left w:w="28" w:type="dxa"/>
          <w:bottom w:w="28" w:type="dxa"/>
          <w:right w:w="28" w:type="dxa"/>
        </w:tblCellMar>
      </w:tblPr>
      <w:tblGrid>
        <w:gridCol w:w="1426"/>
        <w:gridCol w:w="1253"/>
        <w:gridCol w:w="1219"/>
        <w:gridCol w:w="519"/>
        <w:gridCol w:w="1778"/>
        <w:gridCol w:w="268"/>
        <w:gridCol w:w="207"/>
        <w:gridCol w:w="207"/>
        <w:gridCol w:w="207"/>
        <w:gridCol w:w="604"/>
        <w:gridCol w:w="2069"/>
        <w:gridCol w:w="448"/>
      </w:tblGrid>
      <w:tr>
        <w:trPr/>
        <w:tc>
          <w:tcPr>
            <w:tcW w:w="142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line-of-credit</w:t>
            </w:r>
            <w:r>
              <w:rPr>
                <w:rFonts w:ascii="Times New Roman;sans-serif" w:hAnsi="Times New Roman;sans-serif"/>
                <w:b w:val="false"/>
                <w:color w:val="000000"/>
                <w:sz w:val="13"/>
              </w:rPr>
              <w:t>1</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Deferred loan costs for the revolving line-of-credit as of March 31, 2025 and December 31, 2024 were recorded under the caption Other Assets on the Consolidated Balance Sheets.</w:t>
            </w:r>
          </w:p>
        </w:tc>
      </w:tr>
    </w:tbl>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17, 2023, the Company entered into a Credit Agreement with AgWest Farm Credit, PCA and certain other lenders (the Revolving Credit Facility). The Revolving Credit Facility provides TRC a RCL in the amount of $160,000,000. The RCL requires interest only payments and has a maturity date of January 1, 2029. As of March 31, 2025, the outstanding balance under the RCL was $74,442,000, and the interest rate was one-month term SOFR plus a margin of 2.25% for an effective rate of 6.60% before patronage, which for 2024 was 125 basis points, or bps, from AgWest and 100 bps from other participant lenders, for a net all-in rate of 5.44%.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8.     OTHER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w:t>
      </w:r>
    </w:p>
    <w:tbl>
      <w:tblPr>
        <w:tblW w:w="8650" w:type="dxa"/>
        <w:jc w:val="center"/>
        <w:tblInd w:w="0" w:type="dxa"/>
        <w:tblLayout w:type="fixed"/>
        <w:tblCellMar>
          <w:top w:w="28" w:type="dxa"/>
          <w:left w:w="28" w:type="dxa"/>
          <w:bottom w:w="28" w:type="dxa"/>
          <w:right w:w="28" w:type="dxa"/>
        </w:tblCellMar>
      </w:tblPr>
      <w:tblGrid>
        <w:gridCol w:w="1882"/>
        <w:gridCol w:w="1656"/>
        <w:gridCol w:w="1667"/>
        <w:gridCol w:w="282"/>
        <w:gridCol w:w="966"/>
        <w:gridCol w:w="146"/>
        <w:gridCol w:w="109"/>
        <w:gridCol w:w="109"/>
        <w:gridCol w:w="109"/>
        <w:gridCol w:w="335"/>
        <w:gridCol w:w="1145"/>
        <w:gridCol w:w="244"/>
      </w:tblGrid>
      <w:tr>
        <w:trPr/>
        <w:tc>
          <w:tcPr>
            <w:tcW w:w="188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executive retirement plan liability (See Note 12)</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joint venture distributions and other (See Note 14)</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445"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9.     STOCK COMPENSATION - RESTRICTED STOCK AND PERFORMANCE SHARE GRANTS</w:t>
      </w:r>
    </w:p>
    <w:p>
      <w:pPr>
        <w:pStyle w:val="TextBody"/>
        <w:bidi w:val="0"/>
        <w:spacing w:lineRule="auto" w:line="288" w:before="100" w:after="283"/>
        <w:jc w:val="left"/>
        <w:rPr/>
      </w:pPr>
      <w:r>
        <w:rPr>
          <w:rFonts w:ascii="Times New Roman;sans-serif" w:hAnsi="Times New Roman;sans-serif"/>
          <w:b w:val="false"/>
          <w:color w:val="000000"/>
          <w:sz w:val="20"/>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sans-serif" w:hAnsi="Times New Roman;sans-serif"/>
          <w:b w:val="false"/>
          <w:i/>
          <w:color w:val="000000"/>
          <w:sz w:val="20"/>
        </w:rPr>
        <w:t xml:space="preserve">Monte Carlo </w:t>
      </w:r>
      <w:r>
        <w:rPr>
          <w:rFonts w:ascii="Times New Roman;sans-serif" w:hAnsi="Times New Roman;sans-serif"/>
          <w:b w:val="false"/>
          <w:color w:val="000000"/>
          <w:sz w:val="20"/>
        </w:rPr>
        <w:t xml:space="preserve">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 </w:t>
      </w:r>
    </w:p>
    <w:p>
      <w:pPr>
        <w:pStyle w:val="TextBody"/>
        <w:bidi w:val="0"/>
        <w:spacing w:before="10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Performance Condition Grants outstanding as of March 31, 2025:</w:t>
      </w:r>
    </w:p>
    <w:tbl>
      <w:tblPr>
        <w:tblW w:w="3626" w:type="dxa"/>
        <w:jc w:val="center"/>
        <w:tblInd w:w="0" w:type="dxa"/>
        <w:tblLayout w:type="fixed"/>
        <w:tblCellMar>
          <w:top w:w="28" w:type="dxa"/>
          <w:left w:w="28" w:type="dxa"/>
          <w:bottom w:w="28" w:type="dxa"/>
          <w:right w:w="28" w:type="dxa"/>
        </w:tblCellMar>
      </w:tblPr>
      <w:tblGrid>
        <w:gridCol w:w="728"/>
        <w:gridCol w:w="641"/>
        <w:gridCol w:w="641"/>
        <w:gridCol w:w="636"/>
        <w:gridCol w:w="413"/>
        <w:gridCol w:w="413"/>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Condition Grants </w:t>
            </w:r>
          </w:p>
        </w:tc>
        <w:tc>
          <w:tcPr>
            <w:tcW w:w="980" w:type="dxa"/>
            <w:gridSpan w:val="3"/>
            <w:tcBorders/>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performance</w:t>
            </w:r>
          </w:p>
        </w:tc>
        <w:tc>
          <w:tcPr>
            <w:tcW w:w="636"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performance</w:t>
            </w:r>
          </w:p>
        </w:tc>
        <w:tc>
          <w:tcPr>
            <w:tcW w:w="63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stock grant activity, both time and performance unit grants, assuming target achievement for outstanding performance grants for the three months ended March 31, 2025:</w:t>
      </w:r>
    </w:p>
    <w:tbl>
      <w:tblPr>
        <w:tblW w:w="7732" w:type="dxa"/>
        <w:jc w:val="center"/>
        <w:tblInd w:w="0" w:type="dxa"/>
        <w:tblLayout w:type="fixed"/>
        <w:tblCellMar>
          <w:top w:w="28" w:type="dxa"/>
          <w:left w:w="28" w:type="dxa"/>
          <w:bottom w:w="28" w:type="dxa"/>
          <w:right w:w="28" w:type="dxa"/>
        </w:tblCellMar>
      </w:tblPr>
      <w:tblGrid>
        <w:gridCol w:w="2202"/>
        <w:gridCol w:w="1934"/>
        <w:gridCol w:w="1939"/>
        <w:gridCol w:w="464"/>
        <w:gridCol w:w="464"/>
        <w:gridCol w:w="466"/>
        <w:gridCol w:w="109"/>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outstanding beginning of period at target achievement</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312,564 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stock grants/additional shares due to achievement in excess of target</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15,418 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grants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Expired/forfeited grants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outstanding end of period at target achievement</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292,004 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assumptions used to determine the fair value for the Company’s outstanding market-based Performance Condition Grants as of March 31, 2025:</w:t>
      </w:r>
    </w:p>
    <w:tbl>
      <w:tblPr>
        <w:tblW w:w="7487"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354"/>
        <w:gridCol w:w="354"/>
        <w:gridCol w:w="356"/>
        <w:gridCol w:w="109"/>
        <w:gridCol w:w="109"/>
        <w:gridCol w:w="109"/>
        <w:gridCol w:w="354"/>
        <w:gridCol w:w="354"/>
        <w:gridCol w:w="356"/>
        <w:gridCol w:w="109"/>
        <w:gridCol w:w="109"/>
        <w:gridCol w:w="109"/>
        <w:gridCol w:w="324"/>
        <w:gridCol w:w="324"/>
        <w:gridCol w:w="461"/>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for share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08/21/2023</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share price to achieve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25.55%</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Simulated Monte Carlo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$17.88</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tbl>
      <w:tblPr>
        <w:tblW w:w="7814"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354"/>
        <w:gridCol w:w="354"/>
        <w:gridCol w:w="356"/>
        <w:gridCol w:w="109"/>
        <w:gridCol w:w="109"/>
        <w:gridCol w:w="109"/>
        <w:gridCol w:w="354"/>
        <w:gridCol w:w="354"/>
        <w:gridCol w:w="356"/>
        <w:gridCol w:w="109"/>
        <w:gridCol w:w="109"/>
        <w:gridCol w:w="109"/>
        <w:gridCol w:w="109"/>
        <w:gridCol w:w="109"/>
        <w:gridCol w:w="354"/>
        <w:gridCol w:w="354"/>
        <w:gridCol w:w="356"/>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for share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03/13/2024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03/22/2027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12/10/2027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price at target achievement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Simulated Monte Carlo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unamortized cost associated with unvested stock grants and the weighted average period over which it is expected to be recognized as of March 31, 2025 were $1,879,000 and 15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2023 Stock Incentive Plan, each non-employee director, during the years presented, received all or a portion of his or her annual compensation in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compensation costs for the Company's 2023 Stock Incentive Plan, 1998 Stock Incentive Plan, and the prior Non-Employee Director Stock Incentive Plan for the following periods:</w:t>
      </w:r>
    </w:p>
    <w:tbl>
      <w:tblPr>
        <w:tblW w:w="5397" w:type="dxa"/>
        <w:jc w:val="center"/>
        <w:tblInd w:w="0" w:type="dxa"/>
        <w:tblLayout w:type="fixed"/>
        <w:tblCellMar>
          <w:top w:w="28" w:type="dxa"/>
          <w:left w:w="28" w:type="dxa"/>
          <w:bottom w:w="28" w:type="dxa"/>
          <w:right w:w="28" w:type="dxa"/>
        </w:tblCellMar>
      </w:tblPr>
      <w:tblGrid>
        <w:gridCol w:w="965"/>
        <w:gridCol w:w="849"/>
        <w:gridCol w:w="855"/>
        <w:gridCol w:w="296"/>
        <w:gridCol w:w="654"/>
        <w:gridCol w:w="153"/>
        <w:gridCol w:w="153"/>
        <w:gridCol w:w="153"/>
        <w:gridCol w:w="153"/>
        <w:gridCol w:w="296"/>
        <w:gridCol w:w="654"/>
        <w:gridCol w:w="216"/>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Expensed</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Capitalized</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costs</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as of March 31, 2025 has been calculated by applying an estimate of the annual effective tax rate for the full year to “ordinary” income or loss (pre-tax income or loss excluding unusual or infrequently occurring discrete items). For the three months ended March 31, 2025, the Company’s income tax benefit was $1,272,000 compared to income tax benefit of $942,000 for the three months ended March 31, 2024. Effective tax rates were 46% and 51% for the three months ended March 31, 2025 and 2024, respectively. As of March 31, 2025, the Company had income tax receivables of $2,520,000. The Company classifies interest and penalties incurred on tax payments as income tax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Company’s effective tax rate was above statutory tax rates as a result of permanent differences related to Internal Revenue Code Section 162(m) limitations. Internal Revenue Code Section 162(m) compensation deduction limitations occurred as a result of changes in tax law arising from the 2017 Tax Cuts and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Water Contracts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secured water contracts that are encumbered by the Company's land. These water contracts require minimum annual payments, for which $9,121,000 was paid during the three months ended March 31, 2025. These water contract payments consist of SWP contracts with WRMWSD, TCWD, Tulare Lake Basin, Dudley-Ridge, and the Nickel water contract. The SWP contracts run through 2085, and the Nickel water contract runs through 2044, with an option to extend an additional 35 years. The Company's contractual obligation for future water payments was $1,473,304,000 as of March 31, 2025.</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March 31, 2025, the Company believes the net savings resulting from exiting the contract during this future time period will more than offset the incentive payment costs.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Community Facilities Districts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March 31, 2025, there were no additional improvement funds remaining from the West CFD bonds. On July 25, 2024, TRPFFA sold bonds that provide approximately $25,000,000 of improvement funds for the reimbursement of public infrastructure costs at TRCC-East. As of March 31, 2025, there are $19,849,000 of additional improvement funds remaining within the East CFD bonds for reimbursement of public infrastructure costs during future years. During fiscal year 2025, the Company expects to pay approximately $3,642,000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March 31, 2025.</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Centennial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 The hearing on the Motion for Reconsideration originally scheduled for August 13, 2021 was rescheduled to December 1, 2021 and further rescheduled as noted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its case based on the Court’s conclusions in the Climate Resolve Action, and to evaluate the potential to settle or otherwise address CBD’s objections to the Centennial project. To that end, the Company met and conferred twice on January 4, 2022 and January 20, 2022. On January 14, 2022, the Court heard CBD/CNPS' Motion for Reconsideration and issued its decision granting CBD/CNPS prevailing party status based on the Court’s conclusions in the Climate Resolve Action.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The Court of Appeal held a hearing on April 3, 2025 for this matter, and it is anticipated that the Court of Appeal should deliver a written decision on or before July 2, 2025. During the appeal process the Superior Court’s order of the rescission of project approvals have been placed on hold.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Company’s options to reinstate the project approvals remain pending, the monetary value of any adverse decision, if any, cannot be estimated at this time.</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Proceedings Incidental to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other proceedings incidental to its business, including actions relating to employee claims, real estate disputes, contractor disputes and grievance hearings before labor regulatory agencies.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RETIREMENT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does not expect to make contributions to the Benefit Plan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pPr>
      <w:r>
        <w:rPr>
          <w:rFonts w:ascii="Times New Roman;sans-serif" w:hAnsi="Times New Roman;sans-serif"/>
          <w:b w:val="false"/>
          <w:color w:val="000000"/>
          <w:sz w:val="20"/>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both March 31, 2025 and December 31, 2024, the investment mixes were approximately a</w:t>
      </w:r>
      <w:r>
        <w:rPr>
          <w:rFonts w:ascii="Times New Roman;sans-serif" w:hAnsi="Times New Roman;sans-serif"/>
          <w:b w:val="false"/>
          <w:color w:val="000000"/>
          <w:sz w:val="20"/>
          <w:shd w:fill="FFFFFF" w:val="clear"/>
        </w:rPr>
        <w:t xml:space="preserve">t </w:t>
      </w:r>
      <w:r>
        <w:rPr>
          <w:rFonts w:ascii="Times New Roman;sans-serif" w:hAnsi="Times New Roman;sans-serif"/>
          <w:b w:val="false"/>
          <w:color w:val="000000"/>
          <w:sz w:val="20"/>
        </w:rPr>
        <w:t xml:space="preserve">99% debt and 1% </w:t>
      </w:r>
      <w:r>
        <w:rPr>
          <w:rFonts w:ascii="Times New Roman;sans-serif" w:hAnsi="Times New Roman;sans-serif"/>
          <w:b w:val="false"/>
          <w:color w:val="000000"/>
          <w:sz w:val="20"/>
          <w:shd w:fill="FFFFFF" w:val="clear"/>
        </w:rPr>
        <w:t>money market funds</w:t>
      </w:r>
      <w:r>
        <w:rPr>
          <w:rFonts w:ascii="Times New Roman;sans-serif" w:hAnsi="Times New Roman;sans-serif"/>
          <w:b w:val="false"/>
          <w:color w:val="000000"/>
          <w:sz w:val="20"/>
        </w:rPr>
        <w:t xml:space="preserve">. The weighted-average discount rate used in determining the periodic pension cost is 5.60% in 2025 and 4.85% in 2024. The expected long-term rate of return on plan assets is 5.00% for both fiscal 2025 and 2024. The long-term rate of return on Benefit Plan assets is based on the historical returns within the plan and expectations for future returns.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and retirement expense for the Benefit Plan was as follows:</w:t>
      </w:r>
    </w:p>
    <w:tbl>
      <w:tblPr>
        <w:tblW w:w="5367" w:type="dxa"/>
        <w:jc w:val="center"/>
        <w:tblInd w:w="0" w:type="dxa"/>
        <w:tblLayout w:type="fixed"/>
        <w:tblCellMar>
          <w:top w:w="28" w:type="dxa"/>
          <w:left w:w="28" w:type="dxa"/>
          <w:bottom w:w="28" w:type="dxa"/>
          <w:right w:w="28" w:type="dxa"/>
        </w:tblCellMar>
      </w:tblPr>
      <w:tblGrid>
        <w:gridCol w:w="955"/>
        <w:gridCol w:w="839"/>
        <w:gridCol w:w="845"/>
        <w:gridCol w:w="275"/>
        <w:gridCol w:w="705"/>
        <w:gridCol w:w="142"/>
        <w:gridCol w:w="142"/>
        <w:gridCol w:w="142"/>
        <w:gridCol w:w="142"/>
        <w:gridCol w:w="275"/>
        <w:gridCol w:w="705"/>
        <w:gridCol w:w="200"/>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(Cost)/earnings components:</w:t>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and deferral</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pension cost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pension and retirement expense for the SERP was as follows: </w:t>
      </w:r>
    </w:p>
    <w:tbl>
      <w:tblPr>
        <w:tblW w:w="5369" w:type="dxa"/>
        <w:jc w:val="center"/>
        <w:tblInd w:w="0" w:type="dxa"/>
        <w:tblLayout w:type="fixed"/>
        <w:tblCellMar>
          <w:top w:w="28" w:type="dxa"/>
          <w:left w:w="28" w:type="dxa"/>
          <w:bottom w:w="28" w:type="dxa"/>
          <w:right w:w="28" w:type="dxa"/>
        </w:tblCellMar>
      </w:tblPr>
      <w:tblGrid>
        <w:gridCol w:w="955"/>
        <w:gridCol w:w="840"/>
        <w:gridCol w:w="845"/>
        <w:gridCol w:w="305"/>
        <w:gridCol w:w="632"/>
        <w:gridCol w:w="158"/>
        <w:gridCol w:w="158"/>
        <w:gridCol w:w="158"/>
        <w:gridCol w:w="158"/>
        <w:gridCol w:w="305"/>
        <w:gridCol w:w="632"/>
        <w:gridCol w:w="223"/>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components:</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and other</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pension cost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13.    REPORTING SEGMENTS AND RELATED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five reporting segments: commercial/industrial real estate development, resort/residential real estate development, mineral resources, farming, and ranch operations. The financial results of these segments are utilized by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 or CODM, who is our Chief Executive Officer, for evaluating segment performance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allocating resources. The CODM uses GAAP operating results predominantly in the annual budgeting and forecasting process.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CODM considers budget-to-actual variances on a monthly basis for GAAP operating results when making decisions about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allocating capital and personnel to the segments.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pertaining to operating results of the Company's reporting segments are as follows for each of the period end:</w:t>
      </w:r>
    </w:p>
    <w:tbl>
      <w:tblPr>
        <w:tblW w:w="10205" w:type="dxa"/>
        <w:jc w:val="left"/>
        <w:tblInd w:w="0" w:type="dxa"/>
        <w:tblLayout w:type="fixed"/>
        <w:tblCellMar>
          <w:top w:w="28" w:type="dxa"/>
          <w:left w:w="28" w:type="dxa"/>
          <w:bottom w:w="28" w:type="dxa"/>
          <w:right w:w="28" w:type="dxa"/>
        </w:tblCellMar>
      </w:tblPr>
      <w:tblGrid>
        <w:gridCol w:w="1777"/>
        <w:gridCol w:w="1542"/>
        <w:gridCol w:w="1495"/>
        <w:gridCol w:w="185"/>
        <w:gridCol w:w="185"/>
        <w:gridCol w:w="185"/>
        <w:gridCol w:w="396"/>
        <w:gridCol w:w="1269"/>
        <w:gridCol w:w="203"/>
        <w:gridCol w:w="203"/>
        <w:gridCol w:w="203"/>
        <w:gridCol w:w="203"/>
        <w:gridCol w:w="396"/>
        <w:gridCol w:w="1269"/>
        <w:gridCol w:w="203"/>
        <w:gridCol w:w="109"/>
        <w:gridCol w:w="109"/>
        <w:gridCol w:w="109"/>
        <w:gridCol w:w="164"/>
      </w:tblGrid>
      <w:tr>
        <w:trPr/>
        <w:tc>
          <w:tcPr>
            <w:tcW w:w="177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Operating Results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resort/residential</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operating results </w:t>
            </w:r>
            <w:r>
              <w:rPr>
                <w:rFonts w:ascii="Times New Roman;sans-serif" w:hAnsi="Times New Roman;sans-serif"/>
                <w:b w:val="false"/>
                <w:color w:val="000000"/>
                <w:sz w:val="13"/>
              </w:rPr>
              <w:t>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net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before income taxes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Segment operating results are comprised of revenues and equity in earnings of unconsolidated  joint ventures, less segment expenses, excluding investment income, other income (loss), corporate expenses, and income taxes.</w:t>
            </w:r>
          </w:p>
        </w:tc>
        <w:tc>
          <w:tcPr>
            <w:tcW w:w="49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 Commercial/Industrial Development</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Commercial/Industrial real estate development segment revenues consist of leases of land and/or building space to tenants at the Company's commercial retail and industrial developments, base and percentage rents from the PEF power plant lease, communication tower rents, land sales, and payments from easement leases. Refer to Note 14 (Investment in Unconsolidated and Consolidated Joint Ventures) for discussion of unconsolidated joint ventures.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revenues, expenses and operating income from this segment for the periods ended:</w:t>
      </w:r>
    </w:p>
    <w:tbl>
      <w:tblPr>
        <w:tblW w:w="10205" w:type="dxa"/>
        <w:jc w:val="left"/>
        <w:tblInd w:w="0" w:type="dxa"/>
        <w:tblLayout w:type="fixed"/>
        <w:tblCellMar>
          <w:top w:w="28" w:type="dxa"/>
          <w:left w:w="28" w:type="dxa"/>
          <w:bottom w:w="28" w:type="dxa"/>
          <w:right w:w="28" w:type="dxa"/>
        </w:tblCellMar>
      </w:tblPr>
      <w:tblGrid>
        <w:gridCol w:w="2560"/>
        <w:gridCol w:w="2242"/>
        <w:gridCol w:w="2254"/>
        <w:gridCol w:w="255"/>
        <w:gridCol w:w="747"/>
        <w:gridCol w:w="132"/>
        <w:gridCol w:w="132"/>
        <w:gridCol w:w="132"/>
        <w:gridCol w:w="132"/>
        <w:gridCol w:w="255"/>
        <w:gridCol w:w="747"/>
        <w:gridCol w:w="132"/>
        <w:gridCol w:w="109"/>
        <w:gridCol w:w="109"/>
        <w:gridCol w:w="109"/>
        <w:gridCol w:w="158"/>
      </w:tblGrid>
      <w:tr>
        <w:trPr/>
        <w:tc>
          <w:tcPr>
            <w:tcW w:w="256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joint ventures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revenues and equity in earnings of unconsolidated joint ventures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General and administrative expenses </w:t>
            </w:r>
            <w:r>
              <w:rPr>
                <w:rFonts w:ascii="Times New Roman;sans-serif" w:hAnsi="Times New Roman;sans-serif"/>
                <w:b w:val="false"/>
                <w:color w:val="000000"/>
                <w:sz w:val="13"/>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expenses </w:t>
            </w:r>
            <w:r>
              <w:rPr>
                <w:rFonts w:ascii="Times New Roman;sans-serif" w:hAnsi="Times New Roman;sans-serif"/>
                <w:b w:val="false"/>
                <w:color w:val="000000"/>
                <w:sz w:val="13"/>
              </w:rPr>
              <w:t>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expenses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results from commercial/industrial and unconsolidated joint ventures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General and administrative expenses included compensation expense and overhead.</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main components of the other expenses included tenant recoverable expenses and depreciation expenses.</w:t>
            </w:r>
          </w:p>
        </w:tc>
        <w:tc>
          <w:tcPr>
            <w:tcW w:w="485" w:type="dxa"/>
            <w:gridSpan w:val="4"/>
            <w:tcBorders/>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 Resort/Residential Development</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$386,000 and $1,561,000 for the three months ended March 31, 2025 and 2024, respectively. The expenses consisted of general and administrative expenses of $352,000, professional services of $21,000, and other expenses of $13,000 for the three months ended March 31, 2025. The main components of the other expenses included travel and entertainment expenses, and depreciation expenses.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Mineral Resources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tbl>
      <w:tblPr>
        <w:tblW w:w="8861" w:type="dxa"/>
        <w:jc w:val="left"/>
        <w:tblInd w:w="0" w:type="dxa"/>
        <w:tblLayout w:type="fixed"/>
        <w:tblCellMar>
          <w:top w:w="28" w:type="dxa"/>
          <w:left w:w="28" w:type="dxa"/>
          <w:bottom w:w="28" w:type="dxa"/>
          <w:right w:w="28" w:type="dxa"/>
        </w:tblCellMar>
      </w:tblPr>
      <w:tblGrid>
        <w:gridCol w:w="1701"/>
        <w:gridCol w:w="1493"/>
        <w:gridCol w:w="1504"/>
        <w:gridCol w:w="353"/>
        <w:gridCol w:w="1033"/>
        <w:gridCol w:w="182"/>
        <w:gridCol w:w="182"/>
        <w:gridCol w:w="182"/>
        <w:gridCol w:w="182"/>
        <w:gridCol w:w="353"/>
        <w:gridCol w:w="1033"/>
        <w:gridCol w:w="182"/>
        <w:gridCol w:w="109"/>
        <w:gridCol w:w="109"/>
        <w:gridCol w:w="109"/>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 revenues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of water</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1</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 expenses</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results from mineral resources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8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main components of the other expenses included general and administrative expenses and depreciation expenses.</w:t>
            </w:r>
          </w:p>
        </w:tc>
        <w:tc>
          <w:tcPr>
            <w:tcW w:w="481" w:type="dxa"/>
            <w:gridSpan w:val="4"/>
            <w:tcBorders/>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Farming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Farming segment revenues include the sale of almonds, pistachios, wine grapes, and hay. The following table summarizes revenues, expenses and operating results from this segment for the periods ended:</w:t>
      </w:r>
    </w:p>
    <w:tbl>
      <w:tblPr>
        <w:tblW w:w="8829" w:type="dxa"/>
        <w:jc w:val="left"/>
        <w:tblInd w:w="0" w:type="dxa"/>
        <w:tblLayout w:type="fixed"/>
        <w:tblCellMar>
          <w:top w:w="28" w:type="dxa"/>
          <w:left w:w="28" w:type="dxa"/>
          <w:bottom w:w="28" w:type="dxa"/>
          <w:right w:w="28" w:type="dxa"/>
        </w:tblCellMar>
      </w:tblPr>
      <w:tblGrid>
        <w:gridCol w:w="1485"/>
        <w:gridCol w:w="1306"/>
        <w:gridCol w:w="1316"/>
        <w:gridCol w:w="394"/>
        <w:gridCol w:w="1151"/>
        <w:gridCol w:w="202"/>
        <w:gridCol w:w="202"/>
        <w:gridCol w:w="202"/>
        <w:gridCol w:w="202"/>
        <w:gridCol w:w="394"/>
        <w:gridCol w:w="1292"/>
        <w:gridCol w:w="202"/>
        <w:gridCol w:w="109"/>
        <w:gridCol w:w="109"/>
        <w:gridCol w:w="109"/>
        <w:gridCol w:w="154"/>
      </w:tblGrid>
      <w:tr>
        <w:trPr/>
        <w:tc>
          <w:tcPr>
            <w:tcW w:w="148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 revenues</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holding costs</w:t>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1</w:t>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 expenses</w:t>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from farming</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48"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main components of the other expenses included general and administrative expenses and depreciation expenses.</w:t>
            </w:r>
          </w:p>
        </w:tc>
        <w:tc>
          <w:tcPr>
            <w:tcW w:w="481" w:type="dxa"/>
            <w:gridSpan w:val="4"/>
            <w:tcBorders/>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Ranch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Ranch Operations segment consists of game management revenues and ancillary land uses, such as grazing leases and on-location filming. The following table summarizes revenues, expenses and operating results from this segment for the periods ended:</w:t>
      </w:r>
    </w:p>
    <w:tbl>
      <w:tblPr>
        <w:tblW w:w="7243" w:type="dxa"/>
        <w:jc w:val="left"/>
        <w:tblInd w:w="0" w:type="dxa"/>
        <w:tblLayout w:type="fixed"/>
        <w:tblCellMar>
          <w:top w:w="28" w:type="dxa"/>
          <w:left w:w="28" w:type="dxa"/>
          <w:bottom w:w="28" w:type="dxa"/>
          <w:right w:w="28" w:type="dxa"/>
        </w:tblCellMar>
      </w:tblPr>
      <w:tblGrid>
        <w:gridCol w:w="1351"/>
        <w:gridCol w:w="1190"/>
        <w:gridCol w:w="1197"/>
        <w:gridCol w:w="289"/>
        <w:gridCol w:w="848"/>
        <w:gridCol w:w="150"/>
        <w:gridCol w:w="150"/>
        <w:gridCol w:w="150"/>
        <w:gridCol w:w="150"/>
        <w:gridCol w:w="289"/>
        <w:gridCol w:w="848"/>
        <w:gridCol w:w="150"/>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 revenues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1</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 expenses</w:t>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from ranch operations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main components of the other expenses included amortization and depreciation expenses.</w:t>
            </w:r>
          </w:p>
        </w:tc>
        <w:tc>
          <w:tcPr>
            <w:tcW w:w="481" w:type="dxa"/>
            <w:gridSpan w:val="4"/>
            <w:tcBorders/>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3505" w:type="dxa"/>
            <w:gridSpan w:val="13"/>
            <w:tcBorders/>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pertaining to identifiable assets of the Company’s reporting segments is as follows for the periods ended:</w:t>
      </w:r>
    </w:p>
    <w:tbl>
      <w:tblPr>
        <w:tblW w:w="6387" w:type="dxa"/>
        <w:jc w:val="left"/>
        <w:tblInd w:w="0" w:type="dxa"/>
        <w:tblLayout w:type="fixed"/>
        <w:tblCellMar>
          <w:top w:w="28" w:type="dxa"/>
          <w:left w:w="28" w:type="dxa"/>
          <w:bottom w:w="28" w:type="dxa"/>
          <w:right w:w="28" w:type="dxa"/>
        </w:tblCellMar>
      </w:tblPr>
      <w:tblGrid>
        <w:gridCol w:w="1063"/>
        <w:gridCol w:w="936"/>
        <w:gridCol w:w="941"/>
        <w:gridCol w:w="257"/>
        <w:gridCol w:w="1006"/>
        <w:gridCol w:w="132"/>
        <w:gridCol w:w="109"/>
        <w:gridCol w:w="109"/>
        <w:gridCol w:w="109"/>
        <w:gridCol w:w="305"/>
        <w:gridCol w:w="1197"/>
        <w:gridCol w:w="22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Identifiable Assets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resort/residential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614,555 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607,998 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pertaining to depreciation and amortization of the Company’s reporting segments is as follows for the periods ended:</w:t>
      </w:r>
    </w:p>
    <w:tbl>
      <w:tblPr>
        <w:tblW w:w="6104" w:type="dxa"/>
        <w:jc w:val="left"/>
        <w:tblInd w:w="0" w:type="dxa"/>
        <w:tblLayout w:type="fixed"/>
        <w:tblCellMar>
          <w:top w:w="28" w:type="dxa"/>
          <w:left w:w="28" w:type="dxa"/>
          <w:bottom w:w="28" w:type="dxa"/>
          <w:right w:w="28" w:type="dxa"/>
        </w:tblCellMar>
      </w:tblPr>
      <w:tblGrid>
        <w:gridCol w:w="1065"/>
        <w:gridCol w:w="935"/>
        <w:gridCol w:w="940"/>
        <w:gridCol w:w="257"/>
        <w:gridCol w:w="752"/>
        <w:gridCol w:w="133"/>
        <w:gridCol w:w="133"/>
        <w:gridCol w:w="133"/>
        <w:gridCol w:w="133"/>
        <w:gridCol w:w="257"/>
        <w:gridCol w:w="752"/>
        <w:gridCol w:w="133"/>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and Amortization</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resort/residential</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pertaining to capital expenditures of the Company’s reporting segments is as follows for the periods ended:</w:t>
      </w:r>
    </w:p>
    <w:tbl>
      <w:tblPr>
        <w:tblW w:w="6104" w:type="dxa"/>
        <w:jc w:val="left"/>
        <w:tblInd w:w="0" w:type="dxa"/>
        <w:tblLayout w:type="fixed"/>
        <w:tblCellMar>
          <w:top w:w="28" w:type="dxa"/>
          <w:left w:w="28" w:type="dxa"/>
          <w:bottom w:w="28" w:type="dxa"/>
          <w:right w:w="28" w:type="dxa"/>
        </w:tblCellMar>
      </w:tblPr>
      <w:tblGrid>
        <w:gridCol w:w="1065"/>
        <w:gridCol w:w="935"/>
        <w:gridCol w:w="940"/>
        <w:gridCol w:w="245"/>
        <w:gridCol w:w="840"/>
        <w:gridCol w:w="127"/>
        <w:gridCol w:w="127"/>
        <w:gridCol w:w="127"/>
        <w:gridCol w:w="127"/>
        <w:gridCol w:w="245"/>
        <w:gridCol w:w="718"/>
        <w:gridCol w:w="127"/>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Expenditures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resort/residential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14.    INVESTMENT IN UNCONSOLIDATED AND CONSOLIDATED JOINT VENTURES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2025 was $29,646,000. The equity in the income of unconsolidated joint ventures was $1,158,000 for the three months ended March 31, 2025. The unconsolidated joint ventures have not been consolidated as of March 31, 2025, because the Company does not control the investments. The Company’s current joint ventures are as follows: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$20,356,000 as of March 31, 2025.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Majestic Realty Co. – Majestic Realty Co., or Majestic, is a privately-held developer and owner of master planned business parks the United States. The Company partnered with Majestic to form five active 50/50 joint ventures to acquire, develop, manage, and operate industrial real estate at TRCC. The partners have equal voting rights and equally share in the profit and loss of each joint venture. All outstanding debt attributed to our joint ventures with Majestic have met their respective debt covenants, and hence were not subject to an effective guarantee at March 31, 2025.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 </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$52,605,000 as of March 31, 2025. Since its inception, the Company has received excess distributions resulting in a deficit balance in its investment of $1,853,000.</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$60,675,000 as of March 31, 2025. Since its inception, the Company has received excess distributions resulting in a deficit balance in its investment of $6,388,000.</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$32,489,000 as of March 31, 2025. The Company's investment in this joint venture was $216,000 as of March 31, 2025.</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$21,053,000 as of March 31, 2025. The building was 100% leased as of March 31, 2025. The Company's investment in this joint venture was $390,000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$21,297,000 was outstanding as of March 31, 2025. Since inception of the joint venture, the Company has received excess distributions resulting in a deficit balance in its investment of $834,000.</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TRC-DP 1, LLC - This joint venture was formed on October 4, 2024 with Dedeaux Properties to develop, manage, and operate an approximately 510,385 square foot industrial building at TRCC-East on land to be contributed by the Company in a future period. The Company's investment in this joint venture was $457,000 as of March 31, 2025.</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TRCC/Rock Outlet Center LLC – This joint venture was formed in 2013 with Rockefeller Group Development Corporation, or Rockefeller to develop, own, and manage a net leasable 326,000 square foot outlet center on land at TRCC-East. At March 31, 2025, the Company’s equity investment balance in this joint venture was $8,227,000.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August 16, 2023, the TRCC/Rock Outlet Center LLC joint venture successfully extended the maturity date of its term note with a financial institution from May 31, 2024 to June 30, 2025. In connection with the loan extension, the joint venture also reduced the outstanding amount by $6,000,000. As of March 31, 2025, the outstanding balance of the term note was $20,464,000. The Company and Rockefeller guarantee the performance of the debt.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Centennial Founders, LLC – CFL is a joint venture with TRI Pointe Homes to pursue the entitlement and development of land that the Company owns in Los Angeles County. As of March 31, 2025, the Company owned 93.69% of CFL.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condensed statements of operations for the three months ended March 31, 2025 and 2024 and condensed balance sheet information of the Company’s unconsolidated joint ventures as of March 31, 2025 and December 31, 2024 are as follows: </w:t>
      </w:r>
    </w:p>
    <w:tbl>
      <w:tblPr>
        <w:tblW w:w="10205" w:type="dxa"/>
        <w:jc w:val="left"/>
        <w:tblInd w:w="0" w:type="dxa"/>
        <w:tblLayout w:type="fixed"/>
        <w:tblCellMar>
          <w:top w:w="28" w:type="dxa"/>
          <w:left w:w="28" w:type="dxa"/>
          <w:bottom w:w="28" w:type="dxa"/>
          <w:right w:w="28" w:type="dxa"/>
        </w:tblCellMar>
      </w:tblPr>
      <w:tblGrid>
        <w:gridCol w:w="693"/>
        <w:gridCol w:w="560"/>
        <w:gridCol w:w="564"/>
        <w:gridCol w:w="235"/>
        <w:gridCol w:w="803"/>
        <w:gridCol w:w="121"/>
        <w:gridCol w:w="121"/>
        <w:gridCol w:w="121"/>
        <w:gridCol w:w="121"/>
        <w:gridCol w:w="235"/>
        <w:gridCol w:w="803"/>
        <w:gridCol w:w="121"/>
        <w:gridCol w:w="121"/>
        <w:gridCol w:w="121"/>
        <w:gridCol w:w="121"/>
        <w:gridCol w:w="235"/>
        <w:gridCol w:w="686"/>
        <w:gridCol w:w="121"/>
        <w:gridCol w:w="121"/>
        <w:gridCol w:w="121"/>
        <w:gridCol w:w="121"/>
        <w:gridCol w:w="235"/>
        <w:gridCol w:w="686"/>
        <w:gridCol w:w="121"/>
        <w:gridCol w:w="121"/>
        <w:gridCol w:w="121"/>
        <w:gridCol w:w="121"/>
        <w:gridCol w:w="237"/>
        <w:gridCol w:w="693"/>
        <w:gridCol w:w="122"/>
        <w:gridCol w:w="122"/>
        <w:gridCol w:w="122"/>
        <w:gridCol w:w="122"/>
        <w:gridCol w:w="237"/>
        <w:gridCol w:w="693"/>
        <w:gridCol w:w="186"/>
      </w:tblGrid>
      <w:tr>
        <w:trPr/>
        <w:tc>
          <w:tcPr>
            <w:tcW w:w="6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Joint Venture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 in Earnings (Loss)</w:t>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Travel Plaza Holdings, LLC</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TRCC/Rock Outlet Center, LLC</w:t>
            </w:r>
            <w:r>
              <w:rPr>
                <w:rFonts w:ascii="Times New Roman;sans-serif" w:hAnsi="Times New Roman;sans-serif"/>
                <w:b w:val="false"/>
                <w:color w:val="000000"/>
                <w:sz w:val="13"/>
              </w:rPr>
              <w:t>1</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1, LLC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2, LLC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3, LLC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4, LLC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5, LLC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 Founders, LLC</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Revenues for TRCC/Rock Outlet Center are presented net of non-cash tenant allowance amortization of $0.2 million and $0.4 million for the three months ended March 31, 2025 and March 31, 2024, respectively.</w:t>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8388" w:type="dxa"/>
            <w:gridSpan w:val="33"/>
            <w:tcBorders/>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8388" w:type="dxa"/>
            <w:gridSpan w:val="33"/>
            <w:tcBorders/>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381" w:type="dxa"/>
        <w:jc w:val="center"/>
        <w:tblInd w:w="0" w:type="dxa"/>
        <w:tblLayout w:type="fixed"/>
        <w:tblCellMar>
          <w:top w:w="28" w:type="dxa"/>
          <w:left w:w="28" w:type="dxa"/>
          <w:bottom w:w="28" w:type="dxa"/>
          <w:right w:w="28" w:type="dxa"/>
        </w:tblCellMar>
      </w:tblPr>
      <w:tblGrid>
        <w:gridCol w:w="417"/>
        <w:gridCol w:w="301"/>
        <w:gridCol w:w="303"/>
        <w:gridCol w:w="211"/>
        <w:gridCol w:w="826"/>
        <w:gridCol w:w="109"/>
        <w:gridCol w:w="211"/>
        <w:gridCol w:w="841"/>
        <w:gridCol w:w="109"/>
        <w:gridCol w:w="211"/>
        <w:gridCol w:w="826"/>
        <w:gridCol w:w="109"/>
        <w:gridCol w:w="211"/>
        <w:gridCol w:w="721"/>
        <w:gridCol w:w="109"/>
        <w:gridCol w:w="109"/>
        <w:gridCol w:w="109"/>
        <w:gridCol w:w="109"/>
        <w:gridCol w:w="211"/>
        <w:gridCol w:w="826"/>
        <w:gridCol w:w="109"/>
        <w:gridCol w:w="211"/>
        <w:gridCol w:w="841"/>
        <w:gridCol w:w="109"/>
        <w:gridCol w:w="211"/>
        <w:gridCol w:w="826"/>
        <w:gridCol w:w="109"/>
        <w:gridCol w:w="211"/>
        <w:gridCol w:w="72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Joint Venture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Joint Venture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 (Deficit)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 (Deficit)</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Travel Plaza Holdings, LLC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TRCC/Rock Outlet Center,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1,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2,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3,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4,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5,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TRC-DP1,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 Founders, LLC</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1"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Centennial Founders, LLC, is consolidated within the Company's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and Chief Accounting Officer, Robert Velasquez, was appointed the treasurer of TCWD in February 2025.</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water contracts with WRMWSD for SWP water deliveries to its agricultural and municipal/industrial operations in the San Joaquin Valley. The terms of these contracts extend to 2085. Under the contracts, the Company is entitled to annual water for 5,487 acres of land, or 15,547 acre-feet of water, subject to SWP allocations. The Company's former Executive Vice President and Chief Operating Officer, Allen Lyda, is one of nine directors at WRMWSD. Mr. Lyda retired from the Company on March 1, 2025. As of March 31, 2025, the Company paid $2,521,000 for these water contracts and related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Company entered into a consulting services agreement with Mr. Bielli for the provision of strategic counsel to the Board and the current CEO upon Mr. Bielli’s retirement. The consulting agreement is for a term of one year, commencing April 1, 2025 and ending March 31, 2026. Compensation for Mr. Bielli’s consulting services is $85,000 per month. Mr. Bielli will also be reimbursed for normal and customary expenses incurred in connection with providing the services.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Forward-Looking Statements</w:t>
      </w:r>
    </w:p>
    <w:p>
      <w:pPr>
        <w:pStyle w:val="TextBody"/>
        <w:bidi w:val="0"/>
        <w:spacing w:lineRule="auto" w:line="288" w:before="6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contains forward-looking statements, including without limitation statements regarding strategic alliances, the almond, pistachio, olives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future revenue and income residential leasing,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and “well-positioned.”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diversified real estate development and agribusiness company committed to creating value for our shareholders by responsibly using our land and resources to meet the housing, employment, and lifestyle needs of Californians.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Business Objectives and Strategies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 is to maximize long-term shareholder value through the strategic improvement and monetization of our land-based assets. A key element of our strategy is the entitlement and development of large-scale mixed-use master planned residential and commercial/industrial real estate projects that address the evolving housing and infrastructure needs of Southern and Central California. Our long-term development track record, combined with deliberate capital allocation and stakeholder engagement, positions us to unlock the full potential of these unique assets. An active example of this strategy is the TRCC master planned community, which was entitled and prevailed in litigation in 2007, the project has been under continuous development ever since.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master planned communities include up to 35,278 housing units, and more than 35 million square feet of commercial space in aggregate. Two of our master planned communities have already obtained their entitlements and have successfully defended litigation. First, we have obtained entitlements on MV and prevailed in litigation in 2012, and subsequently received the first approved final map for the project consisting of 401 residential lots and parcels for hospitality, amenities, and public uses. Second, Grapevine at Tejon Ranch, or Grapevine, was reapproved unanimously by the Kern County Board of Supervisors in 2019 and prevailed in litigation in 2021. Centennial at Tejon Ranch, or Centennial, had entitlements approved in 2019 by the Los Angeles County Board of Supervisors. These approvals were litigated in two lawsuits filed in Los Angeles County Superior Court in May 2019 and we have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The Court of Appeal held a hearing on April 3, 2025 for this matter, and it is anticipated that the Court of Appeal should deliver a written decision on or before July 2, 2025. During the appeals process the Superior Court’s order of the rescission of project approvals has been placed on hold. See Note 11 (Commitments and Contingencies) of the Notes to Unaudited Consolidated Financial Statements for additional information regarding the Centennial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our fully operational mixed-use master planned community, TRCC, we are currently executing on value creation as we are actively engaged in construction, commercial sales, and leasing. In the second quarter of 2025, our real estate operations are expanding to include residential leasing with the launch of Terra Vista at Tejon, our multi-family project that began development in 2024. Leasing is expected to commence in May, marking a key milestone in diversifying our portfolio and enhancing long-term recurring revenue streams.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these efforts are supported by diverse revenue streams generated from other operations, including: farming, mineral resources, ranch operations, and our various joint ventures.</w:t>
      </w: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Our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operate in five reporting segments: commercial/industrial real estate development; resort/residential real estate development; mineral resources; farming; and ranch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heart of the commercial/industrial real estate development segment is TRCC, a 20 million square foot mixed-use development on Interstate 5 just north of the Los Angeles basin. TRCC continues to serve as a model for long-term value creation, having generated more than $110 million in cumulative cash flow from commercial and industrial development since 2000. With the upcoming launch of Terra Vista at Tejon, TRCC is now evolving into a vibrant residential and employment hub, enhancing the interconnectivity of our mixed-use master planned community strategy. Over eight million square feet of industrial, commercial and retail space has already been developed or is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involved in multiple joint ventures within TRCC with several partners that help us expand our commercial/industrial business activities: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 joint venture with TravelCenters of America that owns and operates two travel and truck stop facilities, comprised of five separate gas stations with convenience stores and fast-food restaurants within TRCC-West and TRCC-East.</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 joint venture, TRCC/Rock Outlet Center LLC, with Rockefeller Group Development Corporation, or Rockefeller which operates the Outlets at Tejon, a net leasable 326,000 square foot shopping experience in TRCC-East.</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Five joint ventures with Majestic Realty Co., or Majestic, to develop, manage, and operate five industrial buildings comprising of 2.8 million square feet of industrial space all within TRCC and all fully leased.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On October 4, 2024, we entered into a joint venture with Dedeaux Properties to develop, manage, and operate an industrial building of 510,385 square feet of space.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 Our master planned communities represent long-term value drivers for the Company. By leveraging a strong track record of obtaining and defending entitlements in California’s complex regulatory environment, we are building the foundation for future recurring revenue generation while preserving optionality across our land portfolio.</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MV encompasses a total of 26,417 acres, of which 5,082 acres are approved to be used for a master planned community development that will include housing, retail, and commercial components. MV is entitled for 3,450 homes, 160,000 square feet of commercial development, 750 hotel keys, and more than 21,335 acres of open space;</w:t>
      </w:r>
    </w:p>
    <w:p>
      <w:pPr>
        <w:pStyle w:val="TextBody"/>
        <w:bidi w:val="0"/>
        <w:spacing w:lineRule="auto" w:line="268" w:before="100" w:after="283"/>
        <w:ind w:left="0" w:right="0" w:hanging="360"/>
        <w:jc w:val="left"/>
        <w:rPr/>
      </w:pPr>
      <w:r>
        <w:rPr>
          <w:color w:val="000000"/>
        </w:rPr>
        <w:t>•</w:t>
      </w:r>
      <w:r>
        <w:rPr>
          <w:rFonts w:ascii="Times New Roman;sans-serif" w:hAnsi="Times New Roman;sans-serif"/>
          <w:b w:val="false"/>
          <w:color w:val="000000"/>
          <w:sz w:val="20"/>
        </w:rPr>
        <w:t xml:space="preserve">The Centennial development is a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litigation; </w:t>
      </w:r>
    </w:p>
    <w:p>
      <w:pPr>
        <w:pStyle w:val="TextBody"/>
        <w:bidi w:val="0"/>
        <w:spacing w:lineRule="auto" w:line="268" w:before="100" w:after="283"/>
        <w:ind w:left="0" w:right="0" w:hanging="360"/>
        <w:jc w:val="left"/>
        <w:rPr/>
      </w:pPr>
      <w:r>
        <w:rPr>
          <w:color w:val="000000"/>
        </w:rPr>
        <w:t>•</w:t>
      </w:r>
      <w:r>
        <w:rPr>
          <w:rFonts w:ascii="Times New Roman;sans-serif" w:hAnsi="Times New Roman;sans-serif"/>
          <w:b w:val="false"/>
          <w:color w:val="000000"/>
          <w:sz w:val="20"/>
        </w:rPr>
        <w:t xml:space="preserve">Grapevine is an 8,010-acre development area located on the San Joaquin Valley floor area of our lands, adjacent to TRCC. Upon completion of Grapevine, this master planned community is expected to include 12,000 homes, 5.1 million square feet of commercial development, and more than 3,367 acres of open space and parks;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00" w:after="283"/>
        <w:ind w:left="0" w:right="0" w:hanging="360"/>
        <w:jc w:val="left"/>
        <w:rPr/>
      </w:pPr>
      <w:r>
        <w:rPr>
          <w:color w:val="000000"/>
        </w:rPr>
        <w:t>•</w:t>
      </w:r>
      <w:r>
        <w:rPr>
          <w:rFonts w:ascii="Times New Roman;sans-serif" w:hAnsi="Times New Roman;sans-serif"/>
          <w:b w:val="false"/>
          <w:color w:val="000000"/>
          <w:sz w:val="20"/>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 The Company is not currently pursuing entitlements for Grapevine North.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our Annual Report on Form 10-K for the year ended December 31, 2024, for a more detailed description of our active developments within the resort/residential real estate development segment.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mineral resources segment generates revenues from oil and gas royalty leases, rock and aggregate mining leases, a lease with National Cement Company of California Inc., and water sales.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farming segment produces revenues from the sale of wine grapes, almonds, and pistachios. As part of our crop segmentation strategy within the farming division, we have initiated the planting of an olive orchard to diversify our commodity portfolio and better position the Company for shifts in market conditions.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Lastly, the ranch operations segment consists of game management revenues and ancillary land uses such as grazing leases and filming.</w:t>
      </w:r>
    </w:p>
    <w:p>
      <w:pPr>
        <w:pStyle w:val="TextBody"/>
        <w:bidi w:val="0"/>
        <w:spacing w:lineRule="auto" w:line="268" w:before="100" w:after="283"/>
        <w:jc w:val="left"/>
        <w:rPr/>
      </w:pPr>
      <w:r>
        <w:rPr>
          <w:rFonts w:ascii="Times New Roman;sans-serif" w:hAnsi="Times New Roman;sans-serif"/>
          <w:b/>
          <w:color w:val="006EBF"/>
          <w:sz w:val="20"/>
        </w:rPr>
        <w:t>Summary of First Quarter 2025</w:t>
      </w:r>
      <w:r>
        <w:rPr>
          <w:color w:val="000000"/>
        </w:rPr>
        <w:t xml:space="preserve"> </w:t>
      </w:r>
      <w:r>
        <w:rPr>
          <w:rFonts w:ascii="Times New Roman;sans-serif" w:hAnsi="Times New Roman;sans-serif"/>
          <w:b/>
          <w:color w:val="006EBF"/>
          <w:sz w:val="20"/>
        </w:rPr>
        <w:t>Performance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had a net loss attributable to common stockholders of $1,464,000 compared to a net loss attributable to common stockholders of $914,000 for the three months ended March 31, 2024. The primary driver of this $550,000 increase in net loss was an increase of $1,083,000 in professional and consulting fees incurred to defend the Company and its long-term strategy from a dissident proxy campaign that required significant engagement with shareholders and external advisors. Equity in earnings from the unconsolidated joint ventures decreased by $355,000, primarily related to the decreased fuel sales volume from our TA/Petro joint venture. The above increases to net loss were partially offset by a decrease in professional service fees within the resort/residential segment of $1,175,000 compared with the prior year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6EBF"/>
          <w:sz w:val="20"/>
        </w:rPr>
      </w:pPr>
      <w:r>
        <w:rPr>
          <w:rFonts w:ascii="Times New Roman;sans-serif" w:hAnsi="Times New Roman;sans-serif"/>
          <w:b/>
          <w:color w:val="006EBF"/>
          <w:sz w:val="20"/>
        </w:rPr>
        <w:t>Critical Accounting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our critical accounting policies have not changed since the filing of our Annual Report on Form 10-K for the year ended December 31, 2024. Please refer to that filing for a description of our critical accounting policies. Please also refer to Note 1 (Basis of Presentation) in the Notes to Unaudited Consolidated Financial Statements in this report for a discussion regarding newly adopted accounting principles.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6EBF"/>
          <w:sz w:val="20"/>
        </w:rPr>
      </w:pPr>
      <w:r>
        <w:rPr>
          <w:rFonts w:ascii="Times New Roman;sans-serif" w:hAnsi="Times New Roman;sans-serif"/>
          <w:b/>
          <w:color w:val="006EBF"/>
          <w:sz w:val="20"/>
        </w:rPr>
        <w:t>Results of Operations by Segment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pStyle w:val="TextBody"/>
        <w:bidi w:val="0"/>
        <w:spacing w:lineRule="auto" w:line="288" w:before="1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Real Estate – Commercial/Industrial:</w:t>
      </w:r>
    </w:p>
    <w:tbl>
      <w:tblPr>
        <w:tblW w:w="8773" w:type="dxa"/>
        <w:jc w:val="center"/>
        <w:tblInd w:w="0" w:type="dxa"/>
        <w:tblLayout w:type="fixed"/>
        <w:tblCellMar>
          <w:top w:w="28" w:type="dxa"/>
          <w:left w:w="28" w:type="dxa"/>
          <w:bottom w:w="28" w:type="dxa"/>
          <w:right w:w="28" w:type="dxa"/>
        </w:tblCellMar>
      </w:tblPr>
      <w:tblGrid>
        <w:gridCol w:w="1383"/>
        <w:gridCol w:w="1217"/>
        <w:gridCol w:w="1224"/>
        <w:gridCol w:w="257"/>
        <w:gridCol w:w="752"/>
        <w:gridCol w:w="133"/>
        <w:gridCol w:w="133"/>
        <w:gridCol w:w="133"/>
        <w:gridCol w:w="133"/>
        <w:gridCol w:w="257"/>
        <w:gridCol w:w="752"/>
        <w:gridCol w:w="133"/>
        <w:gridCol w:w="109"/>
        <w:gridCol w:w="109"/>
        <w:gridCol w:w="109"/>
        <w:gridCol w:w="211"/>
        <w:gridCol w:w="541"/>
        <w:gridCol w:w="109"/>
        <w:gridCol w:w="109"/>
        <w:gridCol w:w="109"/>
        <w:gridCol w:w="109"/>
        <w:gridCol w:w="216"/>
        <w:gridCol w:w="219"/>
        <w:gridCol w:w="316"/>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revenues</w:t>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Pastoria Energy Facility</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 Leasing</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 management fees and reimbursements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 leases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Landscaping services and other services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commercial/industrial 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General and administrative expenses </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expenses </w:t>
            </w:r>
            <w:r>
              <w:rPr>
                <w:rFonts w:ascii="Times New Roman;sans-serif" w:hAnsi="Times New Roman;sans-serif"/>
                <w:b w:val="false"/>
                <w:color w:val="000000"/>
                <w:sz w:val="13"/>
              </w:rPr>
              <w:t>2</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commercial/industrial expenses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from commercial/industrial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73"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General and administrative expenses included compensation expense and overhead.</w:t>
            </w:r>
          </w:p>
        </w:tc>
      </w:tr>
      <w:tr>
        <w:trPr/>
        <w:tc>
          <w:tcPr>
            <w:tcW w:w="8773"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main components of the other expenses included tenant recoverable expenses and depreciation expenses.</w:t>
            </w:r>
          </w:p>
        </w:tc>
      </w:tr>
    </w:tbl>
    <w:p>
      <w:pPr>
        <w:pStyle w:val="TextBody"/>
        <w:bidi w:val="0"/>
        <w:spacing w:before="0" w:after="0"/>
        <w:jc w:val="center"/>
        <w:rPr/>
      </w:pPr>
      <w:r>
        <w:rPr/>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Commercial/industrial real estate development segment revenues were $2,754,000 for the three months ended March 31, 2025, a decrease of $191,000, or 6%, from $2,945,000 for the three months ended March 31, 2024. The decrease was primarily attributable to a reduction in landscaping and other revenue of $95,000 due to a lower amount of landscape maintenance service provided compared to the prior year quarter, and a $64,000 decrease in TRCC management fees, as no development fee was recognized during the current quarter given the absence of commercial buildings under construction. Additionally, Pastoria Energy Facility revenues decreased by $62,000 during the period due to lower spark spread payments for the period.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Commercial/industrial real estate development segment expenses were $1,847,000 for the three months ended March 31, 2025, a decrease of $80,000, or 4%, from $1,927,000 for the three months ended March 31, 2024. The decrease was attributable to lower operating expenses of $92,000 and tenant recoverable expenses of $14,000, partially offset by an additional $2,000 of general and administrative expenses incurred during the quarter.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logistics operators currently located at TRCC have proven effective in serving customers throughout California and the broader western United States, and their success is prominently featured in our marketing efforts. We plan to continue focusing our marketing strategy for TRCC on the site's strategic labor and logistics advantages, the pro-business environment of Kern County, and the demonstrated success of existing tenants and property owners within the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FTZ and AKIP, along with our ability to provide fully entitled, shovel-ready land parcels to support buildings of any size, including buildings one million square feet or larger, provide us with a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vacancy rates in the Inland Empire declined by 50 basis points to 6.3% as the construction pipeline remains relatively slow. Average asking rents continued to decline for the seventh consecutive quarter to $1.10. The San Fernando Valley and Ventura County industrial markets ended an eight-quarter streak of rising vacancy. Vacancy decreased by 30 basis points to 2.2% in San Fernando Valley and by 10 basis points to 2.1% in Ventura County, with both regions recording positive net absorption. Average asking rent experienced a slight quarter-over-quarter decline in the San Fernando Valley, dropping $0.01 to $1.53, while Ventura posted an increase to $1.24. See below for the vacancy rates and average asking rent of Inland Empire, San Fernando Valley and Ventura County.</w:t>
      </w:r>
    </w:p>
    <w:tbl>
      <w:tblPr>
        <w:tblW w:w="10205" w:type="dxa"/>
        <w:jc w:val="left"/>
        <w:tblInd w:w="0" w:type="dxa"/>
        <w:tblLayout w:type="fixed"/>
        <w:tblCellMar>
          <w:top w:w="28" w:type="dxa"/>
          <w:left w:w="28" w:type="dxa"/>
          <w:bottom w:w="28" w:type="dxa"/>
          <w:right w:w="28" w:type="dxa"/>
        </w:tblCellMar>
      </w:tblPr>
      <w:tblGrid>
        <w:gridCol w:w="809"/>
        <w:gridCol w:w="626"/>
        <w:gridCol w:w="629"/>
        <w:gridCol w:w="324"/>
        <w:gridCol w:w="324"/>
        <w:gridCol w:w="325"/>
        <w:gridCol w:w="109"/>
        <w:gridCol w:w="109"/>
        <w:gridCol w:w="109"/>
        <w:gridCol w:w="419"/>
        <w:gridCol w:w="419"/>
        <w:gridCol w:w="420"/>
        <w:gridCol w:w="109"/>
        <w:gridCol w:w="109"/>
        <w:gridCol w:w="109"/>
        <w:gridCol w:w="324"/>
        <w:gridCol w:w="324"/>
        <w:gridCol w:w="325"/>
        <w:gridCol w:w="109"/>
        <w:gridCol w:w="109"/>
        <w:gridCol w:w="109"/>
        <w:gridCol w:w="324"/>
        <w:gridCol w:w="324"/>
        <w:gridCol w:w="325"/>
        <w:gridCol w:w="116"/>
        <w:gridCol w:w="116"/>
        <w:gridCol w:w="116"/>
        <w:gridCol w:w="419"/>
        <w:gridCol w:w="419"/>
        <w:gridCol w:w="420"/>
        <w:gridCol w:w="116"/>
        <w:gridCol w:w="116"/>
        <w:gridCol w:w="116"/>
        <w:gridCol w:w="298"/>
        <w:gridCol w:w="298"/>
        <w:gridCol w:w="433"/>
      </w:tblGrid>
      <w:tr>
        <w:trPr/>
        <w:tc>
          <w:tcPr>
            <w:tcW w:w="8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20"/>
              </w:rPr>
            </w:pPr>
            <w:r>
              <w:rPr>
                <w:rFonts w:ascii="Times New Roman;sans-serif" w:hAnsi="Times New Roman;sans-serif"/>
                <w:b/>
                <w:color w:val="000000"/>
                <w:sz w:val="20"/>
              </w:rPr>
              <w:t>Vacancy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Asking Rent</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Inland Empire</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Fernando Valley and Ventura County</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users seeking larger spaces are continuing to go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commercial/industrial real estate development segment to continue to experience costs, net of amounts capitalized, primarily related to professional service fees, marketing costs, planning costs, and staffing costs, as we continue to pursue development opportunities. From a macroeconomic perspective, the tightening of capital markets may cause a near-term slowdown in new commercial real estate developments.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 Industrial land prices have increased at TRCC since 2000 from $0.57 per square foot to $9.00 per square foot which is a 1,479% increase, demonstrating the consistent increase in demand and maturation of TRCC. Industrial rents have increased 236% over the past eight-year period starting at $0.25 per square foot in 2017.</w:t>
      </w:r>
    </w:p>
    <w:p>
      <w:pPr>
        <w:pStyle w:val="TextBody"/>
        <w:bidi w:val="0"/>
        <w:spacing w:lineRule="auto" w:line="288" w:before="20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Real Estate – Resort/Residential: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preliminary stages of property development; hence, no revenues or profits are attributed to this segment.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Resort/residential real estate development segment expenses were $386,000 for the three months ended March 31, 2025, a decrease of $1,175,000 from $1,561,000 for the three months ended March 31, 2024. This decrease was primarily attributable to a decrease of $1,252,000 of professional service fees and planning cost related to capital efforts tied to our master planned communities due to a one-time retainer fee paid in the first quarter of 2024. In 2025, the retainer fee negotiated is $238,000 for the first two quarters of 2025, then reduced to $138,000 for the third and fourth quarters. The current period expenses consisted of general and administrative expenses of $352,000, professional services of $21,000 and other expenses of $13,000 for the three months ended March 31, 2025. The main components of the other expenses included travel and entertainment expenses and depreciation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business strategy to develop the master-planned communities of MV, Centennial, and Grapevine remains unchanged. We believe that the long-term macroeconomic fundamentals, particularly California’s large population base and continued household formation as well as the demographic migration to the suburban and exurban periphery of Los Angeles and Kern Counties, will support sustained housing demand in our region. Additionally, California’s well-documented housing shortage reinforces the need for thoughtfully planned residential development, and we believe our communities are well-positioned to help address this shortfall. Accordingly, the majority of expenditures and capital investments within our resort/residential real estate segment are expected to remain focused on these three communities.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move forward with our master planned communities, we expect to explore funding opportunities for the future development of our projects. Such funding opportunities could come from a variety of sources, such as joint ventures with financial partners, debt financing, and/or our issuance of additional common stock.</w:t>
      </w:r>
    </w:p>
    <w:p>
      <w:pPr>
        <w:pStyle w:val="TextBody"/>
        <w:bidi w:val="0"/>
        <w:spacing w:lineRule="auto" w:line="288" w:before="1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Mineral Resources:</w:t>
      </w:r>
    </w:p>
    <w:tbl>
      <w:tblPr>
        <w:tblW w:w="8429" w:type="dxa"/>
        <w:jc w:val="center"/>
        <w:tblInd w:w="0" w:type="dxa"/>
        <w:tblLayout w:type="fixed"/>
        <w:tblCellMar>
          <w:top w:w="28" w:type="dxa"/>
          <w:left w:w="28" w:type="dxa"/>
          <w:bottom w:w="28" w:type="dxa"/>
          <w:right w:w="28" w:type="dxa"/>
        </w:tblCellMar>
      </w:tblPr>
      <w:tblGrid>
        <w:gridCol w:w="1249"/>
        <w:gridCol w:w="1097"/>
        <w:gridCol w:w="1104"/>
        <w:gridCol w:w="257"/>
        <w:gridCol w:w="752"/>
        <w:gridCol w:w="133"/>
        <w:gridCol w:w="133"/>
        <w:gridCol w:w="133"/>
        <w:gridCol w:w="133"/>
        <w:gridCol w:w="257"/>
        <w:gridCol w:w="752"/>
        <w:gridCol w:w="133"/>
        <w:gridCol w:w="109"/>
        <w:gridCol w:w="109"/>
        <w:gridCol w:w="109"/>
        <w:gridCol w:w="211"/>
        <w:gridCol w:w="466"/>
        <w:gridCol w:w="109"/>
        <w:gridCol w:w="109"/>
        <w:gridCol w:w="109"/>
        <w:gridCol w:w="109"/>
        <w:gridCol w:w="268"/>
        <w:gridCol w:w="272"/>
        <w:gridCol w:w="316"/>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 revenues</w:t>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 aggregate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leases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sales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Reimbursables and other</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mineral resources 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of water</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mineral resources expenses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from mineral resources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29"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main components of the other expenses included general and administrative expenses and depreciation expenses.</w:t>
            </w:r>
          </w:p>
        </w:tc>
      </w:tr>
    </w:tbl>
    <w:p>
      <w:pPr>
        <w:pStyle w:val="TextBody"/>
        <w:bidi w:val="0"/>
        <w:spacing w:before="0" w:after="0"/>
        <w:jc w:val="center"/>
        <w:rPr/>
      </w:pPr>
      <w:r>
        <w:rPr/>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Mineral resources segment revenues were $2,595,000 for the three months ended March 31, 2025, representing an increase of $106,000, or 4%, compared to $2,489,000 for the three months ended March 31, 2024. The increase was primarily driven by a $105,000 increase in water sales revenue, attributed to a higher price per acre-foot, and a $78,000 increase in reimbursable and other revenues. The increases were partially offset by an $87,000 decline in cement royalties, attributed to lower production volumes during the quarter.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Mineral resources segment expenses were $2,085,000 for the three months ended March 31, 2025, a decrease of $31,000, or 1%, from $2,116,000 for the three months ended March 31, 2024. The decrease was primarily associated with lower general and administrative expenses, namely professional services fees, partially offset by higher water cost of sales of $47,000 recognized during the quarter.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anticipated regulatory changes related to groundwater management in California emerge, such as potential limits on groundwater pumping, we believe our water assets will become increasingly important and valuable. These assets include our water banking operations, groundwater recharge programs, and access to water supply contracts, such as those we have acquired in prior periods. We expect these resources will continue to play a critical role in supporting our development projects and may also present opportunities for water sales to third parties.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SWP water contracts require annual payments related to the fixed and variable costs of the SWP and each water district, whether or not water is used or available. In addition to surface water supplies, the Company has access to adjudicated groundwater rights, including an annual allocation of 1,634 acre-feet in the Antelope Valley Basin. Portions of our property also have available groundwater, which the Company believes are sufficient to support its commercial development plans along the Interstate 5 corridor and its ongoing agricultural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Kern County, the Company’s lands span three groundwater basins governed by the Sustainable Groundwater Management Act (SGMA): the Kern Subbasin, the White Wolf Subbasin, and the Castac Basin. Approximately 9% of the Company's Kern County land is within the Kern Subbasin and is primarily used for grazing with minimal water use. In contrast, the White Wolf Subbasin is being sustainably managed, with an approved GSP requiring only minor corrections, while the Castac Basin is a low-priority basin with no anticipated restrictions. The Company believes its diverse mix of surface water supplies, adjudicated groundwater rights, and banked water positions it well to navigate evolving regulatory frameworks and meet future water needs.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pStyle w:val="TextBody"/>
        <w:bidi w:val="0"/>
        <w:spacing w:lineRule="auto" w:line="288" w:before="1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Farming:</w:t>
      </w:r>
    </w:p>
    <w:tbl>
      <w:tblPr>
        <w:tblW w:w="8513" w:type="dxa"/>
        <w:jc w:val="center"/>
        <w:tblInd w:w="0" w:type="dxa"/>
        <w:tblLayout w:type="fixed"/>
        <w:tblCellMar>
          <w:top w:w="28" w:type="dxa"/>
          <w:left w:w="28" w:type="dxa"/>
          <w:bottom w:w="28" w:type="dxa"/>
          <w:right w:w="28" w:type="dxa"/>
        </w:tblCellMar>
      </w:tblPr>
      <w:tblGrid>
        <w:gridCol w:w="1194"/>
        <w:gridCol w:w="1051"/>
        <w:gridCol w:w="1056"/>
        <w:gridCol w:w="261"/>
        <w:gridCol w:w="762"/>
        <w:gridCol w:w="134"/>
        <w:gridCol w:w="134"/>
        <w:gridCol w:w="134"/>
        <w:gridCol w:w="134"/>
        <w:gridCol w:w="261"/>
        <w:gridCol w:w="855"/>
        <w:gridCol w:w="134"/>
        <w:gridCol w:w="114"/>
        <w:gridCol w:w="114"/>
        <w:gridCol w:w="114"/>
        <w:gridCol w:w="221"/>
        <w:gridCol w:w="488"/>
        <w:gridCol w:w="114"/>
        <w:gridCol w:w="114"/>
        <w:gridCol w:w="114"/>
        <w:gridCol w:w="114"/>
        <w:gridCol w:w="280"/>
        <w:gridCol w:w="285"/>
        <w:gridCol w:w="331"/>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 revenues</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Almonds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Pistachios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farming revenues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holding costs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1</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farming expenses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 from farming</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13"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main components of the other expenses included general and administrative expenses and depreciation expenses.</w:t>
            </w:r>
          </w:p>
        </w:tc>
      </w:tr>
    </w:tbl>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Farming segment revenues totaled $1,556,000 for the three months ended March 31, 2025, representing an increase of $691,000, or 80%, from $865,000 for the same period in 2024. The increase was primarily driven by a $732,000 increase in almond sales revenue, attributed to both higher average pricing and a greater volume of crop available for sale. During the three months ended March 31, 2025, we sold approximately 571,000 pounds of almonds, compared to 381,000 pounds in the prior period. This increase was partially offset by a decrease in hay revenue, reflecting the Company's strategic decision to scale back its hay operations during the current period.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Farming segment expenses were $2,548,000 for the three months ended March 31, 2025, an increase of $481,000, or 23%, from $2,067,000 during the same period in 2024. This increase was primarily due to an increase of $351,000 in almond cost of sales recognized in the period associated with higher crop sales volume. Additionally, water holding costs increased by $88,000.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almond, pistachio, and wine grape crop sales are subject to significant seasonality, with the majority of sales typically occurring during the third and fourth quarters of the year. Almonds and pistachios are generally sold at prevailing market prices, while wine grapes are sold under contracted pricing arrangements with wineries. It is too early in the production cycle for 2025 to have a subjective estimate of potential production for almonds, grapes, and pistachios. In 2025, the Company's crop segmentation in its farming division will include the planting of an olive orchard, diversifying the Company's commodity products and best positioning the Company for market changes.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USDA's Subjective Forecast for the 2025 California almond crop is scheduled to be released on May 12, 2025, and will provide the first official estimate of the upcoming harvest. In the absence of this forecast, industry sources have identified several factors that may influence 2025 almond production levels. Pollination challenges have emerged due to significant reported honeybee colony losses, with estimates indicating a shortage of hives required for adequate almond pollination. This shortfall may adversely impact crop yields for the 2025 growing season. In addition, recent announcements of new tariff measures by the U.S. government have raised concerns about potential retaliatory trade actions from key export markets, including the European Union, India, and China. These trade uncertainties could affect export demand and exert downward pressure on almond pricing for the 2025 crop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Weather conditions can also impact the number of tree and vine dormant hours, which are integral to tree and vine growth. In early 2025, California farmers faced a warm winter that led to insufficient chill accumulation, particularly affecting pistachio orchards. Additionally, late winter and early spring rainstorms disrupted various farming activities, including pesticide applications. These delays may impact crop management schedules, but the full effect on production won't be clear until later in the summer.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costs, both internal and through labor contractors, continue to increase and the Company expects this trend to continue over the near future. The Company utilizes external labor contractors, as necessary, for large projects, such as pruning and harvesting, as a way to manage our labor needs. From a broader inflationary standpoint, the Company continues to expect an increase in production costs, most notably chemicals such as herbicides and pesticides, and fuel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pStyle w:val="TextBody"/>
        <w:bidi w:val="0"/>
        <w:spacing w:lineRule="auto" w:line="288" w:before="1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Ranch Operations:</w:t>
      </w:r>
    </w:p>
    <w:tbl>
      <w:tblPr>
        <w:tblW w:w="10205" w:type="dxa"/>
        <w:jc w:val="left"/>
        <w:tblInd w:w="0" w:type="dxa"/>
        <w:tblLayout w:type="fixed"/>
        <w:tblCellMar>
          <w:top w:w="28" w:type="dxa"/>
          <w:left w:w="28" w:type="dxa"/>
          <w:bottom w:w="28" w:type="dxa"/>
          <w:right w:w="28" w:type="dxa"/>
        </w:tblCellMar>
      </w:tblPr>
      <w:tblGrid>
        <w:gridCol w:w="1561"/>
        <w:gridCol w:w="1274"/>
        <w:gridCol w:w="1280"/>
        <w:gridCol w:w="312"/>
        <w:gridCol w:w="914"/>
        <w:gridCol w:w="161"/>
        <w:gridCol w:w="161"/>
        <w:gridCol w:w="161"/>
        <w:gridCol w:w="161"/>
        <w:gridCol w:w="312"/>
        <w:gridCol w:w="914"/>
        <w:gridCol w:w="161"/>
        <w:gridCol w:w="138"/>
        <w:gridCol w:w="138"/>
        <w:gridCol w:w="138"/>
        <w:gridCol w:w="268"/>
        <w:gridCol w:w="593"/>
        <w:gridCol w:w="138"/>
        <w:gridCol w:w="138"/>
        <w:gridCol w:w="138"/>
        <w:gridCol w:w="138"/>
        <w:gridCol w:w="295"/>
        <w:gridCol w:w="298"/>
        <w:gridCol w:w="413"/>
      </w:tblGrid>
      <w:tr>
        <w:trPr/>
        <w:tc>
          <w:tcPr>
            <w:tcW w:w="15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4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 revenues</w:t>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Game management and other </w:t>
            </w:r>
            <w:r>
              <w:rPr>
                <w:rFonts w:ascii="Times New Roman;sans-serif" w:hAnsi="Times New Roman;sans-serif"/>
                <w:b w:val="false"/>
                <w:color w:val="000000"/>
                <w:sz w:val="13"/>
              </w:rPr>
              <w:t>1</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Grazing</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ranch operations revenues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2</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ranch operations expenses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 from ranch operations</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Game management and other revenues consist of revenues from hunting, filming, High Desert Hunt Club (a premier upland bird hunting club), and other ancillary activities.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main components of the other expenses included amortization and depreciation expenses.</w:t>
            </w:r>
          </w:p>
        </w:tc>
      </w:tr>
    </w:tbl>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Ranch operations revenues were $1,304,000 for the three months ended March 31, 2025, an increase of $197,000, or 18%, from $1,107,000 for the same period in 2024. The increase was attributable to an increase in game management and other revenue of $166,000, mainly attributable to improved revenue of guided hunts as well as higher revenue recognized from our High Desert Hunt Club, and an increase in grazing lease revenues of $31,000 due to improved pasture levels.</w:t>
      </w:r>
    </w:p>
    <w:p>
      <w:pPr>
        <w:pStyle w:val="TextBody"/>
        <w:bidi w:val="0"/>
        <w:spacing w:lineRule="auto" w:line="268" w:before="100" w:after="283"/>
        <w:ind w:left="0" w:right="0" w:hanging="360"/>
        <w:jc w:val="left"/>
        <w:rPr/>
      </w:pPr>
      <w:r>
        <w:rPr>
          <w:color w:val="000000"/>
        </w:rPr>
        <w:t>•</w:t>
      </w:r>
      <w:r>
        <w:rPr>
          <w:rFonts w:ascii="Times New Roman;sans-serif" w:hAnsi="Times New Roman;sans-serif"/>
          <w:b w:val="false"/>
          <w:color w:val="000000"/>
          <w:sz w:val="20"/>
        </w:rPr>
        <w:t>Ranch operations expenses were $1,273,000 for the three months ended March 31, 2025, an increase of $46,000, or 4%, from $1,227,000 for the same period in 2024.</w:t>
      </w:r>
    </w:p>
    <w:p>
      <w:pPr>
        <w:pStyle w:val="TextBody"/>
        <w:bidi w:val="0"/>
        <w:spacing w:lineRule="auto" w:line="288" w:before="24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Corporate and Other: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general and administrative costs were $4,236,000 for the three months ended March 31, 2025, an increase of $1,744,000, from $2,492,000 for the same period in 2024. The increase was primarily attributable to the additional professional fees and consulting expenses incurred during the period of $1,083,000 to defend the Company and its long-term strategy from a dissident proxy campaign that required significant engagement with shareholders and external advisors. Additionally, the Company incurred an increase of $507,000 of higher compensation expenses over the comparative period due to prorated bonus earned by an outgoing executive in connection with his retirement on March 31, 2025. The main components of the 2025 corporate expenses included salaries and compensation expenses of $2,668,000 and other expenses of $1,568,000. Other expenses include professional services fees, licenses and fees, and depreciation expenses.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was $270,000 for the three months ended March 31, 2025, a decrease of $345,000 from $615,000 for the same period in 2024, primarily due to lower investment income as a result of a reduction in marketable securities. </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Joint Ventures:</w:t>
      </w:r>
    </w:p>
    <w:tbl>
      <w:tblPr>
        <w:tblW w:w="7830" w:type="dxa"/>
        <w:jc w:val="center"/>
        <w:tblInd w:w="0" w:type="dxa"/>
        <w:tblLayout w:type="fixed"/>
        <w:tblCellMar>
          <w:top w:w="28" w:type="dxa"/>
          <w:left w:w="28" w:type="dxa"/>
          <w:bottom w:w="28" w:type="dxa"/>
          <w:right w:w="28" w:type="dxa"/>
        </w:tblCellMar>
      </w:tblPr>
      <w:tblGrid>
        <w:gridCol w:w="1031"/>
        <w:gridCol w:w="906"/>
        <w:gridCol w:w="913"/>
        <w:gridCol w:w="257"/>
        <w:gridCol w:w="752"/>
        <w:gridCol w:w="133"/>
        <w:gridCol w:w="133"/>
        <w:gridCol w:w="133"/>
        <w:gridCol w:w="133"/>
        <w:gridCol w:w="257"/>
        <w:gridCol w:w="752"/>
        <w:gridCol w:w="133"/>
        <w:gridCol w:w="109"/>
        <w:gridCol w:w="109"/>
        <w:gridCol w:w="109"/>
        <w:gridCol w:w="211"/>
        <w:gridCol w:w="541"/>
        <w:gridCol w:w="109"/>
        <w:gridCol w:w="109"/>
        <w:gridCol w:w="109"/>
        <w:gridCol w:w="109"/>
        <w:gridCol w:w="233"/>
        <w:gridCol w:w="233"/>
        <w:gridCol w:w="31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(loss) </w:t>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Travel Plaza Holdings, LLC</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TRCC/Rock Outlet Center, LLC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1, LLC</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2, LLC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3, LLC</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4, LLC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5, LLC</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 earnings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Equity in earnings was $1,158,000 for the three months ended March 31, 2025, a decrease of $355,000, from $1,513,000 during the same period in 2024. The decrease was primarily attributable to a decrease in equity in earnings recorded for the TA/Petro joint venture of $310,000 as a result of lower fuel sales volumes. We also recognized a decrease in equity in earnings from our TRC-MRC 5, LLC joint venture of $66,000 due to an increase in the property tax expenses over the comparative period. These decreases were partially offset by a $127,000 increase in earnings from our TRC-MRC 1, LLC joint venture due to higher revenue recognized from the lease with a new tenant at a higher lease rate beginning May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"Non-GAAP Financial Measures" for further financial discussion of the results of our joint ventures.</w:t>
      </w:r>
    </w:p>
    <w:p>
      <w:pPr>
        <w:pStyle w:val="TextBody"/>
        <w:bidi w:val="0"/>
        <w:spacing w:lineRule="auto" w:line="288" w:before="10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General 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2024, or Annual Report, and to Part I, Item 1A - "Risk Factors" of our Annual Report. For further discussion, please refer to Note 11 (Commitments and Contingencies) of the Notes to Unaudited Consolidated Financial Statements in this report.</w:t>
      </w:r>
    </w:p>
    <w:p>
      <w:pPr>
        <w:pStyle w:val="TextBody"/>
        <w:bidi w:val="0"/>
        <w:spacing w:lineRule="auto" w:line="288" w:before="10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we had an income tax benefit of $1,272,000 compared to $942,000 for the three months ended March 31, 2024. The effective tax rates approximated 46% and 51% for the three months ended March 31, 2025 and 2024, respectively. As of March 31, 2025, the Company had income taxes receivable of $2,520,000. We classify interest and penalties incurred on tax payments as income tax expenses. Our effective tax rates differ from statutory rates primarily because of permanent differences related to Internal Revenue Code Section 162(m). The Internal Revenue Code Section 162(m) compensation deduction limitations occurred due to changes in tax law arising from the 2017 Tax Cuts and Jobs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Cash Flow and Liquidity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enhance long-term shareholder value, we expect to continue allocating capital toward vertical development within our active commercial and industrial portfolio, including construction on Terra Vista at Tejon, our new multi-family apartment community located immediately adjacent to the Outlets at Tejon. The majority of our capital investment is expected to remain concentrated at TRCC, where we are expanding the footprint of our commercial and industrial operations through vertical development, infrastructure improvements, and the construction of assets intended for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also invest, as needed, across our real estate segments to secure land entitlement approvals, ensure access to adequate water supplies, and support general land development activities. In our farming segment, we plan to invest selectively in operational improvements and capacity enhancements when supported by market conditions and expected profitability.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cash, cash equivalents and marketable securities totaled approximately $32,931,000 as of March 31, 2025, a decrease of $20,777,000 from $53,708,000 as of December 31, 2024, due primarily to funding of construction on the Terra Vista at Tejon multi-family apartment community.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cash flow activities for the three months ended March 31, </w:t>
      </w:r>
    </w:p>
    <w:tbl>
      <w:tblPr>
        <w:tblW w:w="4273" w:type="dxa"/>
        <w:jc w:val="left"/>
        <w:tblInd w:w="0" w:type="dxa"/>
        <w:tblLayout w:type="fixed"/>
        <w:tblCellMar>
          <w:top w:w="28" w:type="dxa"/>
          <w:left w:w="28" w:type="dxa"/>
          <w:bottom w:w="28" w:type="dxa"/>
          <w:right w:w="28" w:type="dxa"/>
        </w:tblCellMar>
      </w:tblPr>
      <w:tblGrid>
        <w:gridCol w:w="630"/>
        <w:gridCol w:w="554"/>
        <w:gridCol w:w="556"/>
        <w:gridCol w:w="109"/>
        <w:gridCol w:w="211"/>
        <w:gridCol w:w="796"/>
        <w:gridCol w:w="109"/>
        <w:gridCol w:w="109"/>
        <w:gridCol w:w="109"/>
        <w:gridCol w:w="109"/>
        <w:gridCol w:w="211"/>
        <w:gridCol w:w="61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00" w:after="283"/>
        <w:jc w:val="left"/>
        <w:rPr/>
      </w:pPr>
      <w:r>
        <w:rPr>
          <w:rFonts w:ascii="Times New Roman;sans-serif" w:hAnsi="Times New Roman;sans-serif"/>
          <w:b w:val="false"/>
          <w:color w:val="000000"/>
          <w:sz w:val="20"/>
        </w:rPr>
        <w:t>During the first three months of 2025, our operations used $1,345,000, largely attributable to cash used to settle our current liabilities balance including liability classified stock compensation awards of $1,831,000.</w:t>
      </w:r>
      <w:r>
        <w:rPr>
          <w:color w:val="000000"/>
          <w:shd w:fill="FFFFFF" w:val="clear"/>
        </w:rPr>
        <w:t xml:space="preserve"> </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first three months of 2024, our operations provided $777,000 primarily as a result of collection of accounts receivable, offset by increases in inventories and prepaid expenses, and our net loss from operations.</w:t>
      </w:r>
    </w:p>
    <w:p>
      <w:pPr>
        <w:pStyle w:val="TextBody"/>
        <w:bidi w:val="0"/>
        <w:spacing w:lineRule="auto" w:line="288" w:before="1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three months of 2025, investing activities used $32,650,000. The increase in investing activities is primarily related to the construction of Terra Vista at Tejon, and we expect the costs to continue throughout 2025 for the first phase of this multi-family project.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made capital expenditures, inclusive of capitalized interest and payroll (exclusive of stock compensation), of $17,544,000 for real estate development. At TRCC, we spent $11,586,000 of construction cost on Terra Visa at Tejon and $1,957,000 on infrastructure improvements at TRCC-East. We also spent $543,000 and $346,000 on permitting efforts for MV and Grapevine, respectively, and $775,000 on litigation defense for Centennial. Within our farming segment, we spent $2,030,000, which included cultural costs for orchards currently classified as under development and replacement of machinery and equipment. Additionally, we used $9,018,000 to acquire water assets. We had marketable securities of $15,280,000 that matured, and we reinvested $21,410,000. Lastly, we received proceeds of $142,000 from joint venture distributions.</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During the first three months of 2024, investing activities provided $3,074,000. We made capital expenditures, inclusive of capitalized interest and payroll (exclusive of stock compensation), of $8,112,000, which includes predevelopment activities for our master planned communities, $599,000 consisting of permitting efforts for MV, $353,000 consisting of permitting efforts for Grapevine, and costs related to litigation defense for Centennial of $994,000. At TRCC, we spent $2,446,000</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construction cost on Terra Visa at Tejon and $1,573,000 on infrastructure improvements at TRCC-East. Within our farming segment, we spent $1,846,000, which includes cultural costs for orchards currently classified as under development and replacement of machinery and equipment. Additionally, we used $5,248,000 to acquire water assets. We had marketable securities of $46,239,000 that matured, and we reinvested $38,614,000. Lastly, we received proceeds of $5,500,000 from joint venture distributions.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move forward, we anticipate we will continue to use cash from operations, proceeds from the maturity of securities, and anticipated distributions from joint ventures to fund real estate project investments, including the investments summarized below.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capital investment, inclusive of capitalized interest and payroll, for the remainder of 2025 is primarily related to our real estate projects. These estimated investments include approximately $18,071,000 of construction costs for the Terra Vista at Tejon multi-family project phase 1 development and $8,706,000 of infrastructure development at TRCC-East to support the continued commercial retail and industrial development, water treatment system improvements, and expansion of the wastewater treatment plant for future anticipated absorption. We also expect to invest up to $6,927,000 for land planning, litigation/appeals, federal and state agency permitting activities, and development activities at MV, Centennial, and Grapevine during the remainder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pPr>
      <w:r>
        <w:rPr>
          <w:rFonts w:ascii="Times New Roman;sans-serif" w:hAnsi="Times New Roman;sans-serif"/>
          <w:b w:val="false"/>
          <w:color w:val="000000"/>
          <w:sz w:val="20"/>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three months ended March 31, 2025 and 2024, was $594,000 and $968,000, respectively, and is classified within real estate development. We also capitalized payroll costs related to development, pre-construction, and construction projects, which aggregated</w:t>
      </w:r>
      <w:r>
        <w:rPr>
          <w:color w:val="000000"/>
          <w:shd w:fill="FFFFFF" w:val="clear"/>
        </w:rPr>
        <w:t xml:space="preserve"> </w:t>
      </w:r>
      <w:r>
        <w:rPr>
          <w:rFonts w:ascii="Times New Roman;sans-serif" w:hAnsi="Times New Roman;sans-serif"/>
          <w:b w:val="false"/>
          <w:color w:val="000000"/>
          <w:sz w:val="20"/>
          <w:shd w:fill="FFFFFF" w:val="clear"/>
        </w:rPr>
        <w:t xml:space="preserve">$700,000 </w:t>
      </w:r>
      <w:r>
        <w:rPr>
          <w:rFonts w:ascii="Times New Roman;sans-serif" w:hAnsi="Times New Roman;sans-serif"/>
          <w:b w:val="false"/>
          <w:color w:val="000000"/>
          <w:sz w:val="20"/>
        </w:rPr>
        <w:t>and $547,000 for the three months ended March 31, 2025 and 2024, respectively. Expenditures for repairs and maintenance are expensed as incurred.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2025, financing activities provided $7,010,000, which was attributable to borrowings on the line of credit of $7,500,000 to fund construction projects and other ongoing development such as Terra Vista and TRCC infrastructure, partially offset by the tax payments on vested share grants of $490,000.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2024, financing activities used $206,000, which was attributable to the tax payments on vested share grants.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 secure additional funding in the long-term through either the issuance of equity and/or by securing other forms of financing such as joint venture equity and debt financing.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short-term and long-term capital investment needs. Based on the timing of capital investments, we may supplement our current cash, marketable securities, and operational funding sources through the sale of common stock and/or the incurrence of additional debt.</w:t>
      </w: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 xml:space="preserve">Capital Structure and Financial Condition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total capitalization at book value was $562,280,000, consisting of $74,442,000 of debt and $487,838,000 of equity, resulting in a debt-to-total-capitalization ratio of approximately 13.2%.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March 31, 2025, the Company's NLER was in tier 3, or less than 35%, and the applicable interest rate spread was 2.25%. We received partial patronage credit in February 2025 of $420,000 which represents 125 basis points from the primary lender and we received the remaining patronage credit in March 2025 for $202,000 which represents 100 basis point from the other participating lenders.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were in compliance with all financial covenants.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and/or issuance of additional common stock.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a strong liquidity position at March 31, 2025 with $32,931,000 in cash and securities and $85,558,000 available on our RLC to meet any short-term liquidity needs. See Note 3 (Marketable Securities) and Note 7 (Line of Credit and Long-Term Debt) of the Notes to Unaudited Consolidated Financial Statements for more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expect that substantial investments will be required to develop our land assets. To meet these capital requirements, we may need to secure additional debt financing and continue to renew our existing credit facilities. In addition to debt financing, we can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Contractual Cash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cash obligations and commercial commitments as of March 31, 2025, to be paid over the next five years and thereafter:</w:t>
      </w:r>
    </w:p>
    <w:tbl>
      <w:tblPr>
        <w:tblW w:w="10205" w:type="dxa"/>
        <w:jc w:val="center"/>
        <w:tblInd w:w="0" w:type="dxa"/>
        <w:tblLayout w:type="fixed"/>
        <w:tblCellMar>
          <w:top w:w="28" w:type="dxa"/>
          <w:left w:w="28" w:type="dxa"/>
          <w:bottom w:w="28" w:type="dxa"/>
          <w:right w:w="28" w:type="dxa"/>
        </w:tblCellMar>
      </w:tblPr>
      <w:tblGrid>
        <w:gridCol w:w="736"/>
        <w:gridCol w:w="455"/>
        <w:gridCol w:w="443"/>
        <w:gridCol w:w="238"/>
        <w:gridCol w:w="1103"/>
        <w:gridCol w:w="123"/>
        <w:gridCol w:w="123"/>
        <w:gridCol w:w="123"/>
        <w:gridCol w:w="123"/>
        <w:gridCol w:w="256"/>
        <w:gridCol w:w="876"/>
        <w:gridCol w:w="132"/>
        <w:gridCol w:w="123"/>
        <w:gridCol w:w="123"/>
        <w:gridCol w:w="123"/>
        <w:gridCol w:w="238"/>
        <w:gridCol w:w="815"/>
        <w:gridCol w:w="123"/>
        <w:gridCol w:w="123"/>
        <w:gridCol w:w="123"/>
        <w:gridCol w:w="123"/>
        <w:gridCol w:w="238"/>
        <w:gridCol w:w="934"/>
        <w:gridCol w:w="123"/>
        <w:gridCol w:w="123"/>
        <w:gridCol w:w="123"/>
        <w:gridCol w:w="123"/>
        <w:gridCol w:w="238"/>
        <w:gridCol w:w="1103"/>
        <w:gridCol w:w="123"/>
        <w:gridCol w:w="123"/>
        <w:gridCol w:w="123"/>
        <w:gridCol w:w="186"/>
      </w:tblGrid>
      <w:tr>
        <w:trPr/>
        <w:tc>
          <w:tcPr>
            <w:tcW w:w="7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 Due by Period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4-5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Obligations:</w:t>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water payments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line-of-credit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contract commitments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Defined Benefit Plan </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SERP</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1,587,369 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1,412,171 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3" w:type="dxa"/>
            <w:gridSpan w:val="30"/>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Amount primarily represents our contractual commitments related to our multifamily development.</w:t>
            </w:r>
          </w:p>
        </w:tc>
        <w:tc>
          <w:tcPr>
            <w:tcW w:w="4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Amount represents Nickel Family water contract payments through 2044 and SWP contract payments through 2085, assuming 3% of escalation on payment each year. For the most significant component, the WRMWSD contract payment, we used an average of the actual water payments for the past five years (2020-2024) as base year, or $5.42 million, escalating 3% each year, to derive at the number disclosed.</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above includes only those contracts that include fixed or minimum obligations. It does not include normal purchases that are made in the ordinary course of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2085. Please refer to Note 5 (Long-Term Water Assets) of the Notes to Consolidated Financial Statements for additional information regarding water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cash contract commitments consist of contracts in various stages of completion related to infrastructure development within our industrial and multi-family developments and entitlement costs related to our industrial and residential development projects. Also, included in the cash contract commitments are estimated fees earned in 2014 by a consultant, related to the entitlement of the Grapevine Development Area. We exited a consulting contract in 2014 related to the Grapevine Development and are obligated to pay an earned incentive fee at the time of successful receipt of all project permits and entitlements and at a value measurement date five-years after project permits have been achieved for Grapevine. The final amount of the incentive fees will not be finalized until the future payment dates. We believe that net savings from exiting the contract over this future time period will more than offset the incentive payment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don't expect to make contributions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Off-Balance Sheet Arrangements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$95,660,000 of outstanding bond debt sold by TRPFFA for TRCC-East. At TRCC-West, the West CFD has no additional bond debt approved for issuance. On July 25, 2024, TRPFFA sold bonds which will provide approximately $25,000,000 of improvement funds for the reimbursement of public infrastructure costs at TRCC-East. At TRCC-East, the East CFD has approximately $18,605,000 of additional bond debt authorized by TRPFFA.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aggregate outstanding debt of unconsolidated joint ventures was $220,185,000; $20,464,000 of this debt was attributable to the loan for TRCC/Rock Outlet joint venture. This loan was 100% guaranteed at March 31, 2025. All other outstanding debt attributed to our joint ventures have met their respective debt covenants, and hence were not subject to an effective guarantee at March 31, 2025. We do not provide a guarantee on the $11,602,000 of debt related to our joint venture with TA/Petro.</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6EBF"/>
          <w:sz w:val="20"/>
        </w:rPr>
      </w:pPr>
      <w:r>
        <w:rPr>
          <w:rFonts w:ascii="Times New Roman;sans-serif" w:hAnsi="Times New Roman;sans-serif"/>
          <w:b/>
          <w:color w:val="006EBF"/>
          <w:sz w:val="20"/>
        </w:rPr>
        <w:t>Non-GAAP Financial Measures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In addition, the Company excludes other items impacting comparability to provide a clearer understanding of its core operating performance.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w:t>
      </w:r>
    </w:p>
    <w:tbl>
      <w:tblPr>
        <w:tblW w:w="9640" w:type="dxa"/>
        <w:jc w:val="left"/>
        <w:tblInd w:w="0" w:type="dxa"/>
        <w:tblLayout w:type="fixed"/>
        <w:tblCellMar>
          <w:top w:w="28" w:type="dxa"/>
          <w:left w:w="28" w:type="dxa"/>
          <w:bottom w:w="28" w:type="dxa"/>
          <w:right w:w="28" w:type="dxa"/>
        </w:tblCellMar>
      </w:tblPr>
      <w:tblGrid>
        <w:gridCol w:w="2344"/>
        <w:gridCol w:w="2062"/>
        <w:gridCol w:w="2074"/>
        <w:gridCol w:w="247"/>
        <w:gridCol w:w="810"/>
        <w:gridCol w:w="127"/>
        <w:gridCol w:w="127"/>
        <w:gridCol w:w="127"/>
        <w:gridCol w:w="127"/>
        <w:gridCol w:w="247"/>
        <w:gridCol w:w="740"/>
        <w:gridCol w:w="127"/>
        <w:gridCol w:w="109"/>
        <w:gridCol w:w="109"/>
        <w:gridCol w:w="109"/>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share of interest expense from unconsolidated joint ventures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net</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share of depreciation and amortization from unconsolidated joint ventures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impacting comparability:</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Shareholder activism expense </w:t>
            </w:r>
            <w:r>
              <w:rPr>
                <w:rFonts w:ascii="Times New Roman;sans-serif" w:hAnsi="Times New Roman;sans-serif"/>
                <w:b w:val="false"/>
                <w:color w:val="000000"/>
                <w:sz w:val="13"/>
              </w:rPr>
              <w:t>1</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Represents advisory fees related to shareholder activism matters.</w:t>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tbl>
      <w:tblPr>
        <w:tblW w:w="8279" w:type="dxa"/>
        <w:jc w:val="center"/>
        <w:tblInd w:w="0" w:type="dxa"/>
        <w:tblLayout w:type="fixed"/>
        <w:tblCellMar>
          <w:top w:w="28" w:type="dxa"/>
          <w:left w:w="28" w:type="dxa"/>
          <w:bottom w:w="28" w:type="dxa"/>
          <w:right w:w="28" w:type="dxa"/>
        </w:tblCellMar>
      </w:tblPr>
      <w:tblGrid>
        <w:gridCol w:w="1851"/>
        <w:gridCol w:w="1627"/>
        <w:gridCol w:w="1637"/>
        <w:gridCol w:w="254"/>
        <w:gridCol w:w="760"/>
        <w:gridCol w:w="131"/>
        <w:gridCol w:w="131"/>
        <w:gridCol w:w="131"/>
        <w:gridCol w:w="131"/>
        <w:gridCol w:w="254"/>
        <w:gridCol w:w="760"/>
        <w:gridCol w:w="131"/>
        <w:gridCol w:w="109"/>
        <w:gridCol w:w="109"/>
        <w:gridCol w:w="109"/>
        <w:gridCol w:w="154"/>
      </w:tblGrid>
      <w:tr>
        <w:trPr/>
        <w:tc>
          <w:tcPr>
            <w:tcW w:w="18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operating income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Commercial/Industrial depreciation and amortization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General, administrative, cost of sales and other expenses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revenues including land sales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Commercial/Industrial net operating income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1,867</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1,873</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589" w:type="dxa"/>
        <w:jc w:val="left"/>
        <w:tblInd w:w="0" w:type="dxa"/>
        <w:tblLayout w:type="fixed"/>
        <w:tblCellMar>
          <w:top w:w="28" w:type="dxa"/>
          <w:left w:w="28" w:type="dxa"/>
          <w:bottom w:w="28" w:type="dxa"/>
          <w:right w:w="28" w:type="dxa"/>
        </w:tblCellMar>
      </w:tblPr>
      <w:tblGrid>
        <w:gridCol w:w="1600"/>
        <w:gridCol w:w="1407"/>
        <w:gridCol w:w="1418"/>
        <w:gridCol w:w="254"/>
        <w:gridCol w:w="760"/>
        <w:gridCol w:w="131"/>
        <w:gridCol w:w="131"/>
        <w:gridCol w:w="131"/>
        <w:gridCol w:w="131"/>
        <w:gridCol w:w="254"/>
        <w:gridCol w:w="760"/>
        <w:gridCol w:w="131"/>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Pastoria Energy Facility</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 leases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 leases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Commercial/Industrial net operating income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1,867</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1,873</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tbl>
      <w:tblPr>
        <w:tblW w:w="8443" w:type="dxa"/>
        <w:jc w:val="left"/>
        <w:tblInd w:w="0" w:type="dxa"/>
        <w:tblLayout w:type="fixed"/>
        <w:tblCellMar>
          <w:top w:w="28" w:type="dxa"/>
          <w:left w:w="28" w:type="dxa"/>
          <w:bottom w:w="28" w:type="dxa"/>
          <w:right w:w="28" w:type="dxa"/>
        </w:tblCellMar>
      </w:tblPr>
      <w:tblGrid>
        <w:gridCol w:w="1911"/>
        <w:gridCol w:w="1680"/>
        <w:gridCol w:w="1688"/>
        <w:gridCol w:w="254"/>
        <w:gridCol w:w="760"/>
        <w:gridCol w:w="131"/>
        <w:gridCol w:w="131"/>
        <w:gridCol w:w="131"/>
        <w:gridCol w:w="131"/>
        <w:gridCol w:w="254"/>
        <w:gridCol w:w="760"/>
        <w:gridCol w:w="131"/>
        <w:gridCol w:w="109"/>
        <w:gridCol w:w="109"/>
        <w:gridCol w:w="109"/>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unconsolidated joint ventures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of unconsolidated joint ventures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of unconsolidated joint ventures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joint ventures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operating income of unconsolidated joint ventures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8,250</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8,852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Market Risks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financial market risks includes changes to interest rates and credit risks related to marketable securities, interest rates related to our outstanding indebtedness and trade receivables.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RCL has a $74,442,000 outstanding balance. The interest rate on this line of credit can float at a rate equal to one-month term SOFR plus 2.25%, before patronage, for an effective rate of 6.60% at March 31, 2025. During the term of this RCL (which matures in January 2029), we can borrow at any time and partially or wholly repay any outstanding borrowings and then re-borrow, as necessary outstanding balances.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pStyle w:val="TextBody"/>
        <w:bidi w:val="0"/>
        <w:spacing w:before="10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Sensitivity Financial Market Risks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Amount by Expected Maturity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At March 31, 2025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 data)</w:t>
      </w:r>
    </w:p>
    <w:tbl>
      <w:tblPr>
        <w:tblW w:w="10205" w:type="dxa"/>
        <w:jc w:val="center"/>
        <w:tblInd w:w="0" w:type="dxa"/>
        <w:tblLayout w:type="fixed"/>
        <w:tblCellMar>
          <w:top w:w="28" w:type="dxa"/>
          <w:left w:w="28" w:type="dxa"/>
          <w:bottom w:w="28" w:type="dxa"/>
          <w:right w:w="28" w:type="dxa"/>
        </w:tblCellMar>
      </w:tblPr>
      <w:tblGrid>
        <w:gridCol w:w="668"/>
        <w:gridCol w:w="511"/>
        <w:gridCol w:w="516"/>
        <w:gridCol w:w="265"/>
        <w:gridCol w:w="265"/>
        <w:gridCol w:w="269"/>
        <w:gridCol w:w="109"/>
        <w:gridCol w:w="109"/>
        <w:gridCol w:w="109"/>
        <w:gridCol w:w="242"/>
        <w:gridCol w:w="242"/>
        <w:gridCol w:w="247"/>
        <w:gridCol w:w="109"/>
        <w:gridCol w:w="109"/>
        <w:gridCol w:w="109"/>
        <w:gridCol w:w="211"/>
        <w:gridCol w:w="211"/>
        <w:gridCol w:w="212"/>
        <w:gridCol w:w="109"/>
        <w:gridCol w:w="109"/>
        <w:gridCol w:w="109"/>
        <w:gridCol w:w="211"/>
        <w:gridCol w:w="211"/>
        <w:gridCol w:w="212"/>
        <w:gridCol w:w="109"/>
        <w:gridCol w:w="109"/>
        <w:gridCol w:w="109"/>
        <w:gridCol w:w="265"/>
        <w:gridCol w:w="265"/>
        <w:gridCol w:w="269"/>
        <w:gridCol w:w="109"/>
        <w:gridCol w:w="109"/>
        <w:gridCol w:w="109"/>
        <w:gridCol w:w="310"/>
        <w:gridCol w:w="310"/>
        <w:gridCol w:w="311"/>
        <w:gridCol w:w="109"/>
        <w:gridCol w:w="109"/>
        <w:gridCol w:w="109"/>
        <w:gridCol w:w="265"/>
        <w:gridCol w:w="265"/>
        <w:gridCol w:w="269"/>
        <w:gridCol w:w="109"/>
        <w:gridCol w:w="109"/>
        <w:gridCol w:w="109"/>
        <w:gridCol w:w="288"/>
        <w:gridCol w:w="279"/>
        <w:gridCol w:w="327"/>
      </w:tblGrid>
      <w:tr>
        <w:trPr/>
        <w:tc>
          <w:tcPr>
            <w:tcW w:w="6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$20,649</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line-of-credit</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$74,442</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interest rate</w:t>
            </w:r>
            <w:r>
              <w:rPr>
                <w:rFonts w:ascii="Times New Roman;sans-serif" w:hAnsi="Times New Roman;sans-serif"/>
                <w:b w:val="false"/>
                <w:color w:val="000000"/>
                <w:sz w:val="13"/>
              </w:rPr>
              <w:t>1</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The effective interest rate on this line of credit is SOFR plus a margin of 2.25%. The all-in rate was 6.60% as of March 31, 2025, before patronage.</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Sensitivity Financial Market Risks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Amount by Expected Maturity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At December 31,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 data)</w:t>
      </w:r>
    </w:p>
    <w:tbl>
      <w:tblPr>
        <w:tblW w:w="10205" w:type="dxa"/>
        <w:jc w:val="center"/>
        <w:tblInd w:w="0" w:type="dxa"/>
        <w:tblLayout w:type="fixed"/>
        <w:tblCellMar>
          <w:top w:w="28" w:type="dxa"/>
          <w:left w:w="28" w:type="dxa"/>
          <w:bottom w:w="28" w:type="dxa"/>
          <w:right w:w="28" w:type="dxa"/>
        </w:tblCellMar>
      </w:tblPr>
      <w:tblGrid>
        <w:gridCol w:w="684"/>
        <w:gridCol w:w="529"/>
        <w:gridCol w:w="535"/>
        <w:gridCol w:w="266"/>
        <w:gridCol w:w="266"/>
        <w:gridCol w:w="270"/>
        <w:gridCol w:w="109"/>
        <w:gridCol w:w="109"/>
        <w:gridCol w:w="109"/>
        <w:gridCol w:w="214"/>
        <w:gridCol w:w="214"/>
        <w:gridCol w:w="216"/>
        <w:gridCol w:w="109"/>
        <w:gridCol w:w="109"/>
        <w:gridCol w:w="109"/>
        <w:gridCol w:w="214"/>
        <w:gridCol w:w="214"/>
        <w:gridCol w:w="216"/>
        <w:gridCol w:w="109"/>
        <w:gridCol w:w="109"/>
        <w:gridCol w:w="109"/>
        <w:gridCol w:w="214"/>
        <w:gridCol w:w="214"/>
        <w:gridCol w:w="216"/>
        <w:gridCol w:w="109"/>
        <w:gridCol w:w="109"/>
        <w:gridCol w:w="109"/>
        <w:gridCol w:w="266"/>
        <w:gridCol w:w="266"/>
        <w:gridCol w:w="270"/>
        <w:gridCol w:w="109"/>
        <w:gridCol w:w="109"/>
        <w:gridCol w:w="109"/>
        <w:gridCol w:w="310"/>
        <w:gridCol w:w="310"/>
        <w:gridCol w:w="311"/>
        <w:gridCol w:w="109"/>
        <w:gridCol w:w="109"/>
        <w:gridCol w:w="109"/>
        <w:gridCol w:w="266"/>
        <w:gridCol w:w="266"/>
        <w:gridCol w:w="270"/>
        <w:gridCol w:w="109"/>
        <w:gridCol w:w="109"/>
        <w:gridCol w:w="109"/>
        <w:gridCol w:w="288"/>
        <w:gridCol w:w="279"/>
        <w:gridCol w:w="332"/>
      </w:tblGrid>
      <w:tr>
        <w:trPr/>
        <w:tc>
          <w:tcPr>
            <w:tcW w:w="6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$14,441</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line-of-credit</w:t>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$66,942</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interest rate</w:t>
            </w:r>
            <w:r>
              <w:rPr>
                <w:rFonts w:ascii="Times New Roman;sans-serif" w:hAnsi="Times New Roman;sans-serif"/>
                <w:b w:val="false"/>
                <w:color w:val="000000"/>
                <w:sz w:val="13"/>
              </w:rPr>
              <w:t>1</w:t>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The effective interest rate on this line of credit is SOFR plus a margin of 2.25%. The all-in rate was 6.85% as of December 31, 2024, before patronage.</w:t>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Commodity Price Exposure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no receivables that were subject to commodity price fluctuations given there was no pistachio yield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4. CONTROLS AND PROCEDURES</w:t>
      </w:r>
    </w:p>
    <w:p>
      <w:pPr>
        <w:pStyle w:val="TextBody"/>
        <w:bidi w:val="0"/>
        <w:spacing w:lineRule="auto" w:line="288" w:before="12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(a)Evaluation of Disclosure Controls and Procedures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pStyle w:val="TextBody"/>
        <w:bidi w:val="0"/>
        <w:spacing w:lineRule="auto" w:line="288" w:before="12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(b)Changes in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1. Legal Proceedings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Note 11 (Commitments and Contingencies) in the Notes to Unaudited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1A. Risk Factors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Part I, Item 1A in our most recent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2. Unregistered Sales of Equity Securities and Use of Proceeds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3. Defaults Upon Senior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4. 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5. Other Information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Not applicable.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917"/>
        <w:gridCol w:w="2810"/>
        <w:gridCol w:w="2817"/>
        <w:gridCol w:w="109"/>
        <w:gridCol w:w="109"/>
        <w:gridCol w:w="109"/>
        <w:gridCol w:w="152"/>
        <w:gridCol w:w="152"/>
        <w:gridCol w:w="222"/>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6. Exhibits: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00"/>
                  <w:sz w:val="20"/>
                </w:rPr>
                <w:t>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00"/>
                  <w:sz w:val="20"/>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00"/>
                  <w:sz w:val="20"/>
                </w:rPr>
                <w:t>Registration and Reimbursement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5</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00"/>
                  <w:sz w:val="20"/>
                </w:rPr>
                <w:t>Form of Indenture for Debt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37</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Service Contract with Wheeler Ridge-Maricopa Water Storage District (without exhibits), amendments originally filed under Item 11 to Registrant's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6</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00"/>
                  <w:sz w:val="20"/>
                </w:rPr>
                <w:t>*Severance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00"/>
                  <w:sz w:val="20"/>
                </w:rPr>
                <w:t>*Director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00"/>
                  <w:sz w:val="20"/>
                </w:rPr>
                <w:t>*Amended and Restated Non-Employee Director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8</w:t>
            </w:r>
          </w:p>
        </w:tc>
      </w:tr>
    </w:tbl>
    <w:tbl>
      <w:tblPr>
        <w:tblW w:w="9579" w:type="dxa"/>
        <w:jc w:val="left"/>
        <w:tblInd w:w="0" w:type="dxa"/>
        <w:tblLayout w:type="fixed"/>
        <w:tblCellMar>
          <w:top w:w="28" w:type="dxa"/>
          <w:left w:w="28" w:type="dxa"/>
          <w:bottom w:w="28" w:type="dxa"/>
          <w:right w:w="28" w:type="dxa"/>
        </w:tblCellMar>
      </w:tblPr>
      <w:tblGrid>
        <w:gridCol w:w="336"/>
        <w:gridCol w:w="295"/>
        <w:gridCol w:w="225"/>
        <w:gridCol w:w="109"/>
        <w:gridCol w:w="109"/>
        <w:gridCol w:w="109"/>
        <w:gridCol w:w="2473"/>
        <w:gridCol w:w="2473"/>
        <w:gridCol w:w="2478"/>
        <w:gridCol w:w="109"/>
        <w:gridCol w:w="109"/>
        <w:gridCol w:w="109"/>
        <w:gridCol w:w="188"/>
        <w:gridCol w:w="188"/>
        <w:gridCol w:w="269"/>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00"/>
                  <w:sz w:val="20"/>
                </w:rPr>
                <w:t>*Stock Option Agreement Pursuant to the Non-Employee Director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00"/>
                  <w:sz w:val="20"/>
                </w:rPr>
                <w:t>*Amended and Restated 1998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9</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00"/>
                  <w:sz w:val="20"/>
                </w:rPr>
                <w:t>*Stock Option Agreement Pursuant to the 1998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00"/>
                  <w:sz w:val="20"/>
                </w:rPr>
                <w:t>Ground Lease with Pastoria Energy Facility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10</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00"/>
                  <w:sz w:val="20"/>
                </w:rPr>
                <w:t>Form of Securities Purchase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11</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00"/>
                  <w:sz w:val="20"/>
                </w:rPr>
                <w:t>Form of Registration Rights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12</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00"/>
                  <w:sz w:val="20"/>
                </w:rPr>
                <w:t>*2004 Stock Incentive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13</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00"/>
                  <w:sz w:val="20"/>
                </w:rPr>
                <w:t>*Form of Restricted Stock Agreement for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13</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00"/>
                  <w:sz w:val="20"/>
                </w:rPr>
                <w:t>*Form of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13</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00"/>
                  <w:sz w:val="20"/>
                </w:rPr>
                <w:t>Limited Liability Company Agreement of Tejon Mountain Village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14</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00"/>
                  <w:sz w:val="20"/>
                </w:rPr>
                <w:t>Tejon Ranch Conservation and Land Use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15</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00"/>
                  <w:sz w:val="20"/>
                </w:rPr>
                <w:t>Second Amended and Restated Limited Liability Agreement of Centennial Founders,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16</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00"/>
                  <w:sz w:val="20"/>
                </w:rPr>
                <w:t>*Executive Employment Agreement - Allen E. Lyda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17</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00"/>
                  <w:sz w:val="20"/>
                </w:rPr>
                <w:t>Limited Liability Company Agreement of TRCC/Rock Outlet Center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18</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00"/>
                  <w:sz w:val="20"/>
                </w:rPr>
                <w:t>Warrant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19</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00"/>
                  <w:sz w:val="20"/>
                </w:rPr>
                <w:t>Amendments to Limited Liability Company Agreement of Tejon Mountain Village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20</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4"/>
        <w:gridCol w:w="330"/>
        <w:gridCol w:w="121"/>
        <w:gridCol w:w="109"/>
        <w:gridCol w:w="109"/>
        <w:gridCol w:w="109"/>
        <w:gridCol w:w="2574"/>
        <w:gridCol w:w="2489"/>
        <w:gridCol w:w="2495"/>
        <w:gridCol w:w="109"/>
        <w:gridCol w:w="109"/>
        <w:gridCol w:w="109"/>
        <w:gridCol w:w="338"/>
        <w:gridCol w:w="338"/>
        <w:gridCol w:w="492"/>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80"/>
                  <w:sz w:val="20"/>
                </w:rPr>
                <w:t>Membership Interest Purchase Agreement - T</w:t>
              </w:r>
            </w:hyperlink>
            <w:hyperlink r:id="rId27">
              <w:r>
                <w:rPr>
                  <w:rStyle w:val="InternetLink"/>
                  <w:rFonts w:ascii="Times New Roman;sans-serif" w:hAnsi="Times New Roman;sans-serif"/>
                  <w:b w:val="false"/>
                  <w:color w:val="000080"/>
                  <w:sz w:val="20"/>
                </w:rPr>
                <w:t xml:space="preserve">ejon </w:t>
              </w:r>
            </w:hyperlink>
            <w:hyperlink r:id="rId28">
              <w:r>
                <w:rPr>
                  <w:rStyle w:val="InternetLink"/>
                  <w:rFonts w:ascii="Times New Roman;sans-serif" w:hAnsi="Times New Roman;sans-serif"/>
                  <w:b w:val="false"/>
                  <w:color w:val="000080"/>
                  <w:sz w:val="20"/>
                </w:rPr>
                <w:t>M</w:t>
              </w:r>
            </w:hyperlink>
            <w:hyperlink r:id="rId29">
              <w:r>
                <w:rPr>
                  <w:rStyle w:val="InternetLink"/>
                  <w:rFonts w:ascii="Times New Roman;sans-serif" w:hAnsi="Times New Roman;sans-serif"/>
                  <w:b w:val="false"/>
                  <w:color w:val="000080"/>
                  <w:sz w:val="20"/>
                </w:rPr>
                <w:t xml:space="preserve">ountain </w:t>
              </w:r>
            </w:hyperlink>
            <w:hyperlink r:id="rId30">
              <w:r>
                <w:rPr>
                  <w:rStyle w:val="InternetLink"/>
                  <w:rFonts w:ascii="Times New Roman;sans-serif" w:hAnsi="Times New Roman;sans-serif"/>
                  <w:b w:val="false"/>
                  <w:color w:val="000080"/>
                  <w:sz w:val="20"/>
                </w:rPr>
                <w:t>V</w:t>
              </w:r>
            </w:hyperlink>
            <w:hyperlink r:id="rId31">
              <w:r>
                <w:rPr>
                  <w:rStyle w:val="InternetLink"/>
                  <w:rFonts w:ascii="Times New Roman;sans-serif" w:hAnsi="Times New Roman;sans-serif"/>
                  <w:b w:val="false"/>
                  <w:color w:val="000080"/>
                  <w:sz w:val="20"/>
                </w:rPr>
                <w:t>illage</w:t>
              </w:r>
            </w:hyperlink>
            <w:hyperlink r:id="rId32">
              <w:r>
                <w:rPr>
                  <w:rStyle w:val="InternetLink"/>
                  <w:rFonts w:ascii="Times New Roman;sans-serif" w:hAnsi="Times New Roman;sans-serif"/>
                  <w:b w:val="false"/>
                  <w:color w:val="000080"/>
                  <w:sz w:val="20"/>
                </w:rPr>
                <w:t xml:space="preserv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21</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00"/>
                  <w:sz w:val="20"/>
                </w:rPr>
                <w:t xml:space="preserve">Amendments to Lease Agreement with Pastoria Energy Facility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23</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00"/>
                  <w:sz w:val="20"/>
                </w:rPr>
                <w:t>Water Supply Agreement with Pastoria Energy Facility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24</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00"/>
                  <w:sz w:val="20"/>
                </w:rPr>
                <w:t>Limited Liability Company Agreement of TRC-MRC 2,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26</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00"/>
                  <w:sz w:val="20"/>
                </w:rPr>
                <w:t>Limited Liability Company Agreement of TRC-MRC 1,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27</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80"/>
                  <w:sz w:val="20"/>
                </w:rPr>
                <w:t>Centennial</w:t>
              </w:r>
            </w:hyperlink>
            <w:hyperlink r:id="rId38">
              <w:r>
                <w:rPr>
                  <w:rStyle w:val="InternetLink"/>
                  <w:rFonts w:ascii="Times New Roman;sans-serif" w:hAnsi="Times New Roman;sans-serif"/>
                  <w:b w:val="false"/>
                  <w:color w:val="000080"/>
                  <w:sz w:val="20"/>
                </w:rPr>
                <w:t xml:space="preserve"> Founders, LLC</w:t>
              </w:r>
            </w:hyperlink>
            <w:hyperlink r:id="rId39">
              <w:r>
                <w:rPr>
                  <w:rStyle w:val="InternetLink"/>
                  <w:rFonts w:ascii="Times New Roman;sans-serif" w:hAnsi="Times New Roman;sans-serif"/>
                  <w:b w:val="false"/>
                  <w:color w:val="000080"/>
                  <w:sz w:val="20"/>
                </w:rPr>
                <w:t xml:space="preserve"> Redemption and Withdrawal Agreement</w:t>
              </w:r>
            </w:hyperlink>
            <w:r>
              <w:rPr>
                <w:rFonts w:ascii="Times New Roman;sans-serif" w:hAnsi="Times New Roman;sans-serif"/>
                <w:b w:val="false"/>
                <w:color w:val="000000"/>
                <w:sz w:val="20"/>
              </w:rPr>
              <w:t xml:space="preserve"> - Lewis Tejon 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28</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00"/>
                  <w:sz w:val="20"/>
                </w:rPr>
                <w:t>First Amendment to Second Amended and Restated Limited Liability Company Agreement of Centennial Founders,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29</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00"/>
                  <w:sz w:val="20"/>
                </w:rPr>
                <w:t>Second Amendment to Second Amended and Restated Limited Liability Company Agreement of Centennial Founders,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30</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00"/>
                  <w:sz w:val="20"/>
                </w:rPr>
                <w:t>Limited Liability Company Agreement of TRC-MRC 3,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31</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00"/>
                  <w:sz w:val="20"/>
                </w:rPr>
                <w:t>Fourth Amendment to Second Amended and Restated Limited Liability Company Agreement of Centennial Founders,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32</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80"/>
                  <w:sz w:val="20"/>
                </w:rPr>
                <w:t>Centennial</w:t>
              </w:r>
            </w:hyperlink>
            <w:hyperlink r:id="rId45">
              <w:r>
                <w:rPr>
                  <w:rStyle w:val="InternetLink"/>
                  <w:rFonts w:ascii="Times New Roman;sans-serif" w:hAnsi="Times New Roman;sans-serif"/>
                  <w:b w:val="false"/>
                  <w:color w:val="000080"/>
                  <w:sz w:val="20"/>
                </w:rPr>
                <w:t xml:space="preserve"> Founders, LLC</w:t>
              </w:r>
            </w:hyperlink>
            <w:hyperlink r:id="rId46">
              <w:r>
                <w:rPr>
                  <w:rStyle w:val="InternetLink"/>
                  <w:rFonts w:ascii="Times New Roman;sans-serif" w:hAnsi="Times New Roman;sans-serif"/>
                  <w:b w:val="false"/>
                  <w:color w:val="000080"/>
                  <w:sz w:val="20"/>
                </w:rPr>
                <w:t xml:space="preserve"> Redemption and Withdrawal Agreement - CalAtlantic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33</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hyperlink r:id="rId47">
              <w:r>
                <w:rPr>
                  <w:rStyle w:val="InternetLink"/>
                  <w:rFonts w:ascii="Times New Roman;sans-serif" w:hAnsi="Times New Roman;sans-serif"/>
                  <w:b w:val="false"/>
                  <w:color w:val="000080"/>
                  <w:sz w:val="20"/>
                </w:rPr>
                <w:t>Executive Severance Agreement - Executive Severance Agreement - Gregory S. Bielli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38</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00"/>
                  <w:sz w:val="20"/>
                </w:rPr>
                <w:t>Limited Liability Company Agreement of TRC-MRC 4,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39</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00"/>
                  <w:sz w:val="20"/>
                </w:rPr>
                <w:t>Settlement Agreement of CEQA litigation with Climate Resolve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40</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00"/>
                  <w:sz w:val="20"/>
                </w:rPr>
                <w:t>Limited Liability Company Agreement of TRC-MRC Multi 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41</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00"/>
                  <w:sz w:val="20"/>
                </w:rPr>
                <w:t>Limited Liability Company Agreement of TRC-MRC 5,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42</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00"/>
                  <w:sz w:val="20"/>
                </w:rPr>
                <w:t>Credit Agreement Between Tejon Ranchcorp and Bank of America, 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43</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00"/>
                  <w:sz w:val="20"/>
                </w:rPr>
                <w:t>Executive Officer Severance Agreement – Marc Hardy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44</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00"/>
                  <w:sz w:val="20"/>
                </w:rPr>
                <w:t>Credit Agreement Between Tejon Ranchcorp and AgWest Farm Credit, PCA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45</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00"/>
                  <w:sz w:val="20"/>
                </w:rPr>
                <w:t>Consulting Letter Agreement between Tejon Ranch Co. and Gregory S. Bielli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46</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00"/>
                  <w:sz w:val="20"/>
                </w:rPr>
                <w:t>Limited Liability Company Agreement of TRC-DP 1,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47</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hyperlink r:id="rId57">
              <w:r>
                <w:rPr>
                  <w:rStyle w:val="InternetLink"/>
                  <w:rFonts w:ascii="Times New Roman;sans-serif" w:hAnsi="Times New Roman;sans-serif"/>
                  <w:b w:val="false"/>
                  <w:color w:val="000080"/>
                  <w:sz w:val="20"/>
                </w:rPr>
                <w:t>Compensatory Agreement approved by the Board on February 10, 2025, by and among Tejon Ranch Co. and Matthew H. Walker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48</w:t>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80"/>
                  <w:sz w:val="20"/>
                </w:rPr>
                <w:t xml:space="preserve">Support Agreement, by and between </w:t>
              </w:r>
            </w:hyperlink>
            <w:hyperlink r:id="rId59">
              <w:r>
                <w:rPr>
                  <w:rStyle w:val="InternetLink"/>
                  <w:rFonts w:ascii="Times New Roman;sans-serif" w:hAnsi="Times New Roman;sans-serif"/>
                  <w:b w:val="false"/>
                  <w:color w:val="000080"/>
                  <w:sz w:val="20"/>
                </w:rPr>
                <w:t>Tejon R</w:t>
              </w:r>
            </w:hyperlink>
            <w:hyperlink r:id="rId60">
              <w:r>
                <w:rPr>
                  <w:rStyle w:val="InternetLink"/>
                  <w:rFonts w:ascii="Times New Roman;sans-serif" w:hAnsi="Times New Roman;sans-serif"/>
                  <w:b w:val="false"/>
                  <w:color w:val="000080"/>
                  <w:sz w:val="20"/>
                </w:rPr>
                <w:t>anc</w:t>
              </w:r>
            </w:hyperlink>
            <w:hyperlink r:id="rId61">
              <w:r>
                <w:rPr>
                  <w:rStyle w:val="InternetLink"/>
                  <w:rFonts w:ascii="Times New Roman;sans-serif" w:hAnsi="Times New Roman;sans-serif"/>
                  <w:b w:val="false"/>
                  <w:color w:val="000080"/>
                  <w:sz w:val="20"/>
                </w:rPr>
                <w:t xml:space="preserve">h </w:t>
              </w:r>
            </w:hyperlink>
            <w:hyperlink r:id="rId62">
              <w:r>
                <w:rPr>
                  <w:rStyle w:val="InternetLink"/>
                  <w:rFonts w:ascii="Times New Roman;sans-serif" w:hAnsi="Times New Roman;sans-serif"/>
                  <w:b w:val="false"/>
                  <w:color w:val="000080"/>
                  <w:sz w:val="20"/>
                </w:rPr>
                <w:t>Co.</w:t>
              </w:r>
            </w:hyperlink>
            <w:hyperlink r:id="rId63">
              <w:r>
                <w:rPr>
                  <w:rStyle w:val="InternetLink"/>
                  <w:rFonts w:ascii="Times New Roman;sans-serif" w:hAnsi="Times New Roman;sans-serif"/>
                  <w:b w:val="false"/>
                  <w:color w:val="000080"/>
                  <w:sz w:val="20"/>
                </w:rPr>
                <w:t xml:space="preserve"> and Nitor</w:t>
              </w:r>
            </w:hyperlink>
            <w:hyperlink r:id="rId64">
              <w:r>
                <w:rPr>
                  <w:rStyle w:val="InternetLink"/>
                  <w:rFonts w:ascii="Times New Roman;sans-serif" w:hAnsi="Times New Roman;sans-serif"/>
                  <w:b w:val="false"/>
                  <w:color w:val="000080"/>
                  <w:sz w:val="20"/>
                </w:rPr>
                <w:t xml:space="preserve"> Capital Ma</w:t>
              </w:r>
            </w:hyperlink>
            <w:hyperlink r:id="rId65">
              <w:r>
                <w:rPr>
                  <w:rStyle w:val="InternetLink"/>
                  <w:rFonts w:ascii="Times New Roman;sans-serif" w:hAnsi="Times New Roman;sans-serif"/>
                  <w:b w:val="false"/>
                  <w:color w:val="000080"/>
                  <w:sz w:val="20"/>
                </w:rPr>
                <w:t>nagement</w:t>
              </w:r>
            </w:hyperlink>
            <w:hyperlink r:id="rId66">
              <w:r>
                <w:rPr>
                  <w:rStyle w:val="InternetLink"/>
                  <w:rFonts w:ascii="Times New Roman;sans-serif" w:hAnsi="Times New Roman;sans-serif"/>
                  <w:b w:val="false"/>
                  <w:color w:val="000080"/>
                  <w:sz w:val="20"/>
                </w:rPr>
                <w:t>,</w:t>
              </w:r>
            </w:hyperlink>
            <w:hyperlink r:id="rId67">
              <w:r>
                <w:rPr>
                  <w:rStyle w:val="InternetLink"/>
                  <w:rFonts w:ascii="Times New Roman;sans-serif" w:hAnsi="Times New Roman;sans-serif"/>
                  <w:b w:val="false"/>
                  <w:color w:val="000080"/>
                  <w:sz w:val="20"/>
                </w:rPr>
                <w:t xml:space="preserve"> LLC,</w:t>
              </w:r>
            </w:hyperlink>
            <w:hyperlink r:id="rId68">
              <w:r>
                <w:rPr>
                  <w:rStyle w:val="InternetLink"/>
                  <w:rFonts w:ascii="Times New Roman;sans-serif" w:hAnsi="Times New Roman;sans-serif"/>
                  <w:b w:val="false"/>
                  <w:color w:val="000080"/>
                  <w:sz w:val="20"/>
                </w:rPr>
                <w:t xml:space="preserve"> dated November 4,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49</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section302certceoq120.htm">
              <w:r>
                <w:rPr>
                  <w:rStyle w:val="InternetLink"/>
                  <w:rFonts w:ascii="Times New Roman;sans-serif" w:hAnsi="Times New Roman;sans-serif"/>
                  <w:b w:val="false"/>
                  <w:color w:val="000000"/>
                  <w:sz w:val="20"/>
                </w:rPr>
                <w:t>Certification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section302cfoq12025.htm">
              <w:r>
                <w:rPr>
                  <w:rStyle w:val="InternetLink"/>
                  <w:rFonts w:ascii="Times New Roman;sans-serif" w:hAnsi="Times New Roman;sans-serif"/>
                  <w:b w:val="false"/>
                  <w:color w:val="000000"/>
                  <w:sz w:val="20"/>
                </w:rPr>
                <w:t>Certification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section906ceocfocaoq12.htm">
              <w:r>
                <w:rPr>
                  <w:rStyle w:val="InternetLink"/>
                  <w:rFonts w:ascii="Times New Roman;sans-serif" w:hAnsi="Times New Roman;sans-serif"/>
                  <w:b w:val="false"/>
                  <w:color w:val="000000"/>
                  <w:sz w:val="20"/>
                </w:rPr>
                <w:t>Certifications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
        <w:gridCol w:w="136"/>
        <w:gridCol w:w="137"/>
        <w:gridCol w:w="109"/>
        <w:gridCol w:w="109"/>
        <w:gridCol w:w="109"/>
        <w:gridCol w:w="2793"/>
        <w:gridCol w:w="2752"/>
        <w:gridCol w:w="3906"/>
      </w:tblGrid>
      <w:tr>
        <w:trPr/>
        <w:tc>
          <w:tcPr>
            <w:tcW w:w="15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906" w:type="dxa"/>
            <w:tcBorders/>
            <w:vAlign w:val="center"/>
          </w:tcPr>
          <w:p>
            <w:pPr>
              <w:pStyle w:val="TableContents"/>
              <w:bidi w:val="0"/>
              <w:spacing w:before="0" w:after="283"/>
              <w:jc w:val="left"/>
              <w:rPr>
                <w:sz w:val="4"/>
                <w:szCs w:val="4"/>
              </w:rPr>
            </w:pPr>
            <w:r>
              <w:rPr>
                <w:sz w:val="4"/>
                <w:szCs w:val="4"/>
              </w:rPr>
            </w:r>
          </w:p>
        </w:tc>
      </w:tr>
      <w:tr>
        <w:trPr/>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1" w:type="dxa"/>
            <w:gridSpan w:val="3"/>
            <w:tcBorders/>
            <w:vAlign w:val="center"/>
          </w:tcPr>
          <w:p>
            <w:pPr>
              <w:pStyle w:val="TableContents"/>
              <w:bidi w:val="0"/>
              <w:spacing w:before="0" w:after="283"/>
              <w:jc w:val="left"/>
              <w:rPr>
                <w:sz w:val="4"/>
                <w:szCs w:val="4"/>
              </w:rPr>
            </w:pPr>
            <w:r>
              <w:rPr>
                <w:sz w:val="4"/>
                <w:szCs w:val="4"/>
              </w:rPr>
            </w:r>
          </w:p>
        </w:tc>
      </w:tr>
      <w:tr>
        <w:trPr/>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3.1 to our Quarterly Report on Form 10-Q for the period ended June 30, 2021, is incorporated herein by reference.</w:t>
            </w:r>
          </w:p>
        </w:tc>
      </w:tr>
      <w:tr>
        <w:trPr/>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3.1 to our Current Report on Form 8-K filed on March 24, 2023, is incorporated herein by reference.</w:t>
            </w:r>
          </w:p>
        </w:tc>
      </w:tr>
      <w:tr>
        <w:trPr/>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1" w:type="dxa"/>
            <w:gridSpan w:val="3"/>
            <w:tcBorders/>
            <w:vAlign w:val="center"/>
          </w:tcPr>
          <w:p>
            <w:pPr>
              <w:pStyle w:val="TableContents"/>
              <w:bidi w:val="0"/>
              <w:spacing w:before="0" w:after="283"/>
              <w:jc w:val="left"/>
              <w:rPr>
                <w:sz w:val="4"/>
                <w:szCs w:val="4"/>
              </w:rPr>
            </w:pPr>
            <w:r>
              <w:rPr>
                <w:sz w:val="4"/>
                <w:szCs w:val="4"/>
              </w:rPr>
            </w:r>
          </w:p>
        </w:tc>
      </w:tr>
      <w:tr>
        <w:trPr/>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1" w:type="dxa"/>
            <w:gridSpan w:val="3"/>
            <w:tcBorders/>
            <w:vAlign w:val="center"/>
          </w:tcPr>
          <w:p>
            <w:pPr>
              <w:pStyle w:val="TableContents"/>
              <w:bidi w:val="0"/>
              <w:spacing w:before="0" w:after="283"/>
              <w:jc w:val="left"/>
              <w:rPr>
                <w:sz w:val="4"/>
                <w:szCs w:val="4"/>
              </w:rPr>
            </w:pPr>
            <w:r>
              <w:rPr>
                <w:sz w:val="4"/>
                <w:szCs w:val="4"/>
              </w:rPr>
            </w:r>
          </w:p>
        </w:tc>
      </w:tr>
      <w:tr>
        <w:trPr/>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4.1 to our Current Report on Form 8-K filed on December 20, 2005,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40"/>
        <w:gridCol w:w="141"/>
        <w:gridCol w:w="109"/>
        <w:gridCol w:w="109"/>
        <w:gridCol w:w="109"/>
        <w:gridCol w:w="2761"/>
        <w:gridCol w:w="2761"/>
        <w:gridCol w:w="3917"/>
      </w:tblGrid>
      <w:tr>
        <w:trPr/>
        <w:tc>
          <w:tcPr>
            <w:tcW w:w="1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under Item 14 to our Annual Report on Form 10-K for the year ended December 31, 1994, is incorporated herein by reference. This Exhibit was not filed with the Securities and Exchange Commission in an electronic format.</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under Item 14 to our Annual Report on Form 10-K for the year ended December 31, 1997,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10.9 to our Annual Report on Form 10-K for the year ended December 31, 2008,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10.10 to our Annual Report on Form 10-K for the year ended December 31, 2008,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10.16 to our Annual Report on Form 10-K for the year ended December 31, 2001,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4.1 to our Current Report on Form 8-K filed on May 7, 2004,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4.2 to our Current Report on Form 8-K filed on May 7, 2004,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Exhibits 10.21-10.23 to our Annual Report on Form 10-K for the year ended December 31, 2004,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10.24 to our Current Report on Form 8-K filed on May 24, 2006,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10.28 to our Current Report on Form 8-K filed on June 23, 2008,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10.25 to our Quarterly Report on Form 10-Q for the period ended June 30, 2009,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10.26 to our Quarterly Report on Form 10-Q for the period ended March 31, 2013, for the period ended March 31, 2013,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10.27 to our Current Report on Form 8-K filed on June 4, 2013,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10.1 to our Current Report on Form 8-K filed on August 8, 2013,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10.29 to our Amended Annual Report on Form 10-K/A for the year ended December 31, 2013,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10.30 to our Current Report on Form 8-K filed on July 16, 2014, is incorporated herein by reference.</w:t>
            </w:r>
          </w:p>
        </w:tc>
      </w:tr>
      <w:tr>
        <w:trPr/>
        <w:tc>
          <w:tcPr>
            <w:tcW w:w="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10.34 to our Annual Report on Form 10-K for the year ended December 31, 2014,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10.35 to our Quarterly Report on Form 10-Q for the period ended June 30, 2015, is incorporated herein by reference.</w:t>
            </w:r>
          </w:p>
        </w:tc>
      </w:tr>
      <w:tr>
        <w:trPr/>
        <w:tc>
          <w:tcPr>
            <w:tcW w:w="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10.37 to our Quarterly Report on Form 10-Q for the period ended June 30, 2016, is incorporated herein by reference.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10.38 to our Quarterly Report on Form 10-Q for the period ended September 30, 2016,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
        <w:gridCol w:w="150"/>
        <w:gridCol w:w="151"/>
        <w:gridCol w:w="109"/>
        <w:gridCol w:w="109"/>
        <w:gridCol w:w="109"/>
        <w:gridCol w:w="2751"/>
        <w:gridCol w:w="2751"/>
        <w:gridCol w:w="3906"/>
      </w:tblGrid>
      <w:tr>
        <w:trPr/>
        <w:tc>
          <w:tcPr>
            <w:tcW w:w="16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06" w:type="dxa"/>
            <w:tcBorders/>
            <w:vAlign w:val="center"/>
          </w:tcPr>
          <w:p>
            <w:pPr>
              <w:pStyle w:val="TableContents"/>
              <w:bidi w:val="0"/>
              <w:spacing w:before="0" w:after="283"/>
              <w:jc w:val="left"/>
              <w:rPr>
                <w:sz w:val="4"/>
                <w:szCs w:val="4"/>
              </w:rPr>
            </w:pPr>
            <w:r>
              <w:rPr>
                <w:sz w:val="4"/>
                <w:szCs w:val="4"/>
              </w:rPr>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10.39 to our Annual Report on Form 10-K for the year ended December 31, 2016,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10.40 to our Annual Report on Form 10-K for the year ended December 31, 2016,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10.41 to our Annual Report on Form 10-K for the year ended December 31, 2016,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10.42 to our Quarterly Report on Form 10-Q for the period ended September 30, 2018,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10.43 to our Annual Report on Form 10-K for the year ended December 31, 2018,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10.44 to our Annual Report on Form 10-K for the year ended December 31, 2018, is incorporated herein by reference.</w:t>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8" w:type="dxa"/>
            <w:gridSpan w:val="3"/>
            <w:tcBorders/>
            <w:vAlign w:val="center"/>
          </w:tcPr>
          <w:p>
            <w:pPr>
              <w:pStyle w:val="TableContents"/>
              <w:bidi w:val="0"/>
              <w:spacing w:before="0" w:after="283"/>
              <w:jc w:val="left"/>
              <w:rPr>
                <w:sz w:val="4"/>
                <w:szCs w:val="4"/>
              </w:rPr>
            </w:pPr>
            <w:r>
              <w:rPr>
                <w:sz w:val="4"/>
                <w:szCs w:val="4"/>
              </w:rPr>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8" w:type="dxa"/>
            <w:gridSpan w:val="3"/>
            <w:tcBorders/>
            <w:vAlign w:val="center"/>
          </w:tcPr>
          <w:p>
            <w:pPr>
              <w:pStyle w:val="TableContents"/>
              <w:bidi w:val="0"/>
              <w:spacing w:before="0" w:after="283"/>
              <w:jc w:val="left"/>
              <w:rPr>
                <w:sz w:val="4"/>
                <w:szCs w:val="4"/>
              </w:rPr>
            </w:pPr>
            <w:r>
              <w:rPr>
                <w:sz w:val="4"/>
                <w:szCs w:val="4"/>
              </w:rPr>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8" w:type="dxa"/>
            <w:gridSpan w:val="3"/>
            <w:tcBorders/>
            <w:vAlign w:val="center"/>
          </w:tcPr>
          <w:p>
            <w:pPr>
              <w:pStyle w:val="TableContents"/>
              <w:bidi w:val="0"/>
              <w:spacing w:before="0" w:after="283"/>
              <w:jc w:val="left"/>
              <w:rPr>
                <w:sz w:val="4"/>
                <w:szCs w:val="4"/>
              </w:rPr>
            </w:pPr>
            <w:r>
              <w:rPr>
                <w:sz w:val="4"/>
                <w:szCs w:val="4"/>
              </w:rPr>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333-231032) as Exhibit 4.6 to our Registration Statement on Form S-3 filed on April 25, 2019,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10.47 to our Annual Report on Form 10-K for the year ended December 31, 2019,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10.48 to our Quarterly Report on Form 10-Q for the period ended March 31, 2021,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10.49 to our Annual Report on Form 10-K for the year ended December 31, 2021,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10.50 to our Annual Report on Form 10-K for the year ended December 31, 2021,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10.51 to our Quarterly Report on Form 10-Q for the period ended March 31, 2022,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10.52 to our Quarterly Report on Form 10-Q for the period ended September 30, 2022,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10.53 to our Quarterly Report on Form 10-Q for the period ended June 30, 2023,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10.01 to our Current Report on Form 8-K on November 20, 2023,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10.01 to our Current Report on Form 8-K on March 26, 2024,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10.56 to our Quarterly Report on Form 10-Q for the period ended September 30, 2024, is incorporated herein by reference.</w:t>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8" w:type="dxa"/>
            <w:gridSpan w:val="3"/>
            <w:tcBorders/>
            <w:vAlign w:val="center"/>
          </w:tcPr>
          <w:p>
            <w:pPr>
              <w:pStyle w:val="TableContents"/>
              <w:bidi w:val="0"/>
              <w:spacing w:before="0" w:after="283"/>
              <w:jc w:val="left"/>
              <w:rPr>
                <w:sz w:val="4"/>
                <w:szCs w:val="4"/>
              </w:rPr>
            </w:pPr>
            <w:r>
              <w:rPr>
                <w:sz w:val="4"/>
                <w:szCs w:val="4"/>
              </w:rPr>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10.01 to our Current Report on Form 8-K on February 11, 2025, is incorporated herein by reference.</w:t>
            </w:r>
          </w:p>
        </w:tc>
      </w:tr>
      <w:tr>
        <w:trPr/>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10.01 to our Current Report on Form 8-K on November 8, 2024, is incorporated herein by reference.</w:t>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8" w:type="dxa"/>
            <w:gridSpan w:val="3"/>
            <w:tcBorders/>
            <w:vAlign w:val="center"/>
          </w:tcPr>
          <w:p>
            <w:pPr>
              <w:pStyle w:val="TableContents"/>
              <w:bidi w:val="0"/>
              <w:spacing w:before="0" w:after="283"/>
              <w:jc w:val="left"/>
              <w:rPr>
                <w:sz w:val="4"/>
                <w:szCs w:val="4"/>
              </w:rPr>
            </w:pPr>
            <w:r>
              <w:rPr>
                <w:sz w:val="4"/>
                <w:szCs w:val="4"/>
              </w:rPr>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8" w:type="dxa"/>
            <w:gridSpan w:val="3"/>
            <w:tcBorders/>
            <w:vAlign w:val="center"/>
          </w:tcPr>
          <w:p>
            <w:pPr>
              <w:pStyle w:val="TableContents"/>
              <w:bidi w:val="0"/>
              <w:spacing w:before="0" w:after="283"/>
              <w:jc w:val="left"/>
              <w:rPr>
                <w:sz w:val="4"/>
                <w:szCs w:val="4"/>
              </w:rPr>
            </w:pPr>
            <w:r>
              <w:rPr>
                <w:sz w:val="4"/>
                <w:szCs w:val="4"/>
              </w:rPr>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9735" w:type="dxa"/>
            <w:gridSpan w:val="6"/>
            <w:tcBorders/>
          </w:tcPr>
          <w:p>
            <w:pPr>
              <w:pStyle w:val="TableContents"/>
              <w:bidi w:val="0"/>
              <w:spacing w:before="0" w:after="283"/>
              <w:jc w:val="left"/>
              <w:rPr>
                <w:sz w:val="4"/>
                <w:szCs w:val="4"/>
              </w:rPr>
            </w:pPr>
            <w:r>
              <w:rPr>
                <w:sz w:val="4"/>
                <w:szCs w:val="4"/>
              </w:rPr>
            </w:r>
          </w:p>
        </w:tc>
      </w:tr>
      <w:tr>
        <w:trPr/>
        <w:tc>
          <w:tcPr>
            <w:tcW w:w="470" w:type="dxa"/>
            <w:gridSpan w:val="3"/>
            <w:tcBorders/>
            <w:vAlign w:val="center"/>
          </w:tcPr>
          <w:p>
            <w:pPr>
              <w:pStyle w:val="TableContents"/>
              <w:bidi w:val="0"/>
              <w:spacing w:before="0" w:after="283"/>
              <w:jc w:val="left"/>
              <w:rPr>
                <w:sz w:val="4"/>
                <w:szCs w:val="4"/>
              </w:rPr>
            </w:pPr>
            <w:r>
              <w:rPr>
                <w:sz w:val="4"/>
                <w:szCs w:val="4"/>
              </w:rPr>
            </w:r>
          </w:p>
        </w:tc>
        <w:tc>
          <w:tcPr>
            <w:tcW w:w="9735"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52"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482"/>
        <w:gridCol w:w="1482"/>
        <w:gridCol w:w="210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TEJON RANCH CO.</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70"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H. Walker</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H. Walker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Brett A. Brown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Brett A. Brown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Executive Vice President and 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D. Velasquez</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D. Velasquez</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Matthew H. Walker,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Tejon Ranch Co.;</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20"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304"/>
        <w:gridCol w:w="304"/>
        <w:gridCol w:w="304"/>
        <w:gridCol w:w="928"/>
        <w:gridCol w:w="928"/>
        <w:gridCol w:w="135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H. Walker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H. Walker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Brett A. Brown,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Tejon Ranch Co.;</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092" w:type="dxa"/>
        <w:jc w:val="left"/>
        <w:tblInd w:w="0" w:type="dxa"/>
        <w:tblLayout w:type="fixed"/>
        <w:tblCellMar>
          <w:top w:w="28" w:type="dxa"/>
          <w:left w:w="28" w:type="dxa"/>
          <w:bottom w:w="28" w:type="dxa"/>
          <w:right w:w="28" w:type="dxa"/>
        </w:tblCellMar>
      </w:tblPr>
      <w:tblGrid>
        <w:gridCol w:w="254"/>
        <w:gridCol w:w="224"/>
        <w:gridCol w:w="226"/>
        <w:gridCol w:w="379"/>
        <w:gridCol w:w="379"/>
        <w:gridCol w:w="381"/>
        <w:gridCol w:w="250"/>
        <w:gridCol w:w="250"/>
        <w:gridCol w:w="250"/>
        <w:gridCol w:w="1315"/>
        <w:gridCol w:w="1315"/>
        <w:gridCol w:w="186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5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Brett A. Brown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Brett A. Brown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undersigned hereby certifies, in his capacity as an officer of Tejon Ranch Co. (the “Company”), for purposes of 18 U.S.C. Section 1350, as adopted pursuant to Section 906 of the Sarbanes-Oxley Act of 2002, that to his own knowledge: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Quarterly Report of the Company on Form 10-Q for the period ended March 31, 2025 fully complies with the requirements of Section 13(a) of the Securities Exchange Act of 1934;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information contained in such report fairly presents, in all material respects, the financial condition and results of operation of the Company.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Tejon Ranch Co. and will be retained by Tejon Ranch Co., and furnished to the Securities and Exchange Commission or its staff upon request.</w:t>
      </w:r>
    </w:p>
    <w:p>
      <w:pPr>
        <w:pStyle w:val="TextBody"/>
        <w:bidi w:val="0"/>
        <w:spacing w:lineRule="auto" w:line="288" w:before="0" w:after="0"/>
        <w:jc w:val="left"/>
        <w:rPr>
          <w:color w:val="000000"/>
        </w:rPr>
      </w:pPr>
      <w:r>
        <w:rPr>
          <w:color w:val="000000"/>
        </w:rPr>
        <w:t> </w:t>
      </w:r>
    </w:p>
    <w:tbl>
      <w:tblPr>
        <w:tblW w:w="4840" w:type="dxa"/>
        <w:jc w:val="left"/>
        <w:tblInd w:w="0" w:type="dxa"/>
        <w:tblLayout w:type="fixed"/>
        <w:tblCellMar>
          <w:top w:w="28" w:type="dxa"/>
          <w:left w:w="28" w:type="dxa"/>
          <w:bottom w:w="28" w:type="dxa"/>
          <w:right w:w="28" w:type="dxa"/>
        </w:tblCellMar>
      </w:tblPr>
      <w:tblGrid>
        <w:gridCol w:w="614"/>
        <w:gridCol w:w="543"/>
        <w:gridCol w:w="547"/>
        <w:gridCol w:w="920"/>
        <w:gridCol w:w="920"/>
        <w:gridCol w:w="924"/>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2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H. Walker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H. Walker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D. Velasquez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D. Velasquez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6869/000009686921000016/ex31restatedcertificateo.htm" TargetMode="External"/><Relationship Id="rId4" Type="http://schemas.openxmlformats.org/officeDocument/2006/relationships/hyperlink" Target="https://www.sec.gov/Archives/edgar/data/96869/000119312523079260/d487105dex31.htm" TargetMode="External"/><Relationship Id="rId5" Type="http://schemas.openxmlformats.org/officeDocument/2006/relationships/hyperlink" Target="https://www.sec.gov/Archives/edgar/data/96869/000119312505245123/dex41.htm" TargetMode="External"/><Relationship Id="rId6" Type="http://schemas.openxmlformats.org/officeDocument/2006/relationships/hyperlink" Target="https://www.sec.gov/Archives/edgar/data/96869/000119312519119877/d718363dex46.htm" TargetMode="External"/><Relationship Id="rId7" Type="http://schemas.openxmlformats.org/officeDocument/2006/relationships/hyperlink" Target="https://www.sec.gov/Archives/edgar/data/96869/0000096869-98-000002.txt" TargetMode="External"/><Relationship Id="rId8" Type="http://schemas.openxmlformats.org/officeDocument/2006/relationships/hyperlink" Target="https://www.sec.gov/Archives/edgar/data/96869/0000096869-98-000002.txt" TargetMode="External"/><Relationship Id="rId9" Type="http://schemas.openxmlformats.org/officeDocument/2006/relationships/hyperlink" Target="https://www.sec.gov/Archives/edgar/data/96869/000119312509042772/dex109.htm" TargetMode="External"/><Relationship Id="rId10" Type="http://schemas.openxmlformats.org/officeDocument/2006/relationships/hyperlink" Target="https://www.sec.gov/Archives/edgar/data/96869/0000096869-98-000002.txt" TargetMode="External"/><Relationship Id="rId11" Type="http://schemas.openxmlformats.org/officeDocument/2006/relationships/hyperlink" Target="https://www.sec.gov/Archives/edgar/data/96869/000119312509042772/dex1010.htm" TargetMode="External"/><Relationship Id="rId12" Type="http://schemas.openxmlformats.org/officeDocument/2006/relationships/hyperlink" Target="https://www.sec.gov/Archives/edgar/data/96869/0000096869-98-000002.txt" TargetMode="External"/><Relationship Id="rId13" Type="http://schemas.openxmlformats.org/officeDocument/2006/relationships/hyperlink" Target="https://www.sec.gov/Archives/edgar/data/96869/000102140802004535/dex1016.txt" TargetMode="External"/><Relationship Id="rId14" Type="http://schemas.openxmlformats.org/officeDocument/2006/relationships/hyperlink" Target="https://www.sec.gov/Archives/edgar/data/96869/000119312504082310/dex41.htm" TargetMode="External"/><Relationship Id="rId15" Type="http://schemas.openxmlformats.org/officeDocument/2006/relationships/hyperlink" Target="https://www.sec.gov/Archives/edgar/data/96869/000119312504082310/dex42.htm" TargetMode="External"/><Relationship Id="rId16" Type="http://schemas.openxmlformats.org/officeDocument/2006/relationships/hyperlink" Target="https://www.sec.gov/Archives/edgar/data/96869/000119312505051499/dex1021.htm" TargetMode="External"/><Relationship Id="rId17" Type="http://schemas.openxmlformats.org/officeDocument/2006/relationships/hyperlink" Target="https://www.sec.gov/Archives/edgar/data/96869/000119312505051499/dex1023.htm" TargetMode="External"/><Relationship Id="rId18" Type="http://schemas.openxmlformats.org/officeDocument/2006/relationships/hyperlink" Target="https://www.sec.gov/Archives/edgar/data/96869/000119312505051499/dex1022.htm" TargetMode="External"/><Relationship Id="rId19" Type="http://schemas.openxmlformats.org/officeDocument/2006/relationships/hyperlink" Target="https://www.sec.gov/Archives/edgar/data/96869/000119312506118520/dex1024.htm" TargetMode="External"/><Relationship Id="rId20" Type="http://schemas.openxmlformats.org/officeDocument/2006/relationships/hyperlink" Target="https://www.sec.gov/Archives/edgar/data/96869/000119312508138009/dex1028.htm" TargetMode="External"/><Relationship Id="rId21" Type="http://schemas.openxmlformats.org/officeDocument/2006/relationships/hyperlink" Target="https://www.sec.gov/Archives/edgar/data/96869/000119312509170594/dex1025.htm" TargetMode="External"/><Relationship Id="rId22" Type="http://schemas.openxmlformats.org/officeDocument/2006/relationships/hyperlink" Target="https://www.sec.gov/Archives/edgar/data/96869/000144530513001209/exhibit1026-execagreementa.htm" TargetMode="External"/><Relationship Id="rId23" Type="http://schemas.openxmlformats.org/officeDocument/2006/relationships/hyperlink" Target="https://www.sec.gov/Archives/edgar/data/96869/000119312513246605/d549609dex1027.htm" TargetMode="External"/><Relationship Id="rId24" Type="http://schemas.openxmlformats.org/officeDocument/2006/relationships/hyperlink" Target="https://www.sec.gov/Archives/edgar/data/96869/000119312513326495/d581835dex101.htm" TargetMode="External"/><Relationship Id="rId25" Type="http://schemas.openxmlformats.org/officeDocument/2006/relationships/hyperlink" Target="https://www.sec.gov/Archives/edgar/data/96869/000009686914000009/exhibit1029tmvamendments20.htm" TargetMode="External"/><Relationship Id="rId26" Type="http://schemas.openxmlformats.org/officeDocument/2006/relationships/hyperlink" Target="https://www.sec.gov/Archives/edgar/data/96869/000119312514270067/d758856dex1030.htm" TargetMode="External"/><Relationship Id="rId27" Type="http://schemas.openxmlformats.org/officeDocument/2006/relationships/hyperlink" Target="https://www.sec.gov/Archives/edgar/data/96869/000119312514270067/d758856dex1030.htm" TargetMode="External"/><Relationship Id="rId28" Type="http://schemas.openxmlformats.org/officeDocument/2006/relationships/hyperlink" Target="https://www.sec.gov/Archives/edgar/data/96869/000119312514270067/d758856dex1030.htm" TargetMode="External"/><Relationship Id="rId29" Type="http://schemas.openxmlformats.org/officeDocument/2006/relationships/hyperlink" Target="https://www.sec.gov/Archives/edgar/data/96869/000119312514270067/d758856dex1030.htm" TargetMode="External"/><Relationship Id="rId30" Type="http://schemas.openxmlformats.org/officeDocument/2006/relationships/hyperlink" Target="https://www.sec.gov/Archives/edgar/data/96869/000119312514270067/d758856dex1030.htm" TargetMode="External"/><Relationship Id="rId31" Type="http://schemas.openxmlformats.org/officeDocument/2006/relationships/hyperlink" Target="https://www.sec.gov/Archives/edgar/data/96869/000119312514270067/d758856dex1030.htm" TargetMode="External"/><Relationship Id="rId32" Type="http://schemas.openxmlformats.org/officeDocument/2006/relationships/hyperlink" Target="https://www.sec.gov/Archives/edgar/data/96869/000119312514270067/d758856dex1030.htm" TargetMode="External"/><Relationship Id="rId33" Type="http://schemas.openxmlformats.org/officeDocument/2006/relationships/hyperlink" Target="https://www.sec.gov/Archives/edgar/data/96869/000009686915000003/exhibit1034calpineagreemen.htm" TargetMode="External"/><Relationship Id="rId34" Type="http://schemas.openxmlformats.org/officeDocument/2006/relationships/hyperlink" Target="https://www.sec.gov/Archives/edgar/data/96869/000009686915000010/ex1035q32015.htm" TargetMode="External"/><Relationship Id="rId35" Type="http://schemas.openxmlformats.org/officeDocument/2006/relationships/hyperlink" Target="https://www.sec.gov/Archives/edgar/data/96869/000009686916000017/ex1037limitedliabilityagre.htm" TargetMode="External"/><Relationship Id="rId36" Type="http://schemas.openxmlformats.org/officeDocument/2006/relationships/hyperlink" Target="https://www.sec.gov/Archives/edgar/data/96869/000009686916000019/ex1038llagreementoftrc-mrc1.htm" TargetMode="External"/><Relationship Id="rId37" Type="http://schemas.openxmlformats.org/officeDocument/2006/relationships/hyperlink" Target="https://www.sec.gov/Archives/edgar/data/96869/000009686917000002/exhibit1039centennialredem.htm" TargetMode="External"/><Relationship Id="rId38" Type="http://schemas.openxmlformats.org/officeDocument/2006/relationships/hyperlink" Target="https://www.sec.gov/Archives/edgar/data/96869/000009686917000002/exhibit1039centennialredem.htm" TargetMode="External"/><Relationship Id="rId39" Type="http://schemas.openxmlformats.org/officeDocument/2006/relationships/hyperlink" Target="https://www.sec.gov/Archives/edgar/data/96869/000009686917000002/exhibit1039centennialredem.htm" TargetMode="External"/><Relationship Id="rId40" Type="http://schemas.openxmlformats.org/officeDocument/2006/relationships/hyperlink" Target="https://www.sec.gov/Archives/edgar/data/96869/000009686917000002/exhibit1040firstamendmentt.htm" TargetMode="External"/><Relationship Id="rId41" Type="http://schemas.openxmlformats.org/officeDocument/2006/relationships/hyperlink" Target="https://www.sec.gov/Archives/edgar/data/96869/000009686917000002/exhibit1041secondamendment.htm" TargetMode="External"/><Relationship Id="rId42" Type="http://schemas.openxmlformats.org/officeDocument/2006/relationships/hyperlink" Target="https://www.sec.gov/Archives/edgar/data/96869/000009686918000015/ex1042trcmrc3llc.htm" TargetMode="External"/><Relationship Id="rId43" Type="http://schemas.openxmlformats.org/officeDocument/2006/relationships/hyperlink" Target="https://www.sec.gov/Archives/edgar/data/96869/000009686919000004/exhibit1043201810k.htm" TargetMode="External"/><Relationship Id="rId44" Type="http://schemas.openxmlformats.org/officeDocument/2006/relationships/hyperlink" Target="https://www.sec.gov/Archives/edgar/data/96869/000009686919000004/exhibit1044201810k.htm" TargetMode="External"/><Relationship Id="rId45" Type="http://schemas.openxmlformats.org/officeDocument/2006/relationships/hyperlink" Target="https://www.sec.gov/Archives/edgar/data/96869/000009686919000004/exhibit1044201810k.htm" TargetMode="External"/><Relationship Id="rId46" Type="http://schemas.openxmlformats.org/officeDocument/2006/relationships/hyperlink" Target="https://www.sec.gov/Archives/edgar/data/96869/000009686919000004/exhibit1044201810k.htm" TargetMode="External"/><Relationship Id="rId47" Type="http://schemas.openxmlformats.org/officeDocument/2006/relationships/hyperlink" Target="https://www.sec.gov/Archives/edgar/data/96869/000009686920000007/exhibit1047-gregbseverance.htm" TargetMode="External"/><Relationship Id="rId48" Type="http://schemas.openxmlformats.org/officeDocument/2006/relationships/hyperlink" Target="https://www.sec.gov/Archives/edgar/data/0000096869/000009686921000011/ex1048mrc4llc.htm" TargetMode="External"/><Relationship Id="rId49" Type="http://schemas.openxmlformats.org/officeDocument/2006/relationships/hyperlink" Target="https://www.sec.gov/Archives/edgar/data/96869/000009686922000005/exhibit1048centennialcrf.htm" TargetMode="External"/><Relationship Id="rId50" Type="http://schemas.openxmlformats.org/officeDocument/2006/relationships/hyperlink" Target="https://www.sec.gov/Archives/edgar/data/96869/000009686922000005/exhibit1050trc-mrcmultii.htm" TargetMode="External"/><Relationship Id="rId51" Type="http://schemas.openxmlformats.org/officeDocument/2006/relationships/hyperlink" Target="https://www.sec.gov/Archives/edgar/data/96869/000009686922000009/ex1051mrc5.htm" TargetMode="External"/><Relationship Id="rId52" Type="http://schemas.openxmlformats.org/officeDocument/2006/relationships/hyperlink" Target="https://www.sec.gov/Archives/edgar/data/96869/000009686922000012/ex1052creditagreementbof.htm" TargetMode="External"/><Relationship Id="rId53" Type="http://schemas.openxmlformats.org/officeDocument/2006/relationships/hyperlink" Target="https://www.sec.gov/Archives/edgar/data/96869/000009686923000014/ex1053mhsevag.htm" TargetMode="External"/><Relationship Id="rId54" Type="http://schemas.openxmlformats.org/officeDocument/2006/relationships/hyperlink" Target="https://www.sec.gov/Archives/edgar/data/96869/000119312523280777/d518195dex1001.htm" TargetMode="External"/><Relationship Id="rId55" Type="http://schemas.openxmlformats.org/officeDocument/2006/relationships/hyperlink" Target="https://www.sec.gov/Archives/edgar/data/96869/000119312524076651/d796643dex1001.htm" TargetMode="External"/><Relationship Id="rId56" Type="http://schemas.openxmlformats.org/officeDocument/2006/relationships/hyperlink" Target="https://www.sec.gov/Archives/edgar/data/96869/000009686924000014/trcdpllc.htm" TargetMode="External"/><Relationship Id="rId57" Type="http://schemas.openxmlformats.org/officeDocument/2006/relationships/hyperlink" Target="https://www.sec.gov/Archives/edgar/data/96869/000119312525024064/d930665dex1001.htm" TargetMode="External"/><Relationship Id="rId58" Type="http://schemas.openxmlformats.org/officeDocument/2006/relationships/hyperlink" Target="https://www.sec.gov/Archives/edgar/data/96869/000119312524253871/d901734dex1001.htm" TargetMode="External"/><Relationship Id="rId59" Type="http://schemas.openxmlformats.org/officeDocument/2006/relationships/hyperlink" Target="https://www.sec.gov/Archives/edgar/data/96869/000119312524253871/d901734dex1001.htm" TargetMode="External"/><Relationship Id="rId60" Type="http://schemas.openxmlformats.org/officeDocument/2006/relationships/hyperlink" Target="https://www.sec.gov/Archives/edgar/data/96869/000119312524253871/d901734dex1001.htm" TargetMode="External"/><Relationship Id="rId61" Type="http://schemas.openxmlformats.org/officeDocument/2006/relationships/hyperlink" Target="https://www.sec.gov/Archives/edgar/data/96869/000119312524253871/d901734dex1001.htm" TargetMode="External"/><Relationship Id="rId62" Type="http://schemas.openxmlformats.org/officeDocument/2006/relationships/hyperlink" Target="https://www.sec.gov/Archives/edgar/data/96869/000119312524253871/d901734dex1001.htm" TargetMode="External"/><Relationship Id="rId63" Type="http://schemas.openxmlformats.org/officeDocument/2006/relationships/hyperlink" Target="https://www.sec.gov/Archives/edgar/data/96869/000119312524253871/d901734dex1001.htm" TargetMode="External"/><Relationship Id="rId64" Type="http://schemas.openxmlformats.org/officeDocument/2006/relationships/hyperlink" Target="https://www.sec.gov/Archives/edgar/data/96869/000119312524253871/d901734dex1001.htm" TargetMode="External"/><Relationship Id="rId65" Type="http://schemas.openxmlformats.org/officeDocument/2006/relationships/hyperlink" Target="https://www.sec.gov/Archives/edgar/data/96869/000119312524253871/d901734dex1001.htm" TargetMode="External"/><Relationship Id="rId66" Type="http://schemas.openxmlformats.org/officeDocument/2006/relationships/hyperlink" Target="https://www.sec.gov/Archives/edgar/data/96869/000119312524253871/d901734dex1001.htm" TargetMode="External"/><Relationship Id="rId67" Type="http://schemas.openxmlformats.org/officeDocument/2006/relationships/hyperlink" Target="https://www.sec.gov/Archives/edgar/data/96869/000119312524253871/d901734dex1001.htm" TargetMode="External"/><Relationship Id="rId68" Type="http://schemas.openxmlformats.org/officeDocument/2006/relationships/hyperlink" Target="https://www.sec.gov/Archives/edgar/data/96869/000119312524253871/d901734dex1001.htm" TargetMode="External"/><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25815</Words>
  <Characters>142311</Characters>
  <CharactersWithSpaces>166238</CharactersWithSpaces>
  <Paragraphs>3100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