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UNITED STATES</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 10-K</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(Mark One)</w:t>
      </w:r>
    </w:p>
    <w:p>
      <w:pPr>
        <w:spacing w:after="0" w:line="8" w:lineRule="exact"/>
        <w:rPr>
          <w:sz w:val="24"/>
          <w:szCs w:val="24"/>
          <w:color w:val="auto"/>
        </w:rPr>
      </w:pPr>
    </w:p>
    <w:p>
      <w:pPr>
        <w:jc w:val="center"/>
        <w:ind w:left="4440" w:right="2440" w:hanging="1979"/>
        <w:spacing w:after="0" w:line="260" w:lineRule="auto"/>
        <w:tabs>
          <w:tab w:leader="none" w:pos="2607" w:val="left"/>
        </w:tabs>
        <w:numPr>
          <w:ilvl w:val="1"/>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ANNUAL REPORT PURSUANT TO SECTION 13 OR 15(d) OF THE SECURITIES EXCHANGE ACT OF 1934 For the fiscal year ended December 31, 2025</w:t>
      </w:r>
    </w:p>
    <w:p>
      <w:pPr>
        <w:ind w:left="5540"/>
        <w:spacing w:after="0"/>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OR</w:t>
      </w:r>
    </w:p>
    <w:p>
      <w:pPr>
        <w:spacing w:after="0" w:line="30" w:lineRule="exact"/>
        <w:rPr>
          <w:rFonts w:ascii="MS PGothic" w:cs="MS PGothic" w:eastAsia="MS PGothic" w:hAnsi="MS PGothic"/>
          <w:sz w:val="13"/>
          <w:szCs w:val="13"/>
          <w:color w:val="auto"/>
        </w:rPr>
      </w:pPr>
    </w:p>
    <w:p>
      <w:pPr>
        <w:ind w:left="2480" w:hanging="152"/>
        <w:spacing w:after="0"/>
        <w:tabs>
          <w:tab w:leader="none" w:pos="248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52" w:lineRule="exact"/>
        <w:rPr>
          <w:sz w:val="24"/>
          <w:szCs w:val="24"/>
          <w:color w:val="auto"/>
        </w:rPr>
      </w:pPr>
    </w:p>
    <w:p>
      <w:pPr>
        <w:ind w:left="3420"/>
        <w:spacing w:after="0"/>
        <w:tabs>
          <w:tab w:leader="none" w:pos="5500" w:val="left"/>
          <w:tab w:leader="none" w:pos="6020" w:val="left"/>
        </w:tabs>
        <w:rPr>
          <w:sz w:val="20"/>
          <w:szCs w:val="20"/>
          <w:color w:val="auto"/>
        </w:rPr>
      </w:pPr>
      <w:r>
        <w:rPr>
          <w:rFonts w:ascii="Times New Roman" w:cs="Times New Roman" w:eastAsia="Times New Roman" w:hAnsi="Times New Roman"/>
          <w:sz w:val="13"/>
          <w:szCs w:val="13"/>
          <w:b w:val="1"/>
          <w:bCs w:val="1"/>
          <w:color w:val="auto"/>
        </w:rPr>
        <w:t>For the transition period from</w:t>
      </w:r>
      <w:r>
        <w:rPr>
          <w:sz w:val="20"/>
          <w:szCs w:val="20"/>
          <w:color w:val="auto"/>
        </w:rPr>
        <w:tab/>
      </w:r>
      <w:r>
        <w:rPr>
          <w:rFonts w:ascii="Times New Roman" w:cs="Times New Roman" w:eastAsia="Times New Roman" w:hAnsi="Times New Roman"/>
          <w:sz w:val="13"/>
          <w:szCs w:val="13"/>
          <w:b w:val="1"/>
          <w:bCs w:val="1"/>
          <w:color w:val="auto"/>
        </w:rPr>
        <w:t>to</w:t>
      </w:r>
      <w:r>
        <w:rPr>
          <w:sz w:val="20"/>
          <w:szCs w:val="20"/>
          <w:color w:val="auto"/>
        </w:rPr>
        <w:tab/>
      </w:r>
      <w:r>
        <w:rPr>
          <w:rFonts w:ascii="Times New Roman" w:cs="Times New Roman" w:eastAsia="Times New Roman" w:hAnsi="Times New Roman"/>
          <w:sz w:val="12"/>
          <w:szCs w:val="12"/>
          <w:b w:val="1"/>
          <w:bCs w:val="1"/>
          <w:color w:val="auto"/>
        </w:rPr>
        <w:t>Commission file number: 1-07183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3331210</wp:posOffset>
            </wp:positionH>
            <wp:positionV relativeFrom="paragraph">
              <wp:posOffset>7620</wp:posOffset>
            </wp:positionV>
            <wp:extent cx="505460" cy="5054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5460" cy="5054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TEJON RANCH CO.</w:t>
      </w:r>
    </w:p>
    <w:p>
      <w:pPr>
        <w:spacing w:after="0" w:line="39" w:lineRule="exact"/>
        <w:rPr>
          <w:sz w:val="24"/>
          <w:szCs w:val="24"/>
          <w:color w:val="auto"/>
        </w:rPr>
      </w:pPr>
    </w:p>
    <w:tbl>
      <w:tblPr>
        <w:tblLayout w:type="fixed"/>
        <w:tblInd w:w="100" w:type="dxa"/>
        <w:tblCellMar>
          <w:top w:w="0" w:type="dxa"/>
          <w:left w:w="0" w:type="dxa"/>
          <w:bottom w:w="0" w:type="dxa"/>
          <w:right w:w="0" w:type="dxa"/>
        </w:tblCellMar>
      </w:tblPr>
      <w:tr>
        <w:trPr>
          <w:trHeight w:val="149"/>
        </w:trPr>
        <w:tc>
          <w:tcPr>
            <w:tcW w:w="30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60" w:type="dxa"/>
            <w:vAlign w:val="bottom"/>
            <w:gridSpan w:val="4"/>
          </w:tcPr>
          <w:p>
            <w:pPr>
              <w:jc w:val="center"/>
              <w:ind w:right="4176"/>
              <w:spacing w:after="0"/>
              <w:rPr>
                <w:sz w:val="20"/>
                <w:szCs w:val="20"/>
                <w:color w:val="auto"/>
              </w:rPr>
            </w:pPr>
            <w:r>
              <w:rPr>
                <w:rFonts w:ascii="Times New Roman" w:cs="Times New Roman" w:eastAsia="Times New Roman" w:hAnsi="Times New Roman"/>
                <w:sz w:val="13"/>
                <w:szCs w:val="13"/>
                <w:color w:val="auto"/>
                <w:w w:val="97"/>
              </w:rPr>
              <w:t>(Exact name of registrant as specified in its charter)</w:t>
            </w:r>
          </w:p>
        </w:tc>
      </w:tr>
      <w:tr>
        <w:trPr>
          <w:trHeight w:val="151"/>
        </w:trPr>
        <w:tc>
          <w:tcPr>
            <w:tcW w:w="30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tcPr>
          <w:p>
            <w:pPr>
              <w:ind w:left="360"/>
              <w:spacing w:after="0"/>
              <w:rPr>
                <w:sz w:val="20"/>
                <w:szCs w:val="20"/>
                <w:color w:val="auto"/>
              </w:rPr>
            </w:pPr>
            <w:r>
              <w:rPr>
                <w:rFonts w:ascii="Times New Roman" w:cs="Times New Roman" w:eastAsia="Times New Roman" w:hAnsi="Times New Roman"/>
                <w:sz w:val="13"/>
                <w:szCs w:val="13"/>
                <w:b w:val="1"/>
                <w:bCs w:val="1"/>
                <w:color w:val="auto"/>
              </w:rPr>
              <w:t>Delaware</w:t>
            </w:r>
          </w:p>
        </w:tc>
        <w:tc>
          <w:tcPr>
            <w:tcW w:w="5240" w:type="dxa"/>
            <w:vAlign w:val="bottom"/>
            <w:gridSpan w:val="3"/>
          </w:tcPr>
          <w:p>
            <w:pPr>
              <w:jc w:val="right"/>
              <w:ind w:right="4516"/>
              <w:spacing w:after="0"/>
              <w:rPr>
                <w:sz w:val="20"/>
                <w:szCs w:val="20"/>
                <w:color w:val="auto"/>
              </w:rPr>
            </w:pPr>
            <w:r>
              <w:rPr>
                <w:rFonts w:ascii="Times New Roman" w:cs="Times New Roman" w:eastAsia="Times New Roman" w:hAnsi="Times New Roman"/>
                <w:sz w:val="13"/>
                <w:szCs w:val="13"/>
                <w:b w:val="1"/>
                <w:bCs w:val="1"/>
                <w:color w:val="auto"/>
              </w:rPr>
              <w:t>77-0196136</w:t>
            </w:r>
          </w:p>
        </w:tc>
      </w:tr>
      <w:tr>
        <w:trPr>
          <w:trHeight w:val="165"/>
        </w:trPr>
        <w:tc>
          <w:tcPr>
            <w:tcW w:w="3000" w:type="dxa"/>
            <w:vAlign w:val="bottom"/>
          </w:tcPr>
          <w:p>
            <w:pPr>
              <w:spacing w:after="0"/>
              <w:rPr>
                <w:sz w:val="14"/>
                <w:szCs w:val="14"/>
                <w:color w:val="auto"/>
              </w:rPr>
            </w:pPr>
          </w:p>
        </w:tc>
        <w:tc>
          <w:tcPr>
            <w:tcW w:w="8080" w:type="dxa"/>
            <w:vAlign w:val="bottom"/>
            <w:gridSpan w:val="6"/>
          </w:tcPr>
          <w:p>
            <w:pPr>
              <w:jc w:val="center"/>
              <w:ind w:right="2936"/>
              <w:spacing w:after="0"/>
              <w:rPr>
                <w:sz w:val="20"/>
                <w:szCs w:val="20"/>
                <w:color w:val="auto"/>
              </w:rPr>
            </w:pPr>
            <w:r>
              <w:rPr>
                <w:rFonts w:ascii="Times New Roman" w:cs="Times New Roman" w:eastAsia="Times New Roman" w:hAnsi="Times New Roman"/>
                <w:sz w:val="13"/>
                <w:szCs w:val="13"/>
                <w:color w:val="auto"/>
                <w:w w:val="97"/>
              </w:rPr>
              <w:t>(State or other jurisdiction of incorporation or organization.) (I.R.S. Employer Identification No.)</w:t>
            </w:r>
          </w:p>
        </w:tc>
      </w:tr>
      <w:tr>
        <w:trPr>
          <w:trHeight w:val="185"/>
        </w:trPr>
        <w:tc>
          <w:tcPr>
            <w:tcW w:w="30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60" w:type="dxa"/>
            <w:vAlign w:val="bottom"/>
            <w:gridSpan w:val="4"/>
          </w:tcPr>
          <w:p>
            <w:pPr>
              <w:jc w:val="center"/>
              <w:ind w:right="4156"/>
              <w:spacing w:after="0"/>
              <w:rPr>
                <w:sz w:val="20"/>
                <w:szCs w:val="20"/>
                <w:color w:val="auto"/>
              </w:rPr>
            </w:pPr>
            <w:r>
              <w:rPr>
                <w:rFonts w:ascii="Times New Roman" w:cs="Times New Roman" w:eastAsia="Times New Roman" w:hAnsi="Times New Roman"/>
                <w:sz w:val="13"/>
                <w:szCs w:val="13"/>
                <w:b w:val="1"/>
                <w:bCs w:val="1"/>
                <w:color w:val="auto"/>
                <w:w w:val="96"/>
              </w:rPr>
              <w:t>P.O. Box 1000, Tejon Ranch, California 93243</w:t>
            </w:r>
          </w:p>
        </w:tc>
      </w:tr>
      <w:tr>
        <w:trPr>
          <w:trHeight w:val="165"/>
        </w:trPr>
        <w:tc>
          <w:tcPr>
            <w:tcW w:w="3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60" w:type="dxa"/>
            <w:vAlign w:val="bottom"/>
            <w:gridSpan w:val="4"/>
          </w:tcPr>
          <w:p>
            <w:pPr>
              <w:jc w:val="center"/>
              <w:ind w:right="4136"/>
              <w:spacing w:after="0"/>
              <w:rPr>
                <w:sz w:val="20"/>
                <w:szCs w:val="20"/>
                <w:color w:val="auto"/>
              </w:rPr>
            </w:pPr>
            <w:r>
              <w:rPr>
                <w:rFonts w:ascii="Times New Roman" w:cs="Times New Roman" w:eastAsia="Times New Roman" w:hAnsi="Times New Roman"/>
                <w:sz w:val="13"/>
                <w:szCs w:val="13"/>
                <w:color w:val="auto"/>
                <w:w w:val="98"/>
              </w:rPr>
              <w:t>(Address of principal executive offices) (Zip Code)</w:t>
            </w:r>
          </w:p>
        </w:tc>
      </w:tr>
      <w:tr>
        <w:trPr>
          <w:trHeight w:val="185"/>
        </w:trPr>
        <w:tc>
          <w:tcPr>
            <w:tcW w:w="3000" w:type="dxa"/>
            <w:vAlign w:val="bottom"/>
          </w:tcPr>
          <w:p>
            <w:pPr>
              <w:spacing w:after="0"/>
              <w:rPr>
                <w:sz w:val="16"/>
                <w:szCs w:val="16"/>
                <w:color w:val="auto"/>
              </w:rPr>
            </w:pPr>
          </w:p>
        </w:tc>
        <w:tc>
          <w:tcPr>
            <w:tcW w:w="3360" w:type="dxa"/>
            <w:vAlign w:val="bottom"/>
            <w:gridSpan w:val="4"/>
          </w:tcPr>
          <w:p>
            <w:pPr>
              <w:jc w:val="center"/>
              <w:ind w:left="1656"/>
              <w:spacing w:after="0"/>
              <w:rPr>
                <w:sz w:val="20"/>
                <w:szCs w:val="20"/>
                <w:color w:val="auto"/>
              </w:rPr>
            </w:pPr>
            <w:r>
              <w:rPr>
                <w:rFonts w:ascii="Times New Roman" w:cs="Times New Roman" w:eastAsia="Times New Roman" w:hAnsi="Times New Roman"/>
                <w:sz w:val="13"/>
                <w:szCs w:val="13"/>
                <w:b w:val="1"/>
                <w:bCs w:val="1"/>
                <w:color w:val="auto"/>
                <w:w w:val="98"/>
              </w:rPr>
              <w:t>(661) 248-3000</w:t>
            </w:r>
          </w:p>
        </w:tc>
        <w:tc>
          <w:tcPr>
            <w:tcW w:w="100" w:type="dxa"/>
            <w:vAlign w:val="bottom"/>
          </w:tcPr>
          <w:p>
            <w:pPr>
              <w:spacing w:after="0"/>
              <w:rPr>
                <w:sz w:val="16"/>
                <w:szCs w:val="16"/>
                <w:color w:val="auto"/>
              </w:rPr>
            </w:pPr>
          </w:p>
        </w:tc>
        <w:tc>
          <w:tcPr>
            <w:tcW w:w="4620" w:type="dxa"/>
            <w:vAlign w:val="bottom"/>
          </w:tcPr>
          <w:p>
            <w:pPr>
              <w:spacing w:after="0"/>
              <w:rPr>
                <w:sz w:val="16"/>
                <w:szCs w:val="16"/>
                <w:color w:val="auto"/>
              </w:rPr>
            </w:pPr>
          </w:p>
        </w:tc>
      </w:tr>
      <w:tr>
        <w:trPr>
          <w:trHeight w:val="165"/>
        </w:trPr>
        <w:tc>
          <w:tcPr>
            <w:tcW w:w="3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960" w:type="dxa"/>
            <w:vAlign w:val="bottom"/>
            <w:gridSpan w:val="5"/>
          </w:tcPr>
          <w:p>
            <w:pPr>
              <w:jc w:val="center"/>
              <w:ind w:right="4036"/>
              <w:spacing w:after="0"/>
              <w:rPr>
                <w:sz w:val="20"/>
                <w:szCs w:val="20"/>
                <w:color w:val="auto"/>
              </w:rPr>
            </w:pPr>
            <w:r>
              <w:rPr>
                <w:rFonts w:ascii="Times New Roman" w:cs="Times New Roman" w:eastAsia="Times New Roman" w:hAnsi="Times New Roman"/>
                <w:sz w:val="13"/>
                <w:szCs w:val="13"/>
                <w:color w:val="auto"/>
                <w:w w:val="97"/>
              </w:rPr>
              <w:t>(Registrant’s telephone number, including area code)</w:t>
            </w:r>
          </w:p>
        </w:tc>
      </w:tr>
      <w:tr>
        <w:trPr>
          <w:trHeight w:val="202"/>
        </w:trPr>
        <w:tc>
          <w:tcPr>
            <w:tcW w:w="3000" w:type="dxa"/>
            <w:vAlign w:val="bottom"/>
          </w:tcPr>
          <w:p>
            <w:pPr>
              <w:spacing w:after="0"/>
              <w:rPr>
                <w:sz w:val="17"/>
                <w:szCs w:val="17"/>
                <w:color w:val="auto"/>
              </w:rPr>
            </w:pPr>
          </w:p>
        </w:tc>
        <w:tc>
          <w:tcPr>
            <w:tcW w:w="8080" w:type="dxa"/>
            <w:vAlign w:val="bottom"/>
            <w:gridSpan w:val="6"/>
          </w:tcPr>
          <w:p>
            <w:pPr>
              <w:jc w:val="center"/>
              <w:ind w:right="2936"/>
              <w:spacing w:after="0"/>
              <w:rPr>
                <w:sz w:val="20"/>
                <w:szCs w:val="20"/>
                <w:color w:val="auto"/>
              </w:rPr>
            </w:pPr>
            <w:r>
              <w:rPr>
                <w:rFonts w:ascii="Times New Roman" w:cs="Times New Roman" w:eastAsia="Times New Roman" w:hAnsi="Times New Roman"/>
                <w:sz w:val="13"/>
                <w:szCs w:val="13"/>
                <w:b w:val="1"/>
                <w:bCs w:val="1"/>
                <w:color w:val="auto"/>
                <w:w w:val="97"/>
              </w:rPr>
              <w:t>Securities registered pursuant to Section 12(b) of the Act:</w:t>
            </w:r>
          </w:p>
        </w:tc>
      </w:tr>
      <w:tr>
        <w:trPr>
          <w:trHeight w:val="193"/>
        </w:trPr>
        <w:tc>
          <w:tcPr>
            <w:tcW w:w="3000" w:type="dxa"/>
            <w:vAlign w:val="bottom"/>
            <w:tcBorders>
              <w:bottom w:val="single" w:sz="8" w:color="auto"/>
            </w:tcBorders>
          </w:tcPr>
          <w:p>
            <w:pPr>
              <w:jc w:val="center"/>
              <w:ind w:left="1056"/>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Borders>
              <w:bottom w:val="single" w:sz="8" w:color="auto"/>
            </w:tcBorders>
          </w:tcPr>
          <w:p>
            <w:pPr>
              <w:jc w:val="center"/>
              <w:ind w:left="456"/>
              <w:spacing w:after="0"/>
              <w:rPr>
                <w:sz w:val="20"/>
                <w:szCs w:val="20"/>
                <w:color w:val="auto"/>
              </w:rPr>
            </w:pPr>
            <w:r>
              <w:rPr>
                <w:rFonts w:ascii="Times New Roman" w:cs="Times New Roman" w:eastAsia="Times New Roman" w:hAnsi="Times New Roman"/>
                <w:sz w:val="13"/>
                <w:szCs w:val="13"/>
                <w:b w:val="1"/>
                <w:bCs w:val="1"/>
                <w:color w:val="auto"/>
                <w:w w:val="95"/>
              </w:rPr>
              <w:t>Trading symbol(s)</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Name of each exchange on which registered</w:t>
            </w:r>
          </w:p>
        </w:tc>
      </w:tr>
      <w:tr>
        <w:trPr>
          <w:trHeight w:val="160"/>
        </w:trPr>
        <w:tc>
          <w:tcPr>
            <w:tcW w:w="3000" w:type="dxa"/>
            <w:vAlign w:val="bottom"/>
          </w:tcPr>
          <w:p>
            <w:pPr>
              <w:jc w:val="center"/>
              <w:ind w:left="1056"/>
              <w:spacing w:after="0"/>
              <w:rPr>
                <w:sz w:val="20"/>
                <w:szCs w:val="20"/>
                <w:color w:val="auto"/>
              </w:rPr>
            </w:pPr>
            <w:r>
              <w:rPr>
                <w:rFonts w:ascii="Times New Roman" w:cs="Times New Roman" w:eastAsia="Times New Roman" w:hAnsi="Times New Roman"/>
                <w:sz w:val="13"/>
                <w:szCs w:val="13"/>
                <w:b w:val="1"/>
                <w:bCs w:val="1"/>
                <w:color w:val="auto"/>
                <w:w w:val="97"/>
              </w:rPr>
              <w:t>Common Stock, $0.50 par value</w:t>
            </w: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tcPr>
          <w:p>
            <w:pPr>
              <w:jc w:val="center"/>
              <w:ind w:left="456"/>
              <w:spacing w:after="0"/>
              <w:rPr>
                <w:sz w:val="20"/>
                <w:szCs w:val="20"/>
                <w:color w:val="auto"/>
              </w:rPr>
            </w:pPr>
            <w:r>
              <w:rPr>
                <w:rFonts w:ascii="Times New Roman" w:cs="Times New Roman" w:eastAsia="Times New Roman" w:hAnsi="Times New Roman"/>
                <w:sz w:val="13"/>
                <w:szCs w:val="13"/>
                <w:b w:val="1"/>
                <w:bCs w:val="1"/>
                <w:color w:val="auto"/>
                <w:w w:val="94"/>
              </w:rPr>
              <w:t>TRC</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New York Stock Exchange</w:t>
            </w:r>
          </w:p>
        </w:tc>
      </w:tr>
    </w:tbl>
    <w:p>
      <w:pPr>
        <w:spacing w:after="0" w:line="117"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12(g) of the Act: None</w:t>
      </w:r>
    </w:p>
    <w:p>
      <w:pPr>
        <w:spacing w:after="0" w:line="3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2"/>
          <w:szCs w:val="12"/>
          <w:color w:val="auto"/>
        </w:rPr>
        <w:t>Indicate by check mark if the registrant is a well-known seasoned issuer, as defined in Rule 405 of the Securities Act.</w:t>
      </w:r>
    </w:p>
    <w:p>
      <w:pPr>
        <w:spacing w:after="0" w:line="122" w:lineRule="exact"/>
        <w:rPr>
          <w:sz w:val="24"/>
          <w:szCs w:val="24"/>
          <w:color w:val="auto"/>
        </w:rPr>
      </w:pPr>
    </w:p>
    <w:p>
      <w:pPr>
        <w:ind w:left="3780"/>
        <w:spacing w:after="0" w:line="138" w:lineRule="exact"/>
        <w:tabs>
          <w:tab w:leader="none" w:pos="4520" w:val="left"/>
          <w:tab w:leader="none" w:pos="5160" w:val="left"/>
        </w:tabs>
        <w:rPr>
          <w:sz w:val="20"/>
          <w:szCs w:val="20"/>
          <w:color w:val="auto"/>
        </w:rPr>
      </w:pPr>
      <w:r>
        <w:rPr>
          <w:rFonts w:ascii="Times New Roman" w:cs="Times New Roman" w:eastAsia="Times New Roman" w:hAnsi="Times New Roman"/>
          <w:sz w:val="12"/>
          <w:szCs w:val="12"/>
          <w:color w:val="auto"/>
        </w:rPr>
        <w:t xml:space="preserve">Yes </w:t>
      </w:r>
      <w:r>
        <w:rPr>
          <w:rFonts w:ascii="MS PGothic" w:cs="MS PGothic" w:eastAsia="MS PGothic" w:hAnsi="MS PGothic"/>
          <w:sz w:val="12"/>
          <w:szCs w:val="12"/>
          <w:color w:val="auto"/>
        </w:rPr>
        <w:t>☐</w:t>
      </w:r>
      <w:r>
        <w:rPr>
          <w:sz w:val="20"/>
          <w:szCs w:val="20"/>
          <w:color w:val="auto"/>
        </w:rPr>
        <w:tab/>
      </w:r>
      <w:r>
        <w:rPr>
          <w:rFonts w:ascii="Times New Roman" w:cs="Times New Roman" w:eastAsia="Times New Roman" w:hAnsi="Times New Roman"/>
          <w:sz w:val="12"/>
          <w:szCs w:val="12"/>
          <w:color w:val="auto"/>
        </w:rPr>
        <w:t>No</w:t>
      </w:r>
      <w:r>
        <w:rPr>
          <w:sz w:val="20"/>
          <w:szCs w:val="20"/>
          <w:color w:val="auto"/>
        </w:rPr>
        <w:tab/>
      </w:r>
      <w:r>
        <w:rPr>
          <w:rFonts w:ascii="MS PGothic" w:cs="MS PGothic" w:eastAsia="MS PGothic" w:hAnsi="MS PGothic"/>
          <w:sz w:val="10"/>
          <w:szCs w:val="10"/>
          <w:color w:val="auto"/>
        </w:rPr>
        <w:t>☒</w:t>
      </w:r>
    </w:p>
    <w:p>
      <w:pPr>
        <w:spacing w:after="0" w:line="22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2"/>
          <w:szCs w:val="12"/>
          <w:color w:val="auto"/>
        </w:rPr>
        <w:t>Indicate by check mark if the registrant is not required to file reports pursuant to Section 13 or Section 15(d) of the Act.</w:t>
      </w:r>
    </w:p>
    <w:p>
      <w:pPr>
        <w:spacing w:after="0" w:line="122" w:lineRule="exact"/>
        <w:rPr>
          <w:sz w:val="24"/>
          <w:szCs w:val="24"/>
          <w:color w:val="auto"/>
        </w:rPr>
      </w:pPr>
    </w:p>
    <w:p>
      <w:pPr>
        <w:ind w:left="3780"/>
        <w:spacing w:after="0" w:line="138" w:lineRule="exact"/>
        <w:tabs>
          <w:tab w:leader="none" w:pos="4520" w:val="left"/>
          <w:tab w:leader="none" w:pos="5160" w:val="left"/>
        </w:tabs>
        <w:rPr>
          <w:sz w:val="20"/>
          <w:szCs w:val="20"/>
          <w:color w:val="auto"/>
        </w:rPr>
      </w:pPr>
      <w:r>
        <w:rPr>
          <w:rFonts w:ascii="Times New Roman" w:cs="Times New Roman" w:eastAsia="Times New Roman" w:hAnsi="Times New Roman"/>
          <w:sz w:val="12"/>
          <w:szCs w:val="12"/>
          <w:color w:val="auto"/>
        </w:rPr>
        <w:t xml:space="preserve">Yes </w:t>
      </w:r>
      <w:r>
        <w:rPr>
          <w:rFonts w:ascii="MS PGothic" w:cs="MS PGothic" w:eastAsia="MS PGothic" w:hAnsi="MS PGothic"/>
          <w:sz w:val="12"/>
          <w:szCs w:val="12"/>
          <w:color w:val="auto"/>
        </w:rPr>
        <w:t>☐</w:t>
      </w:r>
      <w:r>
        <w:rPr>
          <w:sz w:val="20"/>
          <w:szCs w:val="20"/>
          <w:color w:val="auto"/>
        </w:rPr>
        <w:tab/>
      </w:r>
      <w:r>
        <w:rPr>
          <w:rFonts w:ascii="Times New Roman" w:cs="Times New Roman" w:eastAsia="Times New Roman" w:hAnsi="Times New Roman"/>
          <w:sz w:val="12"/>
          <w:szCs w:val="12"/>
          <w:color w:val="auto"/>
        </w:rPr>
        <w:t>No</w:t>
      </w:r>
      <w:r>
        <w:rPr>
          <w:sz w:val="20"/>
          <w:szCs w:val="20"/>
          <w:color w:val="auto"/>
        </w:rPr>
        <w:tab/>
      </w:r>
      <w:r>
        <w:rPr>
          <w:rFonts w:ascii="MS PGothic" w:cs="MS PGothic" w:eastAsia="MS PGothic" w:hAnsi="MS PGothic"/>
          <w:sz w:val="10"/>
          <w:szCs w:val="10"/>
          <w:color w:val="auto"/>
        </w:rPr>
        <w:t>☒</w:t>
      </w:r>
    </w:p>
    <w:p>
      <w:pPr>
        <w:spacing w:after="0" w:line="228" w:lineRule="exact"/>
        <w:rPr>
          <w:sz w:val="24"/>
          <w:szCs w:val="24"/>
          <w:color w:val="auto"/>
        </w:rPr>
      </w:pPr>
    </w:p>
    <w:p>
      <w:pPr>
        <w:ind w:left="20"/>
        <w:spacing w:after="0" w:line="251" w:lineRule="auto"/>
        <w:rPr>
          <w:sz w:val="20"/>
          <w:szCs w:val="20"/>
          <w:color w:val="auto"/>
        </w:rPr>
      </w:pPr>
      <w:r>
        <w:rPr>
          <w:rFonts w:ascii="Times New Roman" w:cs="Times New Roman" w:eastAsia="Times New Roman" w:hAnsi="Times New Roman"/>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99" w:lineRule="exact"/>
        <w:rPr>
          <w:sz w:val="24"/>
          <w:szCs w:val="24"/>
          <w:color w:val="auto"/>
        </w:rPr>
      </w:pPr>
    </w:p>
    <w:p>
      <w:pPr>
        <w:ind w:left="3780"/>
        <w:spacing w:after="0" w:line="138" w:lineRule="exact"/>
        <w:tabs>
          <w:tab w:leader="none" w:pos="4520" w:val="left"/>
          <w:tab w:leader="none" w:pos="5160" w:val="left"/>
        </w:tabs>
        <w:rPr>
          <w:sz w:val="20"/>
          <w:szCs w:val="20"/>
          <w:color w:val="auto"/>
        </w:rPr>
      </w:pPr>
      <w:r>
        <w:rPr>
          <w:rFonts w:ascii="Times New Roman" w:cs="Times New Roman" w:eastAsia="Times New Roman" w:hAnsi="Times New Roman"/>
          <w:sz w:val="12"/>
          <w:szCs w:val="12"/>
          <w:color w:val="auto"/>
        </w:rPr>
        <w:t xml:space="preserve">Yes </w:t>
      </w:r>
      <w:r>
        <w:rPr>
          <w:rFonts w:ascii="MS PGothic" w:cs="MS PGothic" w:eastAsia="MS PGothic" w:hAnsi="MS PGothic"/>
          <w:sz w:val="12"/>
          <w:szCs w:val="12"/>
          <w:color w:val="auto"/>
        </w:rPr>
        <w:t>☒</w:t>
      </w:r>
      <w:r>
        <w:rPr>
          <w:sz w:val="20"/>
          <w:szCs w:val="20"/>
          <w:color w:val="auto"/>
        </w:rPr>
        <w:tab/>
      </w:r>
      <w:r>
        <w:rPr>
          <w:rFonts w:ascii="Times New Roman" w:cs="Times New Roman" w:eastAsia="Times New Roman" w:hAnsi="Times New Roman"/>
          <w:sz w:val="12"/>
          <w:szCs w:val="12"/>
          <w:color w:val="auto"/>
        </w:rPr>
        <w:t>No</w:t>
      </w:r>
      <w:r>
        <w:rPr>
          <w:sz w:val="20"/>
          <w:szCs w:val="20"/>
          <w:color w:val="auto"/>
        </w:rPr>
        <w:tab/>
      </w:r>
      <w:r>
        <w:rPr>
          <w:rFonts w:ascii="MS PGothic" w:cs="MS PGothic" w:eastAsia="MS PGothic" w:hAnsi="MS PGothic"/>
          <w:sz w:val="10"/>
          <w:szCs w:val="10"/>
          <w:color w:val="auto"/>
        </w:rPr>
        <w:t>☐</w:t>
      </w:r>
    </w:p>
    <w:p>
      <w:pPr>
        <w:spacing w:after="0" w:line="228" w:lineRule="exact"/>
        <w:rPr>
          <w:sz w:val="24"/>
          <w:szCs w:val="24"/>
          <w:color w:val="auto"/>
        </w:rPr>
      </w:pPr>
    </w:p>
    <w:p>
      <w:pPr>
        <w:ind w:left="20"/>
        <w:spacing w:after="0" w:line="251" w:lineRule="auto"/>
        <w:rPr>
          <w:sz w:val="20"/>
          <w:szCs w:val="20"/>
          <w:color w:val="auto"/>
        </w:rPr>
      </w:pPr>
      <w:r>
        <w:rPr>
          <w:rFonts w:ascii="Times New Roman" w:cs="Times New Roman" w:eastAsia="Times New Roman" w:hAnsi="Times New Roman"/>
          <w:sz w:val="12"/>
          <w:szCs w:val="12"/>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99" w:lineRule="exact"/>
        <w:rPr>
          <w:sz w:val="24"/>
          <w:szCs w:val="24"/>
          <w:color w:val="auto"/>
        </w:rPr>
      </w:pPr>
    </w:p>
    <w:p>
      <w:pPr>
        <w:ind w:left="3780"/>
        <w:spacing w:after="0" w:line="138" w:lineRule="exact"/>
        <w:tabs>
          <w:tab w:leader="none" w:pos="4520" w:val="left"/>
          <w:tab w:leader="none" w:pos="5160" w:val="left"/>
        </w:tabs>
        <w:rPr>
          <w:sz w:val="20"/>
          <w:szCs w:val="20"/>
          <w:color w:val="auto"/>
        </w:rPr>
      </w:pPr>
      <w:r>
        <w:rPr>
          <w:rFonts w:ascii="Times New Roman" w:cs="Times New Roman" w:eastAsia="Times New Roman" w:hAnsi="Times New Roman"/>
          <w:sz w:val="12"/>
          <w:szCs w:val="12"/>
          <w:color w:val="auto"/>
        </w:rPr>
        <w:t xml:space="preserve">Yes </w:t>
      </w:r>
      <w:r>
        <w:rPr>
          <w:rFonts w:ascii="MS PGothic" w:cs="MS PGothic" w:eastAsia="MS PGothic" w:hAnsi="MS PGothic"/>
          <w:sz w:val="12"/>
          <w:szCs w:val="12"/>
          <w:color w:val="auto"/>
        </w:rPr>
        <w:t>☒</w:t>
      </w:r>
      <w:r>
        <w:rPr>
          <w:sz w:val="20"/>
          <w:szCs w:val="20"/>
          <w:color w:val="auto"/>
        </w:rPr>
        <w:tab/>
      </w:r>
      <w:r>
        <w:rPr>
          <w:rFonts w:ascii="Times New Roman" w:cs="Times New Roman" w:eastAsia="Times New Roman" w:hAnsi="Times New Roman"/>
          <w:sz w:val="12"/>
          <w:szCs w:val="12"/>
          <w:color w:val="auto"/>
        </w:rPr>
        <w:t>No</w:t>
      </w:r>
      <w:r>
        <w:rPr>
          <w:sz w:val="20"/>
          <w:szCs w:val="20"/>
          <w:color w:val="auto"/>
        </w:rPr>
        <w:tab/>
      </w:r>
      <w:r>
        <w:rPr>
          <w:rFonts w:ascii="MS PGothic" w:cs="MS PGothic" w:eastAsia="MS PGothic" w:hAnsi="MS PGothic"/>
          <w:sz w:val="10"/>
          <w:szCs w:val="10"/>
          <w:color w:val="auto"/>
        </w:rPr>
        <w:t>☐</w:t>
      </w:r>
    </w:p>
    <w:p>
      <w:pPr>
        <w:spacing w:after="0" w:line="228" w:lineRule="exact"/>
        <w:rPr>
          <w:sz w:val="24"/>
          <w:szCs w:val="24"/>
          <w:color w:val="auto"/>
        </w:rPr>
      </w:pPr>
    </w:p>
    <w:p>
      <w:pPr>
        <w:ind w:left="20" w:right="340"/>
        <w:spacing w:after="0" w:line="251"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0"/>
          </w:cols>
          <w:pgMar w:left="300" w:top="537" w:right="339" w:bottom="1440" w:gutter="0" w:footer="0" w:header="0"/>
        </w:sectPr>
      </w:pPr>
    </w:p>
    <w:p>
      <w:pPr>
        <w:spacing w:after="0" w:line="99" w:lineRule="exact"/>
        <w:rPr>
          <w:sz w:val="24"/>
          <w:szCs w:val="24"/>
          <w:color w:val="auto"/>
        </w:rPr>
      </w:pPr>
    </w:p>
    <w:p>
      <w:pPr>
        <w:ind w:left="2860"/>
        <w:spacing w:after="0" w:line="138" w:lineRule="exact"/>
        <w:rPr>
          <w:sz w:val="20"/>
          <w:szCs w:val="20"/>
          <w:color w:val="auto"/>
        </w:rPr>
      </w:pPr>
      <w:r>
        <w:rPr>
          <w:rFonts w:ascii="Times New Roman" w:cs="Times New Roman" w:eastAsia="Times New Roman" w:hAnsi="Times New Roman"/>
          <w:sz w:val="12"/>
          <w:szCs w:val="12"/>
          <w:color w:val="auto"/>
        </w:rPr>
        <w:t xml:space="preserve">Large 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Accelerated filer </w:t>
      </w:r>
      <w:r>
        <w:rPr>
          <w:rFonts w:ascii="MS PGothic" w:cs="MS PGothic" w:eastAsia="MS PGothic" w:hAnsi="MS PGothic"/>
          <w:sz w:val="12"/>
          <w:szCs w:val="12"/>
          <w:color w:val="auto"/>
          <w:highlight w:val="black"/>
        </w:rPr>
        <w:t>☐</w:t>
      </w:r>
    </w:p>
    <w:p>
      <w:pPr>
        <w:spacing w:after="0" w:line="200" w:lineRule="exact"/>
        <w:rPr>
          <w:sz w:val="24"/>
          <w:szCs w:val="24"/>
          <w:color w:val="auto"/>
        </w:rPr>
      </w:pPr>
    </w:p>
    <w:p>
      <w:pPr>
        <w:sectPr>
          <w:pgSz w:w="11900" w:h="16838" w:orient="portrait"/>
          <w:cols w:equalWidth="0" w:num="2">
            <w:col w:w="5920" w:space="720"/>
            <w:col w:w="4620"/>
          </w:cols>
          <w:pgMar w:left="300" w:top="537" w:right="339" w:bottom="1440" w:gutter="0" w:footer="0" w:header="0"/>
          <w:type w:val="continuous"/>
        </w:sectPr>
      </w:pPr>
    </w:p>
    <w:p>
      <w:pPr>
        <w:spacing w:after="0" w:line="2" w:lineRule="exact"/>
        <w:rPr>
          <w:sz w:val="24"/>
          <w:szCs w:val="24"/>
          <w:color w:val="auto"/>
        </w:rPr>
      </w:pPr>
    </w:p>
    <w:p>
      <w:pPr>
        <w:ind w:left="2940"/>
        <w:spacing w:after="0" w:line="127" w:lineRule="exact"/>
        <w:rPr>
          <w:sz w:val="20"/>
          <w:szCs w:val="20"/>
          <w:color w:val="auto"/>
        </w:rPr>
      </w:pPr>
      <w:r>
        <w:rPr>
          <w:rFonts w:ascii="Times New Roman" w:cs="Times New Roman" w:eastAsia="Times New Roman" w:hAnsi="Times New Roman"/>
          <w:sz w:val="11"/>
          <w:szCs w:val="11"/>
          <w:color w:val="auto"/>
        </w:rPr>
        <w:t xml:space="preserve">Non-accelerated filer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br w:type="column"/>
      </w:r>
    </w:p>
    <w:p>
      <w:pPr>
        <w:spacing w:after="0" w:line="109" w:lineRule="exact"/>
        <w:rPr>
          <w:sz w:val="20"/>
          <w:szCs w:val="20"/>
          <w:color w:val="auto"/>
        </w:rPr>
      </w:pPr>
      <w:r>
        <w:rPr>
          <w:rFonts w:ascii="Times New Roman" w:cs="Times New Roman" w:eastAsia="Times New Roman" w:hAnsi="Times New Roman"/>
          <w:sz w:val="11"/>
          <w:szCs w:val="11"/>
          <w:color w:val="auto"/>
        </w:rPr>
        <w:t xml:space="preserve">Smaller reporting company </w:t>
      </w:r>
      <w:r>
        <w:rPr>
          <w:rFonts w:ascii="MS PGothic" w:cs="MS PGothic" w:eastAsia="MS PGothic" w:hAnsi="MS PGothic"/>
          <w:sz w:val="11"/>
          <w:szCs w:val="11"/>
          <w:color w:val="auto"/>
        </w:rPr>
        <w:t>☒</w:t>
      </w:r>
    </w:p>
    <w:p>
      <w:pPr>
        <w:spacing w:after="0" w:line="200" w:lineRule="exact"/>
        <w:rPr>
          <w:sz w:val="24"/>
          <w:szCs w:val="24"/>
          <w:color w:val="auto"/>
        </w:rPr>
      </w:pPr>
    </w:p>
    <w:p>
      <w:pPr>
        <w:sectPr>
          <w:pgSz w:w="11900" w:h="16838" w:orient="portrait"/>
          <w:cols w:equalWidth="0" w:num="2">
            <w:col w:w="5420" w:space="720"/>
            <w:col w:w="5120"/>
          </w:cols>
          <w:pgMar w:left="300" w:top="537" w:right="339" w:bottom="1440" w:gutter="0" w:footer="0" w:header="0"/>
          <w:type w:val="continuous"/>
        </w:sectPr>
      </w:pPr>
    </w:p>
    <w:p>
      <w:pPr>
        <w:spacing w:after="0" w:line="98" w:lineRule="exact"/>
        <w:rPr>
          <w:sz w:val="24"/>
          <w:szCs w:val="24"/>
          <w:color w:val="auto"/>
        </w:rPr>
      </w:pPr>
    </w:p>
    <w:p>
      <w:pPr>
        <w:ind w:left="614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highlight w:val="black"/>
        </w:rPr>
        <w:t>☐</w:t>
      </w:r>
    </w:p>
    <w:p>
      <w:pPr>
        <w:spacing w:after="0" w:line="186" w:lineRule="exact"/>
        <w:rPr>
          <w:sz w:val="24"/>
          <w:szCs w:val="24"/>
          <w:color w:val="auto"/>
        </w:rPr>
      </w:pPr>
    </w:p>
    <w:p>
      <w:pPr>
        <w:ind w:left="20" w:right="20"/>
        <w:spacing w:after="0" w:line="14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1" w:lineRule="exact"/>
        <w:rPr>
          <w:sz w:val="24"/>
          <w:szCs w:val="24"/>
          <w:color w:val="auto"/>
        </w:rPr>
      </w:pPr>
    </w:p>
    <w:p>
      <w:pPr>
        <w:ind w:left="20" w:right="60"/>
        <w:spacing w:after="0" w:line="144" w:lineRule="exact"/>
        <w:rPr>
          <w:sz w:val="20"/>
          <w:szCs w:val="20"/>
          <w:color w:val="auto"/>
        </w:rPr>
      </w:pPr>
      <w:r>
        <w:rPr>
          <w:rFonts w:ascii="Times New Roman" w:cs="Times New Roman" w:eastAsia="Times New Roman" w:hAnsi="Times New Roman"/>
          <w:sz w:val="12"/>
          <w:szCs w:val="12"/>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r>
        <w:rPr>
          <w:rFonts w:ascii="MS PGothic" w:cs="MS PGothic" w:eastAsia="MS PGothic" w:hAnsi="MS PGothic"/>
          <w:sz w:val="12"/>
          <w:szCs w:val="12"/>
          <w:color w:val="auto"/>
        </w:rPr>
        <w:t>☐</w:t>
      </w:r>
    </w:p>
    <w:p>
      <w:pPr>
        <w:ind w:left="20" w:right="80"/>
        <w:spacing w:after="0" w:line="144" w:lineRule="exact"/>
        <w:rPr>
          <w:sz w:val="20"/>
          <w:szCs w:val="20"/>
          <w:color w:val="auto"/>
        </w:rPr>
      </w:pPr>
      <w:r>
        <w:rPr>
          <w:rFonts w:ascii="Times New Roman" w:cs="Times New Roman" w:eastAsia="Times New Roman" w:hAnsi="Times New Roman"/>
          <w:sz w:val="12"/>
          <w:szCs w:val="12"/>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2"/>
          <w:szCs w:val="12"/>
          <w:color w:val="auto"/>
        </w:rPr>
        <w:t>☐</w:t>
      </w:r>
    </w:p>
    <w:p>
      <w:pPr>
        <w:ind w:left="20" w:right="300"/>
        <w:spacing w:after="0" w:line="144" w:lineRule="exact"/>
        <w:rPr>
          <w:sz w:val="20"/>
          <w:szCs w:val="20"/>
          <w:color w:val="auto"/>
        </w:rPr>
      </w:pPr>
      <w:r>
        <w:rPr>
          <w:rFonts w:ascii="Times New Roman" w:cs="Times New Roman" w:eastAsia="Times New Roman" w:hAnsi="Times New Roman"/>
          <w:sz w:val="12"/>
          <w:szCs w:val="12"/>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2"/>
          <w:szCs w:val="12"/>
          <w:color w:val="auto"/>
        </w:rPr>
        <w:t>☐</w:t>
      </w:r>
    </w:p>
    <w:p>
      <w:pPr>
        <w:spacing w:after="0" w:line="114"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2"/>
          <w:szCs w:val="12"/>
          <w:color w:val="auto"/>
        </w:rPr>
        <w:t>Indicate by check mark whether the registrant is a shell company (as defined in Rule 12b-2 of the Exchange Act).</w:t>
      </w:r>
    </w:p>
    <w:p>
      <w:pPr>
        <w:spacing w:after="0" w:line="122" w:lineRule="exact"/>
        <w:rPr>
          <w:sz w:val="24"/>
          <w:szCs w:val="24"/>
          <w:color w:val="auto"/>
        </w:rPr>
      </w:pPr>
    </w:p>
    <w:p>
      <w:pPr>
        <w:ind w:left="3780"/>
        <w:spacing w:after="0" w:line="138" w:lineRule="exact"/>
        <w:tabs>
          <w:tab w:leader="none" w:pos="4520" w:val="left"/>
          <w:tab w:leader="none" w:pos="5160" w:val="left"/>
        </w:tabs>
        <w:rPr>
          <w:sz w:val="20"/>
          <w:szCs w:val="20"/>
          <w:color w:val="auto"/>
        </w:rPr>
      </w:pPr>
      <w:r>
        <w:rPr>
          <w:rFonts w:ascii="Times New Roman" w:cs="Times New Roman" w:eastAsia="Times New Roman" w:hAnsi="Times New Roman"/>
          <w:sz w:val="12"/>
          <w:szCs w:val="12"/>
          <w:color w:val="auto"/>
        </w:rPr>
        <w:t xml:space="preserve">Yes </w:t>
      </w:r>
      <w:r>
        <w:rPr>
          <w:rFonts w:ascii="MS PGothic" w:cs="MS PGothic" w:eastAsia="MS PGothic" w:hAnsi="MS PGothic"/>
          <w:sz w:val="12"/>
          <w:szCs w:val="12"/>
          <w:color w:val="auto"/>
        </w:rPr>
        <w:t>☐</w:t>
      </w:r>
      <w:r>
        <w:rPr>
          <w:sz w:val="20"/>
          <w:szCs w:val="20"/>
          <w:color w:val="auto"/>
        </w:rPr>
        <w:tab/>
      </w:r>
      <w:r>
        <w:rPr>
          <w:rFonts w:ascii="Times New Roman" w:cs="Times New Roman" w:eastAsia="Times New Roman" w:hAnsi="Times New Roman"/>
          <w:sz w:val="12"/>
          <w:szCs w:val="12"/>
          <w:color w:val="auto"/>
        </w:rPr>
        <w:t>No</w:t>
      </w:r>
      <w:r>
        <w:rPr>
          <w:sz w:val="20"/>
          <w:szCs w:val="20"/>
          <w:color w:val="auto"/>
        </w:rPr>
        <w:tab/>
      </w:r>
      <w:r>
        <w:rPr>
          <w:rFonts w:ascii="MS PGothic" w:cs="MS PGothic" w:eastAsia="MS PGothic" w:hAnsi="MS PGothic"/>
          <w:sz w:val="10"/>
          <w:szCs w:val="10"/>
          <w:color w:val="auto"/>
        </w:rPr>
        <w:t>☒</w:t>
      </w:r>
    </w:p>
    <w:p>
      <w:pPr>
        <w:spacing w:after="0" w:line="260" w:lineRule="exact"/>
        <w:rPr>
          <w:sz w:val="24"/>
          <w:szCs w:val="24"/>
          <w:color w:val="auto"/>
        </w:rPr>
      </w:pPr>
    </w:p>
    <w:p>
      <w:pPr>
        <w:ind w:left="20" w:right="20"/>
        <w:spacing w:after="0" w:line="236" w:lineRule="auto"/>
        <w:rPr>
          <w:sz w:val="20"/>
          <w:szCs w:val="20"/>
          <w:color w:val="auto"/>
        </w:rPr>
      </w:pPr>
      <w:r>
        <w:rPr>
          <w:rFonts w:ascii="Times New Roman" w:cs="Times New Roman" w:eastAsia="Times New Roman" w:hAnsi="Times New Roman"/>
          <w:sz w:val="12"/>
          <w:szCs w:val="12"/>
          <w:color w:val="auto"/>
        </w:rPr>
        <w:t>The aggregate market value of registrant’s Common Stock, par value $.50 per share, held by persons other than those who may be deemed to be affiliates of registrant on June 30, 2025 was $455,896,129 based on the last reported sale price on the New York Stock Exchange as of the close of business on that date.</w:t>
      </w:r>
    </w:p>
    <w:p>
      <w:pPr>
        <w:spacing w:after="0" w:line="1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The number of the Company’s outstanding shares of Common Stock on February 28, 2026 was 26,930,197.</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31" w:lineRule="exact"/>
        <w:rPr>
          <w:sz w:val="24"/>
          <w:szCs w:val="24"/>
          <w:color w:val="auto"/>
        </w:rPr>
      </w:pPr>
    </w:p>
    <w:p>
      <w:pPr>
        <w:jc w:val="center"/>
        <w:ind w:left="360" w:right="100"/>
        <w:spacing w:after="0" w:line="269" w:lineRule="auto"/>
        <w:rPr>
          <w:sz w:val="20"/>
          <w:szCs w:val="20"/>
          <w:color w:val="auto"/>
        </w:rPr>
      </w:pPr>
      <w:r>
        <w:rPr>
          <w:rFonts w:ascii="Times New Roman" w:cs="Times New Roman" w:eastAsia="Times New Roman" w:hAnsi="Times New Roman"/>
          <w:sz w:val="12"/>
          <w:szCs w:val="12"/>
          <w:color w:val="auto"/>
        </w:rPr>
        <w:t>Portions of the Registrant's Proxy Statement for the 2026 Annual Meeting of Stockholders, to be filed within 120 days of the Registrant's fiscal year ended December 31, 2025, relating to the directors and executive officers of the Company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230505</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537"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6"/>
        </w:trPr>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60" w:type="dxa"/>
            <w:vAlign w:val="bottom"/>
          </w:tcPr>
          <w:p>
            <w:pPr>
              <w:ind w:left="396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660" w:type="dxa"/>
            <w:vAlign w:val="bottom"/>
          </w:tcPr>
          <w:p>
            <w:pPr>
              <w:spacing w:after="0"/>
              <w:rPr>
                <w:sz w:val="16"/>
                <w:szCs w:val="16"/>
                <w:color w:val="auto"/>
              </w:rPr>
            </w:pPr>
          </w:p>
        </w:tc>
      </w:tr>
      <w:tr>
        <w:trPr>
          <w:trHeight w:val="563"/>
        </w:trPr>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3"/>
              </w:rPr>
              <w:t>PART I</w:t>
            </w:r>
          </w:p>
        </w:tc>
        <w:tc>
          <w:tcPr>
            <w:tcW w:w="440" w:type="dxa"/>
            <w:vAlign w:val="bottom"/>
            <w:gridSpan w:val="4"/>
          </w:tcPr>
          <w:p>
            <w:pPr>
              <w:spacing w:after="0"/>
              <w:rPr>
                <w:sz w:val="24"/>
                <w:szCs w:val="24"/>
                <w:color w:val="auto"/>
              </w:rPr>
            </w:pPr>
          </w:p>
        </w:tc>
        <w:tc>
          <w:tcPr>
            <w:tcW w:w="96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8"/>
        </w:trPr>
        <w:tc>
          <w:tcPr>
            <w:tcW w:w="9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1.</w:t>
            </w:r>
          </w:p>
        </w:tc>
        <w:tc>
          <w:tcPr>
            <w:tcW w:w="9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BUSINESS</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0"/>
        </w:trPr>
        <w:tc>
          <w:tcPr>
            <w:tcW w:w="9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1A.</w:t>
            </w:r>
          </w:p>
        </w:tc>
        <w:tc>
          <w:tcPr>
            <w:tcW w:w="9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RISK FACTORS</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80"/>
        </w:trPr>
        <w:tc>
          <w:tcPr>
            <w:tcW w:w="9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1B.</w:t>
            </w:r>
          </w:p>
        </w:tc>
        <w:tc>
          <w:tcPr>
            <w:tcW w:w="9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UNRESOLVED STAFF COMMENTS</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180"/>
        </w:trPr>
        <w:tc>
          <w:tcPr>
            <w:tcW w:w="9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1C.</w:t>
            </w:r>
          </w:p>
        </w:tc>
        <w:tc>
          <w:tcPr>
            <w:tcW w:w="9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CYBERSECURITY</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180"/>
        </w:trPr>
        <w:tc>
          <w:tcPr>
            <w:tcW w:w="9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2.</w:t>
            </w:r>
          </w:p>
        </w:tc>
        <w:tc>
          <w:tcPr>
            <w:tcW w:w="9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PROPERTIES</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180"/>
        </w:trPr>
        <w:tc>
          <w:tcPr>
            <w:tcW w:w="9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3.</w:t>
            </w:r>
          </w:p>
        </w:tc>
        <w:tc>
          <w:tcPr>
            <w:tcW w:w="9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LEGAL PROCEEDINGS</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84"/>
        </w:trPr>
        <w:tc>
          <w:tcPr>
            <w:tcW w:w="9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4.</w:t>
            </w:r>
          </w:p>
        </w:tc>
        <w:tc>
          <w:tcPr>
            <w:tcW w:w="9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MINE SAFETY DISCLOSURES</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361"/>
        </w:trPr>
        <w:tc>
          <w:tcPr>
            <w:tcW w:w="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5"/>
              </w:rPr>
              <w:t>PART II</w:t>
            </w:r>
          </w:p>
        </w:tc>
        <w:tc>
          <w:tcPr>
            <w:tcW w:w="380" w:type="dxa"/>
            <w:vAlign w:val="bottom"/>
            <w:gridSpan w:val="3"/>
          </w:tcPr>
          <w:p>
            <w:pPr>
              <w:spacing w:after="0"/>
              <w:rPr>
                <w:sz w:val="24"/>
                <w:szCs w:val="24"/>
                <w:color w:val="auto"/>
              </w:rPr>
            </w:pPr>
          </w:p>
        </w:tc>
        <w:tc>
          <w:tcPr>
            <w:tcW w:w="96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88"/>
        </w:trPr>
        <w:tc>
          <w:tcPr>
            <w:tcW w:w="9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5.</w:t>
            </w:r>
          </w:p>
        </w:tc>
        <w:tc>
          <w:tcPr>
            <w:tcW w:w="9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MARKET FOR REGISTRANT’S COMMON EQUITY, RELATED STOCKHOLDER MATTERS AND ISSUER PURCHASES OF EQUITY SECURITIES</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80"/>
        </w:trPr>
        <w:tc>
          <w:tcPr>
            <w:tcW w:w="9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6.</w:t>
            </w:r>
          </w:p>
        </w:tc>
        <w:tc>
          <w:tcPr>
            <w:tcW w:w="9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RESERVED</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80"/>
        </w:trPr>
        <w:tc>
          <w:tcPr>
            <w:tcW w:w="9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7.</w:t>
            </w:r>
          </w:p>
        </w:tc>
        <w:tc>
          <w:tcPr>
            <w:tcW w:w="9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MANAGEMENT’S DISCUSSION AND ANALYSIS OF FINANCIAL CONDITION AND RESULTS OF OPERATIONS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80"/>
        </w:trPr>
        <w:tc>
          <w:tcPr>
            <w:tcW w:w="9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7A.</w:t>
            </w:r>
          </w:p>
        </w:tc>
        <w:tc>
          <w:tcPr>
            <w:tcW w:w="9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QUANTITATIVE AND QUALITATIVE DISCLOSURES ABOUT MARKET RISK</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r>
      <w:tr>
        <w:trPr>
          <w:trHeight w:val="180"/>
        </w:trPr>
        <w:tc>
          <w:tcPr>
            <w:tcW w:w="9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8.</w:t>
            </w:r>
          </w:p>
        </w:tc>
        <w:tc>
          <w:tcPr>
            <w:tcW w:w="9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FINANCIAL STATEMENTS AND SUPPLEMENTARY DATA</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r>
      <w:tr>
        <w:trPr>
          <w:trHeight w:val="180"/>
        </w:trPr>
        <w:tc>
          <w:tcPr>
            <w:tcW w:w="9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9.</w:t>
            </w:r>
          </w:p>
        </w:tc>
        <w:tc>
          <w:tcPr>
            <w:tcW w:w="9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CHANGES IN AND DISAGREEMENTS WITH ACCOUNTANTS ON ACCOUNTING AND FINANCIAL DISCLOSURE</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r>
      <w:tr>
        <w:trPr>
          <w:trHeight w:val="180"/>
        </w:trPr>
        <w:tc>
          <w:tcPr>
            <w:tcW w:w="9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9A.</w:t>
            </w:r>
          </w:p>
        </w:tc>
        <w:tc>
          <w:tcPr>
            <w:tcW w:w="9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CONTROLS AND PROCEDURES</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180"/>
        </w:trPr>
        <w:tc>
          <w:tcPr>
            <w:tcW w:w="9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9B.</w:t>
            </w:r>
          </w:p>
        </w:tc>
        <w:tc>
          <w:tcPr>
            <w:tcW w:w="9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OTHER INFORMATION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184"/>
        </w:trPr>
        <w:tc>
          <w:tcPr>
            <w:tcW w:w="9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9C.</w:t>
            </w:r>
          </w:p>
        </w:tc>
        <w:tc>
          <w:tcPr>
            <w:tcW w:w="9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DISCLOSURE REGARDING FOREIGN JURISDICTIONS THAT PREVENT INSPECTIONS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361"/>
        </w:trPr>
        <w:tc>
          <w:tcPr>
            <w:tcW w:w="5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w w:val="96"/>
              </w:rPr>
              <w:t>PART III</w:t>
            </w:r>
          </w:p>
        </w:tc>
        <w:tc>
          <w:tcPr>
            <w:tcW w:w="320" w:type="dxa"/>
            <w:vAlign w:val="bottom"/>
          </w:tcPr>
          <w:p>
            <w:pPr>
              <w:spacing w:after="0"/>
              <w:rPr>
                <w:sz w:val="24"/>
                <w:szCs w:val="24"/>
                <w:color w:val="auto"/>
              </w:rPr>
            </w:pPr>
          </w:p>
        </w:tc>
        <w:tc>
          <w:tcPr>
            <w:tcW w:w="96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188"/>
        </w:trPr>
        <w:tc>
          <w:tcPr>
            <w:tcW w:w="9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10.</w:t>
            </w:r>
          </w:p>
        </w:tc>
        <w:tc>
          <w:tcPr>
            <w:tcW w:w="9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DIRECTORS, EXECUTIVE OFFICERS AND CORPORATE GOVERNANCE</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180"/>
        </w:trPr>
        <w:tc>
          <w:tcPr>
            <w:tcW w:w="9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11.</w:t>
            </w:r>
          </w:p>
        </w:tc>
        <w:tc>
          <w:tcPr>
            <w:tcW w:w="9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EXECUTIVE COMPENSATION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180"/>
        </w:trPr>
        <w:tc>
          <w:tcPr>
            <w:tcW w:w="9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12.</w:t>
            </w:r>
          </w:p>
        </w:tc>
        <w:tc>
          <w:tcPr>
            <w:tcW w:w="9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SECURITY OWNERSHIP OF CERTAIN BENEFICIAL OWNERS AND MANAGEMENT AND RELATED STOCKHOLDER MATTERS</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180"/>
        </w:trPr>
        <w:tc>
          <w:tcPr>
            <w:tcW w:w="9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13.</w:t>
            </w:r>
          </w:p>
        </w:tc>
        <w:tc>
          <w:tcPr>
            <w:tcW w:w="9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CERTAIN RELATIONSHIPS AND RELATED TRANSACTIONS, AND DIRECTOR INDEPENDENCE</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184"/>
        </w:trPr>
        <w:tc>
          <w:tcPr>
            <w:tcW w:w="9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14.</w:t>
            </w:r>
          </w:p>
        </w:tc>
        <w:tc>
          <w:tcPr>
            <w:tcW w:w="9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PRINCIPAL ACCOUNTANT FEES AND SERVICES</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361"/>
        </w:trPr>
        <w:tc>
          <w:tcPr>
            <w:tcW w:w="9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PART IV</w:t>
            </w:r>
          </w:p>
        </w:tc>
        <w:tc>
          <w:tcPr>
            <w:tcW w:w="96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188"/>
        </w:trPr>
        <w:tc>
          <w:tcPr>
            <w:tcW w:w="5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w w:val="97"/>
              </w:rPr>
              <w:t>ITEM 15.</w:t>
            </w:r>
          </w:p>
        </w:tc>
        <w:tc>
          <w:tcPr>
            <w:tcW w:w="340" w:type="dxa"/>
            <w:vAlign w:val="bottom"/>
            <w:gridSpan w:val="2"/>
          </w:tcPr>
          <w:p>
            <w:pPr>
              <w:spacing w:after="0"/>
              <w:rPr>
                <w:sz w:val="16"/>
                <w:szCs w:val="16"/>
                <w:color w:val="auto"/>
              </w:rPr>
            </w:pPr>
          </w:p>
        </w:tc>
        <w:tc>
          <w:tcPr>
            <w:tcW w:w="9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EXHIBITS AND FINANCIAL STATEMENT SCHEDULES</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184"/>
        </w:trPr>
        <w:tc>
          <w:tcPr>
            <w:tcW w:w="9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16.</w:t>
            </w:r>
          </w:p>
        </w:tc>
        <w:tc>
          <w:tcPr>
            <w:tcW w:w="9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FORM 10-K SUMMARY</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r>
      <w:tr>
        <w:trPr>
          <w:trHeight w:val="361"/>
        </w:trPr>
        <w:tc>
          <w:tcPr>
            <w:tcW w:w="9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w w:val="96"/>
              </w:rPr>
              <w:t>SIGNATURES</w:t>
            </w:r>
          </w:p>
        </w:tc>
        <w:tc>
          <w:tcPr>
            <w:tcW w:w="96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188"/>
        </w:trPr>
        <w:tc>
          <w:tcPr>
            <w:tcW w:w="105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ITEM 15(a)(1) - FINANCIAL STATEMENTS</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184"/>
        </w:trPr>
        <w:tc>
          <w:tcPr>
            <w:tcW w:w="105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ITEM 15(a)(2) - FINANCIAL STATEMENT SCHEDULES</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20" w:top="728"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006EBF"/>
        </w:rPr>
        <w:t>Glossary</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The following initialisms or acronyms may be used in this document and shall be defined as set forth below:</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AKIP</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Advance Kern Incentive Program</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ASC</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Accounting Standards Codification</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ASU</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Accounting Standards Update</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AVEK</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Antelope Valley East Kern Water Agency</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CFL</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Centennial Founders, LLC</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CBD</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Center for Biological Diversity</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CEQA</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California Environmental Quality Act</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CFD</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Community Facilities District</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CNPS</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California Native Plant Society</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EBITDA</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Earnings Before Interest Taxes Depreciation and Amortization</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EIR</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Environmental Impact Report</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FTZ</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Foreign Trade Zone</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GAAP</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Generally Accepted Accounting Principles in the United States</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GHG</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Greenhouse Gas</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GSP</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Groundwater Sustainability Plan</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MV</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Mountain Village at Tejon Ranch</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NOI</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Net Operating Income</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NLER</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Net Liabilities to Equity Ratio</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PEF</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Pastoria Energy Facility, LLC</w:t>
            </w:r>
          </w:p>
        </w:tc>
      </w:tr>
      <w:tr>
        <w:trPr>
          <w:trHeight w:val="191"/>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RCL</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Revolving Credit Line</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RWA</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Tejon Ranch Conservation and Land Use Agreement</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Securities and Exchange Commission</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SOFR</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Secured Overnight Financing Rate</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SWP</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State Water Project</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TCWD</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Tejon-Castac Water District</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TRC</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Tejon Ranch Co.</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TRCC</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Tejon Ranch Commerce Center</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TRPFFA</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Tejon Ranch Public Facilities Financing Authority</w:t>
            </w:r>
          </w:p>
        </w:tc>
      </w:tr>
      <w:tr>
        <w:trPr>
          <w:trHeight w:val="184"/>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WRMWSD</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Wheeler Ridge Maricopa Water Storage District</w:t>
            </w:r>
          </w:p>
        </w:tc>
      </w:tr>
      <w:tr>
        <w:trPr>
          <w:trHeight w:val="668"/>
        </w:trPr>
        <w:tc>
          <w:tcPr>
            <w:tcW w:w="1500" w:type="dxa"/>
            <w:vAlign w:val="bottom"/>
          </w:tcPr>
          <w:p>
            <w:pPr>
              <w:spacing w:after="0"/>
              <w:rPr>
                <w:sz w:val="24"/>
                <w:szCs w:val="24"/>
                <w:color w:val="auto"/>
              </w:rPr>
            </w:pPr>
          </w:p>
        </w:tc>
        <w:tc>
          <w:tcPr>
            <w:tcW w:w="9780" w:type="dxa"/>
            <w:vAlign w:val="bottom"/>
          </w:tcPr>
          <w:p>
            <w:pPr>
              <w:ind w:left="4100"/>
              <w:spacing w:after="0"/>
              <w:rPr>
                <w:sz w:val="20"/>
                <w:szCs w:val="20"/>
                <w:color w:val="auto"/>
              </w:rPr>
            </w:pPr>
            <w:r>
              <w:rPr>
                <w:rFonts w:ascii="Times New Roman" w:cs="Times New Roman" w:eastAsia="Times New Roman" w:hAnsi="Times New Roman"/>
                <w:sz w:val="14"/>
                <w:szCs w:val="14"/>
                <w:color w:val="auto"/>
              </w:rPr>
              <w:t>3</w:t>
            </w:r>
          </w:p>
        </w:tc>
      </w:tr>
      <w:tr>
        <w:trPr>
          <w:trHeight w:val="87"/>
        </w:trPr>
        <w:tc>
          <w:tcPr>
            <w:tcW w:w="1500" w:type="dxa"/>
            <w:vAlign w:val="bottom"/>
            <w:tcBorders>
              <w:bottom w:val="single" w:sz="8" w:color="9A9A9A"/>
            </w:tcBorders>
          </w:tcPr>
          <w:p>
            <w:pPr>
              <w:spacing w:after="0"/>
              <w:rPr>
                <w:sz w:val="7"/>
                <w:szCs w:val="7"/>
                <w:color w:val="auto"/>
              </w:rPr>
            </w:pPr>
          </w:p>
        </w:tc>
        <w:tc>
          <w:tcPr>
            <w:tcW w:w="97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02" w:right="31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PART 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6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i w:val="1"/>
          <w:iCs w:val="1"/>
          <w:color w:val="auto"/>
        </w:rPr>
        <w:t>This annual report on Form 10-K contains forward-looking statements, including without limitation, statements regarding strategic alliances, the almond, pistachio, olives and grape industries, the future plantings of permanent crops, future yields, prices, and water availability for our crops and real estate operations, future prices, production and demand for oil and other minerals, future development of our property, future revenue and income of our jointly-owned travel plaza and other joint venture operations, future revenue and income from residential leasing, the adequacy of future cash flows to fund our operations, and of current assets and contracts to meet our water and other commitments, market value risks associated with investment and risk management activities and with respect to inventory, accounts receivable and our own outstanding indebtedness, ongoing negotiations, and other future events and conditions. In some cases, these statements are identifiable through the use of words such as “anticipate,” “believe,” “estimate,” “expect,” “intend,” “plan,” “project,” “target,” “can,” “could,” “may,” “will,” “should,” “would,” “likely,” and similar expressions such as “in the process,” “designed to,” “well positioned,” or “envisioned to.” In addition, any statements that refer to projections of our future financial performance, our anticipated growth, and trends in our business and other characterizations of future events or circumstances are forward-looking statements. We caution you not to place undue reliance on these forward-looking statements. These forward-looking statements are not a guarantee of future performance and are subject to assumptions and involve known and unknown risks, uncertainties and other important factors that could cause the actual results, performance or achievements of the Company, or industry results, to differ materially from any future results, performance, or achievement implied by such forward-looking statements. These risks, uncertainties and important factors include, but are not limited to, weather, market, geopolitical and economic forces, availability of financing for land development activities, competition and success in obtaining various governmental approvals and entitlements for land development activities, and the timing and outcome of regulatory or litigation processes. No assurance can be given that the actual future results will not differ materially from the forward-looking statements that we make for a number of reasons including those described above and in Part I, Item 1A, “Risk Factors” of this report.</w:t>
      </w:r>
    </w:p>
    <w:p>
      <w:pPr>
        <w:spacing w:after="0" w:line="6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As used in this annual report on Form 10-K, references to the “Company,” “Tejon,” “TRC,” “we,” “us,” and “our” refer to Tejon Ranch Co. and its consolidated subsidiaries. The following discussion should be read in conjunction with the consolidated financial statements and the accompanying notes appearing elsewhere in this annual report on Form 10-K.</w:t>
      </w:r>
    </w:p>
    <w:p>
      <w:pPr>
        <w:spacing w:after="0" w:line="3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4"/>
          <w:szCs w:val="14"/>
          <w:b w:val="1"/>
          <w:bCs w:val="1"/>
          <w:color w:val="006EBF"/>
        </w:rPr>
        <w:t>ITEM 1.</w:t>
        <w:tab/>
        <w:t>BUSINESS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6EBF"/>
        </w:rPr>
        <w:t>Company Overview</w:t>
      </w:r>
    </w:p>
    <w:p>
      <w:pPr>
        <w:spacing w:after="0" w:line="13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We are a diversified real estate development company anchored by the Tejon Ranch Commerce Center (“TRCC”), a 20 million-square-foot commercial and industrial development strategically located along Interstate 5 at the gateway between the Los Angeles Basin and California’s Central Valley. TRCC is the primary driver of our revenue and earnings. TRC’s portfolio within TRCC comprises approximately 3.4 million square feet of gross leasable area, which is substantially fully leased to nationally recognized tenants, including IKEA, L’Oréal, and Dollar General. In addition, the broader TRCC development, totaling over 8 million square feet, includes major third-party industrial users such as Caterpillar and Nestlé, further reinforcing the scale, quality, and strategic importance of the park.</w:t>
      </w:r>
    </w:p>
    <w:p>
      <w:pPr>
        <w:spacing w:after="0" w:line="164"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We are actively expanding TRCC through additional industrial development, commercial leasing activity, and the introduction of our first residential community, Terra Vista at Tejon, which has transitioned TRCC into a mixed-use master-planned development. In connection with the commencement of lease-up at Terra Vista at Tejon, we began reporting Multifamily as a separate operating segment in 2025, reflecting our expansion into the development and long-term ownership of residential rental communities.</w:t>
      </w:r>
    </w:p>
    <w:p>
      <w:pPr>
        <w:spacing w:after="0" w:line="15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4"/>
          <w:szCs w:val="14"/>
          <w:color w:val="auto"/>
        </w:rPr>
        <w:t>These commercial and multifamily operations are complemented by mineral resources, farming, and ranching activities conducted across approximately 270,000 acres of contiguous landholdings. In addition, we hold long-term real estate entitlements for two large-scale master-planned residential communities and are pursuing entitlements for a third, representing in the aggregate more than 35,000 housing units and approximately 35 million square feet of future commercial development.</w:t>
      </w:r>
    </w:p>
    <w:p>
      <w:pPr>
        <w:spacing w:after="0" w:line="168" w:lineRule="exact"/>
        <w:rPr>
          <w:sz w:val="20"/>
          <w:szCs w:val="20"/>
          <w:color w:val="auto"/>
        </w:rPr>
      </w:pPr>
    </w:p>
    <w:p>
      <w:pPr>
        <w:ind w:right="280"/>
        <w:spacing w:after="0" w:line="263" w:lineRule="auto"/>
        <w:rPr>
          <w:sz w:val="20"/>
          <w:szCs w:val="20"/>
          <w:color w:val="auto"/>
        </w:rPr>
      </w:pPr>
      <w:r>
        <w:rPr>
          <w:rFonts w:ascii="Times New Roman" w:cs="Times New Roman" w:eastAsia="Times New Roman" w:hAnsi="Times New Roman"/>
          <w:sz w:val="14"/>
          <w:szCs w:val="14"/>
          <w:color w:val="auto"/>
        </w:rPr>
        <w:t>Capital allocation decisions, including the timing of residential development, joint venture formation, infrastructure investment and potential asset monetization, are subject to periodic review by management and the Board of Directors based on market conditions, capital availability, entitlement status, litigation developments and projected risk-adjusted returns</w:t>
      </w:r>
      <w:r>
        <w:rPr>
          <w:rFonts w:ascii="Cambria" w:cs="Cambria" w:eastAsia="Cambria" w:hAnsi="Cambria"/>
          <w:sz w:val="15"/>
          <w:szCs w:val="15"/>
          <w:b w:val="1"/>
          <w:bCs w:val="1"/>
          <w:color w:val="auto"/>
        </w:rPr>
        <w: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conduct these activities through our six reporting segments:</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664"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1473835</wp:posOffset>
            </wp:positionH>
            <wp:positionV relativeFrom="page">
              <wp:posOffset>432435</wp:posOffset>
            </wp:positionV>
            <wp:extent cx="4608195" cy="1448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4608195" cy="1448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4"/>
          <w:szCs w:val="14"/>
          <w:color w:val="auto"/>
        </w:rPr>
        <w:t>Our prime asset is approximately 270,000 acres of contiguous, largely undeveloped land, extending approximately 60 miles north of downtown Los Angeles at its southern boundary and to an area approximately 15 miles southeast of Bakersfield at its northern boundary. We create value by securing entitlements for our land, facilitating infrastructure development, strategic land planning, monetization of land through development and/or sales or leases, and conservation in order to maximize the highest and best use for our land. We are involved in nine joint ventures that either own, develop, and/or operate real estate properties. We enter into joint ventures as a means to facilitate the development of portions of our 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1283335</wp:posOffset>
            </wp:positionH>
            <wp:positionV relativeFrom="paragraph">
              <wp:posOffset>201930</wp:posOffset>
            </wp:positionV>
            <wp:extent cx="4608195" cy="39008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08195" cy="3900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20"/>
          </w:cols>
          <w:pgMar w:left="300" w:top="1440"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i w:val="1"/>
          <w:iCs w:val="1"/>
          <w:color w:val="auto"/>
        </w:rPr>
        <w:t>Tejon Ranch Commerce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1283335</wp:posOffset>
            </wp:positionH>
            <wp:positionV relativeFrom="paragraph">
              <wp:posOffset>137160</wp:posOffset>
            </wp:positionV>
            <wp:extent cx="4608195" cy="3449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608195" cy="344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6EBF"/>
        </w:rPr>
        <w:t>Business Objectives and Strategies</w:t>
      </w:r>
    </w:p>
    <w:p>
      <w:pPr>
        <w:spacing w:after="0" w:line="138"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Our primary business objective is to maximize long-term shareholder value through the development, leasing, and monetization of our land-based assets, with our commercial and industrial operations at the Tejon Ranch Commerce Center (“TRCC”) serving as a central component of this strategy. In addition, our real estate platform now includes a dedicated Multifamily segment, reflecting our strategic evolution into a more diversified, mixed-use master-planned development. We allocate capital toward projects that we believe generate attractive risk-adjusted returns while enhancing the long-term value of our landholdings.</w:t>
      </w:r>
    </w:p>
    <w:p>
      <w:pPr>
        <w:spacing w:after="0" w:line="162"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For the year ended December 31, 2025, our Commercial/Industrial Real Estate segment generated $15.4 million of operating income, inclusive of equity in earnings from unconsolidated joint ventures. As of December 31, 2025, our industrial portfolio was 100% leased and our commercial portfolio was 98% leased. We currently have approximately 11.1 million square feet of additional entitled industrial space available for future development.</w:t>
      </w:r>
    </w:p>
    <w:p>
      <w:pPr>
        <w:spacing w:after="0" w:line="15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Complementing our commercial platform, our Multifamily segment is focused on the development and long-term ownership of residential rental communities within our master-planned projects, beginning with Terra Vista at Tejon. Terra Vista is currently in the lease-up phase as we work to stabilize occupancy and optimize rental rates. Typical of newly delivered apartment communities, lease-up is expected to occur over time as market awareness builds and occupancy trends toward stabilized levels. Upon stabilization, we expect the project to generate recurring rental revenues and net operating income, increasing the stability and predictability of our earnings. Multifamily development also supports on-site employment centers by providing housing within our mixed-use communities and represents a strategic expansion of our real estate platform.</w:t>
      </w:r>
    </w:p>
    <w:p>
      <w:pPr>
        <w:spacing w:after="0" w:line="16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Looking beyond our current development footprint at TRCC, we hold long-term entitlements for two large-scale master-planned residential communities - Mountain Village and Grapevine - and are in the re-entitlement process for a third,</w:t>
      </w:r>
    </w:p>
    <w:p>
      <w:pPr>
        <w:spacing w:after="0" w:line="3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664"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color w:val="auto"/>
        </w:rPr>
        <w:t>Centennial (as described below), collectively comprising 35,278 housing units and more than 35 million square feet of commercial development.</w:t>
      </w:r>
    </w:p>
    <w:p>
      <w:pPr>
        <w:spacing w:after="0" w:line="200"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Mountain Village has received its first approved final map consisting of 401 residential lots and parcels for hospitality, amenities, and public uses. Grapevine has approved entitlements for 12,000 residential units and approximately 5 million square feet of commercial development. Centennial received entitlement approvals in 2018 and legislative approvals in 2019.</w:t>
      </w:r>
    </w:p>
    <w:p>
      <w:pPr>
        <w:spacing w:after="0" w:line="14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 xml:space="preserve">The Centennial approvals granted by the Los Angeles County Board of Supervisors in 2019 were challenged in two lawsuits filed in Los Angeles County Superior Court in May 2019. In January 2022, the Superior Court issued a decision rescinding certain project approvals, followed by a final judgment on March 22, 2023. On May 26, 2023, the Company filed a notice of appeal, and on June 27, 2023, plaintiffs filed a cross-appeal. The Court of Appeal held a hearing on April 3, 2025 and, on June 26, 2025, the Court of Appeal issued a written decision affirming the Superior Court’s judgment. On September 22, 2025, the Superior Court issued a writ of mandate ordering Los Angeles County to set aside the Centennial approvals. On December 2, 2025, LA County rescinded and set aside the Centennial approvals. The Company is in the process of working with Los Angeles County to advance the Centennial project and has begun the process to re-entitlement of the Centennial project (“re-entitlement”). We expect that re-entitlement will involve processing project and land use entitlements that are substantively similar to the Centennial land use approvals that were approved in April of 2019, while addressing the matters adjudicated in the litigation. See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auto"/>
        </w:rPr>
        <w:t xml:space="preserve"> Footnote 13.</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also generate revenue from mineral resources, farming, and ranch operations conducted across our approximately 270,000 acres of contiguous landholdings.</w:t>
      </w:r>
    </w:p>
    <w:p>
      <w:pPr>
        <w:spacing w:after="0" w:line="200"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Our mineral resources operations generate recurring royalty income from third-party extraction activities with minimal capital deployment by the Company. These activities leverage the underlying value of our land and represent a natural extension of our land-based business model.</w:t>
      </w:r>
    </w:p>
    <w:p>
      <w:pPr>
        <w:spacing w:after="0" w:line="145"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Our farming operations provide revenue diversification and represent a productive interim use of certain land areas while long-term development plans mature. Our almond and pistachio acreage located on the San Joaquin Valley floor generates current cash flow and maintains these properties in active agricultural production pending potential future development, including areas contemplated for projects such as Grapevine North. These operations are supported by the Company’s long-term water rights and related infrastructure investments, including fixed water obligations associated with the State Water Project and local water systems, which secure reliable access to water resources independent of annual farming activity.</w:t>
      </w:r>
    </w:p>
    <w:p>
      <w:pPr>
        <w:spacing w:after="0" w:line="162"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Our ranch operations primarily support land stewardship and cost management across our broader landholdings. These activities include infrastructure maintenance and operational oversight of our approximately 270,000 acres and contribute modest operating income.</w:t>
      </w: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666"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1473835</wp:posOffset>
            </wp:positionH>
            <wp:positionV relativeFrom="page">
              <wp:posOffset>432435</wp:posOffset>
            </wp:positionV>
            <wp:extent cx="4608195" cy="59626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4608195" cy="596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color w:val="006EBF"/>
        </w:rPr>
        <w:t>Percentage of Total Revenue</w:t>
      </w:r>
      <w:r>
        <w:rPr>
          <w:rFonts w:ascii="Times New Roman" w:cs="Times New Roman" w:eastAsia="Times New Roman" w:hAnsi="Times New Roman"/>
          <w:sz w:val="18"/>
          <w:szCs w:val="18"/>
          <w:b w:val="1"/>
          <w:bCs w:val="1"/>
          <w:color w:val="006EBF"/>
          <w:vertAlign w:val="superscript"/>
        </w:rPr>
        <w:t>1</w:t>
      </w:r>
      <w:r>
        <w:rPr>
          <w:rFonts w:ascii="Times New Roman" w:cs="Times New Roman" w:eastAsia="Times New Roman" w:hAnsi="Times New Roman"/>
          <w:sz w:val="14"/>
          <w:szCs w:val="14"/>
          <w:b w:val="1"/>
          <w:bCs w:val="1"/>
          <w:color w:val="006EBF"/>
        </w:rPr>
        <w:t xml:space="preserve">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69850</wp:posOffset>
            </wp:positionV>
            <wp:extent cx="6845300" cy="2694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45300" cy="2694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60" w:hanging="55"/>
        <w:spacing w:after="0"/>
        <w:tabs>
          <w:tab w:leader="none" w:pos="60" w:val="left"/>
        </w:tabs>
        <w:numPr>
          <w:ilvl w:val="0"/>
          <w:numId w:val="2"/>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9"/>
          <w:szCs w:val="9"/>
          <w:color w:val="auto"/>
        </w:rPr>
        <w:t>Charts present segment revenues and equity in earnings of unconsolidated joint ventures, which has been included in real estate, while other income components are excluded.</w:t>
      </w:r>
    </w:p>
    <w:p>
      <w:pPr>
        <w:spacing w:after="0" w:line="32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661" w:right="1440"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1534160</wp:posOffset>
            </wp:positionH>
            <wp:positionV relativeFrom="page">
              <wp:posOffset>513080</wp:posOffset>
            </wp:positionV>
            <wp:extent cx="4486910" cy="54368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486910" cy="5436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Note: Our Resort Residential reporting segment is not a revenue generating segment in the periods reported herein.</w:t>
      </w:r>
    </w:p>
    <w:p>
      <w:pPr>
        <w:spacing w:after="0" w:line="382"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440"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color w:val="auto"/>
        </w:rPr>
        <w:t>The following table shows the revenues from continuing operations, segment operating results and identifiable assets of each of our continuing segments for the last three years:</w:t>
      </w: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FINANCIAL INFORMATION ABOUT SEGMENTS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(Amounts in thousands of dollars)</w:t>
      </w:r>
    </w:p>
    <w:p>
      <w:pPr>
        <w:spacing w:after="0" w:line="101"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color w:val="auto"/>
              </w:rPr>
              <w:t>Year Ended December 31,</w:t>
            </w: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6220" w:type="dxa"/>
            <w:vAlign w:val="bottom"/>
            <w:gridSpan w:val="4"/>
            <w:vMerge w:val="restart"/>
          </w:tcPr>
          <w:p>
            <w:pPr>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10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2025</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118"/>
        </w:trPr>
        <w:tc>
          <w:tcPr>
            <w:tcW w:w="6220" w:type="dxa"/>
            <w:vAlign w:val="bottom"/>
            <w:gridSpan w:val="4"/>
            <w:vMerge w:val="continue"/>
          </w:tcPr>
          <w:p>
            <w:pPr>
              <w:spacing w:after="0"/>
              <w:rPr>
                <w:sz w:val="10"/>
                <w:szCs w:val="10"/>
                <w:color w:val="auto"/>
              </w:rPr>
            </w:pPr>
          </w:p>
        </w:tc>
        <w:tc>
          <w:tcPr>
            <w:tcW w:w="10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52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6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Real estate - commercial/industrial</w:t>
            </w:r>
          </w:p>
        </w:tc>
        <w:tc>
          <w:tcPr>
            <w:tcW w:w="102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12,552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11,758</w:t>
            </w:r>
          </w:p>
        </w:tc>
        <w:tc>
          <w:tcPr>
            <w:tcW w:w="0" w:type="dxa"/>
            <w:vAlign w:val="bottom"/>
          </w:tcPr>
          <w:p>
            <w:pPr>
              <w:spacing w:after="0"/>
              <w:rPr>
                <w:sz w:val="1"/>
                <w:szCs w:val="1"/>
                <w:color w:val="auto"/>
              </w:rPr>
            </w:pPr>
          </w:p>
        </w:tc>
      </w:tr>
      <w:tr>
        <w:trPr>
          <w:trHeight w:val="180"/>
        </w:trPr>
        <w:tc>
          <w:tcPr>
            <w:tcW w:w="62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Multifamily</w:t>
            </w:r>
          </w:p>
        </w:tc>
        <w:tc>
          <w:tcPr>
            <w:tcW w:w="10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6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Mineral resources</w:t>
            </w:r>
          </w:p>
        </w:tc>
        <w:tc>
          <w:tcPr>
            <w:tcW w:w="10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9,636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14,524</w:t>
            </w:r>
          </w:p>
        </w:tc>
        <w:tc>
          <w:tcPr>
            <w:tcW w:w="0" w:type="dxa"/>
            <w:vAlign w:val="bottom"/>
          </w:tcPr>
          <w:p>
            <w:pPr>
              <w:spacing w:after="0"/>
              <w:rPr>
                <w:sz w:val="1"/>
                <w:szCs w:val="1"/>
                <w:color w:val="auto"/>
              </w:rPr>
            </w:pPr>
          </w:p>
        </w:tc>
      </w:tr>
      <w:tr>
        <w:trPr>
          <w:trHeight w:val="180"/>
        </w:trPr>
        <w:tc>
          <w:tcPr>
            <w:tcW w:w="62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Farming</w:t>
            </w:r>
          </w:p>
        </w:tc>
        <w:tc>
          <w:tcPr>
            <w:tcW w:w="10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18,738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13,925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13,950</w:t>
            </w:r>
          </w:p>
        </w:tc>
        <w:tc>
          <w:tcPr>
            <w:tcW w:w="0" w:type="dxa"/>
            <w:vAlign w:val="bottom"/>
          </w:tcPr>
          <w:p>
            <w:pPr>
              <w:spacing w:after="0"/>
              <w:rPr>
                <w:sz w:val="1"/>
                <w:szCs w:val="1"/>
                <w:color w:val="auto"/>
              </w:rPr>
            </w:pPr>
          </w:p>
        </w:tc>
      </w:tr>
      <w:tr>
        <w:trPr>
          <w:trHeight w:val="180"/>
        </w:trPr>
        <w:tc>
          <w:tcPr>
            <w:tcW w:w="6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Ranch operations</w:t>
            </w:r>
          </w:p>
        </w:tc>
        <w:tc>
          <w:tcPr>
            <w:tcW w:w="10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5,479</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5,195</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4,507</w:t>
            </w:r>
          </w:p>
        </w:tc>
        <w:tc>
          <w:tcPr>
            <w:tcW w:w="0" w:type="dxa"/>
            <w:vAlign w:val="bottom"/>
          </w:tcPr>
          <w:p>
            <w:pPr>
              <w:spacing w:after="0"/>
              <w:rPr>
                <w:sz w:val="1"/>
                <w:szCs w:val="1"/>
                <w:color w:val="auto"/>
              </w:rPr>
            </w:pPr>
          </w:p>
        </w:tc>
      </w:tr>
      <w:tr>
        <w:trPr>
          <w:trHeight w:val="171"/>
        </w:trPr>
        <w:tc>
          <w:tcPr>
            <w:tcW w:w="62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Segment revenues</w:t>
            </w:r>
          </w:p>
        </w:tc>
        <w:tc>
          <w:tcPr>
            <w:tcW w:w="10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49,591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41,886</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44,739</w:t>
            </w:r>
          </w:p>
        </w:tc>
        <w:tc>
          <w:tcPr>
            <w:tcW w:w="0" w:type="dxa"/>
            <w:vAlign w:val="bottom"/>
          </w:tcPr>
          <w:p>
            <w:pPr>
              <w:spacing w:after="0"/>
              <w:rPr>
                <w:sz w:val="1"/>
                <w:szCs w:val="1"/>
                <w:color w:val="auto"/>
              </w:rPr>
            </w:pPr>
          </w:p>
        </w:tc>
      </w:tr>
      <w:tr>
        <w:trPr>
          <w:trHeight w:val="150"/>
        </w:trPr>
        <w:tc>
          <w:tcPr>
            <w:tcW w:w="1500" w:type="dxa"/>
            <w:vAlign w:val="bottom"/>
            <w:tcBorders>
              <w:bottom w:val="single" w:sz="8" w:color="auto"/>
            </w:tcBorders>
            <w:gridSpan w:val="2"/>
            <w:shd w:val="clear" w:color="auto" w:fill="CCEEFF"/>
          </w:tcPr>
          <w:p>
            <w:pPr>
              <w:spacing w:after="0" w:line="138" w:lineRule="exact"/>
              <w:rPr>
                <w:sz w:val="20"/>
                <w:szCs w:val="20"/>
                <w:color w:val="auto"/>
              </w:rPr>
            </w:pPr>
            <w:r>
              <w:rPr>
                <w:rFonts w:ascii="Times New Roman" w:cs="Times New Roman" w:eastAsia="Times New Roman" w:hAnsi="Times New Roman"/>
                <w:sz w:val="13"/>
                <w:szCs w:val="13"/>
                <w:b w:val="1"/>
                <w:bCs w:val="1"/>
                <w:color w:val="auto"/>
                <w:w w:val="97"/>
              </w:rPr>
              <w:t>Segment Operating Results</w:t>
            </w:r>
          </w:p>
        </w:tc>
        <w:tc>
          <w:tcPr>
            <w:tcW w:w="4720" w:type="dxa"/>
            <w:vAlign w:val="bottom"/>
            <w:tcBorders>
              <w:bottom w:val="single" w:sz="8" w:color="CCEEFF"/>
            </w:tcBorders>
            <w:gridSpan w:val="2"/>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2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Real estate - commercial/industrial</w:t>
            </w:r>
          </w:p>
        </w:tc>
        <w:tc>
          <w:tcPr>
            <w:tcW w:w="1020" w:type="dxa"/>
            <w:vAlign w:val="bottom"/>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15,366</w:t>
            </w:r>
          </w:p>
        </w:tc>
        <w:tc>
          <w:tcPr>
            <w:tcW w:w="10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15,523</w:t>
            </w:r>
          </w:p>
        </w:tc>
        <w:tc>
          <w:tcPr>
            <w:tcW w:w="10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10,573</w:t>
            </w:r>
          </w:p>
        </w:tc>
        <w:tc>
          <w:tcPr>
            <w:tcW w:w="0" w:type="dxa"/>
            <w:vAlign w:val="bottom"/>
          </w:tcPr>
          <w:p>
            <w:pPr>
              <w:spacing w:after="0"/>
              <w:rPr>
                <w:sz w:val="1"/>
                <w:szCs w:val="1"/>
                <w:color w:val="auto"/>
              </w:rPr>
            </w:pPr>
          </w:p>
        </w:tc>
      </w:tr>
      <w:tr>
        <w:trPr>
          <w:trHeight w:val="180"/>
        </w:trPr>
        <w:tc>
          <w:tcPr>
            <w:tcW w:w="6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Multifamily</w:t>
            </w:r>
          </w:p>
        </w:tc>
        <w:tc>
          <w:tcPr>
            <w:tcW w:w="10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62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Real estate - resort/residential</w:t>
            </w:r>
          </w:p>
        </w:tc>
        <w:tc>
          <w:tcPr>
            <w:tcW w:w="10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(1,528)</w:t>
            </w:r>
          </w:p>
        </w:tc>
        <w:tc>
          <w:tcPr>
            <w:tcW w:w="0" w:type="dxa"/>
            <w:vAlign w:val="bottom"/>
          </w:tcPr>
          <w:p>
            <w:pPr>
              <w:spacing w:after="0"/>
              <w:rPr>
                <w:sz w:val="1"/>
                <w:szCs w:val="1"/>
                <w:color w:val="auto"/>
              </w:rPr>
            </w:pPr>
          </w:p>
        </w:tc>
      </w:tr>
      <w:tr>
        <w:trPr>
          <w:trHeight w:val="180"/>
        </w:trPr>
        <w:tc>
          <w:tcPr>
            <w:tcW w:w="6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Mineral resources</w:t>
            </w:r>
          </w:p>
        </w:tc>
        <w:tc>
          <w:tcPr>
            <w:tcW w:w="10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5,839</w:t>
            </w:r>
          </w:p>
        </w:tc>
        <w:tc>
          <w:tcPr>
            <w:tcW w:w="0" w:type="dxa"/>
            <w:vAlign w:val="bottom"/>
          </w:tcPr>
          <w:p>
            <w:pPr>
              <w:spacing w:after="0"/>
              <w:rPr>
                <w:sz w:val="1"/>
                <w:szCs w:val="1"/>
                <w:color w:val="auto"/>
              </w:rPr>
            </w:pPr>
          </w:p>
        </w:tc>
      </w:tr>
      <w:tr>
        <w:trPr>
          <w:trHeight w:val="180"/>
        </w:trPr>
        <w:tc>
          <w:tcPr>
            <w:tcW w:w="62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Farming</w:t>
            </w:r>
          </w:p>
        </w:tc>
        <w:tc>
          <w:tcPr>
            <w:tcW w:w="10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(1,307)</w:t>
            </w:r>
          </w:p>
        </w:tc>
        <w:tc>
          <w:tcPr>
            <w:tcW w:w="0" w:type="dxa"/>
            <w:vAlign w:val="bottom"/>
          </w:tcPr>
          <w:p>
            <w:pPr>
              <w:spacing w:after="0"/>
              <w:rPr>
                <w:sz w:val="1"/>
                <w:szCs w:val="1"/>
                <w:color w:val="auto"/>
              </w:rPr>
            </w:pPr>
          </w:p>
        </w:tc>
      </w:tr>
      <w:tr>
        <w:trPr>
          <w:trHeight w:val="180"/>
        </w:trPr>
        <w:tc>
          <w:tcPr>
            <w:tcW w:w="6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Ranch operations</w:t>
            </w:r>
          </w:p>
        </w:tc>
        <w:tc>
          <w:tcPr>
            <w:tcW w:w="10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0" w:type="dxa"/>
            <w:vAlign w:val="bottom"/>
          </w:tcPr>
          <w:p>
            <w:pPr>
              <w:spacing w:after="0"/>
              <w:rPr>
                <w:sz w:val="1"/>
                <w:szCs w:val="1"/>
                <w:color w:val="auto"/>
              </w:rPr>
            </w:pPr>
          </w:p>
        </w:tc>
      </w:tr>
      <w:tr>
        <w:trPr>
          <w:trHeight w:val="171"/>
        </w:trPr>
        <w:tc>
          <w:tcPr>
            <w:tcW w:w="6220" w:type="dxa"/>
            <w:vAlign w:val="bottom"/>
            <w:gridSpan w:val="4"/>
          </w:tcPr>
          <w:p>
            <w:pPr>
              <w:spacing w:after="0" w:line="171" w:lineRule="exact"/>
              <w:rPr>
                <w:sz w:val="20"/>
                <w:szCs w:val="20"/>
                <w:color w:val="auto"/>
              </w:rPr>
            </w:pPr>
            <w:r>
              <w:rPr>
                <w:rFonts w:ascii="Times New Roman" w:cs="Times New Roman" w:eastAsia="Times New Roman" w:hAnsi="Times New Roman"/>
                <w:sz w:val="14"/>
                <w:szCs w:val="14"/>
                <w:color w:val="auto"/>
              </w:rPr>
              <w:t xml:space="preserve">Segment operating income </w:t>
            </w:r>
            <w:r>
              <w:rPr>
                <w:rFonts w:ascii="Times New Roman" w:cs="Times New Roman" w:eastAsia="Times New Roman" w:hAnsi="Times New Roman"/>
                <w:sz w:val="18"/>
                <w:szCs w:val="18"/>
                <w:color w:val="auto"/>
                <w:vertAlign w:val="superscript"/>
              </w:rPr>
              <w:t>1</w:t>
            </w:r>
          </w:p>
        </w:tc>
        <w:tc>
          <w:tcPr>
            <w:tcW w:w="10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14,477</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12,775</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13,041</w:t>
            </w:r>
          </w:p>
        </w:tc>
        <w:tc>
          <w:tcPr>
            <w:tcW w:w="0" w:type="dxa"/>
            <w:vAlign w:val="bottom"/>
          </w:tcPr>
          <w:p>
            <w:pPr>
              <w:spacing w:after="0"/>
              <w:rPr>
                <w:sz w:val="1"/>
                <w:szCs w:val="1"/>
                <w:color w:val="auto"/>
              </w:rPr>
            </w:pPr>
          </w:p>
        </w:tc>
      </w:tr>
      <w:tr>
        <w:trPr>
          <w:trHeight w:val="180"/>
        </w:trPr>
        <w:tc>
          <w:tcPr>
            <w:tcW w:w="6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Reconciling items:</w:t>
            </w:r>
          </w:p>
        </w:tc>
        <w:tc>
          <w:tcPr>
            <w:tcW w:w="10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220" w:type="dxa"/>
            <w:vAlign w:val="bottom"/>
            <w:gridSpan w:val="4"/>
          </w:tcPr>
          <w:p>
            <w:pPr>
              <w:ind w:left="100"/>
              <w:spacing w:after="0"/>
              <w:rPr>
                <w:sz w:val="20"/>
                <w:szCs w:val="20"/>
                <w:color w:val="auto"/>
              </w:rPr>
            </w:pPr>
            <w:r>
              <w:rPr>
                <w:rFonts w:ascii="Times New Roman" w:cs="Times New Roman" w:eastAsia="Times New Roman" w:hAnsi="Times New Roman"/>
                <w:sz w:val="14"/>
                <w:szCs w:val="14"/>
                <w:color w:val="auto"/>
              </w:rPr>
              <w:t>Investment income</w:t>
            </w:r>
          </w:p>
        </w:tc>
        <w:tc>
          <w:tcPr>
            <w:tcW w:w="10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2,557</w:t>
            </w:r>
          </w:p>
        </w:tc>
        <w:tc>
          <w:tcPr>
            <w:tcW w:w="0" w:type="dxa"/>
            <w:vAlign w:val="bottom"/>
          </w:tcPr>
          <w:p>
            <w:pPr>
              <w:spacing w:after="0"/>
              <w:rPr>
                <w:sz w:val="1"/>
                <w:szCs w:val="1"/>
                <w:color w:val="auto"/>
              </w:rPr>
            </w:pPr>
          </w:p>
        </w:tc>
      </w:tr>
      <w:tr>
        <w:trPr>
          <w:trHeight w:val="180"/>
        </w:trPr>
        <w:tc>
          <w:tcPr>
            <w:tcW w:w="622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loss</w:t>
            </w:r>
          </w:p>
        </w:tc>
        <w:tc>
          <w:tcPr>
            <w:tcW w:w="10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r>
        <w:trPr>
          <w:trHeight w:val="180"/>
        </w:trPr>
        <w:tc>
          <w:tcPr>
            <w:tcW w:w="6220" w:type="dxa"/>
            <w:vAlign w:val="bottom"/>
            <w:tcBorders>
              <w:bottom w:val="single" w:sz="8" w:color="CCEEFF"/>
            </w:tcBorders>
            <w:gridSpan w:val="4"/>
          </w:tcPr>
          <w:p>
            <w:pPr>
              <w:ind w:left="100"/>
              <w:spacing w:after="0"/>
              <w:rPr>
                <w:sz w:val="20"/>
                <w:szCs w:val="20"/>
                <w:color w:val="auto"/>
              </w:rPr>
            </w:pPr>
            <w:r>
              <w:rPr>
                <w:rFonts w:ascii="Times New Roman" w:cs="Times New Roman" w:eastAsia="Times New Roman" w:hAnsi="Times New Roman"/>
                <w:sz w:val="14"/>
                <w:szCs w:val="14"/>
                <w:color w:val="auto"/>
              </w:rPr>
              <w:t>Corporate expenses</w:t>
            </w:r>
          </w:p>
        </w:tc>
        <w:tc>
          <w:tcPr>
            <w:tcW w:w="10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(14,068)</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(11,092)</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(9,872)</w:t>
            </w:r>
          </w:p>
        </w:tc>
        <w:tc>
          <w:tcPr>
            <w:tcW w:w="0" w:type="dxa"/>
            <w:vAlign w:val="bottom"/>
          </w:tcPr>
          <w:p>
            <w:pPr>
              <w:spacing w:after="0"/>
              <w:rPr>
                <w:sz w:val="1"/>
                <w:szCs w:val="1"/>
                <w:color w:val="auto"/>
              </w:rPr>
            </w:pPr>
          </w:p>
        </w:tc>
      </w:tr>
      <w:tr>
        <w:trPr>
          <w:trHeight w:val="171"/>
        </w:trPr>
        <w:tc>
          <w:tcPr>
            <w:tcW w:w="6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10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1,159</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3,664</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5,588</w:t>
            </w:r>
          </w:p>
        </w:tc>
        <w:tc>
          <w:tcPr>
            <w:tcW w:w="0" w:type="dxa"/>
            <w:vAlign w:val="bottom"/>
          </w:tcPr>
          <w:p>
            <w:pPr>
              <w:spacing w:after="0"/>
              <w:rPr>
                <w:sz w:val="1"/>
                <w:szCs w:val="1"/>
                <w:color w:val="auto"/>
              </w:rPr>
            </w:pPr>
          </w:p>
        </w:tc>
      </w:tr>
      <w:tr>
        <w:trPr>
          <w:trHeight w:val="149"/>
        </w:trPr>
        <w:tc>
          <w:tcPr>
            <w:tcW w:w="6220" w:type="dxa"/>
            <w:vAlign w:val="bottom"/>
            <w:gridSpan w:val="4"/>
          </w:tcPr>
          <w:p>
            <w:pPr>
              <w:spacing w:after="0" w:line="149" w:lineRule="exact"/>
              <w:rPr>
                <w:sz w:val="20"/>
                <w:szCs w:val="20"/>
                <w:color w:val="auto"/>
              </w:rPr>
            </w:pPr>
            <w:r>
              <w:rPr>
                <w:rFonts w:ascii="Times New Roman" w:cs="Times New Roman" w:eastAsia="Times New Roman" w:hAnsi="Times New Roman"/>
                <w:sz w:val="13"/>
                <w:szCs w:val="13"/>
                <w:b w:val="1"/>
                <w:bCs w:val="1"/>
                <w:color w:val="auto"/>
              </w:rPr>
              <w:t xml:space="preserve">Identifiable Assets by Segment </w:t>
            </w:r>
            <w:r>
              <w:rPr>
                <w:rFonts w:ascii="Times New Roman" w:cs="Times New Roman" w:eastAsia="Times New Roman" w:hAnsi="Times New Roman"/>
                <w:sz w:val="17"/>
                <w:szCs w:val="17"/>
                <w:b w:val="1"/>
                <w:bCs w:val="1"/>
                <w:color w:val="auto"/>
                <w:vertAlign w:val="superscript"/>
              </w:rPr>
              <w:t>2</w:t>
            </w:r>
          </w:p>
        </w:tc>
        <w:tc>
          <w:tcPr>
            <w:tcW w:w="1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5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6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Real estate - commercial/industrial</w:t>
            </w:r>
          </w:p>
        </w:tc>
        <w:tc>
          <w:tcPr>
            <w:tcW w:w="102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64,681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68,944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70,521</w:t>
            </w:r>
          </w:p>
        </w:tc>
        <w:tc>
          <w:tcPr>
            <w:tcW w:w="0" w:type="dxa"/>
            <w:vAlign w:val="bottom"/>
          </w:tcPr>
          <w:p>
            <w:pPr>
              <w:spacing w:after="0"/>
              <w:rPr>
                <w:sz w:val="1"/>
                <w:szCs w:val="1"/>
                <w:color w:val="auto"/>
              </w:rPr>
            </w:pPr>
          </w:p>
        </w:tc>
      </w:tr>
      <w:tr>
        <w:trPr>
          <w:trHeight w:val="180"/>
        </w:trPr>
        <w:tc>
          <w:tcPr>
            <w:tcW w:w="62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Multifamily</w:t>
            </w:r>
          </w:p>
        </w:tc>
        <w:tc>
          <w:tcPr>
            <w:tcW w:w="10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63,695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29,241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2,584</w:t>
            </w:r>
          </w:p>
        </w:tc>
        <w:tc>
          <w:tcPr>
            <w:tcW w:w="0" w:type="dxa"/>
            <w:vAlign w:val="bottom"/>
          </w:tcPr>
          <w:p>
            <w:pPr>
              <w:spacing w:after="0"/>
              <w:rPr>
                <w:sz w:val="1"/>
                <w:szCs w:val="1"/>
                <w:color w:val="auto"/>
              </w:rPr>
            </w:pPr>
          </w:p>
        </w:tc>
      </w:tr>
      <w:tr>
        <w:trPr>
          <w:trHeight w:val="180"/>
        </w:trPr>
        <w:tc>
          <w:tcPr>
            <w:tcW w:w="6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Real estate - resort/residential</w:t>
            </w:r>
          </w:p>
        </w:tc>
        <w:tc>
          <w:tcPr>
            <w:tcW w:w="10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341,433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330,513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321,216</w:t>
            </w:r>
          </w:p>
        </w:tc>
        <w:tc>
          <w:tcPr>
            <w:tcW w:w="0" w:type="dxa"/>
            <w:vAlign w:val="bottom"/>
          </w:tcPr>
          <w:p>
            <w:pPr>
              <w:spacing w:after="0"/>
              <w:rPr>
                <w:sz w:val="1"/>
                <w:szCs w:val="1"/>
                <w:color w:val="auto"/>
              </w:rPr>
            </w:pPr>
          </w:p>
        </w:tc>
      </w:tr>
      <w:tr>
        <w:trPr>
          <w:trHeight w:val="180"/>
        </w:trPr>
        <w:tc>
          <w:tcPr>
            <w:tcW w:w="62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Mineral resources</w:t>
            </w:r>
          </w:p>
        </w:tc>
        <w:tc>
          <w:tcPr>
            <w:tcW w:w="10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62,236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54,658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52,068</w:t>
            </w:r>
          </w:p>
        </w:tc>
        <w:tc>
          <w:tcPr>
            <w:tcW w:w="0" w:type="dxa"/>
            <w:vAlign w:val="bottom"/>
          </w:tcPr>
          <w:p>
            <w:pPr>
              <w:spacing w:after="0"/>
              <w:rPr>
                <w:sz w:val="1"/>
                <w:szCs w:val="1"/>
                <w:color w:val="auto"/>
              </w:rPr>
            </w:pPr>
          </w:p>
        </w:tc>
      </w:tr>
      <w:tr>
        <w:trPr>
          <w:trHeight w:val="180"/>
        </w:trPr>
        <w:tc>
          <w:tcPr>
            <w:tcW w:w="6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Farming</w:t>
            </w:r>
          </w:p>
        </w:tc>
        <w:tc>
          <w:tcPr>
            <w:tcW w:w="10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58,545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54,478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52,094</w:t>
            </w:r>
          </w:p>
        </w:tc>
        <w:tc>
          <w:tcPr>
            <w:tcW w:w="0" w:type="dxa"/>
            <w:vAlign w:val="bottom"/>
          </w:tcPr>
          <w:p>
            <w:pPr>
              <w:spacing w:after="0"/>
              <w:rPr>
                <w:sz w:val="1"/>
                <w:szCs w:val="1"/>
                <w:color w:val="auto"/>
              </w:rPr>
            </w:pPr>
          </w:p>
        </w:tc>
      </w:tr>
      <w:tr>
        <w:trPr>
          <w:trHeight w:val="180"/>
        </w:trPr>
        <w:tc>
          <w:tcPr>
            <w:tcW w:w="62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Ranch operations</w:t>
            </w:r>
          </w:p>
        </w:tc>
        <w:tc>
          <w:tcPr>
            <w:tcW w:w="10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2,072</w:t>
            </w:r>
          </w:p>
        </w:tc>
        <w:tc>
          <w:tcPr>
            <w:tcW w:w="0" w:type="dxa"/>
            <w:vAlign w:val="bottom"/>
          </w:tcPr>
          <w:p>
            <w:pPr>
              <w:spacing w:after="0"/>
              <w:rPr>
                <w:sz w:val="1"/>
                <w:szCs w:val="1"/>
                <w:color w:val="auto"/>
              </w:rPr>
            </w:pPr>
          </w:p>
        </w:tc>
      </w:tr>
      <w:tr>
        <w:trPr>
          <w:trHeight w:val="180"/>
        </w:trPr>
        <w:tc>
          <w:tcPr>
            <w:tcW w:w="6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Corporate</w:t>
            </w:r>
          </w:p>
        </w:tc>
        <w:tc>
          <w:tcPr>
            <w:tcW w:w="10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37,707</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67,506</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76,968</w:t>
            </w:r>
          </w:p>
        </w:tc>
        <w:tc>
          <w:tcPr>
            <w:tcW w:w="0" w:type="dxa"/>
            <w:vAlign w:val="bottom"/>
          </w:tcPr>
          <w:p>
            <w:pPr>
              <w:spacing w:after="0"/>
              <w:rPr>
                <w:sz w:val="1"/>
                <w:szCs w:val="1"/>
                <w:color w:val="auto"/>
              </w:rPr>
            </w:pPr>
          </w:p>
        </w:tc>
      </w:tr>
      <w:tr>
        <w:trPr>
          <w:trHeight w:val="171"/>
        </w:trPr>
        <w:tc>
          <w:tcPr>
            <w:tcW w:w="62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1020" w:type="dxa"/>
            <w:vAlign w:val="bottom"/>
            <w:tcBorders>
              <w:bottom w:val="single" w:sz="8" w:color="auto"/>
            </w:tcBorders>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630,469</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607,998</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577,523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ind w:left="60" w:hanging="55"/>
        <w:spacing w:after="0"/>
        <w:tabs>
          <w:tab w:leader="none" w:pos="60" w:val="left"/>
        </w:tabs>
        <w:numPr>
          <w:ilvl w:val="0"/>
          <w:numId w:val="3"/>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Segment operating income is comprised of revenues and equity in earnings of unconsolidated joint ventures, less segment expenses, excluding investment income, other income (loss), corporate expenses, and income taxes.</w:t>
      </w:r>
    </w:p>
    <w:p>
      <w:pPr>
        <w:spacing w:after="0" w:line="55" w:lineRule="exact"/>
        <w:rPr>
          <w:sz w:val="20"/>
          <w:szCs w:val="20"/>
          <w:color w:val="auto"/>
        </w:rPr>
      </w:pPr>
    </w:p>
    <w:p>
      <w:pPr>
        <w:ind w:right="100" w:firstLine="5"/>
        <w:spacing w:after="0" w:line="300" w:lineRule="auto"/>
        <w:tabs>
          <w:tab w:leader="none" w:pos="65" w:val="left"/>
        </w:tabs>
        <w:numPr>
          <w:ilvl w:val="0"/>
          <w:numId w:val="4"/>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Identifiable Assets by Segment include both assets directly identified with those operations and an allocable share of jointly used assets. Corporate assets consist of cash and cash equivalents, refundable and deferred income taxes, land, buildings, and improvements. Commercial/Industrial and Multifamily also includes buildings and improvements.</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9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color w:val="006EBF"/>
        </w:rPr>
        <w:t>Real Estate Development Overview</w:t>
      </w:r>
    </w:p>
    <w:p>
      <w:pPr>
        <w:spacing w:after="0" w:line="16"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14"/>
          <w:szCs w:val="14"/>
          <w:color w:val="auto"/>
        </w:rPr>
        <w:t>Our real estate operations are led by our commercial and industrial development activities at TRCC, which represent the most advanced and productive stage of our real estate development continuum. In addition, our expanding Multifamily platform reflects the next phase of vertical development within our master-planned strategy, with a focus on the development, lease-up, and long-term ownership of residential rental communities. Beyond TRCC, our real estate operations include land planning and entitlement for future large-scale communities, land development, and conservation.</w:t>
      </w:r>
    </w:p>
    <w:p>
      <w:pPr>
        <w:spacing w:after="0" w:line="11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Interstate 5, one of the nation’s most heavily traveled freeways, brings in excess of 89,000 vehicles per day through our land, according to data from the California Department of Transportation. Our holdings include 16 miles of Interstate 5 frontage on each side of the freeway and the commercial land surrounding three interchanges. The strategic plan for real estate focuses on development opportunities along the Interstate 5 and Highway 138 corridors, which includes TRCC; MV, a resort and residential community; Grapevine, a mixed-use master planned community in Kern County; Grapevine North, a 7,655-acre development area; and Centennial, a mixed-use master planned community in Los Angeles County. TRCC includes developments east and west of Interstate 5 at TRCC-East and TRCC-West, respectively.</w:t>
      </w:r>
    </w:p>
    <w:p>
      <w:pPr>
        <w:spacing w:after="0" w:line="10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The chart below is a continuum of the real estate development process highlighting each project's current status and key milestones to be met in moving through the real estate development process in California. During this process, we may experience delays arising from factors beyond our control. Such factors include litigation and a changing regulatory environment and adverse market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1283335</wp:posOffset>
            </wp:positionH>
            <wp:positionV relativeFrom="paragraph">
              <wp:posOffset>68580</wp:posOffset>
            </wp:positionV>
            <wp:extent cx="4608195" cy="19875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608195" cy="198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 Grapevine North's entitlement efforts have not yet begun. The Company regularly assesses its long-term growth strategy and capital resources when determining when to start this development.</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66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color w:val="006EBF"/>
        </w:rPr>
        <w:t>Reporting Segments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6EBF"/>
        </w:rPr>
        <w:t>Real Estate - Commercial/Industrial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1283335</wp:posOffset>
            </wp:positionH>
            <wp:positionV relativeFrom="paragraph">
              <wp:posOffset>97155</wp:posOffset>
            </wp:positionV>
            <wp:extent cx="4608195" cy="34290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608195" cy="342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4"/>
          <w:szCs w:val="14"/>
          <w:color w:val="auto"/>
        </w:rPr>
        <w:t>The Commercial/Industrial segment is the Company’s primary revenue and earnings engine, encompassing the full cycle of real estate value creation: planning and permitting of land held for development, construction of infrastructure and buildings (both pre-leased and speculative), and the sale of entitled land parcels to third parties. As of December 31, 2025, the commercial/industrial real estate segment generated $15.0 million in consolidated revenue and $15.4 million in segment operating income, which includes $8.4 million of equity in earnings from unconsolidated joint ventures. This segment represents the largest contributor to the Company’s consolidated operating income. In addition to rental revenues, the segment benefits from recurring income streams such as communications leases, a power plant lease, and landscape maintenance fees.</w:t>
      </w:r>
    </w:p>
    <w:p>
      <w:pPr>
        <w:spacing w:after="0" w:line="115"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At the heart of our real estate Commercial/Industrial segment is TRCC, a 20 million square foot commercial/industrial development on Interstate 5 just north of the Los Angeles Basin. The Los Angeles industrial market is the largest in the country by many measures, sitting at the center of a 2 billion square-foot Southern California industrial market. It has been characterized by some of the highest asking rents and lowest vacancy rates of any market in the nation. The Ports of Los Angeles and Long Beach are the primary industrial drivers and are responsible for over 30% of all inbound containers into the U.S.</w:t>
      </w:r>
    </w:p>
    <w:p>
      <w:pPr>
        <w:spacing w:after="0" w:line="9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As of December 31, 2025, our industrial portfolio, through our joint venture partnerships, consisted of 2.8 million square feet of gross leasable area, or GLA, and our TRCC commercial portfolio consisted of 620,907 square feet of GLA. As of December 31, 2025, our industrial portfolio was 100% leased and our commercial portfolio was 98% leased. Substantially all of our tenants are subject to net lease agreements. A net lease typically requires the tenant to be responsible for minimum monthly rent and property expenses including property taxes, insurance, and maintenance.</w:t>
      </w:r>
    </w:p>
    <w:p>
      <w:pPr>
        <w:spacing w:after="0" w:line="93"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Over eight million square feet of industrial, commercial, and retail space has been developed at TRCC, including properties owned and operated by us as well as facilities constructed by third parties on land previously sold by the Company. These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13" w:name="page14"/>
    <w:bookmarkEnd w:id="13"/>
    <w:p>
      <w:pPr>
        <w:ind w:right="200"/>
        <w:spacing w:after="0" w:line="287" w:lineRule="auto"/>
        <w:rPr>
          <w:sz w:val="20"/>
          <w:szCs w:val="20"/>
          <w:color w:val="auto"/>
        </w:rPr>
      </w:pPr>
      <w:r>
        <w:rPr>
          <w:rFonts w:ascii="Times New Roman" w:cs="Times New Roman" w:eastAsia="Times New Roman" w:hAnsi="Times New Roman"/>
          <w:sz w:val="14"/>
          <w:szCs w:val="14"/>
          <w:color w:val="auto"/>
        </w:rPr>
        <w:t>developments are operational, or expected to commence construction in the near term, and include distribution centers for IKEA, Caterpillar, Nestlé, Famous Footwear, L'Oreal, Camping World, Sunrise Brands, Dollar General and RectorSeal. TRCC spans both sides of Interstate 5, providing distributors immediate access to the West Coast’s primary north-south goods movement corridor.</w:t>
      </w:r>
    </w:p>
    <w:p>
      <w:pPr>
        <w:spacing w:after="0" w:line="3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TRCC has an FTZ designation, of approximately 1,094 acres, which allows a user within the FTZ to secure the many benefits and cost reductions associated with streamlined movement of goods in and out of a trade zone. TRCC's attractiveness as a commercial/industrial location is further enhanced by AdvanceKern, formerly known as the Economic Development Incentive Policy, or EDIP, adopted by the Kern County Board of Supervisors. AdvanceKern is designed to expand and enhance the County's competitiveness by taking affirmative steps to attract new businesses and to encourage the growth and resilience of existing businesses. AdvanceKern provides incentives such as assistance in obtaining state tax incentives, building supporting infrastructure, and workforce development.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Leasing</w:t>
      </w:r>
    </w:p>
    <w:p>
      <w:pPr>
        <w:spacing w:after="0" w:line="12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Within our Commercial/Industrial segment, we lease land to various types of tenants. We currently lease land to two auto service stations with convenience stores, 12 fast-food operations, a motel, an antique shop, and a post office.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the Company leases several microwave repeater locations, radio and cellular transmitter sites, fiber optic cable routes, and 32 acres of land to PEF for an electric power plant.</w:t>
      </w: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57"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color w:val="auto"/>
        </w:rPr>
        <w:t>The following table summarizes information with respect to lease expirations for our consolidated entities as of December 31, 2025.</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Rentable Square Footage of Expiring</w:t>
            </w:r>
          </w:p>
        </w:tc>
        <w:tc>
          <w:tcPr>
            <w:tcW w:w="22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Annualized Base Rent</w:t>
            </w:r>
            <w:r>
              <w:rPr>
                <w:rFonts w:ascii="Times New Roman" w:cs="Times New Roman" w:eastAsia="Times New Roman" w:hAnsi="Times New Roman"/>
                <w:sz w:val="18"/>
                <w:szCs w:val="18"/>
                <w:color w:val="auto"/>
                <w:vertAlign w:val="superscript"/>
              </w:rPr>
              <w:t>1</w:t>
            </w:r>
          </w:p>
        </w:tc>
        <w:tc>
          <w:tcPr>
            <w:tcW w:w="2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26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Year of Lease Expiration</w:t>
            </w:r>
          </w:p>
        </w:tc>
        <w:tc>
          <w:tcPr>
            <w:tcW w:w="22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Number of Expiring Leases</w:t>
            </w:r>
          </w:p>
        </w:tc>
        <w:tc>
          <w:tcPr>
            <w:tcW w:w="22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9"/>
              </w:rPr>
              <w:t>Leases</w:t>
            </w:r>
          </w:p>
        </w:tc>
        <w:tc>
          <w:tcPr>
            <w:tcW w:w="2260" w:type="dxa"/>
            <w:vAlign w:val="bottom"/>
            <w:gridSpan w:val="2"/>
            <w:vMerge w:val="continue"/>
          </w:tcPr>
          <w:p>
            <w:pPr>
              <w:spacing w:after="0"/>
              <w:rPr>
                <w:sz w:val="16"/>
                <w:szCs w:val="16"/>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Percentage of Annual Minimum Rent</w:t>
            </w:r>
          </w:p>
        </w:tc>
        <w:tc>
          <w:tcPr>
            <w:tcW w:w="0" w:type="dxa"/>
            <w:vAlign w:val="bottom"/>
          </w:tcPr>
          <w:p>
            <w:pPr>
              <w:spacing w:after="0"/>
              <w:rPr>
                <w:sz w:val="1"/>
                <w:szCs w:val="1"/>
                <w:color w:val="auto"/>
              </w:rPr>
            </w:pPr>
          </w:p>
        </w:tc>
      </w:tr>
      <w:tr>
        <w:trPr>
          <w:trHeight w:val="192"/>
        </w:trPr>
        <w:tc>
          <w:tcPr>
            <w:tcW w:w="2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shd w:val="clear" w:color="auto" w:fill="CCEEFF"/>
          </w:tcPr>
          <w:p>
            <w:pPr>
              <w:spacing w:after="0"/>
              <w:rPr>
                <w:sz w:val="15"/>
                <w:szCs w:val="15"/>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13</w:t>
            </w:r>
          </w:p>
        </w:tc>
        <w:tc>
          <w:tcPr>
            <w:tcW w:w="100" w:type="dxa"/>
            <w:vAlign w:val="bottom"/>
            <w:shd w:val="clear" w:color="auto" w:fill="CCEEFF"/>
          </w:tcPr>
          <w:p>
            <w:pPr>
              <w:spacing w:after="0"/>
              <w:rPr>
                <w:sz w:val="15"/>
                <w:szCs w:val="15"/>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70,400</w:t>
            </w:r>
          </w:p>
        </w:tc>
        <w:tc>
          <w:tcPr>
            <w:tcW w:w="100" w:type="dxa"/>
            <w:vAlign w:val="bottom"/>
            <w:shd w:val="clear" w:color="auto" w:fill="CCEEFF"/>
          </w:tcPr>
          <w:p>
            <w:pPr>
              <w:spacing w:after="0"/>
              <w:rPr>
                <w:sz w:val="15"/>
                <w:szCs w:val="15"/>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$1,016</w:t>
            </w:r>
          </w:p>
        </w:tc>
        <w:tc>
          <w:tcPr>
            <w:tcW w:w="100" w:type="dxa"/>
            <w:vAlign w:val="bottom"/>
            <w:shd w:val="clear" w:color="auto" w:fill="CCEEFF"/>
          </w:tcPr>
          <w:p>
            <w:pPr>
              <w:spacing w:after="0"/>
              <w:rPr>
                <w:sz w:val="15"/>
                <w:szCs w:val="15"/>
                <w:color w:val="auto"/>
              </w:rPr>
            </w:pP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13.93%</w:t>
            </w:r>
          </w:p>
        </w:tc>
        <w:tc>
          <w:tcPr>
            <w:tcW w:w="0" w:type="dxa"/>
            <w:vAlign w:val="bottom"/>
          </w:tcPr>
          <w:p>
            <w:pPr>
              <w:spacing w:after="0"/>
              <w:rPr>
                <w:sz w:val="1"/>
                <w:szCs w:val="1"/>
                <w:color w:val="auto"/>
              </w:rPr>
            </w:pPr>
          </w:p>
        </w:tc>
      </w:tr>
      <w:tr>
        <w:trPr>
          <w:trHeight w:val="180"/>
        </w:trPr>
        <w:tc>
          <w:tcPr>
            <w:tcW w:w="216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2027</w:t>
            </w:r>
          </w:p>
        </w:tc>
        <w:tc>
          <w:tcPr>
            <w:tcW w:w="100" w:type="dxa"/>
            <w:vAlign w:val="bottom"/>
          </w:tcPr>
          <w:p>
            <w:pPr>
              <w:spacing w:after="0"/>
              <w:rPr>
                <w:sz w:val="15"/>
                <w:szCs w:val="15"/>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3</w:t>
            </w:r>
          </w:p>
        </w:tc>
        <w:tc>
          <w:tcPr>
            <w:tcW w:w="100" w:type="dxa"/>
            <w:vAlign w:val="bottom"/>
          </w:tcPr>
          <w:p>
            <w:pPr>
              <w:spacing w:after="0"/>
              <w:rPr>
                <w:sz w:val="15"/>
                <w:szCs w:val="15"/>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5,601</w:t>
            </w:r>
          </w:p>
        </w:tc>
        <w:tc>
          <w:tcPr>
            <w:tcW w:w="100" w:type="dxa"/>
            <w:vAlign w:val="bottom"/>
          </w:tcPr>
          <w:p>
            <w:pPr>
              <w:spacing w:after="0"/>
              <w:rPr>
                <w:sz w:val="15"/>
                <w:szCs w:val="15"/>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tcPr>
          <w:p>
            <w:pPr>
              <w:spacing w:after="0"/>
              <w:rPr>
                <w:sz w:val="15"/>
                <w:szCs w:val="15"/>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3.28%</w:t>
            </w:r>
          </w:p>
        </w:tc>
        <w:tc>
          <w:tcPr>
            <w:tcW w:w="0" w:type="dxa"/>
            <w:vAlign w:val="bottom"/>
          </w:tcPr>
          <w:p>
            <w:pPr>
              <w:spacing w:after="0"/>
              <w:rPr>
                <w:sz w:val="1"/>
                <w:szCs w:val="1"/>
                <w:color w:val="auto"/>
              </w:rPr>
            </w:pPr>
          </w:p>
        </w:tc>
      </w:tr>
      <w:tr>
        <w:trPr>
          <w:trHeight w:val="180"/>
        </w:trPr>
        <w:tc>
          <w:tcPr>
            <w:tcW w:w="2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2028</w:t>
            </w:r>
          </w:p>
        </w:tc>
        <w:tc>
          <w:tcPr>
            <w:tcW w:w="100" w:type="dxa"/>
            <w:vAlign w:val="bottom"/>
            <w:shd w:val="clear" w:color="auto" w:fill="CCEEFF"/>
          </w:tcPr>
          <w:p>
            <w:pPr>
              <w:spacing w:after="0"/>
              <w:rPr>
                <w:sz w:val="15"/>
                <w:szCs w:val="15"/>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7</w:t>
            </w:r>
          </w:p>
        </w:tc>
        <w:tc>
          <w:tcPr>
            <w:tcW w:w="100" w:type="dxa"/>
            <w:vAlign w:val="bottom"/>
            <w:shd w:val="clear" w:color="auto" w:fill="CCEEFF"/>
          </w:tcPr>
          <w:p>
            <w:pPr>
              <w:spacing w:after="0"/>
              <w:rPr>
                <w:sz w:val="15"/>
                <w:szCs w:val="15"/>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91,631</w:t>
            </w:r>
          </w:p>
        </w:tc>
        <w:tc>
          <w:tcPr>
            <w:tcW w:w="100" w:type="dxa"/>
            <w:vAlign w:val="bottom"/>
            <w:shd w:val="clear" w:color="auto" w:fill="CCEEFF"/>
          </w:tcPr>
          <w:p>
            <w:pPr>
              <w:spacing w:after="0"/>
              <w:rPr>
                <w:sz w:val="15"/>
                <w:szCs w:val="15"/>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w:t>
            </w:r>
          </w:p>
        </w:tc>
        <w:tc>
          <w:tcPr>
            <w:tcW w:w="100" w:type="dxa"/>
            <w:vAlign w:val="bottom"/>
            <w:shd w:val="clear" w:color="auto" w:fill="CCEEFF"/>
          </w:tcPr>
          <w:p>
            <w:pPr>
              <w:spacing w:after="0"/>
              <w:rPr>
                <w:sz w:val="15"/>
                <w:szCs w:val="15"/>
                <w:color w:val="auto"/>
              </w:rPr>
            </w:pP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6.68%</w:t>
            </w:r>
          </w:p>
        </w:tc>
        <w:tc>
          <w:tcPr>
            <w:tcW w:w="0" w:type="dxa"/>
            <w:vAlign w:val="bottom"/>
          </w:tcPr>
          <w:p>
            <w:pPr>
              <w:spacing w:after="0"/>
              <w:rPr>
                <w:sz w:val="1"/>
                <w:szCs w:val="1"/>
                <w:color w:val="auto"/>
              </w:rPr>
            </w:pPr>
          </w:p>
        </w:tc>
      </w:tr>
      <w:tr>
        <w:trPr>
          <w:trHeight w:val="180"/>
        </w:trPr>
        <w:tc>
          <w:tcPr>
            <w:tcW w:w="2160" w:type="dxa"/>
            <w:vAlign w:val="bottom"/>
          </w:tcPr>
          <w:p>
            <w:pPr>
              <w:ind w:left="940"/>
              <w:spacing w:after="0" w:line="181" w:lineRule="exact"/>
              <w:rPr>
                <w:sz w:val="20"/>
                <w:szCs w:val="20"/>
                <w:color w:val="auto"/>
              </w:rPr>
            </w:pPr>
            <w:r>
              <w:rPr>
                <w:rFonts w:ascii="Times New Roman" w:cs="Times New Roman" w:eastAsia="Times New Roman" w:hAnsi="Times New Roman"/>
                <w:sz w:val="14"/>
                <w:szCs w:val="14"/>
                <w:color w:val="auto"/>
              </w:rPr>
              <w:t>2030</w:t>
            </w:r>
            <w:r>
              <w:rPr>
                <w:rFonts w:ascii="Times New Roman" w:cs="Times New Roman" w:eastAsia="Times New Roman" w:hAnsi="Times New Roman"/>
                <w:sz w:val="18"/>
                <w:szCs w:val="18"/>
                <w:color w:val="auto"/>
                <w:vertAlign w:val="superscript"/>
              </w:rPr>
              <w:t>2</w:t>
            </w:r>
          </w:p>
        </w:tc>
        <w:tc>
          <w:tcPr>
            <w:tcW w:w="100" w:type="dxa"/>
            <w:vAlign w:val="bottom"/>
          </w:tcPr>
          <w:p>
            <w:pPr>
              <w:spacing w:after="0"/>
              <w:rPr>
                <w:sz w:val="15"/>
                <w:szCs w:val="15"/>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5</w:t>
            </w:r>
          </w:p>
        </w:tc>
        <w:tc>
          <w:tcPr>
            <w:tcW w:w="100" w:type="dxa"/>
            <w:vAlign w:val="bottom"/>
          </w:tcPr>
          <w:p>
            <w:pPr>
              <w:spacing w:after="0"/>
              <w:rPr>
                <w:sz w:val="15"/>
                <w:szCs w:val="15"/>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1,398,868</w:t>
            </w:r>
          </w:p>
        </w:tc>
        <w:tc>
          <w:tcPr>
            <w:tcW w:w="100" w:type="dxa"/>
            <w:vAlign w:val="bottom"/>
          </w:tcPr>
          <w:p>
            <w:pPr>
              <w:spacing w:after="0"/>
              <w:rPr>
                <w:sz w:val="15"/>
                <w:szCs w:val="15"/>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$5,100</w:t>
            </w:r>
          </w:p>
        </w:tc>
        <w:tc>
          <w:tcPr>
            <w:tcW w:w="100" w:type="dxa"/>
            <w:vAlign w:val="bottom"/>
          </w:tcPr>
          <w:p>
            <w:pPr>
              <w:spacing w:after="0"/>
              <w:rPr>
                <w:sz w:val="15"/>
                <w:szCs w:val="15"/>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69.92%</w:t>
            </w:r>
          </w:p>
        </w:tc>
        <w:tc>
          <w:tcPr>
            <w:tcW w:w="0" w:type="dxa"/>
            <w:vAlign w:val="bottom"/>
          </w:tcPr>
          <w:p>
            <w:pPr>
              <w:spacing w:after="0"/>
              <w:rPr>
                <w:sz w:val="1"/>
                <w:szCs w:val="1"/>
                <w:color w:val="auto"/>
              </w:rPr>
            </w:pPr>
          </w:p>
        </w:tc>
      </w:tr>
      <w:tr>
        <w:trPr>
          <w:trHeight w:val="180"/>
        </w:trPr>
        <w:tc>
          <w:tcPr>
            <w:tcW w:w="2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2032</w:t>
            </w:r>
          </w:p>
        </w:tc>
        <w:tc>
          <w:tcPr>
            <w:tcW w:w="100" w:type="dxa"/>
            <w:vAlign w:val="bottom"/>
            <w:shd w:val="clear" w:color="auto" w:fill="CCEEFF"/>
          </w:tcPr>
          <w:p>
            <w:pPr>
              <w:spacing w:after="0"/>
              <w:rPr>
                <w:sz w:val="15"/>
                <w:szCs w:val="15"/>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100" w:type="dxa"/>
            <w:vAlign w:val="bottom"/>
            <w:shd w:val="clear" w:color="auto" w:fill="CCEEFF"/>
          </w:tcPr>
          <w:p>
            <w:pPr>
              <w:spacing w:after="0"/>
              <w:rPr>
                <w:sz w:val="15"/>
                <w:szCs w:val="15"/>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3,750</w:t>
            </w:r>
          </w:p>
        </w:tc>
        <w:tc>
          <w:tcPr>
            <w:tcW w:w="100" w:type="dxa"/>
            <w:vAlign w:val="bottom"/>
            <w:shd w:val="clear" w:color="auto" w:fill="CCEEFF"/>
          </w:tcPr>
          <w:p>
            <w:pPr>
              <w:spacing w:after="0"/>
              <w:rPr>
                <w:sz w:val="15"/>
                <w:szCs w:val="15"/>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shd w:val="clear" w:color="auto" w:fill="CCEEFF"/>
          </w:tcPr>
          <w:p>
            <w:pPr>
              <w:spacing w:after="0"/>
              <w:rPr>
                <w:sz w:val="15"/>
                <w:szCs w:val="15"/>
                <w:color w:val="auto"/>
              </w:rPr>
            </w:pP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2.09%</w:t>
            </w:r>
          </w:p>
        </w:tc>
        <w:tc>
          <w:tcPr>
            <w:tcW w:w="0" w:type="dxa"/>
            <w:vAlign w:val="bottom"/>
          </w:tcPr>
          <w:p>
            <w:pPr>
              <w:spacing w:after="0"/>
              <w:rPr>
                <w:sz w:val="1"/>
                <w:szCs w:val="1"/>
                <w:color w:val="auto"/>
              </w:rPr>
            </w:pPr>
          </w:p>
        </w:tc>
      </w:tr>
      <w:tr>
        <w:trPr>
          <w:trHeight w:val="180"/>
        </w:trPr>
        <w:tc>
          <w:tcPr>
            <w:tcW w:w="216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2033</w:t>
            </w:r>
          </w:p>
        </w:tc>
        <w:tc>
          <w:tcPr>
            <w:tcW w:w="100" w:type="dxa"/>
            <w:vAlign w:val="bottom"/>
          </w:tcPr>
          <w:p>
            <w:pPr>
              <w:spacing w:after="0"/>
              <w:rPr>
                <w:sz w:val="15"/>
                <w:szCs w:val="15"/>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100" w:type="dxa"/>
            <w:vAlign w:val="bottom"/>
          </w:tcPr>
          <w:p>
            <w:pPr>
              <w:spacing w:after="0"/>
              <w:rPr>
                <w:sz w:val="15"/>
                <w:szCs w:val="15"/>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125,453</w:t>
            </w:r>
          </w:p>
        </w:tc>
        <w:tc>
          <w:tcPr>
            <w:tcW w:w="100" w:type="dxa"/>
            <w:vAlign w:val="bottom"/>
          </w:tcPr>
          <w:p>
            <w:pPr>
              <w:spacing w:after="0"/>
              <w:rPr>
                <w:sz w:val="15"/>
                <w:szCs w:val="15"/>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Pr>
          <w:p>
            <w:pPr>
              <w:spacing w:after="0"/>
              <w:rPr>
                <w:sz w:val="15"/>
                <w:szCs w:val="15"/>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1.12%</w:t>
            </w:r>
          </w:p>
        </w:tc>
        <w:tc>
          <w:tcPr>
            <w:tcW w:w="0" w:type="dxa"/>
            <w:vAlign w:val="bottom"/>
          </w:tcPr>
          <w:p>
            <w:pPr>
              <w:spacing w:after="0"/>
              <w:rPr>
                <w:sz w:val="1"/>
                <w:szCs w:val="1"/>
                <w:color w:val="auto"/>
              </w:rPr>
            </w:pPr>
          </w:p>
        </w:tc>
      </w:tr>
      <w:tr>
        <w:trPr>
          <w:trHeight w:val="180"/>
        </w:trPr>
        <w:tc>
          <w:tcPr>
            <w:tcW w:w="2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2034</w:t>
            </w:r>
          </w:p>
        </w:tc>
        <w:tc>
          <w:tcPr>
            <w:tcW w:w="100" w:type="dxa"/>
            <w:vAlign w:val="bottom"/>
            <w:shd w:val="clear" w:color="auto" w:fill="CCEEFF"/>
          </w:tcPr>
          <w:p>
            <w:pPr>
              <w:spacing w:after="0"/>
              <w:rPr>
                <w:sz w:val="15"/>
                <w:szCs w:val="15"/>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100" w:type="dxa"/>
            <w:vAlign w:val="bottom"/>
            <w:shd w:val="clear" w:color="auto" w:fill="CCEEFF"/>
          </w:tcPr>
          <w:p>
            <w:pPr>
              <w:spacing w:after="0"/>
              <w:rPr>
                <w:sz w:val="15"/>
                <w:szCs w:val="15"/>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1,801</w:t>
            </w:r>
          </w:p>
        </w:tc>
        <w:tc>
          <w:tcPr>
            <w:tcW w:w="100" w:type="dxa"/>
            <w:vAlign w:val="bottom"/>
            <w:shd w:val="clear" w:color="auto" w:fill="CCEEFF"/>
          </w:tcPr>
          <w:p>
            <w:pPr>
              <w:spacing w:after="0"/>
              <w:rPr>
                <w:sz w:val="15"/>
                <w:szCs w:val="15"/>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shd w:val="clear" w:color="auto" w:fill="CCEEFF"/>
          </w:tcPr>
          <w:p>
            <w:pPr>
              <w:spacing w:after="0"/>
              <w:rPr>
                <w:sz w:val="15"/>
                <w:szCs w:val="15"/>
                <w:color w:val="auto"/>
              </w:rPr>
            </w:pP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1.07%</w:t>
            </w:r>
          </w:p>
        </w:tc>
        <w:tc>
          <w:tcPr>
            <w:tcW w:w="0" w:type="dxa"/>
            <w:vAlign w:val="bottom"/>
          </w:tcPr>
          <w:p>
            <w:pPr>
              <w:spacing w:after="0"/>
              <w:rPr>
                <w:sz w:val="1"/>
                <w:szCs w:val="1"/>
                <w:color w:val="auto"/>
              </w:rPr>
            </w:pPr>
          </w:p>
        </w:tc>
      </w:tr>
      <w:tr>
        <w:trPr>
          <w:trHeight w:val="168"/>
        </w:trPr>
        <w:tc>
          <w:tcPr>
            <w:tcW w:w="216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2035</w:t>
            </w:r>
          </w:p>
        </w:tc>
        <w:tc>
          <w:tcPr>
            <w:tcW w:w="10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100" w:type="dxa"/>
            <w:vAlign w:val="bottom"/>
          </w:tcPr>
          <w:p>
            <w:pPr>
              <w:spacing w:after="0"/>
              <w:rPr>
                <w:sz w:val="14"/>
                <w:szCs w:val="14"/>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64,004</w:t>
            </w:r>
          </w:p>
        </w:tc>
        <w:tc>
          <w:tcPr>
            <w:tcW w:w="100" w:type="dxa"/>
            <w:vAlign w:val="bottom"/>
          </w:tcPr>
          <w:p>
            <w:pPr>
              <w:spacing w:after="0"/>
              <w:rPr>
                <w:sz w:val="14"/>
                <w:szCs w:val="14"/>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tcPr>
          <w:p>
            <w:pPr>
              <w:spacing w:after="0"/>
              <w:rPr>
                <w:sz w:val="14"/>
                <w:szCs w:val="14"/>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1.91%</w:t>
            </w:r>
          </w:p>
        </w:tc>
        <w:tc>
          <w:tcPr>
            <w:tcW w:w="0" w:type="dxa"/>
            <w:vAlign w:val="bottom"/>
          </w:tcPr>
          <w:p>
            <w:pPr>
              <w:spacing w:after="0"/>
              <w:rPr>
                <w:sz w:val="1"/>
                <w:szCs w:val="1"/>
                <w:color w:val="auto"/>
              </w:rPr>
            </w:pPr>
          </w:p>
        </w:tc>
      </w:tr>
    </w:tbl>
    <w:p>
      <w:pPr>
        <w:ind w:left="120" w:hanging="64"/>
        <w:spacing w:after="0" w:line="218" w:lineRule="auto"/>
        <w:tabs>
          <w:tab w:leader="none" w:pos="120" w:val="left"/>
        </w:tabs>
        <w:numPr>
          <w:ilvl w:val="0"/>
          <w:numId w:val="5"/>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9"/>
          <w:szCs w:val="9"/>
          <w:color w:val="auto"/>
        </w:rPr>
        <w:t>Annualized base rent represents contractual minimum base rent in effect as of December 31, 2025, excluding tenant reimbursements, percentage rent, straight-line rent adjustments, and other variable lease payments. Annualized base rent is presented in thousands.</w:t>
      </w:r>
    </w:p>
    <w:p>
      <w:pPr>
        <w:ind w:left="120" w:hanging="64"/>
        <w:spacing w:after="0" w:line="236" w:lineRule="auto"/>
        <w:tabs>
          <w:tab w:leader="none" w:pos="120" w:val="left"/>
        </w:tabs>
        <w:numPr>
          <w:ilvl w:val="0"/>
          <w:numId w:val="6"/>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9"/>
          <w:szCs w:val="9"/>
          <w:color w:val="auto"/>
        </w:rPr>
        <w:t>This amount includes 32 acres of the PEF ground lease.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year ended December 31, 2025, we had three lease renewals.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Joint Ventures</w:t>
      </w:r>
    </w:p>
    <w:p>
      <w:pPr>
        <w:spacing w:after="0" w:line="138"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We use joint ventures to advance our development projects at TRCC. This allows us to combine our resources with other real estate companies and gain greater access to capital, share in the risks of real estate developments and share in the operating expenses. More importantly, we believe it allows us to better manage the deployment of our capital.</w:t>
      </w:r>
    </w:p>
    <w:p>
      <w:pPr>
        <w:spacing w:after="0" w:line="82"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Our joint venture with TravelCenters of America owns and operates two travel and truck stop facilities, two restaurants, 13 fast-food operations, and five separate gas stations with convenience stores within TRCC-West and TRCC-East.</w:t>
      </w:r>
    </w:p>
    <w:p>
      <w:pPr>
        <w:spacing w:after="0" w:line="82"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We are involved in five joint ventures with Majestic Realty Co., or Majestic, to develop, lease, manage, and/or acquire industrial buildings within TRCC. These joint ventures currently operate five fully leased industrial buildings occupying over 2.8 million rentable square feet.</w:t>
      </w:r>
    </w:p>
    <w:p>
      <w:pPr>
        <w:spacing w:after="0" w:line="82" w:lineRule="exact"/>
        <w:rPr>
          <w:sz w:val="20"/>
          <w:szCs w:val="20"/>
          <w:color w:val="auto"/>
        </w:rPr>
      </w:pPr>
    </w:p>
    <w:p>
      <w:pPr>
        <w:ind w:right="440"/>
        <w:spacing w:after="0" w:line="287" w:lineRule="auto"/>
        <w:rPr>
          <w:sz w:val="20"/>
          <w:szCs w:val="20"/>
          <w:color w:val="auto"/>
        </w:rPr>
      </w:pPr>
      <w:r>
        <w:rPr>
          <w:rFonts w:ascii="Times New Roman" w:cs="Times New Roman" w:eastAsia="Times New Roman" w:hAnsi="Times New Roman"/>
          <w:sz w:val="14"/>
          <w:szCs w:val="14"/>
          <w:color w:val="auto"/>
        </w:rPr>
        <w:t>We formed a joint venture with Dedeaux Properties in the fourth quarter of 2024 to develop, lease and manage an approximately 510,385 industrial building within TRCC - East, subject to the execution of construction financing.</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involved in a joint venture with Rockefeller Development Group, or RDG, as of December 31, 2025. The TRCC/Rock Outlet Center LLC operates the Outlets at Tejon.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TRCC Entitlements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total entitlements for TRCC as of December 31, 2025:</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square feet)</w:t>
            </w:r>
          </w:p>
        </w:tc>
        <w:tc>
          <w:tcPr>
            <w:tcW w:w="3960" w:type="dxa"/>
            <w:vAlign w:val="bottom"/>
            <w:tcBorders>
              <w:top w:val="single" w:sz="8" w:color="auto"/>
              <w:bottom w:val="single" w:sz="8" w:color="auto"/>
            </w:tcBorders>
          </w:tcPr>
          <w:p>
            <w:pPr>
              <w:jc w:val="right"/>
              <w:ind w:right="1389"/>
              <w:spacing w:after="0"/>
              <w:rPr>
                <w:sz w:val="20"/>
                <w:szCs w:val="20"/>
                <w:color w:val="auto"/>
              </w:rPr>
            </w:pPr>
            <w:r>
              <w:rPr>
                <w:rFonts w:ascii="Times New Roman" w:cs="Times New Roman" w:eastAsia="Times New Roman" w:hAnsi="Times New Roman"/>
                <w:sz w:val="14"/>
                <w:szCs w:val="14"/>
                <w:b w:val="1"/>
                <w:bCs w:val="1"/>
                <w:color w:val="auto"/>
              </w:rPr>
              <w:t>Industrial</w:t>
            </w:r>
          </w:p>
        </w:tc>
        <w:tc>
          <w:tcPr>
            <w:tcW w:w="3880" w:type="dxa"/>
            <w:vAlign w:val="bottom"/>
            <w:tcBorders>
              <w:top w:val="single" w:sz="8" w:color="auto"/>
              <w:bottom w:val="single" w:sz="8" w:color="auto"/>
            </w:tcBorders>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rPr>
              <w:t>Commercial Retail</w:t>
            </w:r>
          </w:p>
        </w:tc>
        <w:tc>
          <w:tcPr>
            <w:tcW w:w="20" w:type="dxa"/>
            <w:vAlign w:val="bottom"/>
          </w:tcPr>
          <w:p>
            <w:pPr>
              <w:spacing w:after="0"/>
              <w:rPr>
                <w:sz w:val="16"/>
                <w:szCs w:val="16"/>
                <w:color w:val="auto"/>
              </w:rPr>
            </w:pPr>
          </w:p>
        </w:tc>
      </w:tr>
      <w:tr>
        <w:trPr>
          <w:trHeight w:val="171"/>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entitlements received</w:t>
            </w:r>
          </w:p>
        </w:tc>
        <w:tc>
          <w:tcPr>
            <w:tcW w:w="3960" w:type="dxa"/>
            <w:vAlign w:val="bottom"/>
            <w:shd w:val="clear" w:color="auto" w:fill="CCEEFF"/>
          </w:tcPr>
          <w:p>
            <w:pPr>
              <w:jc w:val="center"/>
              <w:ind w:left="369"/>
              <w:spacing w:after="0"/>
              <w:rPr>
                <w:sz w:val="20"/>
                <w:szCs w:val="20"/>
                <w:color w:val="auto"/>
              </w:rPr>
            </w:pPr>
            <w:r>
              <w:rPr>
                <w:rFonts w:ascii="Times New Roman" w:cs="Times New Roman" w:eastAsia="Times New Roman" w:hAnsi="Times New Roman"/>
                <w:sz w:val="14"/>
                <w:szCs w:val="14"/>
                <w:color w:val="auto"/>
              </w:rPr>
              <w:t>19,300,941</w:t>
            </w:r>
          </w:p>
        </w:tc>
        <w:tc>
          <w:tcPr>
            <w:tcW w:w="3880" w:type="dxa"/>
            <w:vAlign w:val="bottom"/>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rPr>
              <w:t>956,309</w:t>
            </w:r>
          </w:p>
        </w:tc>
        <w:tc>
          <w:tcPr>
            <w:tcW w:w="20" w:type="dxa"/>
            <w:vAlign w:val="bottom"/>
          </w:tcPr>
          <w:p>
            <w:pPr>
              <w:spacing w:after="0"/>
              <w:rPr>
                <w:sz w:val="14"/>
                <w:szCs w:val="14"/>
                <w:color w:val="auto"/>
              </w:rPr>
            </w:pPr>
          </w:p>
        </w:tc>
      </w:tr>
      <w:tr>
        <w:trPr>
          <w:trHeight w:val="180"/>
        </w:trPr>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entitlements used</w:t>
            </w:r>
          </w:p>
        </w:tc>
        <w:tc>
          <w:tcPr>
            <w:tcW w:w="3960" w:type="dxa"/>
            <w:vAlign w:val="bottom"/>
            <w:tcBorders>
              <w:bottom w:val="single" w:sz="8" w:color="auto"/>
            </w:tcBorders>
          </w:tcPr>
          <w:p>
            <w:pPr>
              <w:jc w:val="center"/>
              <w:ind w:left="369"/>
              <w:spacing w:after="0"/>
              <w:rPr>
                <w:sz w:val="20"/>
                <w:szCs w:val="20"/>
                <w:color w:val="auto"/>
              </w:rPr>
            </w:pPr>
            <w:r>
              <w:rPr>
                <w:rFonts w:ascii="Times New Roman" w:cs="Times New Roman" w:eastAsia="Times New Roman" w:hAnsi="Times New Roman"/>
                <w:sz w:val="14"/>
                <w:szCs w:val="14"/>
                <w:color w:val="auto"/>
                <w:w w:val="99"/>
              </w:rPr>
              <w:t>8,201,864</w:t>
            </w:r>
          </w:p>
        </w:tc>
        <w:tc>
          <w:tcPr>
            <w:tcW w:w="3880" w:type="dxa"/>
            <w:vAlign w:val="bottom"/>
            <w:tcBorders>
              <w:bottom w:val="single" w:sz="8" w:color="auto"/>
            </w:tcBorders>
          </w:tcPr>
          <w:p>
            <w:pPr>
              <w:jc w:val="center"/>
              <w:ind w:left="29"/>
              <w:spacing w:after="0"/>
              <w:rPr>
                <w:sz w:val="20"/>
                <w:szCs w:val="20"/>
                <w:color w:val="auto"/>
              </w:rPr>
            </w:pPr>
            <w:r>
              <w:rPr>
                <w:rFonts w:ascii="Times New Roman" w:cs="Times New Roman" w:eastAsia="Times New Roman" w:hAnsi="Times New Roman"/>
                <w:sz w:val="14"/>
                <w:szCs w:val="14"/>
                <w:color w:val="auto"/>
              </w:rPr>
              <w:t>674,246</w:t>
            </w:r>
          </w:p>
        </w:tc>
        <w:tc>
          <w:tcPr>
            <w:tcW w:w="20" w:type="dxa"/>
            <w:vAlign w:val="bottom"/>
          </w:tcPr>
          <w:p>
            <w:pPr>
              <w:spacing w:after="0"/>
              <w:rPr>
                <w:sz w:val="15"/>
                <w:szCs w:val="15"/>
                <w:color w:val="auto"/>
              </w:rPr>
            </w:pPr>
          </w:p>
        </w:tc>
      </w:tr>
      <w:tr>
        <w:trPr>
          <w:trHeight w:val="171"/>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Entitlements remaining</w:t>
            </w:r>
          </w:p>
        </w:tc>
        <w:tc>
          <w:tcPr>
            <w:tcW w:w="3960" w:type="dxa"/>
            <w:vAlign w:val="bottom"/>
            <w:shd w:val="clear" w:color="auto" w:fill="CCEEFF"/>
          </w:tcPr>
          <w:p>
            <w:pPr>
              <w:jc w:val="center"/>
              <w:ind w:left="369"/>
              <w:spacing w:after="0"/>
              <w:rPr>
                <w:sz w:val="20"/>
                <w:szCs w:val="20"/>
                <w:color w:val="auto"/>
              </w:rPr>
            </w:pPr>
            <w:r>
              <w:rPr>
                <w:rFonts w:ascii="Times New Roman" w:cs="Times New Roman" w:eastAsia="Times New Roman" w:hAnsi="Times New Roman"/>
                <w:sz w:val="14"/>
                <w:szCs w:val="14"/>
                <w:color w:val="auto"/>
              </w:rPr>
              <w:t>11,099,077</w:t>
            </w:r>
          </w:p>
        </w:tc>
        <w:tc>
          <w:tcPr>
            <w:tcW w:w="3880" w:type="dxa"/>
            <w:vAlign w:val="bottom"/>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rPr>
              <w:t>282,063</w:t>
            </w:r>
          </w:p>
        </w:tc>
        <w:tc>
          <w:tcPr>
            <w:tcW w:w="20" w:type="dxa"/>
            <w:vAlign w:val="bottom"/>
          </w:tcPr>
          <w:p>
            <w:pPr>
              <w:spacing w:after="0"/>
              <w:rPr>
                <w:sz w:val="14"/>
                <w:szCs w:val="14"/>
                <w:color w:val="auto"/>
              </w:rPr>
            </w:pPr>
          </w:p>
        </w:tc>
      </w:tr>
      <w:tr>
        <w:trPr>
          <w:trHeight w:val="679"/>
        </w:trPr>
        <w:tc>
          <w:tcPr>
            <w:tcW w:w="3420" w:type="dxa"/>
            <w:vAlign w:val="bottom"/>
          </w:tcPr>
          <w:p>
            <w:pPr>
              <w:spacing w:after="0"/>
              <w:rPr>
                <w:sz w:val="24"/>
                <w:szCs w:val="24"/>
                <w:color w:val="auto"/>
              </w:rPr>
            </w:pPr>
          </w:p>
        </w:tc>
        <w:tc>
          <w:tcPr>
            <w:tcW w:w="3960" w:type="dxa"/>
            <w:vAlign w:val="bottom"/>
          </w:tcPr>
          <w:p>
            <w:pPr>
              <w:jc w:val="right"/>
              <w:ind w:right="1589"/>
              <w:spacing w:after="0"/>
              <w:rPr>
                <w:sz w:val="20"/>
                <w:szCs w:val="20"/>
                <w:color w:val="auto"/>
              </w:rPr>
            </w:pPr>
            <w:r>
              <w:rPr>
                <w:rFonts w:ascii="Times New Roman" w:cs="Times New Roman" w:eastAsia="Times New Roman" w:hAnsi="Times New Roman"/>
                <w:sz w:val="14"/>
                <w:szCs w:val="14"/>
                <w:color w:val="auto"/>
              </w:rPr>
              <w:t>15</w:t>
            </w:r>
          </w:p>
        </w:tc>
        <w:tc>
          <w:tcPr>
            <w:tcW w:w="3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3420" w:type="dxa"/>
            <w:vAlign w:val="bottom"/>
            <w:tcBorders>
              <w:bottom w:val="single" w:sz="8" w:color="9A9A9A"/>
            </w:tcBorders>
          </w:tcPr>
          <w:p>
            <w:pPr>
              <w:spacing w:after="0"/>
              <w:rPr>
                <w:sz w:val="7"/>
                <w:szCs w:val="7"/>
                <w:color w:val="auto"/>
              </w:rPr>
            </w:pPr>
          </w:p>
        </w:tc>
        <w:tc>
          <w:tcPr>
            <w:tcW w:w="3960" w:type="dxa"/>
            <w:vAlign w:val="bottom"/>
            <w:tcBorders>
              <w:bottom w:val="single" w:sz="8" w:color="9A9A9A"/>
            </w:tcBorders>
          </w:tcPr>
          <w:p>
            <w:pPr>
              <w:spacing w:after="0"/>
              <w:rPr>
                <w:sz w:val="7"/>
                <w:szCs w:val="7"/>
                <w:color w:val="auto"/>
              </w:rPr>
            </w:pPr>
          </w:p>
        </w:tc>
        <w:tc>
          <w:tcPr>
            <w:tcW w:w="38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57"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color w:val="auto"/>
        </w:rPr>
        <w:t>The following is a summary of infrastructure costs related to the Company's commercial, retail and industrial real estate developments at TRCC as of December 31, 2025:</w:t>
      </w:r>
    </w:p>
    <w:p>
      <w:pPr>
        <w:spacing w:after="0" w:line="2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4020" w:type="dxa"/>
            <w:vAlign w:val="bottom"/>
            <w:tcBorders>
              <w:top w:val="single" w:sz="8" w:color="auto"/>
            </w:tcBorders>
            <w:vMerge w:val="restart"/>
          </w:tcPr>
          <w:p>
            <w:pPr>
              <w:ind w:left="2360"/>
              <w:spacing w:after="0"/>
              <w:rPr>
                <w:sz w:val="20"/>
                <w:szCs w:val="20"/>
                <w:color w:val="auto"/>
              </w:rPr>
            </w:pPr>
            <w:r>
              <w:rPr>
                <w:rFonts w:ascii="Times New Roman" w:cs="Times New Roman" w:eastAsia="Times New Roman" w:hAnsi="Times New Roman"/>
                <w:sz w:val="14"/>
                <w:szCs w:val="14"/>
                <w:b w:val="1"/>
                <w:bCs w:val="1"/>
                <w:color w:val="auto"/>
              </w:rPr>
              <w:t>Project</w:t>
            </w:r>
          </w:p>
        </w:tc>
        <w:tc>
          <w:tcPr>
            <w:tcW w:w="1540" w:type="dxa"/>
            <w:vAlign w:val="bottom"/>
            <w:tcBorders>
              <w:top w:val="single" w:sz="8" w:color="auto"/>
            </w:tcBorders>
          </w:tcPr>
          <w:p>
            <w:pPr>
              <w:spacing w:after="0"/>
              <w:rPr>
                <w:sz w:val="11"/>
                <w:szCs w:val="11"/>
                <w:color w:val="auto"/>
              </w:rPr>
            </w:pPr>
          </w:p>
        </w:tc>
        <w:tc>
          <w:tcPr>
            <w:tcW w:w="1580" w:type="dxa"/>
            <w:vAlign w:val="bottom"/>
            <w:tcBorders>
              <w:top w:val="single" w:sz="8" w:color="auto"/>
            </w:tcBorders>
            <w:vMerge w:val="restart"/>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Cost to Date</w:t>
            </w:r>
          </w:p>
        </w:tc>
        <w:tc>
          <w:tcPr>
            <w:tcW w:w="180" w:type="dxa"/>
            <w:vAlign w:val="bottom"/>
            <w:tcBorders>
              <w:top w:val="single" w:sz="8" w:color="auto"/>
            </w:tcBorders>
          </w:tcPr>
          <w:p>
            <w:pPr>
              <w:spacing w:after="0"/>
              <w:rPr>
                <w:sz w:val="11"/>
                <w:szCs w:val="11"/>
                <w:color w:val="auto"/>
              </w:rPr>
            </w:pPr>
          </w:p>
        </w:tc>
        <w:tc>
          <w:tcPr>
            <w:tcW w:w="1860" w:type="dxa"/>
            <w:vAlign w:val="bottom"/>
            <w:tcBorders>
              <w:top w:val="single" w:sz="8" w:color="auto"/>
            </w:tcBorders>
            <w:vMerge w:val="restart"/>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Estimated Cost to Complete</w:t>
            </w:r>
          </w:p>
        </w:tc>
        <w:tc>
          <w:tcPr>
            <w:tcW w:w="240" w:type="dxa"/>
            <w:vAlign w:val="bottom"/>
            <w:tcBorders>
              <w:top w:val="single" w:sz="8" w:color="auto"/>
            </w:tcBorders>
          </w:tcPr>
          <w:p>
            <w:pPr>
              <w:spacing w:after="0"/>
              <w:rPr>
                <w:sz w:val="11"/>
                <w:szCs w:val="11"/>
                <w:color w:val="auto"/>
              </w:rPr>
            </w:pPr>
          </w:p>
        </w:tc>
        <w:tc>
          <w:tcPr>
            <w:tcW w:w="1860" w:type="dxa"/>
            <w:vAlign w:val="bottom"/>
            <w:tcBorders>
              <w:top w:val="single" w:sz="8" w:color="auto"/>
            </w:tcBorders>
          </w:tcPr>
          <w:p>
            <w:pPr>
              <w:jc w:val="right"/>
              <w:ind w:right="269"/>
              <w:spacing w:after="0" w:line="129" w:lineRule="exact"/>
              <w:rPr>
                <w:sz w:val="20"/>
                <w:szCs w:val="20"/>
                <w:color w:val="auto"/>
              </w:rPr>
            </w:pPr>
            <w:r>
              <w:rPr>
                <w:rFonts w:ascii="Times New Roman" w:cs="Times New Roman" w:eastAsia="Times New Roman" w:hAnsi="Times New Roman"/>
                <w:sz w:val="14"/>
                <w:szCs w:val="14"/>
                <w:b w:val="1"/>
                <w:bCs w:val="1"/>
                <w:color w:val="auto"/>
              </w:rPr>
              <w:t>Total Estimated Cost at</w:t>
            </w:r>
          </w:p>
        </w:tc>
        <w:tc>
          <w:tcPr>
            <w:tcW w:w="0" w:type="dxa"/>
            <w:vAlign w:val="bottom"/>
          </w:tcPr>
          <w:p>
            <w:pPr>
              <w:spacing w:after="0"/>
              <w:rPr>
                <w:sz w:val="1"/>
                <w:szCs w:val="1"/>
                <w:color w:val="auto"/>
              </w:rPr>
            </w:pPr>
          </w:p>
        </w:tc>
      </w:tr>
      <w:tr>
        <w:trPr>
          <w:trHeight w:val="191"/>
        </w:trPr>
        <w:tc>
          <w:tcPr>
            <w:tcW w:w="4020" w:type="dxa"/>
            <w:vAlign w:val="bottom"/>
            <w:tcBorders>
              <w:bottom w:val="single" w:sz="8" w:color="auto"/>
            </w:tcBorders>
            <w:vMerge w:val="continue"/>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Completion</w:t>
            </w:r>
          </w:p>
        </w:tc>
        <w:tc>
          <w:tcPr>
            <w:tcW w:w="0" w:type="dxa"/>
            <w:vAlign w:val="bottom"/>
          </w:tcPr>
          <w:p>
            <w:pPr>
              <w:spacing w:after="0"/>
              <w:rPr>
                <w:sz w:val="1"/>
                <w:szCs w:val="1"/>
                <w:color w:val="auto"/>
              </w:rPr>
            </w:pPr>
          </w:p>
        </w:tc>
      </w:tr>
      <w:tr>
        <w:trPr>
          <w:trHeight w:val="171"/>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Tejon Ranch Commerce Center</w:t>
            </w:r>
          </w:p>
        </w:tc>
        <w:tc>
          <w:tcPr>
            <w:tcW w:w="15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120,871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81,962</w:t>
            </w:r>
          </w:p>
        </w:tc>
        <w:tc>
          <w:tcPr>
            <w:tcW w:w="2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8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202,833</w:t>
            </w:r>
          </w:p>
        </w:tc>
        <w:tc>
          <w:tcPr>
            <w:tcW w:w="0" w:type="dxa"/>
            <w:vAlign w:val="bottom"/>
          </w:tcPr>
          <w:p>
            <w:pPr>
              <w:spacing w:after="0"/>
              <w:rPr>
                <w:sz w:val="1"/>
                <w:szCs w:val="1"/>
                <w:color w:val="auto"/>
              </w:rPr>
            </w:pPr>
          </w:p>
        </w:tc>
      </w:tr>
      <w:tr>
        <w:trPr>
          <w:trHeight w:val="180"/>
        </w:trPr>
        <w:tc>
          <w:tcPr>
            <w:tcW w:w="4020" w:type="dxa"/>
            <w:vAlign w:val="bottom"/>
            <w:tcBorders>
              <w:bottom w:val="single" w:sz="8" w:color="auto"/>
            </w:tcBorders>
          </w:tcPr>
          <w:p>
            <w:pPr>
              <w:ind w:left="20"/>
              <w:spacing w:after="0" w:line="181" w:lineRule="exact"/>
              <w:rPr>
                <w:sz w:val="20"/>
                <w:szCs w:val="20"/>
                <w:color w:val="auto"/>
              </w:rPr>
            </w:pPr>
            <w:r>
              <w:rPr>
                <w:rFonts w:ascii="Times New Roman" w:cs="Times New Roman" w:eastAsia="Times New Roman" w:hAnsi="Times New Roman"/>
                <w:sz w:val="14"/>
                <w:szCs w:val="14"/>
                <w:color w:val="auto"/>
              </w:rPr>
              <w:t>Less: Reimbursements from TRPFFA</w:t>
            </w:r>
            <w:r>
              <w:rPr>
                <w:rFonts w:ascii="Times New Roman" w:cs="Times New Roman" w:eastAsia="Times New Roman" w:hAnsi="Times New Roman"/>
                <w:sz w:val="18"/>
                <w:szCs w:val="18"/>
                <w:color w:val="auto"/>
                <w:vertAlign w:val="superscript"/>
              </w:rPr>
              <w:t>1</w:t>
            </w:r>
          </w:p>
        </w:tc>
        <w:tc>
          <w:tcPr>
            <w:tcW w:w="15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108,170</w:t>
            </w:r>
          </w:p>
        </w:tc>
        <w:tc>
          <w:tcPr>
            <w:tcW w:w="1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23,652</w:t>
            </w:r>
          </w:p>
        </w:tc>
        <w:tc>
          <w:tcPr>
            <w:tcW w:w="2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131,822</w:t>
            </w:r>
          </w:p>
        </w:tc>
        <w:tc>
          <w:tcPr>
            <w:tcW w:w="0" w:type="dxa"/>
            <w:vAlign w:val="bottom"/>
          </w:tcPr>
          <w:p>
            <w:pPr>
              <w:spacing w:after="0"/>
              <w:rPr>
                <w:sz w:val="1"/>
                <w:szCs w:val="1"/>
                <w:color w:val="auto"/>
              </w:rPr>
            </w:pPr>
          </w:p>
        </w:tc>
      </w:tr>
      <w:tr>
        <w:trPr>
          <w:trHeight w:val="196"/>
        </w:trPr>
        <w:tc>
          <w:tcPr>
            <w:tcW w:w="4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TRCC Development Costs, net</w:t>
            </w:r>
          </w:p>
        </w:tc>
        <w:tc>
          <w:tcPr>
            <w:tcW w:w="15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12,701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58,310</w:t>
            </w:r>
          </w:p>
        </w:tc>
        <w:tc>
          <w:tcPr>
            <w:tcW w:w="2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86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71,011</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9"/>
          <w:szCs w:val="9"/>
          <w:color w:val="auto"/>
        </w:rPr>
        <w:t>TRPFFA is a joint powers authority formed by Kern County and TCWD to finance public infrastructure within the Company’s Kern County developments. TRPFFA, through bond sales, will reimburse the Company for qualifying infrastructure costs at TRCC.</w:t>
      </w:r>
    </w:p>
    <w:p>
      <w:pPr>
        <w:spacing w:after="0" w:line="188"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We believe we are well positioned for long-term value creation as we continue with our current development plans at TRCC. This is evident in the 157% increase in land prices achieved over a eight-year period starting with $3.50 per square foot in 2017. Industrial rents have increased 248% over the same eight-year period starting at $0.25 per square foot in 2017. Current entitlements available at TRCC can facilitate alternative uses and further increase the per-acre value.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7" w:right="31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1473835</wp:posOffset>
            </wp:positionH>
            <wp:positionV relativeFrom="page">
              <wp:posOffset>553720</wp:posOffset>
            </wp:positionV>
            <wp:extent cx="4608195" cy="59626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4608195" cy="596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i w:val="1"/>
          <w:iCs w:val="1"/>
          <w:color w:val="auto"/>
        </w:rPr>
        <w:t>Commercial/industrial Real Estate Development Market Overview</w:t>
      </w:r>
    </w:p>
    <w:p>
      <w:pPr>
        <w:spacing w:after="0" w:line="138"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4"/>
          <w:szCs w:val="14"/>
          <w:color w:val="auto"/>
        </w:rPr>
        <w:t>The logistics operators currently located within TRCC have demonstrated success in serving all of California and the western region of the United States, and we are building on their success in our marketing efforts. We will continue to focus our marketing strategy for TRCC on the significant labor and logistical benefits of our site, the pro-business approach of Kern County, and the success of the current tenants and owners within our development. Our strategy fits within the logistics model that many companies are using, which favors large, centralized distribution facilities which have been strategically located to maximize the balance of inbound and outbound efficiencies, rather than several decentralized smaller distribution centers. Operators located within TRCC have demonstrated success through utilization of this model. With access to markets of over 40 million people for next-day delivery service, they are also demonstrating success with e-commerce fulfillment.</w:t>
      </w:r>
    </w:p>
    <w:p>
      <w:pPr>
        <w:spacing w:after="0" w:line="10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We believe that our ability to provide fully-entitled, shovel-ready land parcels to support buildings ranging from 10,000 square feet to more than two million square feet, provides us with a marketing advantage. Our marketing efforts target industrial users in the Santa Clarita Valley of northern Los Angeles County, and the northern part of the San Fernando Valley, for whom we may be an attractive location due to the limited availability of new product and high real estate costs in these locations. Tenants in these geographic areas are typically users of smaller facilities, but often are looking to expand operations and cannot find larger size buildings in these markets. We are also targeting larger users in the Inland Empire, east of Los Angeles, that are looking to relocate to lower their operating costs.</w:t>
      </w:r>
    </w:p>
    <w:p>
      <w:pPr>
        <w:spacing w:after="0" w:line="101"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4"/>
          <w:szCs w:val="14"/>
          <w:color w:val="auto"/>
        </w:rPr>
        <w:t>We continue to closely monitor new construction, specifically speculative construction in comparison to pre-lease and build to suit. The commercial/industrial real estate sales market is highly competitive, with competition throughout California. The principal factors of competition in this industry are price, availability of labor, proximity to the port complexes of Los Angeles and Long Beach and customer base. While TRCC is farther from the ports of Los Angeles and Long Beach than the Inland Empire West, the relative importance of port proximity has moderated in recent periods. At the same time, eastward expansion of industrial development has shifted tenant demand further inland. These dynamics have reduced the historical premium associated with locations closest to the ports and have enhanced the competitiveness of TRCC. In addition, TRCC’s direct Interstate 5 frontage, fully entitled and shovel-ready land, and Kern County’s pro-business incentive programs may further support its competitiveness among industrial users evaluating inland distribution alternatives.</w:t>
      </w:r>
    </w:p>
    <w:p>
      <w:pPr>
        <w:spacing w:after="0" w:line="103"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4"/>
          <w:szCs w:val="14"/>
          <w:color w:val="auto"/>
        </w:rPr>
        <w:t>Our most direct regional competitors are in the Inland Empire, a large industrial area located 60 miles east of Los Angeles, which continues its expansion eastward beyond Riverside and San Bernardino into the Perris, Moreno Valley, and Beaumont regions of Southern California. We also face competition within Northern Los Angeles, which is comprised of the San Fernando Valley and Santa Clarita Valley along with areas north of us in the San Joaquin Valley of California. Strong demand for large distribution facilities is driving development farther east of these counties in the search for large, entitled parcels, often increasing transportation costs and lead times for companies reliant on port access. As development in the Inland Empire continues to move east and farther away from the ports, we believe that our strategic location, with direct access to major transportation corridors and proximity to the ports, positions us as a competitive alternative for logistics, warehousing, and distribution operations.</w:t>
      </w:r>
    </w:p>
    <w:p>
      <w:pPr>
        <w:spacing w:after="0" w:line="10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The Inland Empire industrial market is navigating a period of significant supply-side pressure and cooling demand. The vacancy rates climbed to 7.6%, an 80-basis point increase year-over-year. The downward trend in average asking rents have begun to slow, dropping by $0.01 per square foot (0.9%) quarter-over-quarter and $0.11 per square foot (9.6%) from one year ago to $1.04 per square foot. The San Fernando Valley and Ventura County industrial markets continue to see somewhat tight conditions. The vacancy rate in the San Fernando Valley increased by 110 basis points year-over-year to 3.6%, while vacancy in Ventura County increased by 130 basis points to 3.5%. Average asking rents remained unchanged at 2024 year-end. Rents in the San Fernando Valley and Ventura County remain among the highest submarkets in Los Angeles County, trailing only the South Bay.</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32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Vacancy Rates</w:t>
            </w:r>
          </w:p>
        </w:tc>
        <w:tc>
          <w:tcPr>
            <w:tcW w:w="14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4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Asking Rent (per sq. ft.)</w:t>
            </w:r>
          </w:p>
        </w:tc>
      </w:tr>
      <w:tr>
        <w:trPr>
          <w:trHeight w:val="171"/>
        </w:trPr>
        <w:tc>
          <w:tcPr>
            <w:tcW w:w="2320" w:type="dxa"/>
            <w:vAlign w:val="bottom"/>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December 31, 2025</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December 31, 2024</w:t>
            </w: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December 31, 2023</w:t>
            </w:r>
          </w:p>
        </w:tc>
        <w:tc>
          <w:tcPr>
            <w:tcW w:w="80" w:type="dxa"/>
            <w:vAlign w:val="bottom"/>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December 31, 2025</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December 31, 2024</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December 31, 2023</w:t>
            </w:r>
          </w:p>
        </w:tc>
      </w:tr>
      <w:tr>
        <w:trPr>
          <w:trHeight w:val="22"/>
        </w:trPr>
        <w:tc>
          <w:tcPr>
            <w:tcW w:w="2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8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Inland Empire</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7.6%</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6.8%</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$1.04</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$1.15</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$1.48</w:t>
            </w:r>
          </w:p>
        </w:tc>
      </w:tr>
      <w:tr>
        <w:trPr>
          <w:trHeight w:val="138"/>
        </w:trPr>
        <w:tc>
          <w:tcPr>
            <w:tcW w:w="232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San Fernando Valley and Ventura</w:t>
            </w:r>
          </w:p>
        </w:tc>
        <w:tc>
          <w:tcPr>
            <w:tcW w:w="14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480" w:type="dxa"/>
            <w:vAlign w:val="bottom"/>
          </w:tcPr>
          <w:p>
            <w:pPr>
              <w:spacing w:after="0"/>
              <w:rPr>
                <w:sz w:val="11"/>
                <w:szCs w:val="11"/>
                <w:color w:val="auto"/>
              </w:rPr>
            </w:pPr>
          </w:p>
        </w:tc>
      </w:tr>
      <w:tr>
        <w:trPr>
          <w:trHeight w:val="191"/>
        </w:trPr>
        <w:tc>
          <w:tcPr>
            <w:tcW w:w="2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County</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3.6%</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2.4%</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$1.42</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$1.42</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$1.54</w:t>
            </w:r>
          </w:p>
        </w:tc>
      </w:tr>
    </w:tbl>
    <w:p>
      <w:pPr>
        <w:ind w:left="20"/>
        <w:spacing w:after="0"/>
        <w:rPr>
          <w:sz w:val="20"/>
          <w:szCs w:val="20"/>
          <w:color w:val="auto"/>
        </w:rPr>
      </w:pPr>
      <w:r>
        <w:rPr>
          <w:rFonts w:ascii="Times New Roman" w:cs="Times New Roman" w:eastAsia="Times New Roman" w:hAnsi="Times New Roman"/>
          <w:sz w:val="11"/>
          <w:szCs w:val="11"/>
          <w:i w:val="1"/>
          <w:iCs w:val="1"/>
          <w:color w:val="auto"/>
        </w:rPr>
        <w:t>Source data from Colliers International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161530" cy="1009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100965"/>
                    </a:xfrm>
                    <a:prstGeom prst="rect">
                      <a:avLst/>
                    </a:prstGeom>
                    <a:noFill/>
                  </pic:spPr>
                </pic:pic>
              </a:graphicData>
            </a:graphic>
          </wp:anchor>
        </w:drawing>
      </w:r>
    </w:p>
    <w:p>
      <w:pPr>
        <w:spacing w:after="0" w:line="73" w:lineRule="exact"/>
        <w:rPr>
          <w:sz w:val="20"/>
          <w:szCs w:val="20"/>
          <w:color w:val="auto"/>
        </w:rPr>
      </w:pPr>
    </w:p>
    <w:p>
      <w:pPr>
        <w:jc w:val="both"/>
        <w:ind w:right="160"/>
        <w:spacing w:after="0" w:line="271" w:lineRule="auto"/>
        <w:rPr>
          <w:sz w:val="20"/>
          <w:szCs w:val="20"/>
          <w:color w:val="auto"/>
        </w:rPr>
      </w:pPr>
      <w:r>
        <w:rPr>
          <w:rFonts w:ascii="Times New Roman" w:cs="Times New Roman" w:eastAsia="Times New Roman" w:hAnsi="Times New Roman"/>
          <w:sz w:val="14"/>
          <w:szCs w:val="14"/>
          <w:color w:val="auto"/>
        </w:rPr>
        <w:t>Industrial users seeking larger spaces are going further north into neighboring Kern County, and particularly TRCC, which has attracted increased attention as market conditions continue to tighten. Additionally, TRCC is in a position to capture tenant awareness due to our ability to provide a competitive alternative for users in the Inland Empire and the Santa Clarita Valley,</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color w:val="auto"/>
        </w:rPr>
        <w:t>however, there can be no assurance that these advantages will offset market vacancy increases, rent softening, regulatory constraints, tenant consolidation trends or competitive development activity.</w:t>
      </w:r>
    </w:p>
    <w:p>
      <w:pPr>
        <w:spacing w:after="0" w:line="17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4"/>
          <w:szCs w:val="14"/>
          <w:color w:val="auto"/>
        </w:rPr>
        <w:t>Given California’s regulators' recent efforts at the local and state levels to tighten restrictions on industrial zoning and specific industrial uses, we anticipate further legislative activity in this area. The Company’s existing and planned developments are designed to align with current regulatory requirements, while incorporating flexibility where possible to adapt to future policy changes. Through our Company advocacy strategies, Tejon Ranch will engage to influence policy discussions to support our industrial development goals.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6EBF"/>
        </w:rPr>
        <w:t>Multifamily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Terra Vista at Tejon</w:t>
      </w:r>
    </w:p>
    <w:p>
      <w:pPr>
        <w:spacing w:after="0" w:line="13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In 2021, the Kern County Board of Supervisors approved a Conditional Use Permit (“CUP”) authorizing the development of a multifamily apartment community within TRCC. The approved CUP permits the Company to develop up to 495 multifamily residences in thirteen apartment buildings, together with approximately 6,500 square feet of community amenity space and 8,000 square feet of community-serving retail (collectively, “Terra Vista at Tejon”). The community is situated on a 22-acre site immediately north of the Outlets at Tejon.</w:t>
      </w:r>
    </w:p>
    <w:p>
      <w:pPr>
        <w:spacing w:after="0" w:line="157"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The first phase of Terra Vista at Tejon was completed in 2025 and represents the first phase of development, consisting of 228 units. The project represents the first newly constructed, professionally managed multifamily community within TRCC and introduces a product type that is limited within the immediate South Bakersfield submarket, where there has been relatively modest recent multifamily development. The community includes amenity offerings typical of newly delivered apartment properties, including a resort-style pool, fitness center, resident lounge, and other common-area facilities.</w:t>
      </w:r>
    </w:p>
    <w:p>
      <w:pPr>
        <w:spacing w:after="0" w:line="162"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4"/>
          <w:szCs w:val="14"/>
          <w:color w:val="auto"/>
        </w:rPr>
        <w:t>Leasing commenced in May 2025. As of December 31, 2025, the project was approximately 63% leased. Residential leases have an average term of approximately 12 months. As of March 19, 2026, the project was approximately 71% leased, reflecting continued absorption as the community progresses toward stabilization. Terra Vista at Tejon represents the first residential component of TRCC and is intended to provide housing opportunities for employees working at distribution centers, retail establishments, hotels, and restaurants located within TRCC.</w:t>
      </w:r>
    </w:p>
    <w:p>
      <w:pPr>
        <w:spacing w:after="0" w:line="157"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We are positioning our Multifamily platform to benefit from employment activity associated with logistics, distribution, and related service uses along key transportation corridors serving TRCC and the surrounding region. The greater Bakersfield rental market is generally characterized by relative affordability compared to major coastal California markets. Demand for rental housing in the region is influenced by local employment levels, household formation trends, the cost of homeownership, and the timing and volume of new multifamily supply.</w:t>
      </w:r>
    </w:p>
    <w:p>
      <w:pPr>
        <w:spacing w:after="0" w:line="157" w:lineRule="exact"/>
        <w:rPr>
          <w:sz w:val="20"/>
          <w:szCs w:val="20"/>
          <w:color w:val="auto"/>
        </w:rPr>
      </w:pPr>
    </w:p>
    <w:p>
      <w:pPr>
        <w:jc w:val="both"/>
        <w:ind w:right="300"/>
        <w:spacing w:after="0" w:line="270" w:lineRule="auto"/>
        <w:rPr>
          <w:sz w:val="20"/>
          <w:szCs w:val="20"/>
          <w:color w:val="auto"/>
        </w:rPr>
      </w:pPr>
      <w:r>
        <w:rPr>
          <w:rFonts w:ascii="Times New Roman" w:cs="Times New Roman" w:eastAsia="Times New Roman" w:hAnsi="Times New Roman"/>
          <w:sz w:val="14"/>
          <w:szCs w:val="14"/>
          <w:color w:val="auto"/>
        </w:rPr>
        <w:t>Consistent with industry practice, we monitor key operating metrics, including physical occupancy, leasing activity, renewal rates, concessions, and changes in asking rents. Given the typical 12-month lease structure in the apartment industry, rental rates may adjust to prevailing market conditions over relatively short periods. Properties in lease-up are subject to market absorption levels, competitive supply conditions, and broader economic factors, and the timing of stabilization may vary accordingly.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6EBF"/>
        </w:rPr>
        <w:t>Real Estate - Resort/Residential</w:t>
      </w:r>
    </w:p>
    <w:p>
      <w:pPr>
        <w:spacing w:after="0" w:line="16" w:lineRule="exact"/>
        <w:rPr>
          <w:sz w:val="20"/>
          <w:szCs w:val="20"/>
          <w:color w:val="auto"/>
        </w:rPr>
      </w:pPr>
    </w:p>
    <w:p>
      <w:pPr>
        <w:ind w:right="820"/>
        <w:spacing w:after="0" w:line="247" w:lineRule="auto"/>
        <w:rPr>
          <w:sz w:val="20"/>
          <w:szCs w:val="20"/>
          <w:color w:val="auto"/>
        </w:rPr>
      </w:pPr>
      <w:r>
        <w:rPr>
          <w:rFonts w:ascii="Times New Roman" w:cs="Times New Roman" w:eastAsia="Times New Roman" w:hAnsi="Times New Roman"/>
          <w:sz w:val="14"/>
          <w:szCs w:val="14"/>
          <w:color w:val="auto"/>
        </w:rPr>
        <w:t>Our resort/residential segment activities include land entitlement, land planning and pre-construction engineering, and land stewardship and conservation activities. We have three major resort/residential communities within this segment at various stages of entitlement and development:</w:t>
      </w:r>
    </w:p>
    <w:p>
      <w:pPr>
        <w:spacing w:after="0" w:line="109" w:lineRule="exact"/>
        <w:rPr>
          <w:sz w:val="20"/>
          <w:szCs w:val="20"/>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Mountain Village at Tejon Ranch</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Grapevine at Tejon Ranch</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Centennial at Tejon Ranch</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Grapevine North</w:t>
      </w:r>
    </w:p>
    <w:p>
      <w:pPr>
        <w:spacing w:after="0" w:line="83"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4"/>
          <w:szCs w:val="14"/>
          <w:color w:val="auto"/>
        </w:rPr>
        <w:t>MV and Grapevine received project approvals and entitlements. We are continuing entitlement and planning activities for Centennial. Grapevine North is currently utilized for agricultural operations and is not in active development.</w:t>
      </w:r>
    </w:p>
    <w:p>
      <w:pPr>
        <w:spacing w:after="0" w:line="93"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The entitlement process precedes the regulatory approvals necessary for land development and routinely takes several years to complete. Litigation by environmental and other special interest groups has been a primary cause of delays and increased costs</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9" w:name="page20"/>
    <w:bookmarkEnd w:id="19"/>
    <w:p>
      <w:pPr>
        <w:spacing w:after="0" w:line="287" w:lineRule="auto"/>
        <w:rPr>
          <w:sz w:val="20"/>
          <w:szCs w:val="20"/>
          <w:color w:val="auto"/>
        </w:rPr>
      </w:pPr>
      <w:r>
        <w:rPr>
          <w:rFonts w:ascii="Times New Roman" w:cs="Times New Roman" w:eastAsia="Times New Roman" w:hAnsi="Times New Roman"/>
          <w:sz w:val="14"/>
          <w:szCs w:val="14"/>
          <w:color w:val="auto"/>
        </w:rPr>
        <w:t>for our real estate development projects as well as other projects in California. For discussion on legal matters pertaining to our developments, see Note 13 (Commitments and Contingencies) of the Notes to Consolidated Financial Statements.</w:t>
      </w:r>
    </w:p>
    <w:p>
      <w:pPr>
        <w:spacing w:after="0" w:line="82"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4"/>
          <w:szCs w:val="14"/>
          <w:color w:val="auto"/>
        </w:rPr>
        <w:t>Full build out of our mixed-use master planned communities is expected to take 25 years or longer from the start of construction. We are unable to determine anticipated completion dates with certainty given the inherent complexity of the entitlement process in California, which requires approvals at federal, state, and county levels.</w:t>
      </w:r>
    </w:p>
    <w:p>
      <w:pPr>
        <w:spacing w:after="0" w:line="82"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Macroeconomic conditions, including labor costs, raw material expenses, and inflation, also influence the timing and cost of development. We have obtained entitlements on MV and prevailed in litigation in 2012, and Grapevine was reapproved unanimously by the Kern County Board of Supervisors in 2019 and prevailed in litigation in 2021.</w:t>
      </w:r>
    </w:p>
    <w:p>
      <w:pPr>
        <w:spacing w:after="0" w:line="38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40"/>
          </w:cols>
          <w:pgMar w:left="300" w:top="857" w:right="45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1473835</wp:posOffset>
            </wp:positionH>
            <wp:positionV relativeFrom="page">
              <wp:posOffset>553720</wp:posOffset>
            </wp:positionV>
            <wp:extent cx="4608195" cy="59626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4608195" cy="596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color w:val="auto"/>
        </w:rPr>
        <w:t>Mountain Village at Tejon Ranch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1734820</wp:posOffset>
            </wp:positionH>
            <wp:positionV relativeFrom="paragraph">
              <wp:posOffset>97155</wp:posOffset>
            </wp:positionV>
            <wp:extent cx="3705225" cy="3193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705225" cy="3193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MV is planned as a low-density, resort-based mixed-use community encompassing 26,417 acres, including 5,082 acres for a master planned community with housing, lodging, retail, and commercial components. MV is entitled for 3,450 homes, 160,000 square feet of commercial development, 750 hotel keys, and 21,335 acres of open space. The first final map for the project consisting of 401 residential lots and parcels for hospitality, amenities, and public uses was approved by Kern County in December 2021.</w:t>
      </w:r>
    </w:p>
    <w:p>
      <w:pPr>
        <w:spacing w:after="0" w:line="93"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4"/>
          <w:szCs w:val="14"/>
          <w:color w:val="auto"/>
        </w:rPr>
        <w:t>The commercial component of the project is a 160,000 square foot commercial center known as Farm Village (shown above), which will serve as the community's commercial hub. In 2018, we obtained commercial site plan approval from Kern County for the first phase of the Farm Village consisting of 53,180 square feet.</w:t>
      </w:r>
    </w:p>
    <w:p>
      <w:pPr>
        <w:spacing w:after="0" w:line="8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Timing of MV development in the coming years will be dependent on the strength of both the economy and the residential real estate market. We are currently pursuing capital financing opportunities for the development of MV. Such financing opportunities could come from a variety of sources, such as joint ventures with financial partners, debt financing, or equity financing.</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3"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color w:val="auto"/>
        </w:rPr>
        <w:t>Grapevine at Tejon Ranch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1283335</wp:posOffset>
            </wp:positionH>
            <wp:positionV relativeFrom="paragraph">
              <wp:posOffset>97155</wp:posOffset>
            </wp:positionV>
            <wp:extent cx="4608195" cy="25869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608195" cy="258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Grapevine is a mixed-use master planned community encompassing 8,010 acres of our lands within Kern County located on the San Joaquin Valley floor, adjacent to TRCC. Grapevine is entitled for 12,000 homes, 5.1 million square feet for commercial development, and more than 3,367 acres of open space and parks. The 4,643 acres designated for mixed-use development will include housing, retail, commercial, and industrial components. The Company is focused on Planning Area 6A, a 620 acre sub-area of the larger 8,010 acre project area that lies immediately southeast of TRCC, proximate to the Company’s existing development and infrastructure. The Company is working to develop land planning, engineering, and technical analysis that will serve as the foundation for subdivision mapping for the development of the initial phase of Grapevine. Subdivision mapping is expected to start in 2026 and continue to 2028, with horizontal infrastructure development and vertical construction to follow. The Company also continues to work to obtain resource permits for the development of Grapevine, including permits from CA Department of Fish and Wildlife as well as the CA Regional Water Quality Control Board, and federal permitting from the US Fish and Wildlife Service.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Grapevine North</w:t>
      </w:r>
    </w:p>
    <w:p>
      <w:pPr>
        <w:spacing w:after="0" w:line="138"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Immediately northeast of Grapevine is Grapevine North, a 7,655-acre development area, which is currently used for agricultural purposes. Identified as a development area in the RWA, Grapevine North presents a significant opportunity for future development. Grapevine North may feature mixed-use community development similar to Grapevine at Tejon Ranch, or other development uses as appropriate based upon market conditions at the time.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5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i w:val="1"/>
          <w:iCs w:val="1"/>
          <w:color w:val="auto"/>
        </w:rPr>
        <w:t>Centennial at Tejon Ranch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1283335</wp:posOffset>
            </wp:positionH>
            <wp:positionV relativeFrom="paragraph">
              <wp:posOffset>97155</wp:posOffset>
            </wp:positionV>
            <wp:extent cx="4608195" cy="30721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608195" cy="3072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The Centennial development is a mixed-use master planned community development planned to encompass 12,323 acres of our land within Los Angeles County. Centennial is being entitled for 19,333 housing units, including nearly 3,500 affordable units, and 10.1 million square feet of commercial development. The project is being developed by Centennial Founders, LLC, a consolidated joint venture in which we have a 93.84% ownership interest as of December 31, 2025. Centennial is envisioned to be an ecologically friendly community that will achieve a job-housing balance.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Centennial had entitlements that were initially approved in 2019 by the Los Angeles County Board of Supervisors. These approvals were litigated in two lawsuits filed in Los Angeles County Superior Court in May 2019. In January 2022, the Superior Court issued a decision rescinding the Centennial project approvals, which decision was upheld on appeal pursuant to a written Court of Appeal decision issued on June 26, 2025. On December 2, 2025, LA County rescinded and set aside the Centennial approvals. The Company is in the process of working with Los Angeles County to advance the Centennial project and has begun the process to re-entitlement of the Centennial project (“re-entitlement”). We expect that re-entitlement will involve processing project and land use entitlements that are substantively similar to the Centennial approvals that were approved in April of 2019, while addressing the matters adjudicated in the litigation. </w:t>
      </w:r>
      <w:r>
        <w:rPr>
          <w:rFonts w:ascii="Times New Roman" w:cs="Times New Roman" w:eastAsia="Times New Roman" w:hAnsi="Times New Roman"/>
          <w:sz w:val="14"/>
          <w:szCs w:val="14"/>
          <w:i w:val="1"/>
          <w:iCs w:val="1"/>
          <w:color w:val="auto"/>
        </w:rPr>
        <w:t>See</w:t>
      </w:r>
      <w:r>
        <w:rPr>
          <w:rFonts w:ascii="Times New Roman" w:cs="Times New Roman" w:eastAsia="Times New Roman" w:hAnsi="Times New Roman"/>
          <w:sz w:val="14"/>
          <w:szCs w:val="14"/>
          <w:color w:val="auto"/>
        </w:rPr>
        <w:t xml:space="preserve"> Note 13 (Commitments and Contingencies) of the Notes to Consolidated Financial Statements for further discussion.</w:t>
      </w:r>
    </w:p>
    <w:p>
      <w:pPr>
        <w:spacing w:after="0" w:line="106"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4"/>
          <w:szCs w:val="14"/>
          <w:color w:val="auto"/>
        </w:rPr>
        <w:t>The principal competition for Centennial and Grapevine is expected to come from developments in the Santa Clarita Valley, Lancaster, Palmdale, and Bakersfield. We intend to differentiate our communities through our unique settings, land planning and product offerings. MV will compete generally for discretionary dollars that consumers will allocate to recreational and residential homes.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855"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color w:val="auto"/>
        </w:rPr>
        <w:t>The following is a summary of the Company's residential real estate developments as of December 31, 2025:</w:t>
      </w:r>
    </w:p>
    <w:p>
      <w:pPr>
        <w:spacing w:after="0" w:line="226" w:lineRule="exact"/>
        <w:rPr>
          <w:sz w:val="20"/>
          <w:szCs w:val="20"/>
          <w:color w:val="auto"/>
        </w:rPr>
      </w:pPr>
    </w:p>
    <w:tbl>
      <w:tblPr>
        <w:tblLayout w:type="fixed"/>
        <w:tblInd w:w="110" w:type="dxa"/>
        <w:tblCellMar>
          <w:top w:w="0" w:type="dxa"/>
          <w:left w:w="0" w:type="dxa"/>
          <w:bottom w:w="0" w:type="dxa"/>
          <w:right w:w="0" w:type="dxa"/>
        </w:tblCellMar>
      </w:tblPr>
      <w:tr>
        <w:trPr>
          <w:trHeight w:val="185"/>
        </w:trPr>
        <w:tc>
          <w:tcPr>
            <w:tcW w:w="37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Community:</w:t>
            </w:r>
          </w:p>
        </w:tc>
        <w:tc>
          <w:tcPr>
            <w:tcW w:w="1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Mountain Village</w:t>
            </w:r>
          </w:p>
        </w:tc>
        <w:tc>
          <w:tcPr>
            <w:tcW w:w="18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Centennial</w:t>
            </w:r>
          </w:p>
        </w:tc>
        <w:tc>
          <w:tcPr>
            <w:tcW w:w="1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Grapevine</w:t>
            </w:r>
          </w:p>
        </w:tc>
        <w:tc>
          <w:tcPr>
            <w:tcW w:w="1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Resort</w:t>
            </w:r>
          </w:p>
        </w:tc>
      </w:tr>
      <w:tr>
        <w:trPr>
          <w:trHeight w:val="177"/>
        </w:trPr>
        <w:tc>
          <w:tcPr>
            <w:tcW w:w="37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Kern County</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Los Angeles County</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Kern County</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Residential</w:t>
            </w:r>
          </w:p>
        </w:tc>
      </w:tr>
      <w:tr>
        <w:trPr>
          <w:trHeight w:val="189"/>
        </w:trPr>
        <w:tc>
          <w:tcPr>
            <w:tcW w:w="3720" w:type="dxa"/>
            <w:vAlign w:val="bottom"/>
            <w:tcBorders>
              <w:left w:val="single" w:sz="8" w:color="auto"/>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4"/>
                <w:szCs w:val="14"/>
                <w:b w:val="1"/>
                <w:bCs w:val="1"/>
                <w:color w:val="auto"/>
                <w:w w:val="98"/>
              </w:rPr>
              <w:t>Project Status</w:t>
            </w:r>
            <w:r>
              <w:rPr>
                <w:rFonts w:ascii="Times New Roman" w:cs="Times New Roman" w:eastAsia="Times New Roman" w:hAnsi="Times New Roman"/>
                <w:sz w:val="18"/>
                <w:szCs w:val="18"/>
                <w:b w:val="1"/>
                <w:bCs w:val="1"/>
                <w:color w:val="auto"/>
                <w:w w:val="98"/>
                <w:vertAlign w:val="superscript"/>
              </w:rPr>
              <w:t>1</w:t>
            </w:r>
            <w:r>
              <w:rPr>
                <w:rFonts w:ascii="Times New Roman" w:cs="Times New Roman" w:eastAsia="Times New Roman" w:hAnsi="Times New Roman"/>
                <w:sz w:val="14"/>
                <w:szCs w:val="14"/>
                <w:b w:val="1"/>
                <w:bCs w:val="1"/>
                <w:color w:val="auto"/>
                <w:w w:val="98"/>
              </w:rPr>
              <w:t>:</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Entitled</w:t>
            </w:r>
          </w:p>
        </w:tc>
        <w:tc>
          <w:tcPr>
            <w:tcW w:w="1860" w:type="dxa"/>
            <w:vAlign w:val="bottom"/>
            <w:tcBorders>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Entitlement Ongoing </w:t>
            </w:r>
            <w:r>
              <w:rPr>
                <w:rFonts w:ascii="Times New Roman" w:cs="Times New Roman" w:eastAsia="Times New Roman" w:hAnsi="Times New Roman"/>
                <w:sz w:val="18"/>
                <w:szCs w:val="18"/>
                <w:b w:val="1"/>
                <w:bCs w:val="1"/>
                <w:color w:val="auto"/>
                <w:vertAlign w:val="superscript"/>
              </w:rPr>
              <w:t>4</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Entitled</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171"/>
        </w:trPr>
        <w:tc>
          <w:tcPr>
            <w:tcW w:w="372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Entitlement Area (acres):</w:t>
            </w:r>
          </w:p>
        </w:tc>
        <w:tc>
          <w:tcPr>
            <w:tcW w:w="18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26,417</w:t>
            </w:r>
          </w:p>
        </w:tc>
        <w:tc>
          <w:tcPr>
            <w:tcW w:w="18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12,323</w:t>
            </w:r>
          </w:p>
        </w:tc>
        <w:tc>
          <w:tcPr>
            <w:tcW w:w="18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8,010</w:t>
            </w:r>
          </w:p>
        </w:tc>
        <w:tc>
          <w:tcPr>
            <w:tcW w:w="18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46,750</w:t>
            </w:r>
          </w:p>
        </w:tc>
      </w:tr>
      <w:tr>
        <w:trPr>
          <w:trHeight w:val="180"/>
        </w:trPr>
        <w:tc>
          <w:tcPr>
            <w:tcW w:w="37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Housing Units:</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3,450</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19,333</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12,000</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34,783</w:t>
            </w:r>
          </w:p>
        </w:tc>
      </w:tr>
      <w:tr>
        <w:trPr>
          <w:trHeight w:val="180"/>
        </w:trPr>
        <w:tc>
          <w:tcPr>
            <w:tcW w:w="3720" w:type="dxa"/>
            <w:vAlign w:val="bottom"/>
            <w:tcBorders>
              <w:left w:val="single" w:sz="8" w:color="auto"/>
              <w:right w:val="single" w:sz="8" w:color="auto"/>
            </w:tcBorders>
            <w:shd w:val="clear" w:color="auto" w:fill="CCEEFF"/>
          </w:tcPr>
          <w:p>
            <w:pPr>
              <w:jc w:val="center"/>
              <w:spacing w:after="0" w:line="181" w:lineRule="exact"/>
              <w:rPr>
                <w:sz w:val="20"/>
                <w:szCs w:val="20"/>
                <w:color w:val="auto"/>
              </w:rPr>
            </w:pPr>
            <w:r>
              <w:rPr>
                <w:rFonts w:ascii="Times New Roman" w:cs="Times New Roman" w:eastAsia="Times New Roman" w:hAnsi="Times New Roman"/>
                <w:sz w:val="14"/>
                <w:szCs w:val="14"/>
                <w:color w:val="auto"/>
              </w:rPr>
              <w:t>Commercial Development (sqft)</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w:t>
            </w:r>
          </w:p>
        </w:tc>
        <w:tc>
          <w:tcPr>
            <w:tcW w:w="18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160,000</w:t>
            </w:r>
          </w:p>
        </w:tc>
        <w:tc>
          <w:tcPr>
            <w:tcW w:w="18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10,100,000</w:t>
            </w:r>
          </w:p>
        </w:tc>
        <w:tc>
          <w:tcPr>
            <w:tcW w:w="18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5,100,000</w:t>
            </w:r>
          </w:p>
        </w:tc>
        <w:tc>
          <w:tcPr>
            <w:tcW w:w="18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15,360,000</w:t>
            </w:r>
          </w:p>
        </w:tc>
      </w:tr>
      <w:tr>
        <w:trPr>
          <w:trHeight w:val="180"/>
        </w:trPr>
        <w:tc>
          <w:tcPr>
            <w:tcW w:w="37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Open Areas (acres):</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21,335</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5,624</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3,367</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30,326</w:t>
            </w:r>
          </w:p>
        </w:tc>
      </w:tr>
      <w:tr>
        <w:trPr>
          <w:trHeight w:val="180"/>
        </w:trPr>
        <w:tc>
          <w:tcPr>
            <w:tcW w:w="3720" w:type="dxa"/>
            <w:vAlign w:val="bottom"/>
            <w:tcBorders>
              <w:left w:val="single" w:sz="8" w:color="auto"/>
              <w:bottom w:val="single" w:sz="8" w:color="auto"/>
              <w:right w:val="single" w:sz="8" w:color="auto"/>
            </w:tcBorders>
            <w:shd w:val="clear" w:color="auto" w:fill="CCEEFF"/>
          </w:tcPr>
          <w:p>
            <w:pPr>
              <w:jc w:val="center"/>
              <w:spacing w:after="0" w:line="181" w:lineRule="exact"/>
              <w:rPr>
                <w:sz w:val="20"/>
                <w:szCs w:val="20"/>
                <w:color w:val="auto"/>
              </w:rPr>
            </w:pPr>
            <w:r>
              <w:rPr>
                <w:rFonts w:ascii="Times New Roman" w:cs="Times New Roman" w:eastAsia="Times New Roman" w:hAnsi="Times New Roman"/>
                <w:sz w:val="14"/>
                <w:szCs w:val="14"/>
                <w:color w:val="auto"/>
                <w:w w:val="98"/>
              </w:rPr>
              <w:t>Costs to Date</w:t>
            </w:r>
            <w:r>
              <w:rPr>
                <w:rFonts w:ascii="Times New Roman" w:cs="Times New Roman" w:eastAsia="Times New Roman" w:hAnsi="Times New Roman"/>
                <w:sz w:val="18"/>
                <w:szCs w:val="18"/>
                <w:color w:val="auto"/>
                <w:w w:val="98"/>
                <w:vertAlign w:val="superscript"/>
              </w:rPr>
              <w:t>3</w:t>
            </w:r>
            <w:r>
              <w:rPr>
                <w:rFonts w:ascii="Times New Roman" w:cs="Times New Roman" w:eastAsia="Times New Roman" w:hAnsi="Times New Roman"/>
                <w:sz w:val="14"/>
                <w:szCs w:val="14"/>
                <w:color w:val="auto"/>
                <w:w w:val="98"/>
              </w:rPr>
              <w:t>:</w:t>
            </w:r>
          </w:p>
        </w:tc>
        <w:tc>
          <w:tcPr>
            <w:tcW w:w="18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$161,388</w:t>
            </w:r>
          </w:p>
        </w:tc>
        <w:tc>
          <w:tcPr>
            <w:tcW w:w="18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$128,549</w:t>
            </w:r>
          </w:p>
        </w:tc>
        <w:tc>
          <w:tcPr>
            <w:tcW w:w="18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$45,801</w:t>
            </w:r>
          </w:p>
        </w:tc>
        <w:tc>
          <w:tcPr>
            <w:tcW w:w="18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$335,738</w:t>
            </w:r>
          </w:p>
        </w:tc>
      </w:tr>
    </w:tbl>
    <w:p>
      <w:pPr>
        <w:spacing w:after="0" w:line="46" w:lineRule="exact"/>
        <w:rPr>
          <w:sz w:val="20"/>
          <w:szCs w:val="20"/>
          <w:color w:val="auto"/>
        </w:rPr>
      </w:pPr>
    </w:p>
    <w:p>
      <w:pPr>
        <w:ind w:left="60" w:hanging="55"/>
        <w:spacing w:after="0"/>
        <w:tabs>
          <w:tab w:leader="none" w:pos="60" w:val="left"/>
        </w:tabs>
        <w:numPr>
          <w:ilvl w:val="0"/>
          <w:numId w:val="8"/>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Estimated completion anticipated to be 25 years, or longer, from commencement of construction. To-date construction has not begun.</w:t>
      </w:r>
    </w:p>
    <w:p>
      <w:pPr>
        <w:spacing w:after="0" w:line="50" w:lineRule="exact"/>
        <w:rPr>
          <w:rFonts w:ascii="Times New Roman" w:cs="Times New Roman" w:eastAsia="Times New Roman" w:hAnsi="Times New Roman"/>
          <w:sz w:val="7"/>
          <w:szCs w:val="7"/>
          <w:color w:val="auto"/>
        </w:rPr>
      </w:pPr>
    </w:p>
    <w:p>
      <w:pPr>
        <w:ind w:right="5560"/>
        <w:spacing w:after="0" w:line="312" w:lineRule="auto"/>
        <w:rPr>
          <w:rFonts w:ascii="Times New Roman" w:cs="Times New Roman" w:eastAsia="Times New Roman" w:hAnsi="Times New Roman"/>
          <w:sz w:val="7"/>
          <w:szCs w:val="7"/>
          <w:color w:val="auto"/>
        </w:rPr>
      </w:pPr>
      <w:r>
        <w:rPr>
          <w:rFonts w:ascii="Times New Roman" w:cs="Times New Roman" w:eastAsia="Times New Roman" w:hAnsi="Times New Roman"/>
          <w:sz w:val="14"/>
          <w:szCs w:val="14"/>
          <w:color w:val="auto"/>
          <w:vertAlign w:val="superscript"/>
        </w:rPr>
        <w:t>2</w:t>
      </w:r>
      <w:r>
        <w:rPr>
          <w:rFonts w:ascii="Times New Roman" w:cs="Times New Roman" w:eastAsia="Times New Roman" w:hAnsi="Times New Roman"/>
          <w:sz w:val="11"/>
          <w:szCs w:val="11"/>
          <w:color w:val="auto"/>
        </w:rPr>
        <w:t xml:space="preserve"> MV also has approval for up to 750 lodging units and 350,000 square feet of amenity facilities and two 18-hole golf courses. </w:t>
      </w:r>
      <w:r>
        <w:rPr>
          <w:rFonts w:ascii="Times New Roman" w:cs="Times New Roman" w:eastAsia="Times New Roman" w:hAnsi="Times New Roman"/>
          <w:sz w:val="14"/>
          <w:szCs w:val="14"/>
          <w:color w:val="auto"/>
          <w:vertAlign w:val="superscript"/>
        </w:rPr>
        <w:t>3</w:t>
      </w:r>
      <w:r>
        <w:rPr>
          <w:rFonts w:ascii="Times New Roman" w:cs="Times New Roman" w:eastAsia="Times New Roman" w:hAnsi="Times New Roman"/>
          <w:sz w:val="11"/>
          <w:szCs w:val="11"/>
          <w:color w:val="auto"/>
        </w:rPr>
        <w:t xml:space="preserve"> Dollars presented in thousands.</w:t>
      </w:r>
    </w:p>
    <w:p>
      <w:pPr>
        <w:spacing w:after="0"/>
        <w:rPr>
          <w:rFonts w:ascii="Times New Roman" w:cs="Times New Roman" w:eastAsia="Times New Roman" w:hAnsi="Times New Roman"/>
          <w:sz w:val="7"/>
          <w:szCs w:val="7"/>
          <w:color w:val="auto"/>
        </w:rPr>
      </w:pPr>
      <w:r>
        <w:rPr>
          <w:rFonts w:ascii="Times New Roman" w:cs="Times New Roman" w:eastAsia="Times New Roman" w:hAnsi="Times New Roman"/>
          <w:sz w:val="14"/>
          <w:szCs w:val="14"/>
          <w:color w:val="auto"/>
          <w:vertAlign w:val="superscript"/>
        </w:rPr>
        <w:t>4</w:t>
      </w:r>
      <w:r>
        <w:rPr>
          <w:rFonts w:ascii="Times New Roman" w:cs="Times New Roman" w:eastAsia="Times New Roman" w:hAnsi="Times New Roman"/>
          <w:sz w:val="11"/>
          <w:szCs w:val="11"/>
          <w:color w:val="auto"/>
        </w:rPr>
        <w:t xml:space="preserve"> Project being entitled. See </w:t>
      </w:r>
      <w:r>
        <w:rPr>
          <w:rFonts w:ascii="Times New Roman" w:cs="Times New Roman" w:eastAsia="Times New Roman" w:hAnsi="Times New Roman"/>
          <w:sz w:val="11"/>
          <w:szCs w:val="11"/>
          <w:i w:val="1"/>
          <w:iCs w:val="1"/>
          <w:color w:val="auto"/>
        </w:rPr>
        <w:t>Commitments and Contingencies</w:t>
      </w:r>
      <w:r>
        <w:rPr>
          <w:rFonts w:ascii="Times New Roman" w:cs="Times New Roman" w:eastAsia="Times New Roman" w:hAnsi="Times New Roman"/>
          <w:sz w:val="11"/>
          <w:szCs w:val="11"/>
          <w:color w:val="auto"/>
        </w:rPr>
        <w:t xml:space="preserve"> Footnote 13.</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6EBF"/>
        </w:rPr>
        <w:t>Mineral Resources</w:t>
      </w:r>
    </w:p>
    <w:p>
      <w:pPr>
        <w:spacing w:after="0" w:line="13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4"/>
          <w:szCs w:val="14"/>
          <w:color w:val="auto"/>
        </w:rPr>
        <w:t>Our mineral resources segment consists of oil and gas royalties, rock and aggregate royalties, royalties from a cement operation leased to National Cement Company of California, Inc., or National, and the management of water assets and water infrastructure. We continue to look for opportunities to grow our mineral resource revenues through expansion of leasing and encouraging new exploration. The management of our water assets consists of the evaluation of near-term highest and best uses, which can include the sale of water on a temporary basis, the use of water for internal purposes, and the storage of water for future use in our development projects. At the same time, we are also evaluating opportunities as they arise for the purchase of additional water assets as we have done in the past.</w:t>
      </w:r>
    </w:p>
    <w:p>
      <w:pPr>
        <w:spacing w:after="0" w:line="101"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4"/>
          <w:szCs w:val="14"/>
          <w:color w:val="auto"/>
        </w:rPr>
        <w:t>Royalty rates are contractually defined and based on a percentage of production and are received in cash. Our royalty revenues fluctuate based on changes in the market prices for oil, natural gas, and rock and aggregate product, the inevitable decline in production of existing wells and quarries, and other factors affecting the third-party oil and natural gas exploration and production companies that operate on our lands, including the cost of development and production.</w:t>
      </w:r>
    </w:p>
    <w:p>
      <w:pPr>
        <w:spacing w:after="0" w:line="93"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4"/>
          <w:szCs w:val="14"/>
          <w:color w:val="auto"/>
        </w:rPr>
        <w:t>We lease certain portions of our land to oil companies for the exploration and production of oil and gas. We do not engage in any oil exploration or extraction activities. As of December 31, 2025, 12,015 acres were committed to producing oil and gas leases from which the operators produced and sold approximately 67,441 barrels of oil and 13,088 MCF (each MCF being 1,000 cubic feet) of dry gas during 2025. Our share of production, based upon average royalty rates during the last three years, has been 27, 31, and 34 barrels of oil per day for 2025, 2024, and 2023, respectively. There are 293 active oil wells located on the leased land as of December 31, 2025. Royalty rates on our leases averaged approximately 15% of oil production in 2025. While California’s permitting framework and regulatory environment have historically constrained new exploration and expansion of oil production, recent actions at the state and county levels have introduced measures that may support continued operations and, in certain circumstances, facilitate production activities. The net impact of these evolving regulatory dynamics on the Company’s mineral resources segment remains uncertain. In addition, the Company does not estimate oil and gas reserves, and our lessees do not provide us with reserve information, which further limits visibility into the long-term production potential of our mineral interests.</w:t>
      </w:r>
    </w:p>
    <w:p>
      <w:pPr>
        <w:spacing w:after="0" w:line="10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Average monthly oil prices trended lower through much of 2025, with pricing decreasing from higher levels in the early part of the year and moving toward lower average prices later in 2025. For example, monthly average Midway-Sunset crude prices declined from approximately $74.5 per barrel in January 2025 and $71.4 per barrel in February 2025 to approximately $60.3 per barrel in May 2025, before stabilizing in the range of approximately $63.90 to $64.30 per barrel from June through August 2025, reflecting changes in regional and broader crude supply and demand conditions. Oil and natural gas prices are highly sensitive to fluctuations driven by relatively minor shifts in supply and demand, market uncertainty and various external factors beyond our control. These include changes in domestic and global supply and demand dynamics, domestic and global inventory levels, and political and economic conditions. Additionally, geopolitical tensions, including ongoing conflicts in the Middle East and Eastern Europe, further contribute to price volatility.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5" w:right="319" w:bottom="1440" w:gutter="0" w:footer="0" w:header="0"/>
        </w:sectPr>
      </w:pPr>
    </w:p>
    <w:bookmarkStart w:id="25" w:name="page26"/>
    <w:bookmarkEnd w:id="25"/>
    <w:p>
      <w:pPr>
        <w:ind w:right="320"/>
        <w:spacing w:after="0" w:line="254" w:lineRule="auto"/>
        <w:rPr>
          <w:sz w:val="20"/>
          <w:szCs w:val="20"/>
          <w:color w:val="auto"/>
        </w:rPr>
      </w:pPr>
      <w:r>
        <w:rPr>
          <w:rFonts w:ascii="Times New Roman" w:cs="Times New Roman" w:eastAsia="Times New Roman" w:hAnsi="Times New Roman"/>
          <w:sz w:val="14"/>
          <w:szCs w:val="14"/>
          <w:color w:val="auto"/>
        </w:rPr>
        <w:t>We have approximately 2,000 acres under lease to National for the purpose of manufacturing Portland cement from limestone deposits found on the leased acreage. National owns and operates a cement manufacturing plant on our property with a production capacity in excess of 1,000,000 tons of cement per year. The amount of payment that we receive under the lease is based upon shipments from the cement plant. The term of this lease expires in 2026, however National has options to extend the lease until 2095.</w:t>
      </w:r>
    </w:p>
    <w:p>
      <w:pPr>
        <w:spacing w:after="0" w:line="104" w:lineRule="exact"/>
        <w:rPr>
          <w:sz w:val="20"/>
          <w:szCs w:val="20"/>
          <w:color w:val="auto"/>
        </w:rPr>
      </w:pPr>
    </w:p>
    <w:p>
      <w:pPr>
        <w:jc w:val="both"/>
        <w:ind w:right="60"/>
        <w:spacing w:after="0" w:line="276" w:lineRule="auto"/>
        <w:rPr>
          <w:sz w:val="20"/>
          <w:szCs w:val="20"/>
          <w:color w:val="auto"/>
        </w:rPr>
      </w:pPr>
      <w:r>
        <w:rPr>
          <w:rFonts w:ascii="Times New Roman" w:cs="Times New Roman" w:eastAsia="Times New Roman" w:hAnsi="Times New Roman"/>
          <w:sz w:val="14"/>
          <w:szCs w:val="14"/>
          <w:color w:val="auto"/>
        </w:rPr>
        <w:t>We also lease 277 acres to Granite Construction and 244 acres to Griffith Construction for the mining of rock and aggregate product that is used in construction of roads and bridges. The royalty revenues we receive under this arrangement are based upon the amount of product produced at these sites. The Granite site reached the end of its economic life and began restoration activities during</w:t>
      </w:r>
    </w:p>
    <w:p>
      <w:pPr>
        <w:spacing w:after="0" w:line="1"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2023. We also have a royalty arrangement with Granite Construction tied to 703 acres of land previously owned by the Company that began operations in 2021 and is now paying royalty payments, which will more than offset the payments that had been received from the old Granite site.</w:t>
      </w:r>
    </w:p>
    <w:p>
      <w:pPr>
        <w:spacing w:after="0" w:line="82" w:lineRule="exact"/>
        <w:rPr>
          <w:sz w:val="20"/>
          <w:szCs w:val="20"/>
          <w:color w:val="auto"/>
        </w:rPr>
      </w:pPr>
    </w:p>
    <w:p>
      <w:pPr>
        <w:ind w:right="460"/>
        <w:spacing w:after="0" w:line="287" w:lineRule="auto"/>
        <w:rPr>
          <w:sz w:val="20"/>
          <w:szCs w:val="20"/>
          <w:color w:val="auto"/>
        </w:rPr>
      </w:pPr>
      <w:r>
        <w:rPr>
          <w:rFonts w:ascii="Times New Roman" w:cs="Times New Roman" w:eastAsia="Times New Roman" w:hAnsi="Times New Roman"/>
          <w:sz w:val="14"/>
          <w:szCs w:val="14"/>
          <w:color w:val="auto"/>
        </w:rPr>
        <w:t>Water sales opportunities each year are impacted by rain and snowfall volume along with California State Water Project, or SWP, allocations. The current SWP allocation is at 30% of contract amounts with an expectation that the allocation may increase.</w:t>
      </w:r>
    </w:p>
    <w:p>
      <w:pPr>
        <w:spacing w:after="0" w:line="82" w:lineRule="exact"/>
        <w:rPr>
          <w:sz w:val="20"/>
          <w:szCs w:val="20"/>
          <w:color w:val="auto"/>
        </w:rPr>
      </w:pPr>
    </w:p>
    <w:p>
      <w:pPr>
        <w:jc w:val="both"/>
        <w:ind w:right="80"/>
        <w:spacing w:after="0" w:line="264" w:lineRule="auto"/>
        <w:rPr>
          <w:sz w:val="20"/>
          <w:szCs w:val="20"/>
          <w:color w:val="auto"/>
        </w:rPr>
      </w:pPr>
      <w:r>
        <w:rPr>
          <w:rFonts w:ascii="Times New Roman" w:cs="Times New Roman" w:eastAsia="Times New Roman" w:hAnsi="Times New Roman"/>
          <w:sz w:val="14"/>
          <w:szCs w:val="14"/>
          <w:color w:val="auto"/>
        </w:rPr>
        <w:t>In 2015, we entered into a water sale agreement with PEF, our current lessee under a power plant lease. PEF may purchase from us up to 3,500-acre feet of water per year through July 2030, with an option to extend the term. PEF is under no obligation to purchase water from us in any given year but is required to pay us an annual option payment equal to 30% of the maximum annual payment. The price of the water under the agreement is subject to 3% annual increases for the duration of the lease agreement. The Company's commitments to sell this water can be met through current water sources.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6EBF"/>
        </w:rPr>
        <w:t>Farming Operations</w:t>
      </w:r>
    </w:p>
    <w:p>
      <w:pPr>
        <w:spacing w:after="0" w:line="138"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In the San Joaquin Valley, we farm permanent crops including the following acreage: wine grapes— 1,036 (all in production); almonds—1,962 (1,350 in production and 612 under development); and pistachios—932 (all in production). We also have 150 acres of olives currently under development and plan to plant an additional 150 acres of olives in 2026 as part of our ongoing diversification efforts. We periodically lease 530 acres of land that is used for row crops which can also be used for the development of permanent crops, such as almonds.</w:t>
      </w:r>
    </w:p>
    <w:p>
      <w:pPr>
        <w:spacing w:after="0" w:line="5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Pricing for nut and grape crops is particularly sensitive to the size of each year’s world crop, prior year inventory carry forward, and demand for those crops. The almond industry's final projection for 2025 yields is about 2.7 billion pounds. This estimate along with a lower inventory carry forward helped to improve pricing for the 2025 crop year.</w:t>
      </w:r>
    </w:p>
    <w:p>
      <w:pPr>
        <w:spacing w:after="0" w:line="39"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Weather conditions directly affect tree and vine performance, particularly through the number of dormant or “chill” hours required for proper bud development and crop set. During the most recent growing season, we experienced sufficient chill hours and generally favorable, predictable weather patterns without significant unusual weather events. Unlike 2024, when extreme summer heat and late spring rains during grape bloom negatively impacted production and increased cultural costs due to higher mildew pressure. The ultimate impact of weather conditions on 2026 production, however, will not be fully known until the growing season progresses and harvest results are realized in the summer of 2026.</w:t>
      </w:r>
    </w:p>
    <w:p>
      <w:pPr>
        <w:spacing w:after="0" w:line="98"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Labor costs, both internal and through labor contractors, continue to increase and the Company expects this trend to continue over the foreseeable future. The Company utilizes external labor contractors, as necessary, for large projects, such as pruning and harvesting, as a way to manage our labor needs. From a broader inflationary standpoint, the Company is seeing and expects to continue to see an increase in production costs, most notably chemicals such as herbicides and pesticides, and fuel costs. Winter chill hour accumulation to date has been below historical averages, which may affect bloom timing and crop development. In addition, the Company’s pistachio orchards are expected to be in a down-bearing year, consistent with the crop’s natural alternate bearing cycle, which may result in lower production compared to the prior year. As with all specialty crops, final yields will depend on spring weather conditions, including the potential impact of late-season rains and wind during bloom. The Company believes that tighter industry inventories may help support commodity pricing, partially offsetting production variability.</w:t>
      </w:r>
    </w:p>
    <w:p>
      <w:pPr>
        <w:spacing w:after="0" w:line="103"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4"/>
          <w:szCs w:val="14"/>
          <w:color w:val="auto"/>
        </w:rPr>
        <w:t>Sales of our grape and pistachio crops typically occur in the third and fourth quarters of the calendar year. Sales of our almond crop also typically occur in the third and fourth quarters of the calendar year but can occur up to a year or more after the crop is harvested. In 2025, we sold 58% of our grape crop to one winery, 32% to a second winery and the remainder to one other customer. These sales are under contracts ranging from one to eight years, which provides revenue visibility and helps mitigate counterparty risk through multi-year contractual arrangements. In 2025, our almonds were sold to various commercial buyers, with the largest buyer accounting for 24% of our crop. We believe that we would not be adversely affected by the loss of any or all of these buyers, because of the markets for these commodities, the large number of buyers that would be available to us, and the fact that the prices for these commodities do not vary based on the identity of the buyer or the size of the contract.</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26" w:name="page27"/>
    <w:bookmarkEnd w:id="26"/>
    <w:p>
      <w:pPr>
        <w:spacing w:after="0" w:line="259" w:lineRule="auto"/>
        <w:rPr>
          <w:sz w:val="20"/>
          <w:szCs w:val="20"/>
          <w:color w:val="auto"/>
        </w:rPr>
      </w:pPr>
      <w:r>
        <w:rPr>
          <w:rFonts w:ascii="Times New Roman" w:cs="Times New Roman" w:eastAsia="Times New Roman" w:hAnsi="Times New Roman"/>
          <w:sz w:val="14"/>
          <w:szCs w:val="14"/>
          <w:color w:val="auto"/>
        </w:rPr>
        <w:t>At this time, the State Department of Water Resources has announced that the estimated water supply for 2026 will be at 30% of full entitlement. This allocation may change based upon precipitation and snowpack runoff in Northern California from additional potential winter storms. The current 30% allocation of SWP water is enough for us to farm our crops when combined with our other water sources. We have additional water resources, such as groundwater and surface sources, and those of the water districts we are in that allow us to have sufficient water for our farming needs. It is too early in the year to determine the impact of 2026 water supplies on 2026 California crop production for almonds, pistachios, and wine grapes. See discussion of water contract entitlement and long-term outlook for water supply under Item 2, “Properties.” Also see Note 6 (Long-Term Water Assets) of the Notes to Consolidated Financial Statements for additional information regarding our water assets.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6EBF"/>
        </w:rPr>
        <w:t>Ranch Operations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ranch operations segment consists of grazing lease revenues, game management revenues, land maintenance activities, and ancillary land uses, such as filming.</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Approximately 256,000 acres are used for two grazing leases, which account for 41% of total revenues from ranch operations at December 31, 2025.</w:t>
      </w:r>
    </w:p>
    <w:p>
      <w:pPr>
        <w:spacing w:after="0" w:line="189"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4"/>
          <w:szCs w:val="14"/>
          <w:color w:val="auto"/>
        </w:rPr>
        <w:t>Game management offers a wide variety of guided big game hunts, including trophy Rocky Mountain elk, deer, turkey and wild pig. We offer guided hunts and memberships for both the Spring and Fall hunting seasons and also have bird hunting memberships through the High Desert Hunt Club which operates out of the historic Beale Adobe.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the Ranch Operations segment manages, and includes the expenses for the upkeep, maintenance, and security, of all 270,000 acres of land.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6EBF"/>
        </w:rPr>
        <w:t>General Environmental Regulation</w:t>
      </w:r>
    </w:p>
    <w:p>
      <w:pPr>
        <w:spacing w:after="0" w:line="13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Our operations are subject to federal, state, and local environmental laws and regulations, including laws relating to water, air, solid waste, and hazardous substances. There can be no assurance that we will not incur costs, penalties, and liabilities, including those relating to claims for damages to property or natural resources, resulting from our operations. Environmental liabilities may also arise from claims asserted by adjacent landowners or other third parties. We also expect continued legislation and regulatory development in the area of climate change and GHG. It is unclear, as of this date, how any such developments will affect our business. Enactment of new environmental laws or regulations, or changes in existing laws or regulations or the interpretation of these laws or regulations, might require expenditures in the future. We historically have not had material environmental liabilities.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6EBF"/>
        </w:rPr>
        <w:t>Environmental Sustainability</w:t>
      </w:r>
    </w:p>
    <w:p>
      <w:pPr>
        <w:spacing w:after="0" w:line="2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Environmental stewardship and sustainability are core values at Tejon Ranch Co., along with quality, visionary innovation and development. The initiatives and objectives described below reflect our current plans and aspirations and are subject to change based on technological, regulatory, economic, and market conditions. There can be no assurance that such objectives will be achieved as currently contemplated or at all.</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Climate Change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maintains policies intended to both reduce its carbon footprint and proactively sequester, or capture and store carbon.</w:t>
      </w:r>
    </w:p>
    <w:p>
      <w:pPr>
        <w:spacing w:after="0" w:line="125" w:lineRule="exact"/>
        <w:rPr>
          <w:sz w:val="20"/>
          <w:szCs w:val="20"/>
          <w:color w:val="auto"/>
        </w:rPr>
      </w:pPr>
    </w:p>
    <w:p>
      <w:pPr>
        <w:ind w:left="520" w:right="160" w:hanging="260"/>
        <w:spacing w:after="0" w:line="270"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2008, the Company has voluntarily conserved 240,000 acres of its land covered by trees and other vegetation. An analysis conducted in 2020 for the Company by Dudek Environmental Services determined that this acreage effectively sequesters 3.3 million tons of carbon. That equals the volume of carbon produced in a single year by 2.5 million passenger vehicles, approximately 5% of California’s 2022 passenger vehicle fleet.</w:t>
      </w:r>
    </w:p>
    <w:p>
      <w:pPr>
        <w:spacing w:after="0" w:line="40" w:lineRule="exact"/>
        <w:rPr>
          <w:rFonts w:ascii="Times New Roman" w:cs="Times New Roman" w:eastAsia="Times New Roman" w:hAnsi="Times New Roman"/>
          <w:sz w:val="14"/>
          <w:szCs w:val="14"/>
          <w:color w:val="auto"/>
        </w:rPr>
      </w:pPr>
    </w:p>
    <w:p>
      <w:pPr>
        <w:ind w:left="520" w:right="20" w:hanging="260"/>
        <w:spacing w:after="0"/>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Solar power is used significantly within TRCC. For example, the Company installed a solar-covered parking structure at the Outlets at Tejon. The structure covers 1.85 acres and is projected to reduce by approximately 83% the outlet center’s electricity consumption needs for shared spaces and produce approximately 1,076,000-kilowatt hour, or kWh, of clean energy every year. In addition, the IKEA distribution center at TRCC features a 1.8 MW photovoltaic solar array covering 370,000 square feet of the warehouse’s rooftop. The system handles the power needs of IKEA’s distribution center and provides power to the electrical grid as well. Caterpillar’s distribution center in TRCC utilizes a ground-based solar array to reduce its energy usage. The Company also installed solar-covered parking structures at Terra Vista at Tejon. The structure covers 0.25 acres and is projected to reduce by approximately 100% Terra Vista's electricity consumption needs for shared spaces and produce approximately 223,000-kilowatt hour, or kWh, of clean energy every year.</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57" w:right="339" w:bottom="1440" w:gutter="0" w:footer="0" w:header="0"/>
        </w:sectPr>
      </w:pPr>
    </w:p>
    <w:bookmarkStart w:id="27" w:name="page28"/>
    <w:bookmarkEnd w:id="27"/>
    <w:p>
      <w:pPr>
        <w:ind w:left="520" w:right="40" w:hanging="260"/>
        <w:spacing w:after="0" w:line="270"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also leases land to Calpine Energy, a power generating company, which is completing the development of a 600-acre industrial-sized solar field. Located immediately adjacent to Calpine’s Pastoria Energy Facility, a natural gas and steam powered generating plant on leased land in the San Joaquin Valley portion of Tejon Ranch, the solar array is expected to produce approximately 100 MW of power once fully operational.</w:t>
      </w:r>
    </w:p>
    <w:p>
      <w:pPr>
        <w:spacing w:after="0" w:line="50" w:lineRule="exact"/>
        <w:rPr>
          <w:rFonts w:ascii="Times New Roman" w:cs="Times New Roman" w:eastAsia="Times New Roman" w:hAnsi="Times New Roman"/>
          <w:sz w:val="14"/>
          <w:szCs w:val="14"/>
          <w:color w:val="auto"/>
        </w:rPr>
      </w:pPr>
    </w:p>
    <w:p>
      <w:pPr>
        <w:ind w:left="520" w:right="260" w:hanging="260"/>
        <w:spacing w:after="0" w:line="287"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TRCC is important to the growth of electric vehicle usage, as it contains one of the largest Tesla Supercharger stations in the country. Combined, the west and east sides of TRCC contain nearly 100 superchargers. The facility is owned by the Company.</w:t>
      </w:r>
    </w:p>
    <w:p>
      <w:pPr>
        <w:spacing w:after="0" w:line="28" w:lineRule="exact"/>
        <w:rPr>
          <w:rFonts w:ascii="Times New Roman" w:cs="Times New Roman" w:eastAsia="Times New Roman" w:hAnsi="Times New Roman"/>
          <w:sz w:val="14"/>
          <w:szCs w:val="14"/>
          <w:color w:val="auto"/>
        </w:rPr>
      </w:pPr>
    </w:p>
    <w:p>
      <w:pPr>
        <w:ind w:left="520" w:hanging="260"/>
        <w:spacing w:after="0" w:line="244"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master planned mixed-use residential communities are designed with a jobs housing balance that will locate housing near employment centers, reducing commuting miles. Centennial is designed to include electric vehicles, through vehicle purchase incentives. Centennial development plans include approximately 23,000 EV charging locations within residential and commercial areas of the community, and support for the installation of an additional approximately 5,000 EV chargers within disadvantaged communities in the greater Los Angeles metropolitan area. In addition, approximately 100 EV chargers are planned at TRCC to support medium- and heavy-duty trucks. Centennial's development plans also include on-site renewable energy generation intended to supply approximately 50% of the community’s energy needs. Residential units at Centennial and Grapevine are planned to operate without natural gas service, while limited natural gas use may be permitted for certain essential commercial applications.</w:t>
      </w:r>
    </w:p>
    <w:p>
      <w:pPr>
        <w:spacing w:after="0" w:line="17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Grapevine, like Centennial, 50% or more of its energy supply is intended to be produced on site by renewable sources, and natural gas will not be installed in homes.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homes in MV will feature roof-top photovoltaic solar arrays and battery energy storage systems, where required by code.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Air Quality</w:t>
      </w:r>
    </w:p>
    <w:p>
      <w:pPr>
        <w:spacing w:after="0" w:line="117" w:lineRule="exact"/>
        <w:rPr>
          <w:sz w:val="20"/>
          <w:szCs w:val="20"/>
          <w:color w:val="auto"/>
        </w:rPr>
      </w:pPr>
    </w:p>
    <w:p>
      <w:pPr>
        <w:ind w:left="520" w:right="120" w:hanging="260"/>
        <w:spacing w:after="0" w:line="264"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contracted with the San Joaquin Valley Unified Air Pollution Control District, or SJVUAPCD, to pre-mitigate air emissions including GHG emissions related to the Company’s current development at TRCC-East and future development at MV and Grapevine. As part of this effort, in 2021, SJVUAPCD facilitated emissions reduction projects related to TRCC-East and identified measures to address projected future emissions for the full build-out of the project. Additionally, for the initial phase of development at MV, the Company has contributed funding to support the replacement of outdated agricultural engines, which is expected to reduce certain air emissions in the region.</w:t>
      </w:r>
    </w:p>
    <w:p>
      <w:pPr>
        <w:spacing w:after="0" w:line="87" w:lineRule="exact"/>
        <w:rPr>
          <w:rFonts w:ascii="Times New Roman" w:cs="Times New Roman" w:eastAsia="Times New Roman" w:hAnsi="Times New Roman"/>
          <w:sz w:val="14"/>
          <w:szCs w:val="14"/>
          <w:color w:val="auto"/>
        </w:rPr>
      </w:pPr>
    </w:p>
    <w:p>
      <w:pPr>
        <w:ind w:left="520" w:right="280" w:hanging="260"/>
        <w:spacing w:after="0" w:line="244" w:lineRule="auto"/>
        <w:tabs>
          <w:tab w:leader="none" w:pos="516" w:val="left"/>
        </w:tabs>
        <w:numPr>
          <w:ilvl w:val="0"/>
          <w:numId w:val="11"/>
        </w:numPr>
        <w:rPr>
          <w:rFonts w:ascii="Arial" w:cs="Arial" w:eastAsia="Arial" w:hAnsi="Arial"/>
          <w:sz w:val="17"/>
          <w:szCs w:val="17"/>
          <w:color w:val="auto"/>
        </w:rPr>
      </w:pPr>
      <w:r>
        <w:rPr>
          <w:rFonts w:ascii="Times New Roman" w:cs="Times New Roman" w:eastAsia="Times New Roman" w:hAnsi="Times New Roman"/>
          <w:sz w:val="14"/>
          <w:szCs w:val="14"/>
          <w:color w:val="auto"/>
        </w:rPr>
        <w:t>Two decades ago, the Company helped establish and has continued to support Valley Clean Air Now, or ValleyCAN, a non-profit, 501(c)(3) public charity that advances quantifiable and voluntary solutions addressing air pollution in California’s San Joaquin Valley, a region with some of the worst air quality and highest poverty levels in the United States. The Company continues to support ValleyCAN in its mission to improve public health and quality of life in disadvantaged communities located in the region.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Water Conservation</w:t>
      </w:r>
    </w:p>
    <w:p>
      <w:pPr>
        <w:spacing w:after="0" w:line="127" w:lineRule="exact"/>
        <w:rPr>
          <w:sz w:val="20"/>
          <w:szCs w:val="20"/>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TRCC-East, water used for irrigation purposes is reclaimed from the water treatment plant. Landscaping at the Outlets at Tejon consists of drought-tolerant, native planting material.</w:t>
      </w:r>
    </w:p>
    <w:p>
      <w:pPr>
        <w:spacing w:after="0" w:line="93" w:lineRule="exact"/>
        <w:rPr>
          <w:rFonts w:ascii="Times New Roman" w:cs="Times New Roman" w:eastAsia="Times New Roman" w:hAnsi="Times New Roman"/>
          <w:sz w:val="14"/>
          <w:szCs w:val="14"/>
          <w:color w:val="auto"/>
        </w:rPr>
      </w:pPr>
    </w:p>
    <w:p>
      <w:pPr>
        <w:ind w:left="520" w:right="100" w:hanging="260"/>
        <w:spacing w:after="0" w:line="287"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Company’s master planned, mixed-use residential communities will feature state-of-the-art water conservation measures, reclaimed water for irrigation, stormwater capture, and drought-tolerant landscaping.</w:t>
      </w:r>
    </w:p>
    <w:p>
      <w:pPr>
        <w:spacing w:after="0" w:line="39" w:lineRule="exact"/>
        <w:rPr>
          <w:rFonts w:ascii="Times New Roman" w:cs="Times New Roman" w:eastAsia="Times New Roman" w:hAnsi="Times New Roman"/>
          <w:sz w:val="14"/>
          <w:szCs w:val="14"/>
          <w:color w:val="auto"/>
        </w:rPr>
      </w:pPr>
    </w:p>
    <w:p>
      <w:pPr>
        <w:ind w:left="520" w:right="180" w:hanging="260"/>
        <w:spacing w:after="0" w:line="287"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agricultural operations utilize highly efficient automated and drip irrigation systems to water its orchards and vineyards. This allows for increased control and flexibility in crop irrigation as well as real-time monitoring.</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use water banks for water storage in the water basins in which we have operations which allows us to better manage our vital water resources more efficiently.</w:t>
      </w:r>
    </w:p>
    <w:p>
      <w:pPr>
        <w:spacing w:after="0" w:line="93" w:lineRule="exact"/>
        <w:rPr>
          <w:rFonts w:ascii="Times New Roman" w:cs="Times New Roman" w:eastAsia="Times New Roman" w:hAnsi="Times New Roman"/>
          <w:sz w:val="14"/>
          <w:szCs w:val="14"/>
          <w:color w:val="auto"/>
        </w:rPr>
      </w:pPr>
    </w:p>
    <w:p>
      <w:pPr>
        <w:ind w:left="520" w:right="180" w:hanging="260"/>
        <w:spacing w:after="0" w:line="287"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majority of the Company’s developed land, including farming, lies within the White Wolf Groundwater Subbasin (basin ID 5-022.18), which is considered a non-critically overdrafted basin and has a Groundwater Sustainability Plan (GSP) approved by the California Department of Water Resources.</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color w:val="006EBF"/>
        </w:rPr>
        <w:t>Customers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PEF power plant lease accounted for 9% of total revenues in 2025, 11% in 2024 and 11% in 2023. No other recurring customer represented 5% or more of our revenues in 2025, 2024 and 2023.</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6EBF"/>
        </w:rPr>
        <w:t>Organization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Tejon Ranch Co. is a Delaware corporation incorporated in 1987 to succeed the business operated as a California corporation since 1936.</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6EBF"/>
        </w:rPr>
        <w:t>Human Capital</w:t>
      </w:r>
    </w:p>
    <w:p>
      <w:pPr>
        <w:spacing w:after="0" w:line="138"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At December 31, 2025, we had 65 full-time employees and five part-time employees. We believe our employees are among our most important resources and are critical to our continued success. We focus significant attention on attracting and retaining talented and experienced individuals to manage and support our operations. To attract and retain top talent, we have designed our compensation and benefits programs to provide a balanced and effective reward structure. Our short and long-term incentive programs are aligned with key business objectives and are intended to motivate strong performance. Our employees are eligible for medical, dental and vision insurance, a 401(k) savings/retirement plan, employer-provided life and disability insurance and an array of voluntary benefits designed to meet individual needs. We have adopted a Compliance with State and Federal Statutes, Rules and Regulations Reporting Policy that applies to all of our employees. Its receipt and review by each employee are documented and verified quarterly. None of our employees are covered by a collective bargaining agreement.</w:t>
      </w:r>
    </w:p>
    <w:p>
      <w:pPr>
        <w:spacing w:after="0" w:line="103"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4"/>
          <w:szCs w:val="14"/>
          <w:color w:val="auto"/>
        </w:rPr>
        <w:t>Our policies are designed to promote fairness and equal opportunities within the Company. When attracting, developing and retaining talent, we seek individuals who hold varied experiences and viewpoints and embody our core values to create an inclusive culture and workplace that allows each employee to do their best work and drive our collective success. We believe that an experienced and varied workforce possesses a broader array of perspectives that businesses need to remain competitive in today’s economy. We maintain employment policies that comply with federal, state and local labor laws and promote a culture of respect. These policies set forth our goal to provide opportunities without discrimination or harassment on the basis of protected categories. All of our employees must adhere to a Code of Business Conduct and Ethics that sets standards for appropriate behavior, and all employees must also complete required internal training on respect in the workplace to further enhance our cultural behaviors.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6EBF"/>
        </w:rPr>
        <w:t>Reports</w:t>
      </w:r>
    </w:p>
    <w:p>
      <w:pPr>
        <w:spacing w:after="0" w:line="13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We make available, free of charge through our Internet website, www.tejonranch.com, our annual report on Form 10-K, quarterly reports on Form 10-Q, current reports on Form 8-K and amendments to these reports filed or to be furnished pursuant to Section 13(a) of the Securities Exchange Act of 1934, as amended, as soon as reasonably practicable after we electronically file such material with, or furnish it to the SEC. We also make available on our website our corporate governance guidelines, charters of our Board of Directors’ Committees (audit, compensation, nominating and corporate governance, and real estate), and our Code of Business Conduct and Ethics for Directors, Officers, and Employees. These items are also available in printed copy upon request. We intend to disclose in the future any amendments to our Code of Business Conduct and Ethics for Directors, Officers, and Employees, or waivers of such provisions granted to executive officers and directors, on the website within four business days following the date of such amendment or waiver. Any document we file with the SEC may be inspected, without charge, at the SEC’s website: http://www.sec.gov.</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6EBF"/>
        </w:rPr>
        <w:t>Information about our Executive Officers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shows each of our executive officers and the offices held as of March 19, 2026, the period the offices have been held, and the age of the executive officer.</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Name</w:t>
            </w:r>
          </w:p>
        </w:tc>
        <w:tc>
          <w:tcPr>
            <w:tcW w:w="56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Office</w:t>
            </w: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Held since</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Age</w:t>
            </w:r>
          </w:p>
        </w:tc>
      </w:tr>
      <w:tr>
        <w:trPr>
          <w:trHeight w:val="171"/>
        </w:trPr>
        <w:tc>
          <w:tcPr>
            <w:tcW w:w="2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Matthew Walker</w:t>
            </w:r>
          </w:p>
        </w:tc>
        <w:tc>
          <w:tcPr>
            <w:tcW w:w="100" w:type="dxa"/>
            <w:vAlign w:val="bottom"/>
            <w:tcBorders>
              <w:top w:val="single" w:sz="8" w:color="CCEEFF"/>
            </w:tcBorders>
            <w:shd w:val="clear" w:color="auto" w:fill="CCEEFF"/>
          </w:tcPr>
          <w:p>
            <w:pPr>
              <w:spacing w:after="0"/>
              <w:rPr>
                <w:sz w:val="14"/>
                <w:szCs w:val="14"/>
                <w:color w:val="auto"/>
              </w:rPr>
            </w:pPr>
          </w:p>
        </w:tc>
        <w:tc>
          <w:tcPr>
            <w:tcW w:w="5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President and Chief Executive Officer</w:t>
            </w:r>
          </w:p>
        </w:tc>
        <w:tc>
          <w:tcPr>
            <w:tcW w:w="80" w:type="dxa"/>
            <w:vAlign w:val="bottom"/>
            <w:tcBorders>
              <w:top w:val="single" w:sz="8" w:color="CCEEFF"/>
            </w:tcBorders>
            <w:shd w:val="clear" w:color="auto" w:fill="CCEEFF"/>
          </w:tcPr>
          <w:p>
            <w:pPr>
              <w:spacing w:after="0"/>
              <w:rPr>
                <w:sz w:val="14"/>
                <w:szCs w:val="14"/>
                <w:color w:val="auto"/>
              </w:rPr>
            </w:pPr>
          </w:p>
        </w:tc>
        <w:tc>
          <w:tcPr>
            <w:tcW w:w="1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55</w:t>
            </w:r>
          </w:p>
        </w:tc>
      </w:tr>
      <w:tr>
        <w:trPr>
          <w:trHeight w:val="180"/>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Hugh McMahon</w:t>
            </w:r>
          </w:p>
        </w:tc>
        <w:tc>
          <w:tcPr>
            <w:tcW w:w="56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Executive Vice President, Real Estate</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2014</w:t>
            </w:r>
          </w:p>
        </w:tc>
        <w:tc>
          <w:tcPr>
            <w:tcW w:w="12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59</w:t>
            </w:r>
          </w:p>
        </w:tc>
      </w:tr>
      <w:tr>
        <w:trPr>
          <w:trHeight w:val="138"/>
        </w:trPr>
        <w:tc>
          <w:tcPr>
            <w:tcW w:w="2540" w:type="dxa"/>
            <w:vAlign w:val="bottom"/>
            <w:gridSpan w:val="2"/>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Robert D. Velasquez</w:t>
            </w:r>
          </w:p>
        </w:tc>
        <w:tc>
          <w:tcPr>
            <w:tcW w:w="5680" w:type="dxa"/>
            <w:vAlign w:val="bottom"/>
            <w:gridSpan w:val="2"/>
            <w:shd w:val="clear" w:color="auto" w:fill="CCEEFF"/>
          </w:tcPr>
          <w:p>
            <w:pPr>
              <w:jc w:val="center"/>
              <w:ind w:right="80"/>
              <w:spacing w:after="0" w:line="138" w:lineRule="exact"/>
              <w:rPr>
                <w:sz w:val="20"/>
                <w:szCs w:val="20"/>
                <w:color w:val="auto"/>
              </w:rPr>
            </w:pPr>
            <w:r>
              <w:rPr>
                <w:rFonts w:ascii="Times New Roman" w:cs="Times New Roman" w:eastAsia="Times New Roman" w:hAnsi="Times New Roman"/>
                <w:sz w:val="14"/>
                <w:szCs w:val="14"/>
                <w:color w:val="auto"/>
              </w:rPr>
              <w:t>Senior Vice President, Chief Financial Officer &amp; Treasurer &amp; Chief Accounting Officer</w:t>
            </w:r>
          </w:p>
        </w:tc>
        <w:tc>
          <w:tcPr>
            <w:tcW w:w="1980" w:type="dxa"/>
            <w:vAlign w:val="bottom"/>
            <w:gridSpan w:val="2"/>
            <w:shd w:val="clear" w:color="auto" w:fill="CCEEFF"/>
          </w:tcPr>
          <w:p>
            <w:pPr>
              <w:jc w:val="center"/>
              <w:ind w:right="120"/>
              <w:spacing w:after="0" w:line="138" w:lineRule="exact"/>
              <w:rPr>
                <w:sz w:val="20"/>
                <w:szCs w:val="20"/>
                <w:color w:val="auto"/>
              </w:rPr>
            </w:pPr>
            <w:r>
              <w:rPr>
                <w:rFonts w:ascii="Times New Roman" w:cs="Times New Roman" w:eastAsia="Times New Roman" w:hAnsi="Times New Roman"/>
                <w:sz w:val="14"/>
                <w:szCs w:val="14"/>
                <w:color w:val="auto"/>
              </w:rPr>
              <w:t>CFO since 2025 CAO since</w:t>
            </w:r>
          </w:p>
        </w:tc>
        <w:tc>
          <w:tcPr>
            <w:tcW w:w="1000" w:type="dxa"/>
            <w:vAlign w:val="bottom"/>
            <w:shd w:val="clear" w:color="auto" w:fill="CCEEFF"/>
          </w:tcPr>
          <w:p>
            <w:pPr>
              <w:jc w:val="center"/>
              <w:spacing w:after="0" w:line="138" w:lineRule="exact"/>
              <w:rPr>
                <w:sz w:val="20"/>
                <w:szCs w:val="20"/>
                <w:color w:val="auto"/>
              </w:rPr>
            </w:pPr>
            <w:r>
              <w:rPr>
                <w:rFonts w:ascii="Times New Roman" w:cs="Times New Roman" w:eastAsia="Times New Roman" w:hAnsi="Times New Roman"/>
                <w:sz w:val="14"/>
                <w:szCs w:val="14"/>
                <w:color w:val="auto"/>
                <w:w w:val="99"/>
              </w:rPr>
              <w:t>59</w:t>
            </w:r>
          </w:p>
        </w:tc>
      </w:tr>
      <w:tr>
        <w:trPr>
          <w:trHeight w:val="191"/>
        </w:trPr>
        <w:tc>
          <w:tcPr>
            <w:tcW w:w="2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8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Michael R.W. Houston</w:t>
            </w:r>
          </w:p>
        </w:tc>
        <w:tc>
          <w:tcPr>
            <w:tcW w:w="56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Senior Vice President, General Counsel &amp; Secretary</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51</w:t>
            </w:r>
          </w:p>
        </w:tc>
      </w:tr>
    </w:tbl>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description of present and prior positions with us, and business experience is given below.</w:t>
      </w: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55" w:right="339" w:bottom="1440" w:gutter="0" w:footer="0" w:header="0"/>
        </w:sectPr>
      </w:pPr>
    </w:p>
    <w:bookmarkStart w:id="29" w:name="page30"/>
    <w:bookmarkEnd w:id="29"/>
    <w:p>
      <w:pPr>
        <w:ind w:right="60"/>
        <w:spacing w:after="0" w:line="264" w:lineRule="auto"/>
        <w:rPr>
          <w:sz w:val="20"/>
          <w:szCs w:val="20"/>
          <w:color w:val="auto"/>
        </w:rPr>
      </w:pPr>
      <w:r>
        <w:rPr>
          <w:rFonts w:ascii="Times New Roman" w:cs="Times New Roman" w:eastAsia="Times New Roman" w:hAnsi="Times New Roman"/>
          <w:sz w:val="14"/>
          <w:szCs w:val="14"/>
          <w:color w:val="auto"/>
        </w:rPr>
        <w:t>Mr. Walker joined the Company on March 6, 2025 as Chief Operating Officer, as previously announced. He succeeded Gregory S. Bielli, becoming President and Chief Executive Officer as of April 1, 2025. Prior to joining the Company, Mr. Walker served as Executive Vice President at Lowe, a private real estate company, overseeing the firm’s hospitality and resort community platform from 2000 to 2025. Prior to joining Lowe, Mr. Walker held positions at several architectural firms. Mr. Walker earned a Bachelor of Architecture from Cornell University and a Master of Business Administration from the UCLA Anderson School of Management.</w:t>
      </w:r>
    </w:p>
    <w:p>
      <w:pPr>
        <w:spacing w:after="0" w:line="98"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Mr. McMahon joined the Company in November 2001 as Director of Financial Analysis. In 2008, Mr. McMahon became Vice President of Commercial/Industrial Development and in December of 2014, was promoted to Senior Vice President of Commercial/Industrial Development and elected as an officer of the Company. In 2015, he was promoted to Executive Vice President. Mr. McMahon's title was subsequently changed in 2017 to Executive Vice President, Real Estate.</w:t>
      </w:r>
    </w:p>
    <w:p>
      <w:pPr>
        <w:spacing w:after="0" w:line="9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Mr. Velasquez joined the Company as Vice President of Finance in 2014. Mr. Velasquez's title was subsequently changed, in 2015, to Vice President of Finance and Chief Accounting Officer to more accurately describe the responsibilities of his office. In 2025, he was promoted to Chief Financial Officer. Prior to joining the Company, Mr. Velasquez served as an Executive Director at Ernst &amp; Young in their audit and assurance practice section. Mr. Velasquez worked with Ernst &amp; Young from 1999 through 2014. Mr. Velasquez holds a B.S. in Business Administration – Option: Accounting from California State University, Los Angeles. Mr. Velasquez is a Certified Public Accountant in the state of California. On January 1, 2018 he was promoted to Senior Vice President, Finance and Chief Accounting Officer. On January 1, 2019, he was appointed Chief Financial Officer and served in that role until March 2022. In 2022, he was given the title of Chief Accounting Officer. In July of 2025, he was appointed again to Chief Financial Officer and Treasurer.</w:t>
      </w:r>
    </w:p>
    <w:p>
      <w:pPr>
        <w:spacing w:after="0" w:line="10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4"/>
          <w:szCs w:val="14"/>
          <w:color w:val="auto"/>
        </w:rPr>
        <w:t>Mr. Houston rejoined the Company in August 2023 as Senior Vice President, General Counsel &amp; Secretary. Mr. Houston joined the Company in May 2016 as the Senior Vice President, General Counsel. In January 2021, Mr. Houston left the Company and worked with the Southern California Association of Governments, a metropolitan planning organization, as their Chief Counsel and Director of Legal Services. He previously worked for the City of Anaheim, where he served as City Attorney from 2013 through 2016. His background involves extensive experience in corporate governance, municipal law, real estate, land use and environmental issues. Prior to working for the City of Anaheim, he served as a partner for a Newport Beach, CA-based law firm of Cummins &amp; White from 2011 to 2013, and prior to that, was a partner at Rutan &amp; Tucker, LLP, Costa Mesa, CA.</w:t>
      </w:r>
    </w:p>
    <w:p>
      <w:pPr>
        <w:spacing w:after="0" w:line="9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4"/>
          <w:szCs w:val="14"/>
          <w:b w:val="1"/>
          <w:bCs w:val="1"/>
          <w:color w:val="006EBF"/>
        </w:rPr>
        <w:t>ITEM 1A.</w:t>
      </w:r>
      <w:r>
        <w:rPr>
          <w:sz w:val="20"/>
          <w:szCs w:val="20"/>
          <w:color w:val="auto"/>
        </w:rPr>
        <w:tab/>
      </w:r>
      <w:r>
        <w:rPr>
          <w:rFonts w:ascii="Times New Roman" w:cs="Times New Roman" w:eastAsia="Times New Roman" w:hAnsi="Times New Roman"/>
          <w:sz w:val="13"/>
          <w:szCs w:val="13"/>
          <w:b w:val="1"/>
          <w:bCs w:val="1"/>
          <w:color w:val="006EBF"/>
        </w:rPr>
        <w:t>RISK FACTORS</w:t>
      </w:r>
    </w:p>
    <w:p>
      <w:pPr>
        <w:spacing w:after="0" w:line="138"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The material risks and uncertainties described below make investing in our securities risky. If any of the following risks occur, our business, financial condition, results of operations or future prospects could be materially adversely affected. Our strategy, focused on more aggressive development of our land, involves significant risk and could result in operating losses. The risks that we describe in our public filings are not the only risks that we face. Additional risks and uncertainties not presently known to us, or that we currently consider immaterial, may materially adversely affect our business, financial condition, and results of operations. Moreover, some of the factors, events and contingencies discussed below may have occurred in the past, but the disclosures below are not representations as to whether or not the factors, events, or contingencies have occurred in the past, and instead reflect our beliefs and opinions as to the factors, events, or contingencies that could materially and adversely affect us in the future.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424242"/>
        </w:rPr>
        <w:t>STRATEGIC RISKS</w:t>
      </w:r>
    </w:p>
    <w:p>
      <w:pPr>
        <w:spacing w:after="0" w:line="188"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Strategic risk relates to the Company's future business plans and strategies, including the risks associated with the macro- and micro- environment in which we operate, the demand for our products and services, the success of investments in our real estate development, technology and public policy.</w:t>
      </w:r>
    </w:p>
    <w:p>
      <w:pPr>
        <w:spacing w:after="0" w:line="80"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Adverse changes in economic conditions in markets where we conduct our operations and where prospective purchasers of future homes and commercial spaces live could reduce the demand for our products and, as a result, could adversely affect our business, results of operations, and financial condition. </w:t>
      </w:r>
      <w:r>
        <w:rPr>
          <w:rFonts w:ascii="Times New Roman" w:cs="Times New Roman" w:eastAsia="Times New Roman" w:hAnsi="Times New Roman"/>
          <w:sz w:val="14"/>
          <w:szCs w:val="14"/>
          <w:color w:val="auto"/>
        </w:rPr>
        <w:t>Adverse changes in economic conditions in markets where we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conduct our operations and where prospective purchasers of our real estate products live have had and may in the future have a negative impact on our business. Adverse changes in employment levels, job growth, consumer confidence, interest rates, and population growth, or an oversupply of product for sale or lease may reduce demand, depress prices, and cause buyers to cancel their purchase agreements. This, in turn, could adversely affect our results of operations and financial condition. Additionally, increasing insurance costs, particularly in wildfire-prone areas such as California, may make homeownership and commercial property leasing less affordable for prospective buyers and tenants. Rising premiums or limited availability of fire insurance could further suppress demand and negatively impact property values, which, in turn, could adversely affect our results of operations and financial condition.</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57" w:right="339" w:bottom="1440" w:gutter="0" w:footer="0" w:header="0"/>
        </w:sectPr>
      </w:pPr>
    </w:p>
    <w:bookmarkStart w:id="30" w:name="page31"/>
    <w:bookmarkEnd w:id="30"/>
    <w:p>
      <w:pPr>
        <w:ind w:right="160"/>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Higher interest rates and lack of available financing can have significant impacts on the real estate industry. </w:t>
      </w:r>
      <w:r>
        <w:rPr>
          <w:rFonts w:ascii="Times New Roman" w:cs="Times New Roman" w:eastAsia="Times New Roman" w:hAnsi="Times New Roman"/>
          <w:sz w:val="14"/>
          <w:szCs w:val="14"/>
          <w:color w:val="auto"/>
        </w:rPr>
        <w:t>Higher interest rates generally impact the real estate industry by making it harder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for borrowers to qualify for financing, which can lead to a decrease in the demand for residential, commercial or industrial sites. Higher interest rates can also lead to tighter construction lending markets impacting the development of industrial buildings within our projects. Any decrease in demand will negatively impact our proposed developments. Lack of available credit to finance real estate purchases can also negatively impact demand. Any downturn in the economy or consumer confidence can also be expected to result in reduced housing demand and slower industrial development, which would negatively impact the demand for land we are developing.</w:t>
      </w:r>
    </w:p>
    <w:p>
      <w:pPr>
        <w:spacing w:after="0" w:line="97"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4"/>
          <w:szCs w:val="14"/>
          <w:b w:val="1"/>
          <w:bCs w:val="1"/>
          <w:color w:val="auto"/>
        </w:rPr>
        <w:t>We are subject to various land use regulations and require governmental approvals and permits for our developments that could be denied</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 planning and developing our land, we are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subject to various local, state, and federal statutes, ordinances, rules and regulations concerning zoning, infrastructure design, subdivision of land, and construction. All of our new developments currently require or have required amending existing general plan and zoning designations, so it is possible that our entitlement applications could be denied. In addition, the zoning that ultimately is approved could include density provisions that would limit density that could be built within the boundaries of a particular area, which could adversely impact the financial returns from a given project. Many states, cities and counties (including neighboring Ventura County) have in the past approved various “slow growth” or “urban limit line” measures. If that were to occur in the jurisdictions governing the Company’s land use, our future real estate development activities could be significantly adversely affected.</w:t>
      </w:r>
    </w:p>
    <w:p>
      <w:pPr>
        <w:spacing w:after="0" w:line="99"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4"/>
          <w:szCs w:val="14"/>
          <w:b w:val="1"/>
          <w:bCs w:val="1"/>
          <w:color w:val="auto"/>
        </w:rPr>
        <w:t>Third-party litigation increases the time and cost of our development efforts</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land use approval processes we must follow to ultimately develop our projects have become increasingly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complex. Moreover, the statutes, regulations and ordinances governing the approval processes provide third parties the opportunity to challenge the proposed plans and approvals, and we have repeatedly experienced such legal challenges related to our real estate development projects. As a result, the prospect and realization of third-party challenges to planned real estate developments provides additional uncertainties in real estate development planning and entitlements. Third-party challenges in the form of litigation have resulted in denial of the right to develop, and, by their nature, adversely affect the length of time and the cost required to obtain the necessary approvals, and may do so again in the future. In addition, adverse decisions arising from any litigation have increased and may again increase the costs and length of time to obtain ultimate approval of a project and could adversely affect the design, scope, plans and profitability of a project.</w:t>
      </w:r>
    </w:p>
    <w:p>
      <w:pPr>
        <w:spacing w:after="0" w:line="9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b w:val="1"/>
          <w:bCs w:val="1"/>
          <w:color w:val="auto"/>
        </w:rPr>
        <w:t>We are subject to environmental regulations and opposition from environmental groups that cause delays and increase the costs of our development efforts or preclude such development entirely</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Environmental laws that apply to a given site can vary greatly according to the site’s location and condition, present and former uses of the site, and the presence or absence of sensitive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elements like wetlands and endangered species. Federal and state environmental laws also govern the construction and operation of our projects and require compliance with various environmental regulations, including analysis of the environmental impact of our projects and evaluation of our reduction in the projects’ carbon footprint and GHG emissions. Environmental laws and conditions may result in delays, cause us to incur additional costs for compliance, mitigation and processing land use applications, or preclude development in specific areas. In addition, in California, third parties have the ability to file litigation challenging the approval of a project, which they usually do by alleging inadequate disclosure and mitigation of the environmental impacts of the project. Certain groups opposed to development have made clear they intend to oppose our projects vigorously, so litigation challenging their approval is expected and has, in the past, occurred. Currently, the Centennial entitlement approval has been opposed through litigation against the Company and Los Angeles County. The issues most commonly cited in opponents’ public comments include the poor air quality of the San Joaquin Valley air basin, potential impacts of projects on the California condor and other species of concern, the potential for our lands to function as wildlife movement corridors, potential impacts of our projects on traffic and air quality in Los Angeles County, GHG emissions, water availability and criticism of proposed development in rural areas as being “sprawl.” In addition, California has a specific statutory and regulatory scheme intended to reduce GHG emissions in the state and any efforts to enact federal legislation to address climate change concerns could require further reductions in our projects’ carbon footprint in the future.</w:t>
      </w:r>
    </w:p>
    <w:p>
      <w:pPr>
        <w:spacing w:after="0" w:line="104"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4"/>
          <w:szCs w:val="14"/>
          <w:b w:val="1"/>
          <w:bCs w:val="1"/>
          <w:color w:val="auto"/>
        </w:rPr>
        <w:t>Until final permits are received, litigation is complete, and final maps are received, we will have a limited inventory of real estate</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Each of our four current and planned real estate projects,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TRCC, Centennial, MV, and Grapevine involve obtaining various governmental agency permits, local government permits, such as building permits, overcoming litigation, and receiving final maps from local jurisdictions. A delay in achieving these items could lead to additional costs related to these developments and potentially lost opportunities for the sale of lots and parcels to developers and land users.</w:t>
      </w:r>
    </w:p>
    <w:p>
      <w:pPr>
        <w:spacing w:after="0" w:line="95"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4"/>
          <w:szCs w:val="14"/>
          <w:b w:val="1"/>
          <w:bCs w:val="1"/>
          <w:color w:val="auto"/>
        </w:rPr>
        <w:t>We are in competition with several other developments for customers and residents</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Within our real estate activities, we are in direct competition for customers with other industrial sites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Northern, Central, and Southern California. We are also in competition with other highway interchange locations using Interstate 5 and State Route 99 for commercial leasing opportunities. Once they receive all necessary permits and approvals, Centennial and Grapevine will ultimately compete with other residential housing options in the region, such as developments in the Santa Clarita Valley, Lancaster, Palmdale, and Bakersfield. MV will compete generally for discretionary dollars that consumers will allocate to recreation and second homes,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color w:val="auto"/>
        </w:rPr>
        <w:t>so its competition will include a greater area and range of projects. Intense competition may decrease our sales and negatively impact our operating results.</w:t>
      </w:r>
    </w:p>
    <w:p>
      <w:pPr>
        <w:spacing w:after="0" w:line="13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Increases in taxes or government fees could increase our cost, and adverse changes in tax laws could reduce demand for homes in our future residential communities. </w:t>
      </w:r>
      <w:r>
        <w:rPr>
          <w:rFonts w:ascii="Times New Roman" w:cs="Times New Roman" w:eastAsia="Times New Roman" w:hAnsi="Times New Roman"/>
          <w:sz w:val="14"/>
          <w:szCs w:val="14"/>
          <w:color w:val="auto"/>
        </w:rPr>
        <w:t>Increases in real estate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taxes and other local government fees, such as fees imposed on developers to fund schools, open space, and road improvements, could increase our costs and have an adverse effect on our operations. In addition, any changes to federal or state income tax laws that would reduce or eliminate tax deductions or incentives to homeowners, such as a change limiting the deductibility of real estate taxes or interest on home mortgages, could make housing less affordable or otherwise reduce the demand for housing, which in turn could reduce future sales.</w:t>
      </w:r>
    </w:p>
    <w:p>
      <w:pPr>
        <w:spacing w:after="0" w:line="9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4"/>
          <w:szCs w:val="14"/>
          <w:b w:val="1"/>
          <w:bCs w:val="1"/>
          <w:color w:val="auto"/>
        </w:rPr>
        <w:t>Our developable land is concentrated entirely in California</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All of our developable land is in California and our business is especially sensitive to the economic conditions within California.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adverse change in the economic climate of California, or our regions of that state, and any adverse change in the political or regulatory climate of California, or the counties where our land is located, could adversely affect our real estate development activities. Ultimately, our ability to sell or lease real estate may decline as a result of weak economic conditions or restrictive regulations.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and challenges we have faced and may continue to face in land development</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We have in the past and may in the future encounter other difficulties in developing our land, including:</w:t>
      </w:r>
    </w:p>
    <w:p>
      <w:pPr>
        <w:spacing w:after="0" w:line="85" w:lineRule="exact"/>
        <w:rPr>
          <w:sz w:val="20"/>
          <w:szCs w:val="20"/>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Difficulty in securing adequate water resources for future developments;</w:t>
      </w:r>
    </w:p>
    <w:p>
      <w:pPr>
        <w:spacing w:after="0" w:line="7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Natural risks, such as geological and soil problems, earthquakes, fire, heavy rains and flooding, and heavy winds;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Shortages of qualified trades people;</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Reliance on local contractors, who may be inadequately capitalized or have limited availability;</w:t>
      </w:r>
    </w:p>
    <w:p>
      <w:pPr>
        <w:spacing w:after="0" w:line="7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Shortages of materials; and</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Increases in the cost of materials, including as a result of tariffs or a trade war.</w:t>
      </w:r>
    </w:p>
    <w:p>
      <w:pPr>
        <w:spacing w:after="0" w:line="13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4"/>
          <w:szCs w:val="14"/>
          <w:b w:val="1"/>
          <w:bCs w:val="1"/>
          <w:color w:val="auto"/>
        </w:rPr>
        <w:t xml:space="preserve">A prolonged downturn in the real estate market or instability in the mortgage and commercial real estate financing industry could have an adverse effect on our real estate business. </w:t>
      </w:r>
      <w:r>
        <w:rPr>
          <w:rFonts w:ascii="Times New Roman" w:cs="Times New Roman" w:eastAsia="Times New Roman" w:hAnsi="Times New Roman"/>
          <w:sz w:val="14"/>
          <w:szCs w:val="14"/>
          <w:color w:val="auto"/>
        </w:rPr>
        <w:t>Our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residential housing projects, Centennial, MV, and Grapevine, are currently in the entitlement phase, permitting phase, or are fully entitled and waiting for development to begin. If a downturn in the real estate market or an instability in the mortgage and commercial real estate financing industry exists at the time these projects move into their development and marketing phases, our resort/residential business could be adversely affected. An excess supply of homes available due to foreclosures or the expectation of deflation in housing prices could also have a negative impact on our ability to sell our inventory when it becomes available. The inability of potential commercial/industrial clients to get adequate financing for the expansion of their businesses could lead to reduced lease revenues and sales of land within our industrial development.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424242"/>
        </w:rPr>
        <w:t>OPERATIONAL RISKS</w:t>
      </w:r>
    </w:p>
    <w:p>
      <w:pPr>
        <w:spacing w:after="0" w:line="124"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Operational risk relates to risks arising from external market factors that affect the operation of our businesses. It includes weather and other natural conditions; regulatory requirements; information management and data protection and security, including cybersecurity; supply chain and business disruption; and other risks, including human resources and reputation.</w:t>
      </w:r>
    </w:p>
    <w:p>
      <w:pPr>
        <w:spacing w:after="0" w:line="80" w:lineRule="exact"/>
        <w:rPr>
          <w:sz w:val="20"/>
          <w:szCs w:val="20"/>
          <w:color w:val="auto"/>
        </w:rPr>
      </w:pPr>
    </w:p>
    <w:p>
      <w:pPr>
        <w:ind w:right="280"/>
        <w:spacing w:after="0" w:line="290" w:lineRule="auto"/>
        <w:rPr>
          <w:sz w:val="20"/>
          <w:szCs w:val="20"/>
          <w:color w:val="auto"/>
        </w:rPr>
      </w:pPr>
      <w:r>
        <w:rPr>
          <w:rFonts w:ascii="Times New Roman" w:cs="Times New Roman" w:eastAsia="Times New Roman" w:hAnsi="Times New Roman"/>
          <w:sz w:val="14"/>
          <w:szCs w:val="14"/>
          <w:b w:val="1"/>
          <w:bCs w:val="1"/>
          <w:color w:val="auto"/>
        </w:rPr>
        <w:t>We are involved in a cyclical industry and are affected by changes in general and local economic conditions</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real estate development industry is cyclical and is significantly affected by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changes in general and local economic conditions, including:</w:t>
      </w:r>
    </w:p>
    <w:p>
      <w:pPr>
        <w:spacing w:after="0" w:line="80" w:lineRule="exact"/>
        <w:rPr>
          <w:sz w:val="20"/>
          <w:szCs w:val="20"/>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Employment levels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Availability of financing and insurance</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rates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Consumer confidence</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Demand for the developed product, whether residential or commercial</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Supply of similar product, whether residential or commercial</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Climate and weather conditions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57" w:right="339" w:bottom="1440" w:gutter="0" w:footer="0" w:header="0"/>
        </w:sectPr>
      </w:pPr>
    </w:p>
    <w:bookmarkStart w:id="32" w:name="page33"/>
    <w:bookmarkEnd w:id="32"/>
    <w:p>
      <w:pPr>
        <w:ind w:right="300"/>
        <w:spacing w:after="0" w:line="270" w:lineRule="auto"/>
        <w:rPr>
          <w:sz w:val="20"/>
          <w:szCs w:val="20"/>
          <w:color w:val="auto"/>
        </w:rPr>
      </w:pPr>
      <w:r>
        <w:rPr>
          <w:rFonts w:ascii="Times New Roman" w:cs="Times New Roman" w:eastAsia="Times New Roman" w:hAnsi="Times New Roman"/>
          <w:sz w:val="14"/>
          <w:szCs w:val="14"/>
          <w:color w:val="auto"/>
        </w:rPr>
        <w:t>The process of a project's development begins, and financial and other resources are committed long before a real estate project comes to market, which could occur at a time when the real estate market is depressed. It is also possible in a rural area like ours that no market for the project will develop as projected. Farming, energy and mineral resources are also subject to business cycles and/or seasonality that could have a material impact to the business.</w:t>
      </w:r>
    </w:p>
    <w:p>
      <w:pPr>
        <w:spacing w:after="0" w:line="91"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The inability of a tenant to pay us rent adversely affects our business. </w:t>
      </w:r>
      <w:r>
        <w:rPr>
          <w:rFonts w:ascii="Times New Roman" w:cs="Times New Roman" w:eastAsia="Times New Roman" w:hAnsi="Times New Roman"/>
          <w:sz w:val="14"/>
          <w:szCs w:val="14"/>
          <w:color w:val="auto"/>
        </w:rPr>
        <w:t>Our commercial revenues are derived primarily from rental payments and reimbursement of operating expenses under our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leases. If our tenants fail to make rental payments under their leases, or negotiate lower rates or extended payment terms, our financial condition and cash flows have been and could again be adversely affected.</w:t>
      </w:r>
    </w:p>
    <w:p>
      <w:pPr>
        <w:spacing w:after="0" w:line="9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4"/>
          <w:szCs w:val="14"/>
          <w:b w:val="1"/>
          <w:bCs w:val="1"/>
          <w:color w:val="auto"/>
        </w:rPr>
        <w:t xml:space="preserve">Our inability to renew leases or re-lease space on favorable terms as leases expire may significantly affect our business. </w:t>
      </w:r>
      <w:r>
        <w:rPr>
          <w:rFonts w:ascii="Times New Roman" w:cs="Times New Roman" w:eastAsia="Times New Roman" w:hAnsi="Times New Roman"/>
          <w:sz w:val="14"/>
          <w:szCs w:val="14"/>
          <w:color w:val="auto"/>
        </w:rPr>
        <w:t>Some of our revenues are derived from rental payments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reimbursement of operating expenses under our leases. If a tenant experiences a downturn in its business or other types of financial distress, it may be unable to make timely payments under its lease. Also, if our tenants terminate early or decide not to renew their leases, we may not be able to re-lease the space. Even if tenants decide to renew or lease space, the terms of renewals or new leases, including the cost of any tenant improvements, concessions, and lease commissions, may be less favorable to us than current lease terms. Consequently, we could generate less cash flow from the affected properties than expected, which could negatively impact our business. We may have to divert cash flow generated by other properties to meet our debt service payments, if any, or to pay other expenses related to owning the affected properties.</w:t>
      </w:r>
    </w:p>
    <w:p>
      <w:pPr>
        <w:spacing w:after="0" w:line="9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We may experience increased operating costs, which may reduce profitability to the extent that we are unable to pass those costs on to tenants. </w:t>
      </w:r>
      <w:r>
        <w:rPr>
          <w:rFonts w:ascii="Times New Roman" w:cs="Times New Roman" w:eastAsia="Times New Roman" w:hAnsi="Times New Roman"/>
          <w:sz w:val="14"/>
          <w:szCs w:val="14"/>
          <w:color w:val="auto"/>
        </w:rPr>
        <w:t>Our properties are subject to increases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operating expenses, including insurance, property taxes, utilities, administrative costs, and other costs associated with security, landscaping, and repairs and maintenance of our properties. We cannot be certain that our tenants will be able to bear the full burden of costs, such as real estate taxes, insurance, utilities, common area and other expenses that we pass along through our leases, or that such increased costs will not lead them, or other prospective tenants, to seek space elsewhere. If operating expenses increase, the availability of other comparable space in the markets in which we operate may hinder or limit our ability to increase our rents. If operating expenses increase without a corresponding increase in revenues, our profitability would diminish.</w:t>
      </w:r>
    </w:p>
    <w:p>
      <w:pPr>
        <w:spacing w:after="0" w:line="97"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From time to time, we experience shortages or increased costs of labor and supplies or other circumstances beyond our control that cause delays or increased costs within our commercial development, which can adversely affect our operating results. </w:t>
      </w:r>
      <w:r>
        <w:rPr>
          <w:rFonts w:ascii="Times New Roman" w:cs="Times New Roman" w:eastAsia="Times New Roman" w:hAnsi="Times New Roman"/>
          <w:sz w:val="14"/>
          <w:szCs w:val="14"/>
          <w:color w:val="auto"/>
        </w:rPr>
        <w:t>Our ability to develop our current industrial development has in the past and may in the future be adversely affected by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circumstances beyond our control, including: work stoppages, labor disputes and shortages of qualified trades people; changes in laws relating to union organizing activity; and shortages, delays in availability, or fluctuations in prices of building materials (including as a result of inflation or tariffs). Any of these circumstances could give rise to delays in the start or completion of, or could increase the cost of, developing infrastructure and buildings within our industrial development. If any of the above happens, our operating results could be harmed.</w:t>
      </w:r>
    </w:p>
    <w:p>
      <w:pPr>
        <w:spacing w:after="0" w:line="97" w:lineRule="exact"/>
        <w:rPr>
          <w:sz w:val="20"/>
          <w:szCs w:val="20"/>
          <w:color w:val="auto"/>
        </w:rPr>
      </w:pPr>
    </w:p>
    <w:p>
      <w:pPr>
        <w:jc w:val="both"/>
        <w:ind w:right="60"/>
        <w:spacing w:after="0" w:line="271" w:lineRule="auto"/>
        <w:rPr>
          <w:sz w:val="20"/>
          <w:szCs w:val="20"/>
          <w:color w:val="auto"/>
        </w:rPr>
      </w:pPr>
      <w:r>
        <w:rPr>
          <w:rFonts w:ascii="Times New Roman" w:cs="Times New Roman" w:eastAsia="Times New Roman" w:hAnsi="Times New Roman"/>
          <w:sz w:val="14"/>
          <w:szCs w:val="14"/>
          <w:b w:val="1"/>
          <w:bCs w:val="1"/>
          <w:color w:val="auto"/>
        </w:rPr>
        <w:t>We are dependent on key personnel and the loss of one or more of those key personnel may materially and adversely affect our prospects</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Our future success depends, to a significant degree,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on the efforts of our senior management. The loss of key personnel could materially and adversely affect our results of operations, financial condition, or our ability to pursue land development. Our success will also depend in part on our ability to attract and retain additional qualified management personnel.</w:t>
      </w:r>
    </w:p>
    <w:p>
      <w:pPr>
        <w:spacing w:after="0" w:line="9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4"/>
          <w:szCs w:val="14"/>
          <w:b w:val="1"/>
          <w:bCs w:val="1"/>
          <w:color w:val="auto"/>
        </w:rPr>
        <w:t xml:space="preserve">Volatile oil and natural gas prices could adversely affect our cash flows and results of operations. </w:t>
      </w:r>
      <w:r>
        <w:rPr>
          <w:rFonts w:ascii="Times New Roman" w:cs="Times New Roman" w:eastAsia="Times New Roman" w:hAnsi="Times New Roman"/>
          <w:sz w:val="14"/>
          <w:szCs w:val="14"/>
          <w:color w:val="auto"/>
        </w:rPr>
        <w:t>Our cash flows and results of operations are dependent in part on oil and natural gas prices,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which are volatile. Oil and natural gas prices also impact the amount we receive for our mineral leases. Moreover, oil and natural gas prices depend on factors we cannot control, such as: changes in foreign and domestic supply and demand for oil and natural gas; weather; political conditions in other oil-producing countries, including the possibilities of insurgency or war in such areas; prices of foreign exports; domestic and international drilling activity and related policies; price and availability of alternate fuel sources; the value of the U.S. dollar relative to other major currencies; the level and effect of trading in commodity markets; and the effect of worldwide energy conservation measures and governmental regulations. Substantial or extended decline in the price of oil and gas, future natural gas, or crude oil price could have a negative impact on our business, liquidity, financial condition and results of operations.</w:t>
      </w:r>
    </w:p>
    <w:p>
      <w:pPr>
        <w:spacing w:after="0" w:line="99" w:lineRule="exact"/>
        <w:rPr>
          <w:sz w:val="20"/>
          <w:szCs w:val="20"/>
          <w:color w:val="auto"/>
        </w:rPr>
      </w:pPr>
    </w:p>
    <w:p>
      <w:pPr>
        <w:ind w:right="20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Our reserves and production will decline from their current levels. </w:t>
      </w:r>
      <w:r>
        <w:rPr>
          <w:rFonts w:ascii="Times New Roman" w:cs="Times New Roman" w:eastAsia="Times New Roman" w:hAnsi="Times New Roman"/>
          <w:sz w:val="14"/>
          <w:szCs w:val="14"/>
          <w:color w:val="auto"/>
        </w:rPr>
        <w:t>The rate of production from oil, natural gas, and mining properties generally decline as reserves are depleted. Any decline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production or reserves could materially and adversely affect our future cash flow, liquidity and results of operations.</w:t>
      </w:r>
    </w:p>
    <w:p>
      <w:pPr>
        <w:spacing w:after="0" w:line="78" w:lineRule="exact"/>
        <w:rPr>
          <w:sz w:val="20"/>
          <w:szCs w:val="20"/>
          <w:color w:val="auto"/>
        </w:rPr>
      </w:pPr>
    </w:p>
    <w:p>
      <w:pPr>
        <w:ind w:right="24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Water delivery and water availability continues to be a long-term concern within California. </w:t>
      </w:r>
      <w:r>
        <w:rPr>
          <w:rFonts w:ascii="Times New Roman" w:cs="Times New Roman" w:eastAsia="Times New Roman" w:hAnsi="Times New Roman"/>
          <w:sz w:val="14"/>
          <w:szCs w:val="14"/>
          <w:color w:val="auto"/>
        </w:rPr>
        <w:t>Any limitation of delivery of SWP water, limitations on our ability to move our water resources,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the absence of available, reliable alternatives during</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7"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color w:val="auto"/>
        </w:rPr>
        <w:t>drought periods could potentially cause permanent damage to orchards and vineyards and possibly impact future development opportunities.</w:t>
      </w:r>
    </w:p>
    <w:p>
      <w:pPr>
        <w:spacing w:after="0" w:line="13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Our future revenue and profitability related to our water resources will primarily be dependent on our ability to acquire and sell water assets. In light of the fact that our water resources represent a portion of our overall business at present, our long-term profitability will be affected by various factors, including the availability and timing of water resource acquisitions, regulatory approvals and permits associated with such acquisitions, transportation arrangements, and changing technology. We may also encounter unforeseen technical or other difficulties, which could result in cost increases with respect to our water resources. Moreover, our profitability is significantly affected by changes in the market price of water. Future sales and prices of water may fluctuate widely as demand is affected by climatic, economic, demographic and technological factors, as well as the relative strength of the residential, commercial, financial, and industrial real estate markets. The factors described above are not within our control.</w:t>
      </w:r>
    </w:p>
    <w:p>
      <w:pPr>
        <w:spacing w:after="0" w:line="10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4"/>
          <w:szCs w:val="14"/>
          <w:b w:val="1"/>
          <w:bCs w:val="1"/>
          <w:color w:val="auto"/>
        </w:rPr>
        <w:t xml:space="preserve">Natural and man-made disasters, public health crises, political instability, global conflicts, including trade wars, and other potentially catastrophic events may have an adverse impact on our business and operating results and could decrease the value of our assets. </w:t>
      </w:r>
      <w:r>
        <w:rPr>
          <w:rFonts w:ascii="Times New Roman" w:cs="Times New Roman" w:eastAsia="Times New Roman" w:hAnsi="Times New Roman"/>
          <w:sz w:val="14"/>
          <w:szCs w:val="14"/>
          <w:color w:val="auto"/>
        </w:rPr>
        <w:t>Natural and man-made disasters, public health crises, political instability, and other potentially catastrophic events,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including terrorist attacks, particularly those that may cause a decline in global economic activity, could have a material adverse impact on our business, our operating results, and the market price of our common stock. Catastrophic events occurring in California, the United States, or globally may result in declining economic activity, which could reduce the demand for, and the value of, our properties. To the extent that catastrophic events impact our tenants, their businesses similarly could be adversely affected, including their ability to continue to honor their lease obligations. Disruptions to the global economy can also impact demand for, and the prices of our products, which could adversely affect our future cash flow and results of operations.</w:t>
      </w:r>
    </w:p>
    <w:p>
      <w:pPr>
        <w:spacing w:after="0" w:line="9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Information technology failures and data security breaches could harm our business. </w:t>
      </w:r>
      <w:r>
        <w:rPr>
          <w:rFonts w:ascii="Times New Roman" w:cs="Times New Roman" w:eastAsia="Times New Roman" w:hAnsi="Times New Roman"/>
          <w:sz w:val="14"/>
          <w:szCs w:val="14"/>
          <w:color w:val="auto"/>
        </w:rPr>
        <w:t>We use information technology and other computer resources to carry out important operational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marketing activities and to maintain our business records. These information technology systems are dependent upon global communications providers, web browsers, telephone systems and other aspects of the internet infrastructure that have experienced security breaches, cyber-attacks, significant systems failures and electrical outages in the past. A material network breach in the security of our information technology systems could include the theft of customer, employee or Company data. The release of confidential information as a result of a security breach may also lead to litigation or other proceedings against us by affected individuals or business partners, or by regulators, and the outcome of such proceedings, which could include penalties or fines, could have a significant negative impact on our business. We may also be required to incur significant costs to protect against damages caused by these information technology failures or security breaches in the future. However, we cannot provide assurance that a security breach, cyber-attack, data theft or other significant systems failure will not occur in the future, and such occurrences could have a material and adverse effect on our consolidated results of operations or financial position.</w:t>
      </w:r>
    </w:p>
    <w:p>
      <w:pPr>
        <w:spacing w:after="0" w:line="10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b w:val="1"/>
          <w:bCs w:val="1"/>
          <w:color w:val="auto"/>
        </w:rPr>
        <w:t xml:space="preserve">Increased cybersecurity requirements, vulnerabilities, threats and more sophisticated and targeted computer crime could pose a risk to our systems, networks, products, solutions, services and data. </w:t>
      </w:r>
      <w:r>
        <w:rPr>
          <w:rFonts w:ascii="Times New Roman" w:cs="Times New Roman" w:eastAsia="Times New Roman" w:hAnsi="Times New Roman"/>
          <w:sz w:val="14"/>
          <w:szCs w:val="14"/>
          <w:color w:val="auto"/>
        </w:rPr>
        <w:t>Increased global cybersecurity vulnerabilities, threats and more sophisticated and targeted cyber-related attacks pose a risk to our security and our customers', partners', suppliers' and third-party service providers' products, systems and networks and the confidentiality, availability and integrity of the data. We remain potentially vulnerable to additional known or unknown threats despite our attempts to mitigate these risks. We also may have access to sensitive, confidential or personal data or information that is subject to privacy and security laws, regulations or customer-imposed controls. Our efforts to protect sensitive, confidential or personal data or information, may nonetheless leave us vulnerable to material security breaches, theft, misplaced or lost data, programming errors, employee errors and/or malfeasance that could potentially lead to the compromising of sensitive, confidential or personal data or information, improper use of our systems, software solutions or networks, unauthorized access, use, disclosure, modification or destruction of information, production downtimes and operational disruptions. In addition, a cyber-related attack could result in other negative consequences, including damage to our reputation or competitiveness, remediation or increased protection costs, litigation or regulatory action. Additionally, violations of privacy or cybersecurity laws (including the California Consumer Privacy Act), regulations or standards increasingly lead to class-action and other types of litigation, which can result in substantial monetary judgments or settlements. Therefore, any such security breaches could have a material adverse effect on us.</w:t>
      </w:r>
    </w:p>
    <w:p>
      <w:pPr>
        <w:spacing w:after="0" w:line="101"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Inflation can have a significant adverse effect on our operations. </w:t>
      </w:r>
      <w:r>
        <w:rPr>
          <w:rFonts w:ascii="Times New Roman" w:cs="Times New Roman" w:eastAsia="Times New Roman" w:hAnsi="Times New Roman"/>
          <w:sz w:val="14"/>
          <w:szCs w:val="14"/>
          <w:color w:val="auto"/>
        </w:rPr>
        <w:t>Inflation can have a major impact on our farming operations. The farming operations are most affected by escalating costs,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unpredictable revenues and very high irrigation water costs. High fixed water costs related to our farmlands will continue to adversely affect earnings. Prices received for many of our products are dependent upon prevailing market conditions and commodity prices. Therefore, it is difficult for us to accurately predict revenue, just as we cannot pass on cost increases caused by general inflation, except to the extent reflected in market conditions and commodity prices.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57" w:right="339" w:bottom="1440" w:gutter="0" w:footer="0" w:header="0"/>
        </w:sectPr>
      </w:pPr>
    </w:p>
    <w:bookmarkStart w:id="34" w:name="page35"/>
    <w:bookmarkEnd w:id="34"/>
    <w:p>
      <w:pPr>
        <w:ind w:right="60"/>
        <w:spacing w:after="0" w:line="287" w:lineRule="auto"/>
        <w:rPr>
          <w:sz w:val="20"/>
          <w:szCs w:val="20"/>
          <w:color w:val="auto"/>
        </w:rPr>
      </w:pPr>
      <w:r>
        <w:rPr>
          <w:rFonts w:ascii="Times New Roman" w:cs="Times New Roman" w:eastAsia="Times New Roman" w:hAnsi="Times New Roman"/>
          <w:sz w:val="14"/>
          <w:szCs w:val="14"/>
          <w:color w:val="auto"/>
        </w:rPr>
        <w:t>Inflation can adversely impact our real estate operations, by increasing costs of material and labor, as well as the cost of capital, which can impact operating margins. In an inflationary environment, we may not be able to increase prices at the same pace as the increase in inflation, which would further erode operating margins.</w:t>
      </w:r>
    </w:p>
    <w:p>
      <w:pPr>
        <w:spacing w:after="0" w:line="80"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4"/>
          <w:szCs w:val="14"/>
          <w:b w:val="1"/>
          <w:bCs w:val="1"/>
          <w:color w:val="auto"/>
        </w:rPr>
        <w:t xml:space="preserve">Government policies and regulations, particularly those affecting the agricultural sector and related industries, could adversely affect our operations and profitability. </w:t>
      </w:r>
      <w:r>
        <w:rPr>
          <w:rFonts w:ascii="Times New Roman" w:cs="Times New Roman" w:eastAsia="Times New Roman" w:hAnsi="Times New Roman"/>
          <w:sz w:val="14"/>
          <w:szCs w:val="14"/>
          <w:color w:val="auto"/>
        </w:rPr>
        <w:t>Agricultural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commodity production and trade flows are significantly affected by government policies and regulations. Governmental policies affecting the agricultural industry, such as taxes, trade tariffs, duties, subsidies, import and export restrictions on commodities and commodity products, can influence industry profitability, the planting of certain crops, the location and size of crop production, whether unprocessed or processed commodity products are traded, and the volume and types of imports and exports. In addition, international trade disputes can adversely affect trade flows by limiting or disrupting trade between countries or regions. Future governmental policies, regulations or actions affecting our industry may adversely affect the supply of, demand for and prices of our products, restrict our ability to do business and cause our financial results to suffer.</w:t>
      </w:r>
    </w:p>
    <w:p>
      <w:pPr>
        <w:spacing w:after="0" w:line="99"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Our efforts, goals and disclosures related to environmental stewardship and sustainability matters expose us to risks that can adversely affect our reputation and performance. </w:t>
      </w:r>
      <w:r>
        <w:rPr>
          <w:rFonts w:ascii="Times New Roman" w:cs="Times New Roman" w:eastAsia="Times New Roman" w:hAnsi="Times New Roman"/>
          <w:sz w:val="14"/>
          <w:szCs w:val="14"/>
          <w:color w:val="auto"/>
        </w:rPr>
        <w:t>Our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commitment to sustainability with respect to climate change, air quality, and water conservation reflect our current plans and aspirations and are not guarantees that we will be able to achieve our goals. Such plans and aspirations may also fail to satisfy all of our stakeholders, as they reflect a variety of views that may support or disagree with these initiatives. Our pursuit of, or our failure or perceived failure to achieve, these goals and objectives on a timely basis, or at all, could adversely affect our reputation, stock price, operations, financial performance and growth, and expose us to increased scrutiny from the investment community, as well as enforcement authorities.</w:t>
      </w:r>
    </w:p>
    <w:p>
      <w:pPr>
        <w:spacing w:after="0" w:line="97"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Our multifamily development, Terra Vista at Tejon, is in its initial lease-up phase and may not achieve anticipated occupancy levels or rental rates. </w:t>
      </w:r>
      <w:r>
        <w:rPr>
          <w:rFonts w:ascii="Times New Roman" w:cs="Times New Roman" w:eastAsia="Times New Roman" w:hAnsi="Times New Roman"/>
          <w:sz w:val="14"/>
          <w:szCs w:val="14"/>
          <w:color w:val="auto"/>
        </w:rPr>
        <w:t>Terra Vista at Tejon, our 228-unit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multifamily community completed in 2025, is currently in its initial lease-up phase and has not yet reached stabilized occupancy. During lease-up, operating expenses are generally incurred at levels consistent with stabilized operations, while rental revenues increase gradually as occupancy builds. As a result, the property may generate operating losses until stabilization is achieved.</w:t>
      </w:r>
    </w:p>
    <w:p>
      <w:pPr>
        <w:spacing w:after="0" w:line="157" w:lineRule="exact"/>
        <w:rPr>
          <w:sz w:val="20"/>
          <w:szCs w:val="20"/>
          <w:color w:val="auto"/>
        </w:rPr>
      </w:pPr>
    </w:p>
    <w:p>
      <w:pPr>
        <w:jc w:val="both"/>
        <w:ind w:right="180"/>
        <w:spacing w:after="0" w:line="270" w:lineRule="auto"/>
        <w:rPr>
          <w:sz w:val="20"/>
          <w:szCs w:val="20"/>
          <w:color w:val="auto"/>
        </w:rPr>
      </w:pPr>
      <w:r>
        <w:rPr>
          <w:rFonts w:ascii="Times New Roman" w:cs="Times New Roman" w:eastAsia="Times New Roman" w:hAnsi="Times New Roman"/>
          <w:sz w:val="14"/>
          <w:szCs w:val="14"/>
          <w:color w:val="auto"/>
        </w:rPr>
        <w:t>There can be no assurance that Terra Vista will achieve anticipated occupancy levels, rental rates, or absorption timelines. Demand for rental housing in the greater Bakersfield submarkets may be affected by local employment conditions, competing supply, affordability of homeownership, broader economic conditions, and insurance costs in California. If lease-up occurs more slowly than expected, if rental rates are lower than projected, or if concessions are required to attract tenants, the project’s operating results and cash flows could be adversely affected.</w:t>
      </w:r>
    </w:p>
    <w:p>
      <w:pPr>
        <w:spacing w:after="0" w:line="155"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Reliance on third-party property managers could adversely affect property operations and financial performance. </w:t>
      </w:r>
      <w:r>
        <w:rPr>
          <w:rFonts w:ascii="Times New Roman" w:cs="Times New Roman" w:eastAsia="Times New Roman" w:hAnsi="Times New Roman"/>
          <w:sz w:val="14"/>
          <w:szCs w:val="14"/>
          <w:color w:val="auto"/>
        </w:rPr>
        <w:t>We rely on third-party property managers to conduct the day-to-day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operations, leasing, and maintenance of our multifamily development. As a result, our ability to maintain occupancy levels, achieve targeted rental rates, control operating expenses, and provide a satisfactory resident experience depends in part on the performance of these third-party managers.</w:t>
      </w:r>
    </w:p>
    <w:p>
      <w:pPr>
        <w:spacing w:after="0" w:line="15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If a property manager fails to effectively market and lease available units, maintain properties in a timely and cost-effective manner, comply with applicable laws and regulations, or provide satisfactory resident services, the performance of the applicable property may be adversely affected. In addition, because we do not directly control all on-site personnel and operational decisions, we may experience delays in identifying and correcting operational or leasing issues, which could result in lower occupancy, increased concessions, higher operating expenses, reduced rent collections, or reputational harm.</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reliance on third-party managers may also increase the risk that properties under development or in lease-up do not achieve projected absorption rates, rental levels, or stabilization timelines. If a property manager underperforms or fails to meet our expectations, we may be required to replace such manager, which could result in operational disruption, transition costs, and temporary declines in property performance.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Any of these factors could adversely affect our results of operations, financial condition, cash flows, and the value of our real estate investments.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857" w:right="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3"/>
          <w:szCs w:val="13"/>
          <w:b w:val="1"/>
          <w:bCs w:val="1"/>
          <w:color w:val="424242"/>
        </w:rPr>
        <w:t>FINANCIAL RISKS</w:t>
      </w:r>
    </w:p>
    <w:p>
      <w:pPr>
        <w:spacing w:after="0" w:line="12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Financial risk relates to our ability to meet financial obligations and mitigate exposure to broad market risks, including volatility in interest rates and commodity prices; credit risk; and liquidity risk, including risk related to our credit ratings and our availability and cost of funding. Credit risk is the risk of financial loss arising from a customer or counterparty failure to meet its contractual obligations. We face credit risk in our commercial businesses, as well as in our investing and leasing activities and derivative financial instruments activities. Liquidity risk refers to the potential inability to meet contractual or contingent financial obligations (whether on- or off-balance sheet) as they arise and could potentially impact an institution’s financial condition or overall safety and soundness.</w:t>
      </w:r>
    </w:p>
    <w:p>
      <w:pPr>
        <w:spacing w:after="0" w:line="9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Constriction of the credit markets or other adverse changes in capital market conditions could limit our ability to access capital and increase our cost of capital. </w:t>
      </w:r>
      <w:r>
        <w:rPr>
          <w:rFonts w:ascii="Times New Roman" w:cs="Times New Roman" w:eastAsia="Times New Roman" w:hAnsi="Times New Roman"/>
          <w:sz w:val="14"/>
          <w:szCs w:val="14"/>
          <w:color w:val="auto"/>
        </w:rPr>
        <w:t>During past economic</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downturns, we relied principally on positive operating cash flow, cash and investments, our revolving credit facility and equity offerings to meet current working capital needs, entitlement investment, and investment within our developments. Any slowdown in the local, national, or global economy could negatively impact our access to credit markets and may limit our sources of liquidity in the future and potentially increase our costs of capital.</w:t>
      </w:r>
    </w:p>
    <w:p>
      <w:pPr>
        <w:spacing w:after="0" w:line="97"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We regularly assess our projected capital requirements to fund future growth in our business, repay our debt obligations, and support our other general corporate and operational needs, and we regularly evaluate our opportunities to raise additional capital. As market conditions permit, we may issue new equity securities through the public capital markets, enter new joint ventures, or obtain additional bank financing to fund our projected capital requirements or provide additional liquidity. Adverse changes in economic, or capital market conditions could negatively affect our business, liquidity and financial results.</w:t>
      </w:r>
    </w:p>
    <w:p>
      <w:pPr>
        <w:spacing w:after="0" w:line="96"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Our business model is very dependent on transactions with strategic partners. We may not be able to successfully (1) attract desirable strategic partners; (2) complete agreements with strategic partners; and/or (3) manage relationships with strategic partners going forward, any of which could adversely affect our business. </w:t>
      </w:r>
      <w:r>
        <w:rPr>
          <w:rFonts w:ascii="Times New Roman" w:cs="Times New Roman" w:eastAsia="Times New Roman" w:hAnsi="Times New Roman"/>
          <w:sz w:val="14"/>
          <w:szCs w:val="14"/>
          <w:color w:val="auto"/>
        </w:rPr>
        <w:t>A key to our development and value creation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strategies has been the use of joint ventures and strategic relationships. These joint venture partners bring development experience, industry expertise, financial resources, financing capabilities, brand recognition and credibility or other competitive assets.</w:t>
      </w:r>
    </w:p>
    <w:p>
      <w:pPr>
        <w:spacing w:after="0" w:line="97"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A complicating factor in any joint venture is that strategic partners may have economic or business interests or goals that are inconsistent with ours or that are influenced by factors related to our business or change over time. These competing interests lead to the difficult challenges of successfully managing the relationship and communication between strategic partners and monitoring the execution of the partnership plan. We may also be subject to adverse business consequences if the market reputation or financial position of the strategic partner deteriorates. If we cannot successfully execute transactions with strategic partners, our business could be adversely affected.</w:t>
      </w:r>
    </w:p>
    <w:p>
      <w:pPr>
        <w:spacing w:after="0" w:line="96"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Inability to comply with credit facility covenants, restrictions or limitations could adversely affect our financial condition. </w:t>
      </w:r>
      <w:r>
        <w:rPr>
          <w:rFonts w:ascii="Times New Roman" w:cs="Times New Roman" w:eastAsia="Times New Roman" w:hAnsi="Times New Roman"/>
          <w:sz w:val="14"/>
          <w:szCs w:val="14"/>
          <w:color w:val="auto"/>
        </w:rPr>
        <w:t>Our ability to meet our debt service and other obligations and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financial covenants under our credit facility will depend, in part, upon our future financial performance. Our future results are subject to the risks and uncertainties described in this report. Our revenues and earnings vary with the level of general economic activity in the markets we serve, and the level of commodity prices related to our farming and mineral resource activities. The factors that affect our ability to generate cash can also affect our ability to raise additional funds for these purposes through the addition of debt, the sale of equity, refinancing existing debt, or the sale of assets.</w:t>
      </w:r>
    </w:p>
    <w:p>
      <w:pPr>
        <w:spacing w:after="0" w:line="99" w:lineRule="exact"/>
        <w:rPr>
          <w:sz w:val="20"/>
          <w:szCs w:val="20"/>
          <w:color w:val="auto"/>
        </w:rPr>
      </w:pPr>
    </w:p>
    <w:p>
      <w:pPr>
        <w:ind w:right="360"/>
        <w:spacing w:after="0" w:line="264" w:lineRule="auto"/>
        <w:rPr>
          <w:sz w:val="20"/>
          <w:szCs w:val="20"/>
          <w:color w:val="auto"/>
        </w:rPr>
      </w:pPr>
      <w:r>
        <w:rPr>
          <w:rFonts w:ascii="Times New Roman" w:cs="Times New Roman" w:eastAsia="Times New Roman" w:hAnsi="Times New Roman"/>
          <w:sz w:val="14"/>
          <w:szCs w:val="14"/>
          <w:color w:val="auto"/>
        </w:rPr>
        <w:t>Our revolving credit facility requires compliance with three financial covenants: (a) total liabilities divided by tangible net worth not greater than 0.55 to 1.00 at each year end; (b) a debt service coverage ratio not less than 1.50 to 1.00 as of each year end on a rolling four quarter basis; and (c) a liquidity ratio not less than 2.00 to 1.00 at each year end. A failure to comply with these requirements could allow the lending bank to terminate the availability of funds under our revolving credit facility and/or cause any outstanding borrowings to become due and payable prior to maturity.</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424242"/>
        </w:rPr>
        <w:t>MARKET RISKS</w:t>
      </w:r>
    </w:p>
    <w:p>
      <w:pPr>
        <w:spacing w:after="0" w:line="135"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4"/>
          <w:szCs w:val="14"/>
          <w:color w:val="auto"/>
        </w:rPr>
        <w:t>Many factors affect market function: investor anticipation, shocks in other markets, and anything that limits the efficient functioning of the marketplace. Market risks can affect the price of our Common Stock.</w:t>
      </w:r>
    </w:p>
    <w:p>
      <w:pPr>
        <w:spacing w:after="0" w:line="80" w:lineRule="exact"/>
        <w:rPr>
          <w:sz w:val="20"/>
          <w:szCs w:val="20"/>
          <w:color w:val="auto"/>
        </w:rPr>
      </w:pPr>
    </w:p>
    <w:p>
      <w:pPr>
        <w:ind w:right="220"/>
        <w:spacing w:after="0" w:line="290" w:lineRule="auto"/>
        <w:rPr>
          <w:sz w:val="20"/>
          <w:szCs w:val="20"/>
          <w:color w:val="auto"/>
        </w:rPr>
      </w:pPr>
      <w:r>
        <w:rPr>
          <w:rFonts w:ascii="Times New Roman" w:cs="Times New Roman" w:eastAsia="Times New Roman" w:hAnsi="Times New Roman"/>
          <w:sz w:val="14"/>
          <w:szCs w:val="14"/>
          <w:b w:val="1"/>
          <w:bCs w:val="1"/>
          <w:color w:val="auto"/>
        </w:rPr>
        <w:t>Only a limited market exists for our Common Stock, which could lead to price volatility</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limited trading market for our Common Stock may cause fluctuations in the market value of our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Common Stock to be exaggerated, leading to price volatility in excess of that which would occur in a more active trading market of our Common Stock.</w:t>
      </w:r>
    </w:p>
    <w:p>
      <w:pPr>
        <w:spacing w:after="0" w:line="78"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b w:val="1"/>
          <w:bCs w:val="1"/>
          <w:color w:val="auto"/>
        </w:rPr>
        <w:t>Concentrated ownership of our Common Stock creates a risk of sudden change in our share price</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As of March 19, 2026, directors and members of our executive management team beneficially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owned or controlled approximately 21.8% of our</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9" w:right="319" w:bottom="1440" w:gutter="0" w:footer="0" w:header="0"/>
        </w:sectPr>
      </w:pPr>
    </w:p>
    <w:bookmarkStart w:id="36" w:name="page37"/>
    <w:bookmarkEnd w:id="36"/>
    <w:p>
      <w:pPr>
        <w:spacing w:after="0" w:line="264" w:lineRule="auto"/>
        <w:rPr>
          <w:sz w:val="20"/>
          <w:szCs w:val="20"/>
          <w:color w:val="auto"/>
        </w:rPr>
      </w:pPr>
      <w:r>
        <w:rPr>
          <w:rFonts w:ascii="Times New Roman" w:cs="Times New Roman" w:eastAsia="Times New Roman" w:hAnsi="Times New Roman"/>
          <w:sz w:val="14"/>
          <w:szCs w:val="14"/>
          <w:color w:val="auto"/>
        </w:rPr>
        <w:t>Common Stock. Investors who purchase our Common Stock may be subject to certain risks due to the concentrated ownership of our Common Stock. The sale by any of our large shareholders of a significant portion of that shareholder’s holdings could have a material adverse effect on the market price of our Common Stock. In addition, the registration and sale of any significant number of additional shares of our Common Stock will have the immediate effect of increasing the public float of our Common Stock and any such increase may cause the market price of our Common Stock to decline or fluctuate significantly.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We may be subject to shareholder activism or proxy contests, which could adversely affect our business and stock price.</w:t>
      </w:r>
    </w:p>
    <w:p>
      <w:pPr>
        <w:spacing w:after="0" w:line="25" w:lineRule="exact"/>
        <w:rPr>
          <w:sz w:val="20"/>
          <w:szCs w:val="20"/>
          <w:color w:val="auto"/>
        </w:rPr>
      </w:pPr>
    </w:p>
    <w:p>
      <w:pPr>
        <w:ind w:right="260"/>
        <w:spacing w:after="0" w:line="257" w:lineRule="auto"/>
        <w:rPr>
          <w:sz w:val="20"/>
          <w:szCs w:val="20"/>
          <w:color w:val="auto"/>
        </w:rPr>
      </w:pPr>
      <w:r>
        <w:rPr>
          <w:rFonts w:ascii="Times New Roman" w:cs="Times New Roman" w:eastAsia="Times New Roman" w:hAnsi="Times New Roman"/>
          <w:sz w:val="14"/>
          <w:szCs w:val="14"/>
          <w:color w:val="auto"/>
        </w:rPr>
        <w:t>We may become subject to shareholder activism, proxy contests or other campaigns by investors seeking to influence our strategic direction, capital allocation, governance practices or board composition. Responding to such actions could require significant time and attention from our Board of Directors and management team and could result in substantial legal, advisory and other expenses. In addition, the perceived or actual uncertainty associated with shareholder activism may create instability within the Company, disrupt our strategic initiatives, and adversely affect our relationships with strategic partners, employees and other stakeholders. These actions could also result in volatility in the market price of our Common Stock.</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California property insurance market may adversely affect our development activities and property values.</w:t>
      </w:r>
    </w:p>
    <w:p>
      <w:pPr>
        <w:spacing w:after="0" w:line="25"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4"/>
          <w:szCs w:val="14"/>
          <w:color w:val="auto"/>
        </w:rPr>
        <w:t>California’s property insurance market has experienced reduced carrier participation, increased underwriting restrictions and premium volatility. If adequate insurance coverage becomes unavailable or cost-prohibitive for the Company, our tenants or future homeowners within our developments, we may experience delays in development timing, reduced transaction activity, or increased operating costs. In addition, limited availability or higher costs of insurance could adversely affect property values, buyer demand and overall marketability of our real estate assets. Any of these factors could have a material adverse effect on our business, financial condition and results of operations.</w:t>
      </w:r>
    </w:p>
    <w:p>
      <w:pPr>
        <w:spacing w:after="0" w:line="17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4"/>
          <w:szCs w:val="14"/>
          <w:b w:val="1"/>
          <w:bCs w:val="1"/>
          <w:color w:val="006EBF"/>
        </w:rPr>
        <w:t>ITEM 1B.</w:t>
      </w:r>
      <w:r>
        <w:rPr>
          <w:sz w:val="20"/>
          <w:szCs w:val="20"/>
          <w:color w:val="auto"/>
        </w:rPr>
        <w:tab/>
      </w:r>
      <w:r>
        <w:rPr>
          <w:rFonts w:ascii="Times New Roman" w:cs="Times New Roman" w:eastAsia="Times New Roman" w:hAnsi="Times New Roman"/>
          <w:sz w:val="13"/>
          <w:szCs w:val="13"/>
          <w:b w:val="1"/>
          <w:bCs w:val="1"/>
          <w:color w:val="006EBF"/>
        </w:rPr>
        <w:t>UNRESOLVED STAFF COMMENTS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4"/>
          <w:szCs w:val="14"/>
          <w:b w:val="1"/>
          <w:bCs w:val="1"/>
          <w:color w:val="006EBF"/>
        </w:rPr>
        <w:t>ITEM 1C.</w:t>
        <w:tab/>
        <w:t>CYBERSECURITY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Cybersecurity Risk Management and Strategy</w:t>
      </w:r>
    </w:p>
    <w:p>
      <w:pPr>
        <w:spacing w:after="0" w:line="138"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4"/>
          <w:szCs w:val="14"/>
          <w:color w:val="auto"/>
        </w:rPr>
        <w:t>We recognize the importance of assessing, identifying, and managing material risks associated with cybersecurity threats, as such term is defined in Item 106(a) of Regulation S-K. These risks include, among other things: operational risks, intellectual property theft, fraud, extortion, harm to employees or customers and violation of data privacy or security laws.</w:t>
      </w:r>
    </w:p>
    <w:p>
      <w:pPr>
        <w:spacing w:after="0" w:line="82"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4"/>
          <w:szCs w:val="14"/>
          <w:color w:val="auto"/>
        </w:rPr>
        <w:t>The identification and assessment of cybersecurity risk are integrated into our overall risk management systems and processes, which are managed by senior management and overseen by the Board of Directors. Cybersecurity risks related to our business, privacy and compliance issues are identified and addressed through a multi-faceted approach that includes third party assessments, internal information technology (IT) audit, IT security, governance, risk and compliance reviews. In connection with the aforementioned approaches, and to defend, detect and respond to cybersecurity incidents, we, among other things: conduct proactive privacy and cybersecurity reviews of systems and applications, audit applicable data policies, perform penetration testing using external third-party tools and techniques to test security controls, conduct employee training, monitor emerging laws and regulations related to data protection and information security, and implement appropriate changes.</w:t>
      </w:r>
    </w:p>
    <w:p>
      <w:pPr>
        <w:spacing w:after="0" w:line="103"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auto"/>
        </w:rPr>
        <w:t>We have implemented incident response and breach management processes, which have four overarching and interconnected stages: 1) preparation for a cybersecurity incident, 2) detection and analysis of a security incident, 3) containment, eradication and recovery, and 4) post-incident analysis. Such incident responses are overseen by leaders from our IT and accounting teams.</w:t>
      </w:r>
    </w:p>
    <w:p>
      <w:pPr>
        <w:spacing w:after="0" w:line="82"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4"/>
          <w:szCs w:val="14"/>
          <w:color w:val="auto"/>
        </w:rPr>
        <w:t>Cybersecurity incident events are evaluated, ranked by severity and prioritized for response and remediation. Incidents are evaluated to determine materiality, as well as operational and business impact, and reviewed for privacy impact.</w:t>
      </w:r>
    </w:p>
    <w:p>
      <w:pPr>
        <w:spacing w:after="0" w:line="82"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We also conduct tabletop exercises that simulate responses to cybersecurity incidents. Our team of cybersecurity professionals then collaborate with technical and business stakeholders across our business units to further analyze the risk to the Company, and form detection, mitigation and remediation strategies.</w:t>
      </w:r>
    </w:p>
    <w:p>
      <w:pPr>
        <w:spacing w:after="0" w:line="82"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As part of the above processes, we regularly engage external auditors and consultants with expertise in cybersecurity to assess our internal cybersecurity programs and compliance with applicable practices and standards.</w:t>
      </w:r>
    </w:p>
    <w:p>
      <w:pPr>
        <w:spacing w:after="0" w:line="82"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Our risk management program also assesses third party risks, and we perform third-party risk management to identify and mitigate risks from third parties, such as vendors, suppliers, and other business partners associated with our use of third-party service providers. In addition to new vendor onboarding, we perform risk management during third-party cybersecurity compromise incidents to identify and mitigate risks to us from third-party incidents.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57" w:right="339" w:bottom="1440" w:gutter="0" w:footer="0" w:header="0"/>
        </w:sectPr>
      </w:pPr>
    </w:p>
    <w:bookmarkStart w:id="37" w:name="page38"/>
    <w:bookmarkEnd w:id="37"/>
    <w:p>
      <w:pPr>
        <w:ind w:right="80"/>
        <w:spacing w:after="0" w:line="270" w:lineRule="auto"/>
        <w:rPr>
          <w:sz w:val="20"/>
          <w:szCs w:val="20"/>
          <w:color w:val="auto"/>
        </w:rPr>
      </w:pPr>
      <w:r>
        <w:rPr>
          <w:rFonts w:ascii="Times New Roman" w:cs="Times New Roman" w:eastAsia="Times New Roman" w:hAnsi="Times New Roman"/>
          <w:sz w:val="14"/>
          <w:szCs w:val="14"/>
          <w:color w:val="auto"/>
        </w:rPr>
        <w:t>We describe whether and how risks from identified cybersecurity threats, including as a result of any previous cybersecurity incidents, have materially affected or are reasonably likely to materially affect us, including our business strategy, results of operations, or financial condition, under the heading “Information technology failures and data security breaches could harm our business,” which discussion is included as part of our risk factor disclosures at Item 1A of this Annual Report on Form 10-K.</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Third Party Risk Management</w:t>
      </w:r>
    </w:p>
    <w:p>
      <w:pPr>
        <w:spacing w:after="0" w:line="202"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The Company uses third-party service providers to assist us from time to time to identify, assess, and manage material risks from cybersecurity threats, including, for example, a managed service security provider that monitors certain of the Company’s computer networks and third-party hosted services.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Cybersecurity Governance</w:t>
      </w:r>
    </w:p>
    <w:p>
      <w:pPr>
        <w:spacing w:after="0" w:line="138"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4"/>
          <w:szCs w:val="14"/>
          <w:color w:val="auto"/>
        </w:rPr>
        <w:t>Cybersecurity is an important part of our risk management processes and an area of focus for our Board of Directors and management. The Board of Directors’ Audit Committee is responsible for the oversight of risks from cybersecurity threats. Members of the Audit Committee receive updates on a quarterly basis from senior management regarding matters of cybersecurity. This includes existing and new cybersecurity risks, status on how management is addressing and/or mitigating those risks, cybersecurity and data privacy incidents (if any) and status on key information security initiatives. Our Board members also engage in ad hoc conversations with management on cybersecurity-related news events and discuss any updates to our cybersecurity risk management and strategy programs.</w:t>
      </w:r>
    </w:p>
    <w:p>
      <w:pPr>
        <w:spacing w:after="0" w:line="270"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Our management, led by our Senior Vice President of Finance, Chief Financial Officer and Chief Accounting Officer, Robert D. Velasquez, is responsible for overseeing the Company’s cybersecurity risk assessment and management processes, including their implementation and maintenance. The Company utilizes a third-party managed service provider, Grapevine MSP, to administer, monitor, and manage our information technology systems, including the majority of our cybersecurity functions.</w:t>
      </w:r>
    </w:p>
    <w:p>
      <w:pPr>
        <w:spacing w:after="0" w:line="93"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Management maintains oversight of Grapevine MSP through ongoing engagement, performance monitoring, and review of cybersecurity controls and incident response procedures. The Company’s cybersecurity risk management program is designed to assess, identify, and manage risks from cybersecurity threats, including those associated with third-party service providers. Management monitors the prevention, detection, mitigation, and remediation of cybersecurity incidents and oversees the operation of our incident response processes.</w:t>
      </w:r>
    </w:p>
    <w:p>
      <w:pPr>
        <w:spacing w:after="0" w:line="93"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The Audit Committee of the Board of Directors provides oversight of cybersecurity risk and receives periodic updates from management regarding the Company’s cybersecurity posture, material risks, and any significant incidents. The Board of Directors is informed, as appropriate, of material cybersecurity risks and incidents.</w:t>
      </w:r>
    </w:p>
    <w:p>
      <w:pPr>
        <w:spacing w:after="0" w:line="82" w:lineRule="exact"/>
        <w:rPr>
          <w:sz w:val="20"/>
          <w:szCs w:val="20"/>
          <w:color w:val="auto"/>
        </w:rPr>
      </w:pPr>
    </w:p>
    <w:p>
      <w:pPr>
        <w:ind w:right="240"/>
        <w:spacing w:after="0" w:line="264" w:lineRule="auto"/>
        <w:rPr>
          <w:sz w:val="20"/>
          <w:szCs w:val="20"/>
          <w:color w:val="auto"/>
        </w:rPr>
      </w:pPr>
      <w:r>
        <w:rPr>
          <w:rFonts w:ascii="Times New Roman" w:cs="Times New Roman" w:eastAsia="Times New Roman" w:hAnsi="Times New Roman"/>
          <w:sz w:val="14"/>
          <w:szCs w:val="14"/>
          <w:color w:val="auto"/>
        </w:rPr>
        <w:t>Robert D. Velasquez, CPA, is an experienced risk management professional in our finance and risk management function and has served as Senior Vice President, Finance, Chief Financial Officer and Chief Accounting Officer since March 2022. Mr. Velasquez currently oversees key functions for the Company’s accounting, finance, and treasury strategies, including risk management. In addition, Mr. Velasquez leads the Company’s cybersecurity risk oversight and the development and enhancement of internal controls designed to prevent, detect, address, and mitigate the risk of cyber incidents.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did not experience any material cybersecurity incidents during 2025.</w:t>
      </w:r>
    </w:p>
    <w:p>
      <w:pPr>
        <w:spacing w:after="0" w:line="208"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4"/>
          <w:szCs w:val="14"/>
          <w:b w:val="1"/>
          <w:bCs w:val="1"/>
          <w:color w:val="006EBF"/>
        </w:rPr>
        <w:t>ITEM 2.</w:t>
        <w:tab/>
        <w:t>PROPERTIES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6EBF"/>
        </w:rPr>
        <w:t>Land</w:t>
      </w:r>
    </w:p>
    <w:p>
      <w:pPr>
        <w:spacing w:after="0" w:line="138"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Our approximately 270,000 acres include portions of the San Joaquin Valley, portions of the Tehachapi Mountains and portions of the western end of the Antelope Valley. Each of our six reporting segments uses various portions of this land, as indicated in Item 1. A number of key transportation and utility facilities cross our land, including Interstate 5, California Highways 58, 138 and 223, the California Aqueduct (which brings water from Northern California), and various transmission lines for electricity, oil, natural gas and communication systems. Our corporate offices are located on our property.</w:t>
      </w:r>
    </w:p>
    <w:p>
      <w:pPr>
        <w:spacing w:after="0" w:line="98" w:lineRule="exact"/>
        <w:rPr>
          <w:sz w:val="20"/>
          <w:szCs w:val="20"/>
          <w:color w:val="auto"/>
        </w:rPr>
      </w:pPr>
    </w:p>
    <w:p>
      <w:pPr>
        <w:jc w:val="both"/>
        <w:ind w:right="100"/>
        <w:spacing w:after="0" w:line="264" w:lineRule="auto"/>
        <w:rPr>
          <w:sz w:val="20"/>
          <w:szCs w:val="20"/>
          <w:color w:val="auto"/>
        </w:rPr>
      </w:pPr>
      <w:r>
        <w:rPr>
          <w:rFonts w:ascii="Times New Roman" w:cs="Times New Roman" w:eastAsia="Times New Roman" w:hAnsi="Times New Roman"/>
          <w:sz w:val="14"/>
          <w:szCs w:val="14"/>
          <w:color w:val="auto"/>
        </w:rPr>
        <w:t>Approximately 247,000 acres of our land are located in Kern County, California. The Kern County government's general plan, or the General Plan, for this land contemplates continued commercial, resource utilization, farming, grazing and other agricultural uses, as well as certain new developments and uses, including residential and recreational facilities. While the General Plan is intended to provide guidelines for land use and development to third party entities like the Company, it is subject to amendment to accommodate changing circumstances and needs. We have three major master planned real estate projects in Kern County: MV, TRCC and Grapevine.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7" w:right="319" w:bottom="1440" w:gutter="0" w:footer="0" w:header="0"/>
        </w:sectPr>
      </w:pPr>
    </w:p>
    <w:bookmarkStart w:id="38" w:name="page39"/>
    <w:bookmarkEnd w:id="38"/>
    <w:p>
      <w:pPr>
        <w:ind w:right="20"/>
        <w:spacing w:after="0" w:line="270" w:lineRule="auto"/>
        <w:rPr>
          <w:sz w:val="20"/>
          <w:szCs w:val="20"/>
          <w:color w:val="auto"/>
        </w:rPr>
      </w:pPr>
      <w:r>
        <w:rPr>
          <w:rFonts w:ascii="Times New Roman" w:cs="Times New Roman" w:eastAsia="Times New Roman" w:hAnsi="Times New Roman"/>
          <w:sz w:val="14"/>
          <w:szCs w:val="14"/>
          <w:color w:val="auto"/>
        </w:rPr>
        <w:t>The remainder of our land, approximately 23,000 acres, is in Los Angeles County. This area is accessible from Interstate 5 via Highway 138. Los Angeles County has adopted general plan policies that contemplate future residential development of portions of this land, subject to further assessments of environmental and infrastructure constraints. The Centennial master planned project is on our lands in Los Angeles County.</w:t>
      </w:r>
    </w:p>
    <w:p>
      <w:pPr>
        <w:spacing w:after="0" w:line="93"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Portions of our land consist of mountainous terrain, much of which is not presently served by paved roads or by utility or water lines. Much of this property is included within the RWA we entered into with five major environmental organizations in June 2008. As we receive entitlement approvals over the life span of our developments, we will dedicate conservation easements on 145,000 acres of this land, which will preclude future development of the land. This acreage includes many of the most environmentally sensitive areas of our property and is home to many plant and wildlife species whose environments will remain undisturbed.</w:t>
      </w:r>
    </w:p>
    <w:p>
      <w:pPr>
        <w:spacing w:after="0" w:line="98" w:lineRule="exact"/>
        <w:rPr>
          <w:sz w:val="20"/>
          <w:szCs w:val="20"/>
          <w:color w:val="auto"/>
        </w:rPr>
      </w:pPr>
    </w:p>
    <w:p>
      <w:pPr>
        <w:ind w:right="400"/>
        <w:spacing w:after="0" w:line="270" w:lineRule="auto"/>
        <w:rPr>
          <w:sz w:val="20"/>
          <w:szCs w:val="20"/>
          <w:color w:val="auto"/>
        </w:rPr>
      </w:pPr>
      <w:r>
        <w:rPr>
          <w:rFonts w:ascii="Times New Roman" w:cs="Times New Roman" w:eastAsia="Times New Roman" w:hAnsi="Times New Roman"/>
          <w:sz w:val="14"/>
          <w:szCs w:val="14"/>
          <w:color w:val="auto"/>
        </w:rPr>
        <w:t>Any significant development on our currently undeveloped land would involve the construction of roads, utilities and other expensive infrastructure and would have to be done in a manner that accommodates a number of environmental concerns, including endangered species, wetlands issues, and GHG emissions. Accommodating these environmental concerns, could possibly limit development of portions of the land or result in substantial delays or certain changes to the scope of development in order to obtain governmental approval.</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6EBF"/>
        </w:rPr>
        <w:t>Water Operations</w:t>
      </w:r>
    </w:p>
    <w:p>
      <w:pPr>
        <w:spacing w:after="0" w:line="138"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4"/>
          <w:szCs w:val="14"/>
          <w:color w:val="auto"/>
        </w:rPr>
        <w:t>Our existing long-term water contracts with WRMWSD provide for water entitlements and deliveries from the SWP to our agricultural and municipal/industrial operations in the San Joaquin Valley. The terms of these contracts extend to 2035. Under the contracts, we are entitled to annual water for 5,496 acres of land, or 15,547 acre-feet of water subject to SWP allocations, which is adequate for our present farming operations. It is assumed that at the end of the current contract period, all water contracts will be extended for approximately the same amount of annual water.</w:t>
      </w:r>
    </w:p>
    <w:p>
      <w:pPr>
        <w:spacing w:after="0" w:line="9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In addition to the WRMWSD contract water entitlements, we have access to an additional water entitlement from the SWP sufficient to service a substantial amount of future residential and/or commercial development in Kern County. TCWD, a local water district whose service area includes land we own and land we have sold in TRCC, has 5,749 acre-feet of SWP entitlement (also called Table A amount), subject to SWP allocations. In addition, TCWD has 65,199 acre-feet of Company water stored in Kern County water banks for future uses. Both the SWP entitlement and the banked water are the subject of a long-term water supply contract extending to 2035 between TCWD and the Company. TCWD through its contract with the Company supplies water to TRCC, and will be the principal water supplier for any significant mixed-use development in MV. TCWD will also be the water district that provides services to the Grapevine and Centennial projects.</w:t>
      </w:r>
    </w:p>
    <w:p>
      <w:pPr>
        <w:spacing w:after="0" w:line="101"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We have a 150-acre water bank consisting of nine ponds on our land in southern Kern County. Water is pumped into these ponds and then percolates into underground aquifers. Since 2006, we have banked 54,728 acre-feet of water from the Antelope Valley-East Kern Water Agency, or AVEK, which has been diverted from the California Aqueduct and is currently retained in this water bank. We anticipate adding additional water to the water bank in the future, as water is available.</w:t>
      </w:r>
    </w:p>
    <w:p>
      <w:pPr>
        <w:spacing w:after="0" w:line="9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Over time, we have also purchased water for our future use or sale. We have secured SWP entitlement under long-term SWP water contracts with the Tulare Lake Basin Water Storage District and the Dudley-Ridge Water District, totaling 3,444 acre-feet of SWP entitlement annually, subject to SWP allocations. Since 2012, these contracts have been held by AVEK for our use and extend through 2035. The Company also has a water purchase agreement that requires the Company to purchase 6,693 acre-feet of water each year from the Nickel Family, LLC, or Nickel, through the Kern County Water Agency.</w:t>
      </w:r>
    </w:p>
    <w:p>
      <w:pPr>
        <w:spacing w:after="0" w:line="98" w:lineRule="exact"/>
        <w:rPr>
          <w:sz w:val="20"/>
          <w:szCs w:val="20"/>
          <w:color w:val="auto"/>
        </w:rPr>
      </w:pPr>
    </w:p>
    <w:p>
      <w:pPr>
        <w:jc w:val="both"/>
        <w:ind w:right="120"/>
        <w:spacing w:after="0" w:line="270" w:lineRule="auto"/>
        <w:rPr>
          <w:sz w:val="20"/>
          <w:szCs w:val="20"/>
          <w:color w:val="auto"/>
        </w:rPr>
      </w:pPr>
      <w:r>
        <w:rPr>
          <w:rFonts w:ascii="Times New Roman" w:cs="Times New Roman" w:eastAsia="Times New Roman" w:hAnsi="Times New Roman"/>
          <w:sz w:val="14"/>
          <w:szCs w:val="14"/>
          <w:color w:val="auto"/>
        </w:rPr>
        <w:t>The initial term of the water purchase agreement with Nickel runs through 2044 and includes a Company option to extend the contract for an additional 35 years. This contract allows us to purchase water each year. The purchase cost of water in 2025 was $986 per acre-foot. Purchase costs are subject to annual cost increases based on the greater of the consumer price index or 3%, resulting in a 2026 purchase cost of $1,021 per acre-foot.</w:t>
      </w:r>
    </w:p>
    <w:p>
      <w:pPr>
        <w:spacing w:after="0" w:line="93" w:lineRule="exact"/>
        <w:rPr>
          <w:sz w:val="20"/>
          <w:szCs w:val="20"/>
          <w:color w:val="auto"/>
        </w:rPr>
      </w:pPr>
    </w:p>
    <w:p>
      <w:pPr>
        <w:jc w:val="both"/>
        <w:ind w:right="200"/>
        <w:spacing w:after="0" w:line="287" w:lineRule="auto"/>
        <w:rPr>
          <w:sz w:val="20"/>
          <w:szCs w:val="20"/>
          <w:color w:val="auto"/>
        </w:rPr>
      </w:pPr>
      <w:r>
        <w:rPr>
          <w:rFonts w:ascii="Times New Roman" w:cs="Times New Roman" w:eastAsia="Times New Roman" w:hAnsi="Times New Roman"/>
          <w:sz w:val="14"/>
          <w:szCs w:val="14"/>
          <w:color w:val="auto"/>
        </w:rPr>
        <w:t>The water purchased will ultimately be used in the development of the Company’s land for commercial/industrial development, residential development, and farming. Interim uses may include the sale of portions of this water to third party users on an annual basis, until the water is needed to satisfy the Company’s water demands.</w:t>
      </w:r>
    </w:p>
    <w:p>
      <w:pPr>
        <w:spacing w:after="0" w:line="82" w:lineRule="exact"/>
        <w:rPr>
          <w:sz w:val="20"/>
          <w:szCs w:val="20"/>
          <w:color w:val="auto"/>
        </w:rPr>
      </w:pPr>
    </w:p>
    <w:p>
      <w:pPr>
        <w:jc w:val="both"/>
        <w:ind w:right="220"/>
        <w:spacing w:after="0" w:line="264" w:lineRule="auto"/>
        <w:rPr>
          <w:sz w:val="20"/>
          <w:szCs w:val="20"/>
          <w:color w:val="auto"/>
        </w:rPr>
      </w:pPr>
      <w:r>
        <w:rPr>
          <w:rFonts w:ascii="Times New Roman" w:cs="Times New Roman" w:eastAsia="Times New Roman" w:hAnsi="Times New Roman"/>
          <w:sz w:val="14"/>
          <w:szCs w:val="14"/>
          <w:color w:val="auto"/>
        </w:rPr>
        <w:t>During 2025, SWP allocations were 50% of contract levels, and WRMWSD was able to supply us with water from various sources that, when combined with our water sources provided sufficient water to meet our farming and real estate demands. In some years, there is also sufficient runoff from local mountain streams to allow us to capture some of this water in reservoirs and utilize it to supplement our other water supplies. In years where the supply of water is sufficient, both WRMWSD and TCWD are able to bank (percolate into underground aquifers) excess supplies for future use. Water banked by TCWD is at the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7" w:right="319" w:bottom="1440" w:gutter="0" w:footer="0" w:header="0"/>
        </w:sectPr>
      </w:pPr>
    </w:p>
    <w:bookmarkStart w:id="39" w:name="page40"/>
    <w:bookmarkEnd w:id="39"/>
    <w:p>
      <w:pPr>
        <w:spacing w:after="0" w:line="259" w:lineRule="auto"/>
        <w:rPr>
          <w:sz w:val="20"/>
          <w:szCs w:val="20"/>
          <w:color w:val="auto"/>
        </w:rPr>
      </w:pPr>
      <w:r>
        <w:rPr>
          <w:rFonts w:ascii="Times New Roman" w:cs="Times New Roman" w:eastAsia="Times New Roman" w:hAnsi="Times New Roman"/>
          <w:sz w:val="14"/>
          <w:szCs w:val="14"/>
          <w:color w:val="auto"/>
        </w:rPr>
        <w:t>request of the Company as a part of the water contract with TCWD. At this time, Wheeler Ridge expects to be able to deliver our entire contract water entitlement in any year that the SWP allocations exceed 30% by drawing on its supplemental water purchases from other water districts, ground water wells and water banking assets. Based on historical records of water availability, we believe we have no material issues with our water supply. However, if SWP allocations are less than 30% of our entitlement in any year, or if shortages continue for a sustained period of several years, then WRMWSD may not be able to deliver 100% of our entitlement and we will have to rely on our own ground water sources, mountain stream runoff, water transfer from other sources, and water banking assets to supply the needs of our farming and development activities. Water from these sources may be more expensive than SWP water because of pumping costs and/or transfer costs. The DWR has announced a 30% preliminary SWP water allocation for 2026. The current 30% allocation of SWP water will allow us to have sufficient water for our farming needs for the next year.</w:t>
      </w:r>
    </w:p>
    <w:p>
      <w:pPr>
        <w:spacing w:after="0" w:line="103" w:lineRule="exact"/>
        <w:rPr>
          <w:sz w:val="20"/>
          <w:szCs w:val="20"/>
          <w:color w:val="auto"/>
        </w:rPr>
      </w:pPr>
    </w:p>
    <w:p>
      <w:pPr>
        <w:ind w:right="500"/>
        <w:spacing w:after="0" w:line="257" w:lineRule="auto"/>
        <w:rPr>
          <w:sz w:val="20"/>
          <w:szCs w:val="20"/>
          <w:color w:val="auto"/>
        </w:rPr>
      </w:pPr>
      <w:r>
        <w:rPr>
          <w:rFonts w:ascii="Times New Roman" w:cs="Times New Roman" w:eastAsia="Times New Roman" w:hAnsi="Times New Roman"/>
          <w:sz w:val="14"/>
          <w:szCs w:val="14"/>
          <w:color w:val="auto"/>
        </w:rPr>
        <w:t>All SWP water contracts require annual payments related to the fixed and variable costs of the SWP and each water district, whether or not water is used or available. WRMWSD and TCWD contracts also establish a lien on benefited land.</w:t>
      </w:r>
    </w:p>
    <w:p>
      <w:pPr>
        <w:ind w:right="40"/>
        <w:spacing w:after="0" w:line="242" w:lineRule="auto"/>
        <w:rPr>
          <w:sz w:val="20"/>
          <w:szCs w:val="20"/>
          <w:color w:val="auto"/>
        </w:rPr>
      </w:pPr>
      <w:r>
        <w:rPr>
          <w:rFonts w:ascii="Times New Roman" w:cs="Times New Roman" w:eastAsia="Times New Roman" w:hAnsi="Times New Roman"/>
          <w:sz w:val="14"/>
          <w:szCs w:val="14"/>
          <w:color w:val="auto"/>
        </w:rPr>
        <w:t>Portions of our property also have available groundwater, which we believe would be sufficient to supply commercial development in the Interstate 5 corridor and support current agricultural operations. Groundwater rights in the Antelope Valley Basin have been adjudicated, which limits the availability of groundwater in that basin. In December of 2015, the judgment for the adjudication was finalized. Tejon Ranch was granted an annual groundwater production right of 1,634 acre-feet.</w:t>
      </w:r>
    </w:p>
    <w:p>
      <w:pPr>
        <w:spacing w:after="0" w:line="176"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4"/>
          <w:szCs w:val="14"/>
          <w:color w:val="auto"/>
        </w:rPr>
        <w:t>The Sustainable Groundwater Management Act, or SGMA, is a sustainable groundwater framework applicable to the water districts in which the Company participates in the San Joaquin Valley, where Groundwater Sustainability Plans, or GSPs, have been developed and submitted to the DWR for review. Through these plans, it will have to be demonstrated to the satisfaction of the DWR that the groundwater within the basins is sustainably managed by 2040 or 2042. To achieve sustainability, the GSPs could impose limitations on the use of groundwater. The Company's Kern County lands are located in the Kern Subbasin, the White Wolf Subbasin and the Castac Lake Basin. Approximately 9% of the Company's Kern County land is within the Kern Subbasin, 21% within the White Wolf Subbasin, and 1% within the Castac Lake Basin. The land within Kern Subbasin remains undeveloped and is primarily used for cattle grazing. Water use in this area is minimal, sustainably managed, and limited to domestic purposes for livestock troughs, with a primary reliance on surface water to support responsible land stewardship. Currently, only one well exists in this area of our land within the Kern Subbasin and it is operated by a third-party for limited agricultural use.</w:t>
      </w:r>
    </w:p>
    <w:p>
      <w:pPr>
        <w:spacing w:after="0" w:line="151"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4"/>
          <w:szCs w:val="14"/>
          <w:color w:val="auto"/>
        </w:rPr>
        <w:t>The Kern Subbasin is designated by DWR as a high priority, critically overdrafted basin. GSPs submitted to DWR by the Groundwater Sustainability Agencies in the Kern Subbasin were determined to be inadequate, and DWR has initiated consultation with the State Water Resources Control Board (SWRCB) for possible State intervention. The DWR has been actively consulting with the SWRCB regarding potential state intervention under the SGMA. This process began in March 2023 when DWR deemed the GSPs for six basins inadequate, prompting possible intervention by the SWRCB. These basins include the Chowchilla, Delta-Mendota, Kaweah, Tulare Lake, Tule, and Kern County subbasins.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February 20, 2025, the SWRCB held a public hearing to consider a probationary designation for the Kern Subbasin under SGMA. At the hearing, the Board members heard presentations from groundwater sustainability agencies (GSAs), Board staff, and other interested parties, and received public comments, before deciding to continue the hearing to September 17, 2025. By continuing the hearing, the Board is providing more time for the SWRCB staff to continue working with the Kern Subbasin GSAs and finish resolving identified deficiencies in their GSPs. On September 17, 2025, the SWRCB unanimously determined a probationary designation was not necessary at that time and indicated it would return the subbasin to the (DWR) jurisdiction. On December 8, 2025, SWRCB notified DWR that, after determining the adopted 2025 Groundwater Sustainability Plans adequately resolved prior deficiencies, the Kern Subbasin is being returned to the Department’s jurisdiction under SGMA. This final ruling restores local management authority to TCWDGSA over the portion of the Kern Subbasin underlying the Company’s land and eliminates the potential for SWRCB to impose and collect administrative fees for managing the subbasin.</w:t>
      </w:r>
    </w:p>
    <w:p>
      <w:pPr>
        <w:spacing w:after="0" w:line="178"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The White Wolf Subbasin is designated by DWR as a medium priority, non-critically overdrafted basin. In October 2023, DWR announced the approval of the GSP with only four minor correction items to be corrected in the five-year plan update due by 2027. Groundwater resources in the White Wolf Subbasin are currently being managed to sustainability.</w:t>
      </w:r>
    </w:p>
    <w:p>
      <w:pPr>
        <w:spacing w:after="0" w:line="135"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4"/>
          <w:szCs w:val="14"/>
          <w:color w:val="auto"/>
        </w:rPr>
        <w:t>The Castac Basin is a low priority basin so there is no anticipation at this time of any restriction related to use of groundwater. The Castac Basin GSA filed its GSP in 2020 and is still waiting for a final determination from DWR.</w:t>
      </w:r>
    </w:p>
    <w:p>
      <w:pPr>
        <w:spacing w:after="0" w:line="156"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4"/>
          <w:szCs w:val="14"/>
          <w:color w:val="auto"/>
        </w:rPr>
        <w:t>Regardless of any limitations on groundwater use that might result from SGMA, the Company's lands are in relatively good condition because of the diverse inventory of surface water supplies and banked water that the Company has access, to as mentioned above.</w:t>
      </w:r>
    </w:p>
    <w:p>
      <w:pPr>
        <w:spacing w:after="0" w:line="82"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There have been many environmental challenges regarding the movement of SWP water through the Sacramento - San Joaquin Delta. Operation of the Delta pumps are of primary importance to the California water system, because these pumps are part of the system that moves water from Northern California to Southern California. Biological Opinions, or BiOps, issued by the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7" w:right="319" w:bottom="1440" w:gutter="0" w:footer="0" w:header="0"/>
        </w:sectPr>
      </w:pPr>
    </w:p>
    <w:bookmarkStart w:id="40" w:name="page41"/>
    <w:bookmarkEnd w:id="40"/>
    <w:p>
      <w:pPr>
        <w:ind w:right="180"/>
        <w:spacing w:after="0" w:line="270" w:lineRule="auto"/>
        <w:rPr>
          <w:sz w:val="20"/>
          <w:szCs w:val="20"/>
          <w:color w:val="auto"/>
        </w:rPr>
      </w:pPr>
      <w:r>
        <w:rPr>
          <w:rFonts w:ascii="Times New Roman" w:cs="Times New Roman" w:eastAsia="Times New Roman" w:hAnsi="Times New Roman"/>
          <w:sz w:val="14"/>
          <w:szCs w:val="14"/>
          <w:color w:val="auto"/>
        </w:rPr>
        <w:t>U.S. Fish and Wildlife Service, or FWS, and National Marine Fisheries Service, or NMFS, in 2008 and 2009 contained restrictions on pumping from the Delta and were challenged in the courts by both water agencies and environmental groups, which challenges were, for the most part unsuccessful. Since then, a number of developments have occurred that affect or potentially affect SWP supplies from the Delta.</w:t>
      </w:r>
    </w:p>
    <w:p>
      <w:pPr>
        <w:spacing w:after="0" w:line="9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4"/>
          <w:szCs w:val="14"/>
          <w:color w:val="auto"/>
        </w:rPr>
        <w:t>One of these developments relates to the Coordinated Operation Agreement, or COA, that DWR and the Bureau of Reclamation, or the Bureau, which operates pumps in the Delta to supply water to its Central Valley Project, or CVP, entered into in 1986. The COA governs the concurrent state and federal pumping operations in the Delta. DWR and the Bureau renegotiated the COA in late 2018 to bring the COA up to date with various physical and legal changes that occurred over the course of thirty years. The renegotiated COA has generally resulted in reduced deliveries to SWP contractors.</w:t>
      </w:r>
    </w:p>
    <w:p>
      <w:pPr>
        <w:spacing w:after="0" w:line="1"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4"/>
          <w:szCs w:val="14"/>
          <w:color w:val="auto"/>
        </w:rPr>
        <w:t>Another development is DWR’s plan for construction of a facility to convey water through the Delta in the form of a tunnel system that would divert water at or near the northern end of the Delta and convey the water underground via tunnel for delivery at or near the southern end of the Delta. This project is known as the Delta Conveyance Project, or DCP. DWR has approved the Final EIR for DCP. DWR and the SWP Contractors will continue to work on executing amendments to the water supply contracts that provide for addition of the DCP to the SWP. The DCP is intended to increase the amount of water available for delivery across the Delta, particularly in wet years. There can be no assurance that the Delta Conveyance Project will be completed on currently anticipated timelines, within projected budgets, or at all. Legal challenges, funding limitations or regulatory delays could reduce anticipated reliability benefits</w:t>
      </w:r>
      <w:r>
        <w:rPr>
          <w:rFonts w:ascii="Cambria" w:cs="Cambria" w:eastAsia="Cambria" w:hAnsi="Cambria"/>
          <w:sz w:val="15"/>
          <w:szCs w:val="15"/>
          <w:b w:val="1"/>
          <w:bCs w:val="1"/>
          <w:color w:val="auto"/>
        </w:rPr>
        <w:t>.</w:t>
      </w:r>
    </w:p>
    <w:p>
      <w:pPr>
        <w:spacing w:after="0" w:line="11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color w:val="auto"/>
        </w:rPr>
        <w:t>A third development is the Reinitiation of Consultation on the Coordinated Long-Term Operation of the Central Valley Project and State Water Project. This is a process that DWR and the Bureau jointly requested in 2016 and that resulted in new federal FWS and NMFS BiOps under Federal Endangered Species Act, or ESA, in 2019. The 2019 BiOps were intended to enhance reliability of water available for pumping out of the Delta based on updated best available science. The State of California and various non-governmental organizations filed a legal challenge to the new BiOps. Shortly after the 2019 BiOps were finalized, the State of California issued an Incidental Take Permit, or ITP, pursuant to the California Endangered Species Act, or CESA, which is generally more restrictive on pumping out of the Delta in comparison to the BiOps. Several SWP Contractors, and others, filed litigation challenging ITP on several grounds, including CEQA and breach of contract. Additionally, the Bureau has reinitiated further consultation relative to the proposed actions in the federal BiOps. An interim operations plan for the Delta has been introduced that would govern Delta operations in the absence of final BiOps, and that plan is also the subject of legal challenges. The new BiOps were finalized and adopted in December 2024. These will supersede the 2019 BiOps.</w:t>
      </w:r>
    </w:p>
    <w:p>
      <w:pPr>
        <w:spacing w:after="0" w:line="104"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4"/>
          <w:szCs w:val="14"/>
          <w:color w:val="auto"/>
        </w:rPr>
        <w:t>The Company is also a participant in a water storage project, Sites Reservoir, located in Northern California, in the Sacramento Valley. The Sites Reservoir Project is led by the Sites Project Authority, a joint powers authority made up of irrigation agencies, water districts, cities, and counties. The Company is participating in the project through AVEK, with 500 acre-feet, and through WRMWSD with an additional 500 acre-feet. The project’s main goal is to capture more water during wet years, which is especially beneficial and necessary when the precipitation is higher than the snowpack. The reservoir can hold up to 1.5-million-acre feet. This project is one of the state's largest proposed water infrastructure projects and strongly supported by the State’s Governor. It also recently received over $100 million of federal funding. The Authority is in the process of obtaining a water right permit for the Project. Construction is currently expected to commence in the latter part of 2026, with full operations anticipated by 2032. This will increase the Company's availability to secure water during wet years by increasing our storage capacity with the State of California, that would ultimately be utilized during dry years, or drought years. In addition, the Company will secure a dedicated storage space at the Sites Reservoir that can be monetized in the future by leasing or potentially selling this dedicated storage space.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6EBF"/>
        </w:rPr>
        <w:t>Other Activities</w:t>
      </w:r>
    </w:p>
    <w:p>
      <w:pPr>
        <w:spacing w:after="0" w:line="138"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4"/>
          <w:szCs w:val="14"/>
          <w:color w:val="auto"/>
        </w:rPr>
        <w:t>TRPFFA is a joint powers authority formed by Kern County and TCWD to finance public infrastructure within the Company’s Kern County developments. TRPFFA has created two Community Facilities Districts, or CFDs, the West CFD and the East CFD. The West CFD has placed liens on 420 acres of the Company’s land to secure payment of special taxes related to $19,540,000 of outstanding bond debt sold by TRPFFA for TRCC-West. The East CFD has placed liens on 1,931 acres of the Company’s land to secure payments of special taxes related to $95,660,000 of outstanding bond debt sold by TRPFFA for TRCC-East. At TRCC-West, the West CFD has no additional bond debt approved for issuance. At TRCC-East, the East CFD has $18,605,000 of additional bond debt authorized by TRPFFA. Proceeds from the sales of these bonds are to reimburse the Company for public infrastructure related to TRCC-East.</w:t>
      </w:r>
    </w:p>
    <w:p>
      <w:pPr>
        <w:spacing w:after="0" w:line="10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We paid $3,791,000 and $2,775,000 in special taxes related to the CFDs in 2025 and 2024, respectively. As development continues to occur at TRCC, new owners of land and new lease tenants, through triple net leases, will bear an increasing portion of the assessed special tax. It is expected that we will have special tax payments in 2026 of $3,867,000, but this could change in the future based on the amount of bonds outstanding within each CFD and the amount of taxes paid by other owners and tenants. The assessment of each individual property sold or leased is not determinable at this time, because it is based on the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7" w:right="319" w:bottom="1440" w:gutter="0" w:footer="0" w:header="0"/>
        </w:sectPr>
      </w:pPr>
    </w:p>
    <w:bookmarkStart w:id="41" w:name="page42"/>
    <w:bookmarkEnd w:id="41"/>
    <w:p>
      <w:pPr>
        <w:ind w:right="120"/>
        <w:spacing w:after="0" w:line="287" w:lineRule="auto"/>
        <w:rPr>
          <w:sz w:val="20"/>
          <w:szCs w:val="20"/>
          <w:color w:val="auto"/>
        </w:rPr>
      </w:pPr>
      <w:r>
        <w:rPr>
          <w:rFonts w:ascii="Times New Roman" w:cs="Times New Roman" w:eastAsia="Times New Roman" w:hAnsi="Times New Roman"/>
          <w:sz w:val="14"/>
          <w:szCs w:val="14"/>
          <w:color w:val="auto"/>
        </w:rPr>
        <w:t>current tax rate and the assessed value of the property at the time of sale or on its assessed value at the time it is leased to a third-party. Accordingly, the Company is not required to recognize an obligation as of December 31, 2025.</w:t>
      </w:r>
    </w:p>
    <w:p>
      <w:pPr>
        <w:spacing w:after="0" w:line="154"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4"/>
          <w:szCs w:val="14"/>
          <w:b w:val="1"/>
          <w:bCs w:val="1"/>
          <w:color w:val="006EBF"/>
        </w:rPr>
        <w:t>ITEM 3.</w:t>
        <w:tab/>
        <w:t>LEGAL PROCEEDINGS</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Company is involved in various legal matters arising out of its operations in the normal course of business. None of these matters are expected, individually or in aggregate, to have a material adverse effect on the Company.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a discussion of legal proceedings, see Note 13 (Commitments and Contingencies) of the Notes to the Consolidated Financial Statements.</w:t>
      </w:r>
    </w:p>
    <w:p>
      <w:pPr>
        <w:spacing w:after="0" w:line="198"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4"/>
          <w:szCs w:val="14"/>
          <w:b w:val="1"/>
          <w:bCs w:val="1"/>
          <w:color w:val="006EBF"/>
        </w:rPr>
        <w:t>ITEM 4.</w:t>
        <w:tab/>
        <w:t>MINE SAFETY DISCLOSURES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4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40"/>
          </w:cols>
          <w:pgMar w:left="300" w:top="857" w:right="55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PART II</w:t>
      </w:r>
    </w:p>
    <w:p>
      <w:pPr>
        <w:spacing w:after="0" w:line="136" w:lineRule="exact"/>
        <w:rPr>
          <w:sz w:val="20"/>
          <w:szCs w:val="20"/>
          <w:color w:val="auto"/>
        </w:rPr>
      </w:pPr>
    </w:p>
    <w:p>
      <w:pPr>
        <w:ind w:right="1100"/>
        <w:spacing w:after="0" w:line="444" w:lineRule="auto"/>
        <w:rPr>
          <w:sz w:val="20"/>
          <w:szCs w:val="20"/>
          <w:color w:val="auto"/>
        </w:rPr>
      </w:pPr>
      <w:r>
        <w:rPr>
          <w:rFonts w:ascii="Times New Roman" w:cs="Times New Roman" w:eastAsia="Times New Roman" w:hAnsi="Times New Roman"/>
          <w:sz w:val="14"/>
          <w:szCs w:val="14"/>
          <w:b w:val="1"/>
          <w:bCs w:val="1"/>
          <w:color w:val="006EBF"/>
        </w:rPr>
        <w:t>ITEM 5. MARKET FOR REGISTRANT</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b w:val="1"/>
          <w:bCs w:val="1"/>
          <w:color w:val="006EBF"/>
        </w:rPr>
        <w:t xml:space="preserve">S COMMON EQUITY, RELATED STOCKHOLDER MATTERS AND ISSUER PURCHASES OF EQUITY SECURITIES </w:t>
      </w:r>
      <w:r>
        <w:rPr>
          <w:rFonts w:ascii="Times New Roman" w:cs="Times New Roman" w:eastAsia="Times New Roman" w:hAnsi="Times New Roman"/>
          <w:sz w:val="14"/>
          <w:szCs w:val="14"/>
          <w:color w:val="000000"/>
        </w:rPr>
        <w:t>Our Common Stock trades under the symbol TRC on the New York Stock Exchange.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February 28, 2026, there were 262 registered owners of record of our Common Stock.</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 cash dividends were paid in 2025 or 2024 and at this time there is no intention of paying cash dividends in the near future.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Purchase of Equity Securities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provides information regarding repurchases of our common stock during the year ended December 31, 2025:</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 Number of Shares Purchased</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Fair Value of Shares that</w:t>
            </w:r>
          </w:p>
        </w:tc>
        <w:tc>
          <w:tcPr>
            <w:tcW w:w="0" w:type="dxa"/>
            <w:vAlign w:val="bottom"/>
          </w:tcPr>
          <w:p>
            <w:pPr>
              <w:spacing w:after="0"/>
              <w:rPr>
                <w:sz w:val="1"/>
                <w:szCs w:val="1"/>
                <w:color w:val="auto"/>
              </w:rPr>
            </w:pPr>
          </w:p>
        </w:tc>
      </w:tr>
      <w:tr>
        <w:trPr>
          <w:trHeight w:val="140"/>
        </w:trPr>
        <w:tc>
          <w:tcPr>
            <w:tcW w:w="2120" w:type="dxa"/>
            <w:vAlign w:val="bottom"/>
            <w:gridSpan w:val="2"/>
            <w:vMerge w:val="restart"/>
          </w:tcPr>
          <w:p>
            <w:pPr>
              <w:ind w:left="8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Total Number of Shares Purchased</w:t>
            </w:r>
            <w:r>
              <w:rPr>
                <w:rFonts w:ascii="Times New Roman" w:cs="Times New Roman" w:eastAsia="Times New Roman" w:hAnsi="Times New Roman"/>
                <w:sz w:val="18"/>
                <w:szCs w:val="18"/>
                <w:b w:val="1"/>
                <w:bCs w:val="1"/>
                <w:color w:val="auto"/>
                <w:w w:val="99"/>
                <w:vertAlign w:val="superscript"/>
              </w:rPr>
              <w:t>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Average Price Paid per Share</w:t>
            </w:r>
            <w:r>
              <w:rPr>
                <w:rFonts w:ascii="Times New Roman" w:cs="Times New Roman" w:eastAsia="Times New Roman" w:hAnsi="Times New Roman"/>
                <w:sz w:val="18"/>
                <w:szCs w:val="18"/>
                <w:b w:val="1"/>
                <w:bCs w:val="1"/>
                <w:color w:val="auto"/>
                <w:vertAlign w:val="superscript"/>
              </w:rPr>
              <w:t>1</w:t>
            </w:r>
          </w:p>
        </w:tc>
        <w:tc>
          <w:tcPr>
            <w:tcW w:w="2320" w:type="dxa"/>
            <w:vAlign w:val="bottom"/>
            <w:gridSpan w:val="2"/>
          </w:tcPr>
          <w:p>
            <w:pPr>
              <w:jc w:val="center"/>
              <w:ind w:right="80"/>
              <w:spacing w:after="0" w:line="140" w:lineRule="exact"/>
              <w:rPr>
                <w:sz w:val="20"/>
                <w:szCs w:val="20"/>
                <w:color w:val="auto"/>
              </w:rPr>
            </w:pPr>
            <w:r>
              <w:rPr>
                <w:rFonts w:ascii="Times New Roman" w:cs="Times New Roman" w:eastAsia="Times New Roman" w:hAnsi="Times New Roman"/>
                <w:sz w:val="14"/>
                <w:szCs w:val="14"/>
                <w:b w:val="1"/>
                <w:bCs w:val="1"/>
                <w:color w:val="auto"/>
              </w:rPr>
              <w:t>as Part of Publicly Announced</w:t>
            </w:r>
          </w:p>
        </w:tc>
        <w:tc>
          <w:tcPr>
            <w:tcW w:w="22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May Yet Be Purchased Under the</w:t>
            </w:r>
          </w:p>
        </w:tc>
        <w:tc>
          <w:tcPr>
            <w:tcW w:w="0" w:type="dxa"/>
            <w:vAlign w:val="bottom"/>
          </w:tcPr>
          <w:p>
            <w:pPr>
              <w:spacing w:after="0"/>
              <w:rPr>
                <w:sz w:val="1"/>
                <w:szCs w:val="1"/>
                <w:color w:val="auto"/>
              </w:rPr>
            </w:pPr>
          </w:p>
        </w:tc>
      </w:tr>
      <w:tr>
        <w:trPr>
          <w:trHeight w:val="189"/>
        </w:trPr>
        <w:tc>
          <w:tcPr>
            <w:tcW w:w="2120" w:type="dxa"/>
            <w:vAlign w:val="bottom"/>
            <w:gridSpan w:val="2"/>
            <w:vMerge w:val="continue"/>
          </w:tcPr>
          <w:p>
            <w:pPr>
              <w:spacing w:after="0"/>
              <w:rPr>
                <w:sz w:val="16"/>
                <w:szCs w:val="16"/>
                <w:color w:val="auto"/>
              </w:rPr>
            </w:pPr>
          </w:p>
        </w:tc>
        <w:tc>
          <w:tcPr>
            <w:tcW w:w="22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60" w:type="dxa"/>
            <w:vAlign w:val="bottom"/>
            <w:gridSpan w:val="2"/>
            <w:vMerge w:val="continue"/>
          </w:tcPr>
          <w:p>
            <w:pPr>
              <w:spacing w:after="0"/>
              <w:rPr>
                <w:sz w:val="16"/>
                <w:szCs w:val="16"/>
                <w:color w:val="auto"/>
              </w:rPr>
            </w:pPr>
          </w:p>
        </w:tc>
        <w:tc>
          <w:tcPr>
            <w:tcW w:w="232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4"/>
                <w:szCs w:val="14"/>
                <w:b w:val="1"/>
                <w:bCs w:val="1"/>
                <w:color w:val="auto"/>
                <w:w w:val="97"/>
              </w:rPr>
              <w:t>Program</w:t>
            </w:r>
            <w:r>
              <w:rPr>
                <w:rFonts w:ascii="Times New Roman" w:cs="Times New Roman" w:eastAsia="Times New Roman" w:hAnsi="Times New Roman"/>
                <w:sz w:val="18"/>
                <w:szCs w:val="18"/>
                <w:b w:val="1"/>
                <w:bCs w:val="1"/>
                <w:color w:val="auto"/>
                <w:w w:val="97"/>
                <w:vertAlign w:val="superscript"/>
              </w:rPr>
              <w:t>2</w:t>
            </w:r>
          </w:p>
        </w:tc>
        <w:tc>
          <w:tcPr>
            <w:tcW w:w="2220" w:type="dxa"/>
            <w:vAlign w:val="bottom"/>
          </w:tcPr>
          <w:p>
            <w:pPr>
              <w:jc w:val="center"/>
              <w:spacing w:after="0" w:line="189" w:lineRule="exact"/>
              <w:rPr>
                <w:sz w:val="20"/>
                <w:szCs w:val="20"/>
                <w:color w:val="auto"/>
              </w:rPr>
            </w:pPr>
            <w:r>
              <w:rPr>
                <w:rFonts w:ascii="Times New Roman" w:cs="Times New Roman" w:eastAsia="Times New Roman" w:hAnsi="Times New Roman"/>
                <w:sz w:val="14"/>
                <w:szCs w:val="14"/>
                <w:b w:val="1"/>
                <w:bCs w:val="1"/>
                <w:color w:val="auto"/>
                <w:w w:val="97"/>
              </w:rPr>
              <w:t>Program</w:t>
            </w:r>
            <w:r>
              <w:rPr>
                <w:rFonts w:ascii="Times New Roman" w:cs="Times New Roman" w:eastAsia="Times New Roman" w:hAnsi="Times New Roman"/>
                <w:sz w:val="18"/>
                <w:szCs w:val="18"/>
                <w:b w:val="1"/>
                <w:bCs w:val="1"/>
                <w:color w:val="auto"/>
                <w:w w:val="97"/>
                <w:vertAlign w:val="superscript"/>
              </w:rPr>
              <w:t>2</w:t>
            </w:r>
          </w:p>
        </w:tc>
        <w:tc>
          <w:tcPr>
            <w:tcW w:w="0" w:type="dxa"/>
            <w:vAlign w:val="bottom"/>
          </w:tcPr>
          <w:p>
            <w:pPr>
              <w:spacing w:after="0"/>
              <w:rPr>
                <w:sz w:val="1"/>
                <w:szCs w:val="1"/>
                <w:color w:val="auto"/>
              </w:rPr>
            </w:pPr>
          </w:p>
        </w:tc>
      </w:tr>
      <w:tr>
        <w:trPr>
          <w:trHeight w:val="171"/>
        </w:trPr>
        <w:tc>
          <w:tcPr>
            <w:tcW w:w="2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January 2025</w:t>
            </w:r>
          </w:p>
        </w:tc>
        <w:tc>
          <w:tcPr>
            <w:tcW w:w="80" w:type="dxa"/>
            <w:vAlign w:val="bottom"/>
            <w:tcBorders>
              <w:top w:val="single" w:sz="8" w:color="CCEEFF"/>
            </w:tcBorders>
            <w:shd w:val="clear" w:color="auto" w:fill="CCEEFF"/>
          </w:tcPr>
          <w:p>
            <w:pPr>
              <w:spacing w:after="0"/>
              <w:rPr>
                <w:sz w:val="14"/>
                <w:szCs w:val="14"/>
                <w:color w:val="auto"/>
              </w:rPr>
            </w:pPr>
          </w:p>
        </w:tc>
        <w:tc>
          <w:tcPr>
            <w:tcW w:w="2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5,118</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15.16</w:t>
            </w:r>
          </w:p>
        </w:tc>
        <w:tc>
          <w:tcPr>
            <w:tcW w:w="80" w:type="dxa"/>
            <w:vAlign w:val="bottom"/>
            <w:tcBorders>
              <w:top w:val="single" w:sz="8" w:color="CCEEFF"/>
            </w:tcBorders>
            <w:shd w:val="clear" w:color="auto" w:fill="CCEEFF"/>
          </w:tcPr>
          <w:p>
            <w:pPr>
              <w:spacing w:after="0"/>
              <w:rPr>
                <w:sz w:val="14"/>
                <w:szCs w:val="14"/>
                <w:color w:val="auto"/>
              </w:rPr>
            </w:pPr>
          </w:p>
        </w:tc>
        <w:tc>
          <w:tcPr>
            <w:tcW w:w="22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January 2025</w:t>
            </w:r>
          </w:p>
        </w:tc>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15.90</w:t>
            </w:r>
          </w:p>
        </w:tc>
        <w:tc>
          <w:tcPr>
            <w:tcW w:w="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January 2025</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13,425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15.90</w:t>
            </w:r>
          </w:p>
        </w:tc>
        <w:tc>
          <w:tcPr>
            <w:tcW w:w="8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March 2025</w:t>
            </w:r>
          </w:p>
        </w:tc>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11,349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15.33</w:t>
            </w:r>
          </w:p>
        </w:tc>
        <w:tc>
          <w:tcPr>
            <w:tcW w:w="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2025</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15.99</w:t>
            </w:r>
          </w:p>
        </w:tc>
        <w:tc>
          <w:tcPr>
            <w:tcW w:w="8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36,450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 w:lineRule="exact"/>
        <w:rPr>
          <w:sz w:val="20"/>
          <w:szCs w:val="20"/>
          <w:color w:val="auto"/>
        </w:rPr>
      </w:pPr>
    </w:p>
    <w:p>
      <w:pPr>
        <w:ind w:left="20" w:right="200" w:hanging="1"/>
        <w:spacing w:after="0" w:line="211" w:lineRule="auto"/>
        <w:tabs>
          <w:tab w:leader="none" w:pos="75" w:val="left"/>
        </w:tabs>
        <w:numPr>
          <w:ilvl w:val="0"/>
          <w:numId w:val="15"/>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Represents shares of common stock that employees surrendered as part of the default option to satisfy withholding taxes in connection with the vesting of restricted stock awards under our stock incentive plan. Pursuant to the terms of our stock plan, such shares revert to available shares under the plan.</w:t>
      </w:r>
    </w:p>
    <w:p>
      <w:pPr>
        <w:ind w:left="80" w:hanging="61"/>
        <w:spacing w:after="0" w:line="207" w:lineRule="auto"/>
        <w:tabs>
          <w:tab w:leader="none" w:pos="80" w:val="left"/>
        </w:tabs>
        <w:numPr>
          <w:ilvl w:val="0"/>
          <w:numId w:val="16"/>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We do not have a publicly announced program to purchase shares of our common stock. Accordingly, there were no shares purchased as part of a publicly announced program.</w:t>
      </w:r>
    </w:p>
    <w:p>
      <w:pPr>
        <w:spacing w:after="0" w:line="206" w:lineRule="exact"/>
        <w:rPr>
          <w:sz w:val="20"/>
          <w:szCs w:val="20"/>
          <w:color w:val="auto"/>
        </w:rPr>
      </w:pPr>
    </w:p>
    <w:p>
      <w:pPr>
        <w:ind w:right="520"/>
        <w:spacing w:after="0" w:line="287" w:lineRule="auto"/>
        <w:rPr>
          <w:sz w:val="20"/>
          <w:szCs w:val="20"/>
          <w:color w:val="auto"/>
        </w:rPr>
      </w:pPr>
      <w:r>
        <w:rPr>
          <w:rFonts w:ascii="Times New Roman" w:cs="Times New Roman" w:eastAsia="Times New Roman" w:hAnsi="Times New Roman"/>
          <w:sz w:val="14"/>
          <w:szCs w:val="14"/>
          <w:color w:val="auto"/>
        </w:rPr>
        <w:t>For information regarding equity compensation plans pursuant to Item 201(d) of Regulation S-K, please see Item 11, “Executive Compensation” and Item 12, “Security Ownership of Certain Beneficial Owners and Management and Related Stockholder Matters” of this Form 10-K, below.</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annual stockholder performance graph will be provided separately in our annual report to stockholders.</w:t>
      </w:r>
    </w:p>
    <w:p>
      <w:pPr>
        <w:spacing w:after="0" w:line="198"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4"/>
          <w:szCs w:val="14"/>
          <w:b w:val="1"/>
          <w:bCs w:val="1"/>
          <w:color w:val="006EBF"/>
        </w:rPr>
        <w:t>ITEM 6.</w:t>
      </w:r>
      <w:r>
        <w:rPr>
          <w:sz w:val="20"/>
          <w:szCs w:val="20"/>
          <w:color w:val="auto"/>
        </w:rPr>
        <w:tab/>
      </w:r>
      <w:r>
        <w:rPr>
          <w:rFonts w:ascii="Times New Roman" w:cs="Times New Roman" w:eastAsia="Times New Roman" w:hAnsi="Times New Roman"/>
          <w:sz w:val="13"/>
          <w:szCs w:val="13"/>
          <w:b w:val="1"/>
          <w:bCs w:val="1"/>
          <w:color w:val="006EBF"/>
        </w:rPr>
        <w:t>RESERVED</w:t>
      </w:r>
    </w:p>
    <w:p>
      <w:pPr>
        <w:spacing w:after="0" w:line="210"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4"/>
          <w:szCs w:val="14"/>
          <w:b w:val="1"/>
          <w:bCs w:val="1"/>
          <w:color w:val="006EBF"/>
        </w:rPr>
        <w:t>ITEM 7.</w:t>
        <w:tab/>
        <w:t>MANAGEMENT'S DISCUSSION AND ANALYSIS OF FINANCIAL CONDITION AND RESULTS OF OPERATIONS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Part I, "Forward-Looking Statements" for our cautionary statement regarding forward-looking information.</w:t>
      </w:r>
    </w:p>
    <w:p>
      <w:pPr>
        <w:spacing w:after="0" w:line="200"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This discussion and analysis is based on, should be read together with, and is qualified in its entirety by, the consolidated financial statements and notes thereto included in Item 15(a) of this Form 10-K, beginning at page F-1. It also should be read in conjunction with the disclosure under “Forward-Looking Statements” in Part 1 of this Form 10-K. When this report uses the words “we,” “us,” “our,” “Tejon,” “TRC,” and the “Company,” they refer to Tejon Ranch Co. and its subsidiaries, unless the context otherwise requires. References herein to fiscal year refer to our fiscal years ended or ending December 31.</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6EBF"/>
        </w:rPr>
        <w:t>OVERVIEW</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006EBF"/>
        </w:rPr>
        <w:t>Our Business</w:t>
      </w:r>
    </w:p>
    <w:p>
      <w:pPr>
        <w:spacing w:after="0" w:line="138"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We are a diversified real estate development and agribusiness company focused on responsibly utilizing our land resources to meet the housing, employment, and lifestyle needs of Californians while creating long-term shareholder value. In support of these objectives, we have been investing in land planning and entitlement activities for new commercial/industrial and resort/residential land developments and in infrastructure improvements within our active industrial development. Our prime asset is approximately 270,000 acres of contiguous, largely undeveloped land that, at its most southerly border, is 60 miles north of Los Angeles and, at its most northerly border, is 15 miles east of Bakersfield.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43" w:name="page44"/>
    <w:bookmarkEnd w:id="43"/>
    <w:p>
      <w:pPr>
        <w:ind w:right="80"/>
        <w:spacing w:after="0" w:line="270" w:lineRule="auto"/>
        <w:rPr>
          <w:sz w:val="20"/>
          <w:szCs w:val="20"/>
          <w:color w:val="auto"/>
        </w:rPr>
      </w:pPr>
      <w:r>
        <w:rPr>
          <w:rFonts w:ascii="Times New Roman" w:cs="Times New Roman" w:eastAsia="Times New Roman" w:hAnsi="Times New Roman"/>
          <w:sz w:val="14"/>
          <w:szCs w:val="14"/>
          <w:color w:val="auto"/>
        </w:rPr>
        <w:t>Our business model is designed to create value through the execution of commercial/industrial development, entitlement and development of land for resort/residential uses, and the maximization of earnings from operating assets, while at the same time protecting significant portions of our land for conservation purposes. We operate our business near one of the country’s largest population centers, which is expected to continue to grow well into the future.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currently operate in six reporting segments: real estate - commercial/industrial; multifamily; real estate - resort/residential; mineral resources; farming; and ranch operations.</w:t>
      </w:r>
    </w:p>
    <w:p>
      <w:pPr>
        <w:spacing w:after="0" w:line="136" w:lineRule="exact"/>
        <w:rPr>
          <w:sz w:val="20"/>
          <w:szCs w:val="20"/>
          <w:color w:val="auto"/>
        </w:rPr>
      </w:pPr>
    </w:p>
    <w:p>
      <w:pPr>
        <w:ind w:right="760"/>
        <w:spacing w:after="0" w:line="287" w:lineRule="auto"/>
        <w:rPr>
          <w:sz w:val="20"/>
          <w:szCs w:val="20"/>
          <w:color w:val="auto"/>
        </w:rPr>
      </w:pPr>
      <w:r>
        <w:rPr>
          <w:rFonts w:ascii="Times New Roman" w:cs="Times New Roman" w:eastAsia="Times New Roman" w:hAnsi="Times New Roman"/>
          <w:sz w:val="14"/>
          <w:szCs w:val="14"/>
          <w:color w:val="auto"/>
        </w:rPr>
        <w:t>Our commercial/industrial real estate segment generates revenues from real estate leases, and sales of land and buildings, with TRCC representing our primary commercial and industrial development.</w:t>
      </w:r>
    </w:p>
    <w:p>
      <w:pPr>
        <w:spacing w:after="0" w:line="82"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In 2025, we expanded our real estate operations to include a dedicated multifamily segment focused on the development, lease-up, and long-term ownership of residential rental communities within TRCC, beginning with Terra Vista at Tejon. The addition of multifamily residential leasing further diversifies our portfolio and is expected to enhance long-term recurring revenue streams.</w:t>
      </w:r>
    </w:p>
    <w:p>
      <w:pPr>
        <w:spacing w:after="0" w:line="8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Our resort/residential real estate development segment is actively involved in the land entitlement and pre-development activities, both internally and through a joint venture. Our active developments within this segment include Mountain Village, Grapevine, and Centennial.</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mineral resources segment generates revenues from oil and gas royalty leases, rock and aggregate mining leases, a lease with National Cement of California Inc., and water sales.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farming segment produces revenues from the sale of wine grapes, almonds, and pistachios, and we are expanding our permanent crop portfolio to include olives.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Lastly, our ranch operations segment generates revenues from game management activities and ancillary land uses, including grazing leases and filming activities.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006EBF"/>
        </w:rPr>
        <w:t>Financial Highlights</w:t>
      </w:r>
    </w:p>
    <w:p>
      <w:pPr>
        <w:spacing w:after="0" w:line="8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For 2025, net income attributable to common stockholders was $75,000 compared to net income attributable to common stockholders of $2,690,000 in 2024. The primary factor driving the decrease was an increase in corporate expenses of $2,976,000, primarily due to higher shareholder-related expenses associated with a contested board election and proxy defense efforts. Additionally, equity in earnings of unconsolidated joint ventures decreased by $2,519,000 due to lower fuel and non-fuel revenues at Petro Travel Plaza, or TA/Petro. The above decreases were partially offset by a $3,514,000 improvement in the operating results from farming segment, driven by improved pistachio revenues, and a $2,362,000 increase in profit from the real estate commercial/industrial segment, driven by higher profit from land sales. Total profit from land sales for the year was $1,875,000.</w:t>
      </w:r>
    </w:p>
    <w:p>
      <w:pPr>
        <w:spacing w:after="0" w:line="37"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For 2024, net income attributable to common stockholders was $2,690,000 compared to net income attributed to common stockholders of $3,265,000 in 2023. The primary factor driving the decrease was a reduction in mineral resources segment operating income of $2,677,000, which was largely attributable to limited opportunities to sell water. Additionally, the farming segment operating income decreased by $2,319,000 resulting from the lack of pistachio crop yield in the current year. The above decreases were partially offset by improved equity in earnings of unconsolidated joint ventures of $4,013,000 associated with better fuel margins at our TA/Petro joint venture and higher rental rates or rental escalations of our various joint ventures with Majestic.</w:t>
      </w:r>
    </w:p>
    <w:p>
      <w:pPr>
        <w:spacing w:after="0" w:line="45"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4"/>
          <w:szCs w:val="14"/>
          <w:color w:val="auto"/>
        </w:rPr>
        <w:t>During 2026, we will continue to invest funds towards vertical development within our active commercial and industrial operations at TRCC, including the development of an additional industrial building and related infrastructure. We also expect to continue with lease-up activities at Terra Vista at Tejon, our multifamily apartment community located immediately adjacent to the Outlets at Tejon within TRCC. We will also invest funds as necessary towards permits, and maps for our master plan mixed-use developments and for master project infrastructure. Securing entitlements for land, as is currently the case with our Centennial project, is a lengthy and complex process that can take several years and involves litigation. During the next few years, our net income will fluctuate from year-to-year based upon, among other factors, commodity prices, production within our farming segment, the timing of land sales and the leasing of land, industrial space, and/or multi-family apartment units within our industrial developments, and equity in earnings generated from our unconsolidated joint ventures.</w:t>
      </w:r>
    </w:p>
    <w:p>
      <w:pPr>
        <w:spacing w:after="0" w:line="10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This Management’s Discussion and Analysis of Financial Condition and Results of Operations provides a narrative discussion of our results of operations. It contains the results of operations for each reporting segment of the business and is followed by a discussion of our financial position. It is useful to read the reporting segment information in conjunction with Note 15 (Reporting Segments and Related Information) of the Notes to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5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color w:val="006EBF"/>
        </w:rPr>
        <w:t>Critical Accounting Estimates</w:t>
      </w:r>
    </w:p>
    <w:p>
      <w:pPr>
        <w:spacing w:after="0" w:line="13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The preparation of our consolidated financial statements in accordance with GAAP requires us to make estimates and judgments that affect the reported amounts for assets, liabilities, revenues and expenses, and related disclosure of contingent assets and liabilities. We consider an accounting estimate to be critical if: (1) the accounting estimate requires us to make assumptions about matters that were highly uncertain at the time the accounting estimate was made, and (2) changes in the estimates that are likely to occur from period to period, use of different estimates that we reasonably could have used in the current period, or would have a material impact on our financial condition or results of operations. On an ongoing basis, we evaluate our estimates, including those related to revenue recognition, impairment of long-lived assets, capitalization of costs, allocation of costs related to land sales and leases, stock compensation, and our future ability to utilize deferred tax assets.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04"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color w:val="auto"/>
        </w:rPr>
        <w:t>Management has discussed the development and selection of these critical accounting estimates with the Audit Committee of our Board of Directors and the Audit Committee has reviewed the foregoing disclosure. In addition, there are other items within our financial statements that require estimation, but are not deemed critical as defined above. Changes in estimates used in these and other items could have a material impact on our financial statements. Please refer to Note 1 (Summary of Significant Accounting Policies) in the Notes to Consolidated Financial Statements, which discusses accounting policies that we have selected from acceptable alternatives.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believe the following critical accounting estimates reflect our more significant judgments and estimates used in the preparation of the consolidated financial statements:</w:t>
      </w:r>
    </w:p>
    <w:p>
      <w:pPr>
        <w:spacing w:after="0" w:line="13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4"/>
          <w:szCs w:val="14"/>
          <w:i w:val="1"/>
          <w:iCs w:val="1"/>
          <w:color w:val="auto"/>
        </w:rPr>
        <w:t xml:space="preserve">Impairment of Long-Lived Assets, Real Estate Development – </w:t>
      </w:r>
      <w:r>
        <w:rPr>
          <w:rFonts w:ascii="Times New Roman" w:cs="Times New Roman" w:eastAsia="Times New Roman" w:hAnsi="Times New Roman"/>
          <w:sz w:val="14"/>
          <w:szCs w:val="14"/>
          <w:color w:val="auto"/>
        </w:rPr>
        <w:t>We evaluate our real estate development projects for impairment on an ongoing basis. Our evaluation for impairment involves an initial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assessment of each real estate development to determine whether events or changes in circumstances exist that may indicate that the carrying amounts of a real estate development are no longer recoverable. Possible indications of impairment may include events or changes in circumstances affecting the Company’s strategic plan for the real estate development, the entitlement process, government regulation, litigation, geographical demand for new housing, market conditions related to pricing of new homes and development costs.</w:t>
      </w:r>
    </w:p>
    <w:p>
      <w:pPr>
        <w:spacing w:after="0" w:line="9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4"/>
          <w:szCs w:val="14"/>
          <w:color w:val="auto"/>
        </w:rPr>
        <w:t>We make significant assumptions to evaluate each real estate development for possible indications of impairment. These assumptions include the identification of appropriate and comparable market prices, the consideration of changes to legal factors or the business climate, and assumptions surrounding expected positive cash flows and development costs. Considering that the planned development communities will be in a location that does not currently have many comparable homes, the Company must make assumptions surrounding the expected ability to sell the real estate assets at a price that is in excess of accumulated and estimated future development costs. We use our internal forecasts and business plans to estimate future prices, absorption, and costs. We develop our forecasts based on recent sales data, input from marketing consultants, discussions with commercial real estate brokers, as well as contractors' and engineers' estimates.</w:t>
      </w:r>
    </w:p>
    <w:p>
      <w:pPr>
        <w:spacing w:after="0" w:line="9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4"/>
          <w:szCs w:val="14"/>
          <w:color w:val="auto"/>
        </w:rPr>
        <w:t>When events or changes in circumstances exist that result in an indicator of impairment, we perform an impairment calculation, which compares the carrying value of the asset to the asset’s estimated future cash flows (undiscounted). If the estimated future cash flows are less than the carrying value of the asset, we calculate an impairment loss. The impairment loss calculation compares the carrying value of the asset to the asset’s estimated fair value, which may be based on estimated future cash flows (discounted). We recognize an impairment loss equal to the amount by which the asset’s carrying value exceeds the asset’s estimated fair value. If we recognize an impairment loss, the adjusted carrying amount of the asset will be its new cost basis. For a depreciable long-lived asset, the new cost basis will be depreciated (amortized) over the remaining useful life of that asset. Restoration of a previously recognized impairment loss is prohibited. If actual results are not consistent with our assumptions and judgments used in estimating future cash flows and asset fair values, we may be exposed to impairment losses that could be material to our results of operations.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this time, there are no assets within any of our reporting segments that we believe are at risk of being impaired due to market conditions, nor have we identified any impairment indicators.</w:t>
      </w:r>
    </w:p>
    <w:p>
      <w:pPr>
        <w:spacing w:after="0" w:line="136"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We believe that the accounting estimate related to asset impairment is a critical accounting estimate because it is very susceptible to change from period to period; it requires management to make assumptions about future prices, production, and costs, and the potential impact of a loss from impairment could be material to our earnings. Management’s assumptions regarding future cash flows from real estate developments are expected to fluctuate due to changes in prices, absorption, and costs as future market conditions change.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55" w:right="339" w:bottom="1440" w:gutter="0" w:footer="0" w:header="0"/>
        </w:sectPr>
      </w:pPr>
    </w:p>
    <w:bookmarkStart w:id="45" w:name="page46"/>
    <w:bookmarkEnd w:id="45"/>
    <w:p>
      <w:pPr>
        <w:ind w:right="40"/>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Allocation of Costs Related to Land Sales and Leases </w:t>
      </w:r>
      <w:r>
        <w:rPr>
          <w:rFonts w:ascii="Times New Roman" w:cs="Times New Roman" w:eastAsia="Times New Roman" w:hAnsi="Times New Roman"/>
          <w:sz w:val="14"/>
          <w:szCs w:val="14"/>
          <w:color w:val="auto"/>
        </w:rPr>
        <w:t>– When we sell or lease land within one of our real estate developments, as we are currently doing within TRCC, and we have not completed all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infrastructure development related to the total project, we determine the appropriate costs of sales for the sold land and the timing of recognition of the sale. In the calculation of cost of sales or allocations to leased land, we use estimates and forecasts to determine total costs at completion of the development project. These estimates of final development costs can change as conditions in the market and costs of construction change.</w:t>
      </w:r>
    </w:p>
    <w:p>
      <w:pPr>
        <w:spacing w:after="0" w:line="97" w:lineRule="exact"/>
        <w:rPr>
          <w:sz w:val="20"/>
          <w:szCs w:val="20"/>
          <w:color w:val="auto"/>
        </w:rPr>
      </w:pPr>
    </w:p>
    <w:p>
      <w:pPr>
        <w:jc w:val="both"/>
        <w:ind w:right="40"/>
        <w:spacing w:after="0" w:line="264" w:lineRule="auto"/>
        <w:rPr>
          <w:sz w:val="20"/>
          <w:szCs w:val="20"/>
          <w:color w:val="auto"/>
        </w:rPr>
      </w:pPr>
      <w:r>
        <w:rPr>
          <w:rFonts w:ascii="Times New Roman" w:cs="Times New Roman" w:eastAsia="Times New Roman" w:hAnsi="Times New Roman"/>
          <w:sz w:val="14"/>
          <w:szCs w:val="14"/>
          <w:color w:val="auto"/>
        </w:rPr>
        <w:t>In preparing these estimates, we use internal budgets, forecasts, and engineering reports to help us estimate future costs related to infrastructure that has not been completed. These estimates become more accurate as the development proceeds forward, due to historical cost numbers and to the continued refinement of the development plan. These estimates are updated periodically throughout the year so that, at the ultimate completion of development, all costs have been allocated. Any increases to our estimates in future years will negatively impact net profits and liquidity due to an increased need for funds to complete development. If, however, this estimate decreases, net profits as well as liquidity will improve.</w:t>
      </w:r>
    </w:p>
    <w:p>
      <w:pPr>
        <w:spacing w:after="0" w:line="98"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4"/>
          <w:szCs w:val="14"/>
          <w:color w:val="auto"/>
        </w:rPr>
        <w:t>We believe that the estimates used related to cost of sales and allocations to leased land are critical accounting estimates and will become even more significant as we continue to move forward as a real estate development company. The estimates used are very susceptible to change from period to period, due to the fact that they require management to make assumptions about costs of construction, absorption of product, and timing of project completion, and changes to these estimates could have a material impact on the recognition of profits from the sale of land within our developments.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6EBF"/>
        </w:rPr>
        <w:t>Recent Accounting Pronouncements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discussion of recent accounting pronouncements, see Note 1 (Summary of Significant Accounting Policies) in the Notes to Consolidated Financial Statements.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6EBF"/>
        </w:rPr>
        <w:t>Results of Operations by Segment</w:t>
      </w:r>
    </w:p>
    <w:p>
      <w:pPr>
        <w:spacing w:after="0" w:line="138"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We evaluate the performance of our reporting segments separately to monitor the different factors affecting financial results. Each reporting segment is subject to review and evaluation as we monitor current market conditions, market opportunities, and available resources. The performance of each reporting segment is discussed below:</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6EBF"/>
        </w:rPr>
        <w:t>Real Estate – Commercial/Industrial</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rPr>
              <w:t>2023</w:t>
            </w:r>
          </w:p>
        </w:tc>
      </w:tr>
      <w:tr>
        <w:trPr>
          <w:trHeight w:val="161"/>
        </w:trPr>
        <w:tc>
          <w:tcPr>
            <w:tcW w:w="7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Commercial/industrial revenues</w:t>
            </w: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80"/>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Pastoria Energy Facility Lease</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4,673</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4,813</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5,089</w:t>
            </w:r>
          </w:p>
        </w:tc>
      </w:tr>
      <w:tr>
        <w:trPr>
          <w:trHeight w:val="180"/>
        </w:trPr>
        <w:tc>
          <w:tcPr>
            <w:tcW w:w="7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TRCC Leasing</w:t>
            </w: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1,702</w:t>
            </w:r>
          </w:p>
        </w:tc>
      </w:tr>
      <w:tr>
        <w:trPr>
          <w:trHeight w:val="180"/>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TRCC management fees and reimbursements</w:t>
            </w: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959</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1,006</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1,261</w:t>
            </w:r>
          </w:p>
        </w:tc>
      </w:tr>
      <w:tr>
        <w:trPr>
          <w:trHeight w:val="180"/>
        </w:trPr>
        <w:tc>
          <w:tcPr>
            <w:tcW w:w="7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Commercial leases</w:t>
            </w: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w:t>
            </w:r>
          </w:p>
        </w:tc>
      </w:tr>
      <w:tr>
        <w:trPr>
          <w:trHeight w:val="180"/>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Communication leases</w:t>
            </w: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1,307</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2,279</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1,079</w:t>
            </w:r>
          </w:p>
        </w:tc>
      </w:tr>
      <w:tr>
        <w:trPr>
          <w:trHeight w:val="180"/>
        </w:trPr>
        <w:tc>
          <w:tcPr>
            <w:tcW w:w="7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Landscaping and other</w:t>
            </w: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1,857</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2,009</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1,965</w:t>
            </w:r>
          </w:p>
        </w:tc>
      </w:tr>
      <w:tr>
        <w:trPr>
          <w:trHeight w:val="180"/>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Land sales</w:t>
            </w: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3,737</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commercial/industrial revenues</w:t>
            </w: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15,006</w:t>
            </w:r>
          </w:p>
        </w:tc>
        <w:tc>
          <w:tcPr>
            <w:tcW w:w="8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12,552</w:t>
            </w:r>
          </w:p>
        </w:tc>
        <w:tc>
          <w:tcPr>
            <w:tcW w:w="8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11,758</w:t>
            </w:r>
          </w:p>
        </w:tc>
      </w:tr>
      <w:tr>
        <w:trPr>
          <w:trHeight w:val="171"/>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Cost of sales of land</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r>
      <w:tr>
        <w:trPr>
          <w:trHeight w:val="180"/>
        </w:trPr>
        <w:tc>
          <w:tcPr>
            <w:tcW w:w="7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expenses</w:t>
            </w: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4,074</w:t>
            </w:r>
          </w:p>
        </w:tc>
      </w:tr>
      <w:tr>
        <w:trPr>
          <w:trHeight w:val="180"/>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3,189</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3,687</w:t>
            </w:r>
          </w:p>
        </w:tc>
      </w:tr>
      <w:tr>
        <w:trPr>
          <w:trHeight w:val="180"/>
        </w:trPr>
        <w:tc>
          <w:tcPr>
            <w:tcW w:w="74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468</w:t>
            </w:r>
          </w:p>
        </w:tc>
      </w:tr>
      <w:tr>
        <w:trPr>
          <w:trHeight w:val="171"/>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commercial/industrial expenses</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8,002</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7,910</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8,053</w:t>
            </w:r>
          </w:p>
        </w:tc>
      </w:tr>
      <w:tr>
        <w:trPr>
          <w:trHeight w:val="171"/>
        </w:trPr>
        <w:tc>
          <w:tcPr>
            <w:tcW w:w="7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income from commercial/industrial</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7,004</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4,642</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3,705</w:t>
            </w:r>
          </w:p>
        </w:tc>
      </w:tr>
      <w:tr>
        <w:trPr>
          <w:trHeight w:val="20"/>
        </w:trPr>
        <w:tc>
          <w:tcPr>
            <w:tcW w:w="7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2025 Operational Highlights:</w:t>
      </w:r>
    </w:p>
    <w:p>
      <w:pPr>
        <w:spacing w:after="0" w:line="138" w:lineRule="exact"/>
        <w:rPr>
          <w:sz w:val="20"/>
          <w:szCs w:val="20"/>
          <w:color w:val="auto"/>
        </w:rPr>
      </w:pPr>
    </w:p>
    <w:p>
      <w:pPr>
        <w:ind w:left="520" w:right="20" w:hanging="260"/>
        <w:spacing w:after="0" w:line="270"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Commercial/industrial revenues increased to $15,006,000 for the twelve months ended December 31, 2025, reflecting year-over-year growth of 20%, primarily driven by land sales within TRCC. Included in these results was $3,737,000 of land sales revenue from two land sales, including $2,373,000 following the Company's satisfaction of performance obligations related to a 2022 land sale, and a 1.8-acre land sale designated for a future hotel development at TRCC.</w:t>
      </w:r>
    </w:p>
    <w:p>
      <w:pPr>
        <w:spacing w:after="0" w:line="93" w:lineRule="exact"/>
        <w:rPr>
          <w:rFonts w:ascii="Times New Roman" w:cs="Times New Roman" w:eastAsia="Times New Roman" w:hAnsi="Times New Roman"/>
          <w:sz w:val="14"/>
          <w:szCs w:val="14"/>
          <w:color w:val="auto"/>
        </w:rPr>
      </w:pPr>
    </w:p>
    <w:p>
      <w:pPr>
        <w:ind w:left="520" w:right="500" w:hanging="260"/>
        <w:spacing w:after="0" w:line="287"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Commercial/industrial real estate segment expenses increased $92,000, or 1%, from $7,910,000 in 2024 to $8,002,000 in 2025. The increase in expenses is primarily attributed to the recognition of $1,862,000 in cost of sales, incurred to</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46" w:name="page47"/>
    <w:bookmarkEnd w:id="46"/>
    <w:p>
      <w:pPr>
        <w:ind w:left="520" w:right="120"/>
        <w:spacing w:after="0" w:line="287" w:lineRule="auto"/>
        <w:rPr>
          <w:sz w:val="20"/>
          <w:szCs w:val="20"/>
          <w:color w:val="auto"/>
        </w:rPr>
      </w:pPr>
      <w:r>
        <w:rPr>
          <w:rFonts w:ascii="Times New Roman" w:cs="Times New Roman" w:eastAsia="Times New Roman" w:hAnsi="Times New Roman"/>
          <w:sz w:val="14"/>
          <w:szCs w:val="14"/>
          <w:color w:val="auto"/>
        </w:rPr>
        <w:t>satisfy the performance obligation associated with Nestlé land sale transaction executed in 2022 and a land sale in 2025. The above mentioned increase was partially offset by reductions in both operating expenses and general and administrative expenses during the period.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2024 Operational Highlights:</w:t>
      </w:r>
    </w:p>
    <w:p>
      <w:pPr>
        <w:spacing w:after="0" w:line="138" w:lineRule="exact"/>
        <w:rPr>
          <w:sz w:val="20"/>
          <w:szCs w:val="20"/>
          <w:color w:val="auto"/>
        </w:rPr>
      </w:pPr>
    </w:p>
    <w:p>
      <w:pPr>
        <w:ind w:left="520" w:hanging="260"/>
        <w:spacing w:after="0" w:line="261"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Commercial/industrial real estate development segment revenues were $12,552,000 for the twelve months ended December 31, 2024, an increase of $794,000, or 7%, from $11,758,000 in 2023. The primary driver of this increase was a $1,200,000 increase in communication lease revenue, attributable primarily to non-recurring amounts received from a right-of-way tenant for the tenant having increased its fiber optic cables running through the right-of-way for multiple prior periods without proper notification. The above mentioned increase was partially offset by a decrease of $276,000 in revenue from the PEF lease due to lower spark spread payments, and a reduction of $255,000 in management fees compared to 2023, when we completed construction of the TRC-MRC 5, LLC industrial building.</w:t>
      </w:r>
    </w:p>
    <w:p>
      <w:pPr>
        <w:spacing w:after="0" w:line="100" w:lineRule="exact"/>
        <w:rPr>
          <w:rFonts w:ascii="Times New Roman" w:cs="Times New Roman" w:eastAsia="Times New Roman" w:hAnsi="Times New Roman"/>
          <w:sz w:val="14"/>
          <w:szCs w:val="14"/>
          <w:color w:val="auto"/>
        </w:rPr>
      </w:pPr>
    </w:p>
    <w:p>
      <w:pPr>
        <w:ind w:left="520" w:right="220" w:hanging="260"/>
        <w:spacing w:after="0" w:line="287"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Commercial/industrial real estate segment expenses decreased $143,000, or 2%, from $8,053,000 in 2023 to $7,910,000 in 2024. The decrease in expenses is primarily attributed to lower property tax expenses, partially offset by higher insurance cost and general and administrative expenses over the comparative period.</w:t>
      </w:r>
    </w:p>
    <w:p>
      <w:pPr>
        <w:spacing w:after="0" w:line="82"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4"/>
          <w:szCs w:val="14"/>
          <w:color w:val="auto"/>
        </w:rPr>
        <w:t>For 2026, TRCC is expected to remain the primary driver of new activity within the Company. Through the TRC-DP 1 joint venture formed with Dedeaux Properties, we expect to commence construction of a 510,385 square-foot industrial building during 2026. We also expect the commercial/industrial segment to continue to incur operating costs, net of amounts capitalized, related to professional service fees, marketing, commissions, and planning activities as we pursue additional development opportunities. These costs are expected to remain generally consistent with current levels, with variability in future periods driven primarily by the timing of specific absorption transactions, near-term inflationary pressures, and tariff and trade policy impacts.</w:t>
      </w:r>
    </w:p>
    <w:p>
      <w:pPr>
        <w:spacing w:after="0" w:line="98"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The actual timing and completion of development are difficult to predict due to the uncertainties of the market. Infrastructure development and marketing activities and costs will continue over several years as we develop our land holdings. We anticipate shorter lead times and more stable prices for materials, with electrical components being a notable exception. We will also continue to evaluate land resources to determine the highest and best uses for our land holdings. Future sales of land are dependent on market circumstances and specific opportunities. Our goal in the future is to increase land value and create future revenue growth through planning and development of commercial and industrial properties.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Item 1, “Business – Real Estate Development Overview” for discussion of the market outlook for the next year.</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57"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86"/>
        </w:trPr>
        <w:tc>
          <w:tcPr>
            <w:tcW w:w="9180" w:type="dxa"/>
            <w:vAlign w:val="bottom"/>
          </w:tcPr>
          <w:p>
            <w:pPr>
              <w:spacing w:after="0"/>
              <w:rPr>
                <w:sz w:val="20"/>
                <w:szCs w:val="20"/>
                <w:color w:val="auto"/>
              </w:rPr>
            </w:pPr>
            <w:r>
              <w:rPr>
                <w:rFonts w:ascii="Times New Roman" w:cs="Times New Roman" w:eastAsia="Times New Roman" w:hAnsi="Times New Roman"/>
                <w:sz w:val="14"/>
                <w:szCs w:val="14"/>
                <w:b w:val="1"/>
                <w:bCs w:val="1"/>
                <w:color w:val="006EBF"/>
              </w:rPr>
              <w:t>Multifamily</w:t>
            </w:r>
          </w:p>
        </w:tc>
        <w:tc>
          <w:tcPr>
            <w:tcW w:w="46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49"/>
        </w:trPr>
        <w:tc>
          <w:tcPr>
            <w:tcW w:w="9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180"/>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46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rPr>
              <w:t>2025</w:t>
            </w:r>
          </w:p>
        </w:tc>
      </w:tr>
      <w:tr>
        <w:trPr>
          <w:trHeight w:val="160"/>
        </w:trPr>
        <w:tc>
          <w:tcPr>
            <w:tcW w:w="9180" w:type="dxa"/>
            <w:vAlign w:val="bottom"/>
          </w:tcPr>
          <w:p>
            <w:pPr>
              <w:ind w:left="20"/>
              <w:spacing w:after="0" w:line="160" w:lineRule="exact"/>
              <w:rPr>
                <w:sz w:val="20"/>
                <w:szCs w:val="20"/>
                <w:color w:val="auto"/>
              </w:rPr>
            </w:pPr>
            <w:r>
              <w:rPr>
                <w:rFonts w:ascii="Times New Roman" w:cs="Times New Roman" w:eastAsia="Times New Roman" w:hAnsi="Times New Roman"/>
                <w:sz w:val="14"/>
                <w:szCs w:val="14"/>
                <w:color w:val="auto"/>
              </w:rPr>
              <w:t>Multifamily revenues</w:t>
            </w:r>
            <w:r>
              <w:rPr>
                <w:rFonts w:ascii="Times New Roman" w:cs="Times New Roman" w:eastAsia="Times New Roman" w:hAnsi="Times New Roman"/>
                <w:sz w:val="18"/>
                <w:szCs w:val="18"/>
                <w:color w:val="auto"/>
                <w:vertAlign w:val="superscript"/>
              </w:rPr>
              <w:t>1</w:t>
            </w:r>
          </w:p>
        </w:tc>
        <w:tc>
          <w:tcPr>
            <w:tcW w:w="46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180"/>
        </w:trPr>
        <w:tc>
          <w:tcPr>
            <w:tcW w:w="9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Leasing revenue</w:t>
            </w: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w:t>
            </w:r>
          </w:p>
        </w:tc>
      </w:tr>
      <w:tr>
        <w:trPr>
          <w:trHeight w:val="171"/>
        </w:trPr>
        <w:tc>
          <w:tcPr>
            <w:tcW w:w="9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multifamily revenues</w:t>
            </w:r>
          </w:p>
        </w:tc>
        <w:tc>
          <w:tcPr>
            <w:tcW w:w="4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732</w:t>
            </w:r>
          </w:p>
        </w:tc>
      </w:tr>
      <w:tr>
        <w:trPr>
          <w:trHeight w:val="171"/>
        </w:trPr>
        <w:tc>
          <w:tcPr>
            <w:tcW w:w="9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Operating expenses</w:t>
            </w:r>
          </w:p>
        </w:tc>
        <w:tc>
          <w:tcPr>
            <w:tcW w:w="4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w:t>
            </w:r>
          </w:p>
        </w:tc>
      </w:tr>
      <w:tr>
        <w:trPr>
          <w:trHeight w:val="180"/>
        </w:trPr>
        <w:tc>
          <w:tcPr>
            <w:tcW w:w="9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4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w:t>
            </w:r>
          </w:p>
        </w:tc>
      </w:tr>
      <w:tr>
        <w:trPr>
          <w:trHeight w:val="180"/>
        </w:trPr>
        <w:tc>
          <w:tcPr>
            <w:tcW w:w="9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46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w:t>
            </w:r>
          </w:p>
        </w:tc>
      </w:tr>
      <w:tr>
        <w:trPr>
          <w:trHeight w:val="171"/>
        </w:trPr>
        <w:tc>
          <w:tcPr>
            <w:tcW w:w="9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Multifamily expenses</w:t>
            </w:r>
          </w:p>
        </w:tc>
        <w:tc>
          <w:tcPr>
            <w:tcW w:w="46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2,279</w:t>
            </w:r>
          </w:p>
        </w:tc>
      </w:tr>
      <w:tr>
        <w:trPr>
          <w:trHeight w:val="190"/>
        </w:trPr>
        <w:tc>
          <w:tcPr>
            <w:tcW w:w="9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loss from multifamily</w:t>
            </w:r>
          </w:p>
        </w:tc>
        <w:tc>
          <w:tcPr>
            <w:tcW w:w="4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073900" cy="134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73900" cy="13462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vertAlign w:val="superscript"/>
        </w:rPr>
        <w:t>1</w:t>
      </w:r>
      <w:r>
        <w:rPr>
          <w:rFonts w:ascii="Times New Roman" w:cs="Times New Roman" w:eastAsia="Times New Roman" w:hAnsi="Times New Roman"/>
          <w:sz w:val="11"/>
          <w:szCs w:val="11"/>
          <w:color w:val="auto"/>
        </w:rPr>
        <w:t>Multifamily segment had no operating activities in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5830570</wp:posOffset>
            </wp:positionH>
            <wp:positionV relativeFrom="paragraph">
              <wp:posOffset>-93980</wp:posOffset>
            </wp:positionV>
            <wp:extent cx="1246505"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46505" cy="6985"/>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2025 Operating Results:</w:t>
      </w:r>
    </w:p>
    <w:p>
      <w:pPr>
        <w:spacing w:after="0" w:line="138" w:lineRule="exact"/>
        <w:rPr>
          <w:sz w:val="20"/>
          <w:szCs w:val="20"/>
          <w:color w:val="auto"/>
        </w:rPr>
      </w:pPr>
    </w:p>
    <w:p>
      <w:pPr>
        <w:ind w:left="520" w:right="400" w:hanging="260"/>
        <w:spacing w:after="0" w:line="287" w:lineRule="auto"/>
        <w:tabs>
          <w:tab w:leader="none" w:pos="516" w:val="left"/>
        </w:tabs>
        <w:numPr>
          <w:ilvl w:val="0"/>
          <w:numId w:val="1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Multifamily revenues of $732,000 for the year ended December 31, 2025 consisted primarily of rental income generated during the initial lease-up phase of Terra Vista at Tejon, which commenced leasing in May 2025.</w:t>
      </w:r>
    </w:p>
    <w:p>
      <w:pPr>
        <w:spacing w:after="0" w:line="81" w:lineRule="exact"/>
        <w:rPr>
          <w:rFonts w:ascii="Times New Roman" w:cs="Times New Roman" w:eastAsia="Times New Roman" w:hAnsi="Times New Roman"/>
          <w:sz w:val="14"/>
          <w:szCs w:val="14"/>
          <w:b w:val="1"/>
          <w:bCs w:val="1"/>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expenses of $2,279,000 reflect normal property-level costs as well as expenses associated with the initial lease-up period, including marketing, staffing, and other start-up costs.</w:t>
      </w:r>
    </w:p>
    <w:p>
      <w:pPr>
        <w:spacing w:after="0" w:line="136" w:lineRule="exact"/>
        <w:rPr>
          <w:rFonts w:ascii="Times New Roman" w:cs="Times New Roman" w:eastAsia="Times New Roman" w:hAnsi="Times New Roman"/>
          <w:sz w:val="14"/>
          <w:szCs w:val="14"/>
          <w:color w:val="auto"/>
        </w:rPr>
      </w:pPr>
    </w:p>
    <w:p>
      <w:pPr>
        <w:ind w:left="520" w:right="80" w:hanging="260"/>
        <w:spacing w:after="0" w:line="270"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Because the property has not yet reached stabilized occupancy as of December 31, 2025, operating results for the year reflect the impact of the lease-up phase, and operating margins are not indicative of stabilized operations. We expect to achieve stabilized occupancy during 2026, which we anticipate will result in improved operating income compared to 2025 as the property transitions from its lease-up phase to stabilized operations.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6EBF"/>
        </w:rPr>
        <w:t>Real Estate – Resort/Residential</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resort/residential segment activities include defending entitlements, land planning and pre-construction engineering and conservation activities for our MV, Grapevine, and Centennial projects.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in the preliminary stages of development; hence, no revenues are attributed to this segment for these reporting periods.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rPr>
              <w:t>2023</w:t>
            </w:r>
          </w:p>
        </w:tc>
      </w:tr>
      <w:tr>
        <w:trPr>
          <w:trHeight w:val="161"/>
        </w:trPr>
        <w:tc>
          <w:tcPr>
            <w:tcW w:w="7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Resort/residential</w:t>
            </w: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80"/>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Operating expenses</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w:t>
            </w:r>
          </w:p>
        </w:tc>
      </w:tr>
      <w:tr>
        <w:trPr>
          <w:trHeight w:val="180"/>
        </w:trPr>
        <w:tc>
          <w:tcPr>
            <w:tcW w:w="7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w:t>
            </w:r>
          </w:p>
        </w:tc>
      </w:tr>
      <w:tr>
        <w:trPr>
          <w:trHeight w:val="180"/>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71"/>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resort/residential expenses</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2,277</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2,615</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1,528</w:t>
            </w:r>
          </w:p>
        </w:tc>
      </w:tr>
      <w:tr>
        <w:trPr>
          <w:trHeight w:val="196"/>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loss from resort/residential</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2,277</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2,615</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1,528</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2025 Operational Highlights:</w:t>
      </w:r>
    </w:p>
    <w:p>
      <w:pPr>
        <w:spacing w:after="0" w:line="138" w:lineRule="exact"/>
        <w:rPr>
          <w:sz w:val="20"/>
          <w:szCs w:val="20"/>
          <w:color w:val="auto"/>
        </w:rPr>
      </w:pPr>
    </w:p>
    <w:p>
      <w:pPr>
        <w:ind w:left="520" w:right="400" w:hanging="260"/>
        <w:spacing w:after="0" w:line="287"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resort/residential segment remains in the investment phase with no revenues recognized in 2025. Segment expenses decreased $338,000 to $2,277,000, or 13%, when compared to $2,615,000 in 2024. The decrease was primarily attributable to the decrease in professional service fees and payroll costs.</w:t>
      </w:r>
    </w:p>
    <w:p>
      <w:pPr>
        <w:spacing w:after="0" w:line="81" w:lineRule="exact"/>
        <w:rPr>
          <w:rFonts w:ascii="Times New Roman" w:cs="Times New Roman" w:eastAsia="Times New Roman" w:hAnsi="Times New Roman"/>
          <w:sz w:val="14"/>
          <w:szCs w:val="14"/>
          <w:color w:val="auto"/>
        </w:rPr>
      </w:pPr>
    </w:p>
    <w:p>
      <w:pPr>
        <w:ind w:left="520" w:right="300" w:hanging="260"/>
        <w:spacing w:after="0" w:line="287"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expenses within the resort/residential segment consisted of operating expenses of $1,632,000, general and administrative expenses of $609,000 and depreciation and amortization of $36,000 for the twelve months ended December 31, 2025.</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2024 Operational Highlights:</w:t>
      </w:r>
    </w:p>
    <w:p>
      <w:pPr>
        <w:spacing w:after="0" w:line="138" w:lineRule="exact"/>
        <w:rPr>
          <w:sz w:val="20"/>
          <w:szCs w:val="20"/>
          <w:color w:val="auto"/>
        </w:rPr>
      </w:pPr>
    </w:p>
    <w:p>
      <w:pPr>
        <w:ind w:left="520" w:right="260" w:hanging="260"/>
        <w:spacing w:after="0" w:line="287"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2024, resort/residential segment expenses increased $1,087,000 to $2,615,000, or 71%, when compared to $1,528,000 in 2023. The increase was primarily attributable to an additional $1,250,000 of professional service fees and planning costs related to capital raising efforts tied to our master planned communities.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48" w:name="page49"/>
    <w:bookmarkEnd w:id="48"/>
    <w:p>
      <w:pPr>
        <w:ind w:left="520" w:right="300" w:hanging="260"/>
        <w:spacing w:after="0" w:line="287" w:lineRule="auto"/>
        <w:tabs>
          <w:tab w:leader="none" w:pos="5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expenses within the resort/residential segment consisted of operating expenses of $1,742,000, general and administrative expenses of $831,000 and depreciation and amortization of $42,000 for the twelve months ended December 31, 2024.</w:t>
      </w:r>
    </w:p>
    <w:p>
      <w:pPr>
        <w:spacing w:after="0" w:line="8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4"/>
          <w:szCs w:val="14"/>
          <w:color w:val="auto"/>
        </w:rPr>
        <w:t>The resort/residential segment will continue to incur costs related to professional service fees, public relations, and staffing as we advance permitting and pre-development activities in the MV, Grapevine, and Centennial communities. These expenses are expected to remain consistent with current levels in the near term, increasing only as individual projects transition into active development. The timing and completion of entitlement-related activities and the commencement of development remain difficult to predict due to uncertainties of the regulatory approval process, and broader economic conditions. We continue to evaluate our land resources to identify the highest and best use for our holdings, with the long-term objective of enhancing land value and creating future revenue opportunities through resort and residential development.</w:t>
      </w:r>
    </w:p>
    <w:p>
      <w:pPr>
        <w:spacing w:after="0" w:line="101"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Our long-term business plan for the development of MV, Grapevine, and Centennial remains unchanged. Advancement of infrastructure investment and subsequent lots sales is contingent upon obtaining development capital, and we are actively pursuing capital formation strategies in the context of current market conditions. We believe long-term market fundamentals, including California's well-documented housing shortage and proximity to the large Southern California population center, will support future housing demand in our region.</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Item 1, “Business – Real Estate Development Overview” for a further discussion of real estate development activities.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6EBF"/>
        </w:rPr>
        <w:t>Mineral Resources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28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161"/>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Mineral resources revenues</w:t>
            </w:r>
          </w:p>
        </w:tc>
        <w:tc>
          <w:tcPr>
            <w:tcW w:w="28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Oil and gas</w:t>
            </w:r>
          </w:p>
        </w:tc>
        <w:tc>
          <w:tcPr>
            <w:tcW w:w="3160" w:type="dxa"/>
            <w:vAlign w:val="bottom"/>
            <w:gridSpan w:val="2"/>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w:t>
            </w:r>
          </w:p>
        </w:tc>
        <w:tc>
          <w:tcPr>
            <w:tcW w:w="8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856</w:t>
            </w:r>
          </w:p>
        </w:tc>
        <w:tc>
          <w:tcPr>
            <w:tcW w:w="8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1,005</w:t>
            </w:r>
          </w:p>
        </w:tc>
        <w:tc>
          <w:tcPr>
            <w:tcW w:w="0" w:type="dxa"/>
            <w:vAlign w:val="bottom"/>
          </w:tcPr>
          <w:p>
            <w:pPr>
              <w:spacing w:after="0"/>
              <w:rPr>
                <w:sz w:val="1"/>
                <w:szCs w:val="1"/>
                <w:color w:val="auto"/>
              </w:rPr>
            </w:pPr>
          </w:p>
        </w:tc>
      </w:tr>
      <w:tr>
        <w:trPr>
          <w:trHeight w:val="180"/>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Rock aggregate</w:t>
            </w:r>
          </w:p>
        </w:tc>
        <w:tc>
          <w:tcPr>
            <w:tcW w:w="28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2,175</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1,903</w:t>
            </w:r>
          </w:p>
        </w:tc>
        <w:tc>
          <w:tcPr>
            <w:tcW w:w="0" w:type="dxa"/>
            <w:vAlign w:val="bottom"/>
          </w:tcPr>
          <w:p>
            <w:pPr>
              <w:spacing w:after="0"/>
              <w:rPr>
                <w:sz w:val="1"/>
                <w:szCs w:val="1"/>
                <w:color w:val="auto"/>
              </w:rPr>
            </w:pPr>
          </w:p>
        </w:tc>
      </w:tr>
      <w:tr>
        <w:trPr>
          <w:trHeight w:val="180"/>
        </w:trPr>
        <w:tc>
          <w:tcPr>
            <w:tcW w:w="4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Cement</w:t>
            </w:r>
          </w:p>
        </w:tc>
        <w:tc>
          <w:tcPr>
            <w:tcW w:w="2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2,244</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2,759</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2,652</w:t>
            </w:r>
          </w:p>
        </w:tc>
        <w:tc>
          <w:tcPr>
            <w:tcW w:w="0" w:type="dxa"/>
            <w:vAlign w:val="bottom"/>
          </w:tcPr>
          <w:p>
            <w:pPr>
              <w:spacing w:after="0"/>
              <w:rPr>
                <w:sz w:val="1"/>
                <w:szCs w:val="1"/>
                <w:color w:val="auto"/>
              </w:rPr>
            </w:pPr>
          </w:p>
        </w:tc>
      </w:tr>
      <w:tr>
        <w:trPr>
          <w:trHeight w:val="180"/>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Exploration leases</w:t>
            </w:r>
          </w:p>
        </w:tc>
        <w:tc>
          <w:tcPr>
            <w:tcW w:w="28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80"/>
        </w:trPr>
        <w:tc>
          <w:tcPr>
            <w:tcW w:w="4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Water sales</w:t>
            </w:r>
          </w:p>
        </w:tc>
        <w:tc>
          <w:tcPr>
            <w:tcW w:w="2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8,033</w:t>
            </w:r>
          </w:p>
        </w:tc>
        <w:tc>
          <w:tcPr>
            <w:tcW w:w="0" w:type="dxa"/>
            <w:vAlign w:val="bottom"/>
          </w:tcPr>
          <w:p>
            <w:pPr>
              <w:spacing w:after="0"/>
              <w:rPr>
                <w:sz w:val="1"/>
                <w:szCs w:val="1"/>
                <w:color w:val="auto"/>
              </w:rPr>
            </w:pPr>
          </w:p>
        </w:tc>
      </w:tr>
      <w:tr>
        <w:trPr>
          <w:trHeight w:val="180"/>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Reimbursables and other</w:t>
            </w:r>
          </w:p>
        </w:tc>
        <w:tc>
          <w:tcPr>
            <w:tcW w:w="284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w:t>
            </w:r>
          </w:p>
        </w:tc>
        <w:tc>
          <w:tcPr>
            <w:tcW w:w="0" w:type="dxa"/>
            <w:vAlign w:val="bottom"/>
          </w:tcPr>
          <w:p>
            <w:pPr>
              <w:spacing w:after="0"/>
              <w:rPr>
                <w:sz w:val="1"/>
                <w:szCs w:val="1"/>
                <w:color w:val="auto"/>
              </w:rPr>
            </w:pPr>
          </w:p>
        </w:tc>
      </w:tr>
      <w:tr>
        <w:trPr>
          <w:trHeight w:val="171"/>
        </w:trPr>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mineral resources revenues</w:t>
            </w:r>
          </w:p>
        </w:tc>
        <w:tc>
          <w:tcPr>
            <w:tcW w:w="28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9,636</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10,214</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14,524</w:t>
            </w:r>
          </w:p>
        </w:tc>
        <w:tc>
          <w:tcPr>
            <w:tcW w:w="0" w:type="dxa"/>
            <w:vAlign w:val="bottom"/>
          </w:tcPr>
          <w:p>
            <w:pPr>
              <w:spacing w:after="0"/>
              <w:rPr>
                <w:sz w:val="1"/>
                <w:szCs w:val="1"/>
                <w:color w:val="auto"/>
              </w:rPr>
            </w:pPr>
          </w:p>
        </w:tc>
      </w:tr>
      <w:tr>
        <w:trPr>
          <w:trHeight w:val="16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Mineral resources expenses</w:t>
            </w:r>
          </w:p>
        </w:tc>
        <w:tc>
          <w:tcPr>
            <w:tcW w:w="28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Cost of sales of water</w:t>
            </w:r>
          </w:p>
        </w:tc>
        <w:tc>
          <w:tcPr>
            <w:tcW w:w="2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5,220</w:t>
            </w:r>
          </w:p>
        </w:tc>
        <w:tc>
          <w:tcPr>
            <w:tcW w:w="0" w:type="dxa"/>
            <w:vAlign w:val="bottom"/>
          </w:tcPr>
          <w:p>
            <w:pPr>
              <w:spacing w:after="0"/>
              <w:rPr>
                <w:sz w:val="1"/>
                <w:szCs w:val="1"/>
                <w:color w:val="auto"/>
              </w:rPr>
            </w:pPr>
          </w:p>
        </w:tc>
      </w:tr>
      <w:tr>
        <w:trPr>
          <w:trHeight w:val="180"/>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Operating expenses</w:t>
            </w:r>
          </w:p>
        </w:tc>
        <w:tc>
          <w:tcPr>
            <w:tcW w:w="28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1,307</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1,225</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1,338</w:t>
            </w:r>
          </w:p>
        </w:tc>
        <w:tc>
          <w:tcPr>
            <w:tcW w:w="0" w:type="dxa"/>
            <w:vAlign w:val="bottom"/>
          </w:tcPr>
          <w:p>
            <w:pPr>
              <w:spacing w:after="0"/>
              <w:rPr>
                <w:sz w:val="1"/>
                <w:szCs w:val="1"/>
                <w:color w:val="auto"/>
              </w:rPr>
            </w:pPr>
          </w:p>
        </w:tc>
      </w:tr>
      <w:tr>
        <w:trPr>
          <w:trHeight w:val="180"/>
        </w:trPr>
        <w:tc>
          <w:tcPr>
            <w:tcW w:w="4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2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897</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w:t>
            </w:r>
          </w:p>
        </w:tc>
        <w:tc>
          <w:tcPr>
            <w:tcW w:w="0" w:type="dxa"/>
            <w:vAlign w:val="bottom"/>
          </w:tcPr>
          <w:p>
            <w:pPr>
              <w:spacing w:after="0"/>
              <w:rPr>
                <w:sz w:val="1"/>
                <w:szCs w:val="1"/>
                <w:color w:val="auto"/>
              </w:rPr>
            </w:pPr>
          </w:p>
        </w:tc>
      </w:tr>
      <w:tr>
        <w:trPr>
          <w:trHeight w:val="180"/>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84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1,374</w:t>
            </w:r>
          </w:p>
        </w:tc>
        <w:tc>
          <w:tcPr>
            <w:tcW w:w="0" w:type="dxa"/>
            <w:vAlign w:val="bottom"/>
          </w:tcPr>
          <w:p>
            <w:pPr>
              <w:spacing w:after="0"/>
              <w:rPr>
                <w:sz w:val="1"/>
                <w:szCs w:val="1"/>
                <w:color w:val="auto"/>
              </w:rPr>
            </w:pPr>
          </w:p>
        </w:tc>
      </w:tr>
      <w:tr>
        <w:trPr>
          <w:trHeight w:val="171"/>
        </w:trPr>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mineral resources expenses</w:t>
            </w:r>
          </w:p>
        </w:tc>
        <w:tc>
          <w:tcPr>
            <w:tcW w:w="28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6,807</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7,052</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8,685</w:t>
            </w:r>
          </w:p>
        </w:tc>
        <w:tc>
          <w:tcPr>
            <w:tcW w:w="0" w:type="dxa"/>
            <w:vAlign w:val="bottom"/>
          </w:tcPr>
          <w:p>
            <w:pPr>
              <w:spacing w:after="0"/>
              <w:rPr>
                <w:sz w:val="1"/>
                <w:szCs w:val="1"/>
                <w:color w:val="auto"/>
              </w:rPr>
            </w:pPr>
          </w:p>
        </w:tc>
      </w:tr>
      <w:tr>
        <w:trPr>
          <w:trHeight w:val="196"/>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 from mineral resources</w:t>
            </w:r>
          </w:p>
        </w:tc>
        <w:tc>
          <w:tcPr>
            <w:tcW w:w="28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2,829</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3,162</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5,839</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bottom w:val="single" w:sz="8" w:color="CCEEFF"/>
            </w:tcBorders>
            <w:vMerge w:val="restart"/>
          </w:tcPr>
          <w:p>
            <w:pPr>
              <w:jc w:val="right"/>
              <w:ind w:right="1189"/>
              <w:spacing w:after="0"/>
              <w:rPr>
                <w:sz w:val="20"/>
                <w:szCs w:val="20"/>
                <w:color w:val="auto"/>
              </w:rPr>
            </w:pPr>
            <w:r>
              <w:rPr>
                <w:rFonts w:ascii="Times New Roman" w:cs="Times New Roman" w:eastAsia="Times New Roman" w:hAnsi="Times New Roman"/>
                <w:sz w:val="14"/>
                <w:szCs w:val="14"/>
                <w:color w:val="auto"/>
              </w:rPr>
              <w:t>49</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9"/>
        </w:trPr>
        <w:tc>
          <w:tcPr>
            <w:tcW w:w="414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140" w:type="dxa"/>
            <w:vAlign w:val="bottom"/>
            <w:tcBorders>
              <w:bottom w:val="single" w:sz="8" w:color="9A9A9A"/>
            </w:tcBorders>
          </w:tcPr>
          <w:p>
            <w:pPr>
              <w:spacing w:after="0"/>
              <w:rPr>
                <w:sz w:val="7"/>
                <w:szCs w:val="7"/>
                <w:color w:val="auto"/>
              </w:rPr>
            </w:pPr>
          </w:p>
        </w:tc>
        <w:tc>
          <w:tcPr>
            <w:tcW w:w="284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57" w:right="31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96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Oil and gas</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10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960" w:type="dxa"/>
            <w:vAlign w:val="bottom"/>
            <w:gridSpan w:val="5"/>
            <w:vMerge w:val="continue"/>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69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Oil production (barrels)</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67,441</w:t>
            </w: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83,411</w:t>
            </w: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94,780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6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Average price per barrel</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$65.00</w:t>
            </w:r>
          </w:p>
        </w:tc>
        <w:tc>
          <w:tcPr>
            <w:tcW w:w="1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$76.00</w:t>
            </w:r>
          </w:p>
        </w:tc>
        <w:tc>
          <w:tcPr>
            <w:tcW w:w="1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$78.00</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9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Natural gas production (millions of cubic feet)</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13,088</w:t>
            </w: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20,480</w:t>
            </w: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62,000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6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Average price per thousand cubic feet</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$1.56</w:t>
            </w:r>
          </w:p>
        </w:tc>
        <w:tc>
          <w:tcPr>
            <w:tcW w:w="1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$2.87</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9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Blended royalty rate</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13.4%</w:t>
            </w: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13.3%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4"/>
              </w:rPr>
              <w:t>Water</w:t>
            </w:r>
          </w:p>
        </w:tc>
        <w:tc>
          <w:tcPr>
            <w:tcW w:w="6580" w:type="dxa"/>
            <w:vAlign w:val="bottom"/>
            <w:tcBorders>
              <w:bottom w:val="single" w:sz="8" w:color="CCEEFF"/>
            </w:tcBorders>
            <w:gridSpan w:val="4"/>
            <w:shd w:val="clear" w:color="auto" w:fill="CCEEFF"/>
          </w:tcPr>
          <w:p>
            <w:pPr>
              <w:spacing w:after="0"/>
              <w:rPr>
                <w:sz w:val="13"/>
                <w:szCs w:val="13"/>
                <w:color w:val="auto"/>
              </w:rPr>
            </w:pPr>
          </w:p>
        </w:tc>
        <w:tc>
          <w:tcPr>
            <w:tcW w:w="13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6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Water sold in acre-feet</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3,177</w:t>
            </w:r>
          </w:p>
        </w:tc>
        <w:tc>
          <w:tcPr>
            <w:tcW w:w="1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3,500</w:t>
            </w:r>
          </w:p>
        </w:tc>
        <w:tc>
          <w:tcPr>
            <w:tcW w:w="1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5,145</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9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Average price per acre-foot</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$1,356</w:t>
            </w: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$1,252</w:t>
            </w: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$1,561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auto"/>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8"/>
              </w:rPr>
              <w:t>Cement</w:t>
            </w:r>
          </w:p>
        </w:tc>
        <w:tc>
          <w:tcPr>
            <w:tcW w:w="6480" w:type="dxa"/>
            <w:vAlign w:val="bottom"/>
            <w:tcBorders>
              <w:bottom w:val="single" w:sz="8" w:color="CCEEFF"/>
            </w:tcBorders>
            <w:gridSpan w:val="3"/>
            <w:shd w:val="clear" w:color="auto" w:fill="CCEEFF"/>
          </w:tcPr>
          <w:p>
            <w:pPr>
              <w:spacing w:after="0"/>
              <w:rPr>
                <w:sz w:val="13"/>
                <w:szCs w:val="13"/>
                <w:color w:val="auto"/>
              </w:rPr>
            </w:pPr>
          </w:p>
        </w:tc>
        <w:tc>
          <w:tcPr>
            <w:tcW w:w="13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6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Tons sold</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868,000</w:t>
            </w:r>
          </w:p>
        </w:tc>
        <w:tc>
          <w:tcPr>
            <w:tcW w:w="1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1,079,000</w:t>
            </w:r>
          </w:p>
        </w:tc>
        <w:tc>
          <w:tcPr>
            <w:tcW w:w="1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1,112,000</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9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Average price per ton</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$2.58</w:t>
            </w: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$2.56</w:t>
            </w: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$2.39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auto"/>
            </w:tcBorders>
            <w:gridSpan w:val="4"/>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9"/>
              </w:rPr>
              <w:t>Rock/Aggregate</w:t>
            </w:r>
          </w:p>
        </w:tc>
        <w:tc>
          <w:tcPr>
            <w:tcW w:w="5980" w:type="dxa"/>
            <w:vAlign w:val="bottom"/>
            <w:tcBorders>
              <w:bottom w:val="single" w:sz="8" w:color="CCEEFF"/>
            </w:tcBorders>
            <w:shd w:val="clear" w:color="auto" w:fill="CCEEFF"/>
          </w:tcPr>
          <w:p>
            <w:pPr>
              <w:spacing w:after="0"/>
              <w:rPr>
                <w:sz w:val="13"/>
                <w:szCs w:val="13"/>
                <w:color w:val="auto"/>
              </w:rPr>
            </w:pPr>
          </w:p>
        </w:tc>
        <w:tc>
          <w:tcPr>
            <w:tcW w:w="13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6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Tons sold</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1,494,000</w:t>
            </w:r>
          </w:p>
        </w:tc>
        <w:tc>
          <w:tcPr>
            <w:tcW w:w="1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1,442,000</w:t>
            </w:r>
          </w:p>
        </w:tc>
        <w:tc>
          <w:tcPr>
            <w:tcW w:w="1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1,600,000</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9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Average price per ton</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$1.46</w:t>
            </w: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$1.19</w:t>
            </w: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Note: Differences between revenues calculated within this table and reported revenues within the previous table are attributed to rounding and the level of precision presented on production units shown.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2025 Operational Highlights:</w:t>
      </w:r>
    </w:p>
    <w:p>
      <w:pPr>
        <w:spacing w:after="0" w:line="138" w:lineRule="exact"/>
        <w:rPr>
          <w:sz w:val="20"/>
          <w:szCs w:val="20"/>
          <w:color w:val="auto"/>
        </w:rPr>
      </w:pPr>
    </w:p>
    <w:p>
      <w:pPr>
        <w:ind w:left="520" w:right="160" w:hanging="260"/>
        <w:spacing w:after="0" w:line="287" w:lineRule="auto"/>
        <w:tabs>
          <w:tab w:leader="none" w:pos="51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Revenues from our mineral resources segment decreased $578,000, or 6%, to $9,636,000 in 2025 when compared to $10,214,000 in 2024. The decrease was primarily attributable to lower oil and natural gas production volumes and pricing, along with reduced cement sales volumes.</w:t>
      </w:r>
    </w:p>
    <w:p>
      <w:pPr>
        <w:spacing w:after="0" w:line="8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Mineral resources expenses decreased $245,000, or 3%, to $6,807,000 in 2025 when compared to $7,052,000 in 2024, reflecting lower cost of sales associated with reduced water sales.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2024 Operational Highlights:</w:t>
      </w:r>
    </w:p>
    <w:p>
      <w:pPr>
        <w:spacing w:after="0" w:line="138" w:lineRule="exact"/>
        <w:rPr>
          <w:sz w:val="20"/>
          <w:szCs w:val="20"/>
          <w:color w:val="auto"/>
        </w:rPr>
      </w:pPr>
    </w:p>
    <w:p>
      <w:pPr>
        <w:jc w:val="both"/>
        <w:ind w:left="520" w:right="120" w:hanging="260"/>
        <w:spacing w:after="0" w:line="270" w:lineRule="auto"/>
        <w:tabs>
          <w:tab w:leader="none" w:pos="51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Revenues from our mineral resources segment decreased $4,310,000, or 30%, to $10,214,000 in 2024 when compared to $14,524,000 in 2023. The decrease is primarily attributed to lower water sales revenue of $3,650,000 due to back-to-back above average rainfall years in California, which severely limited water sales opportunities. Additionally, reimbursable revenues also decreased $711,000 due to a mineral resources tax reassessment.</w:t>
      </w:r>
    </w:p>
    <w:p>
      <w:pPr>
        <w:spacing w:after="0" w:line="93" w:lineRule="exact"/>
        <w:rPr>
          <w:rFonts w:ascii="Times New Roman" w:cs="Times New Roman" w:eastAsia="Times New Roman" w:hAnsi="Times New Roman"/>
          <w:sz w:val="14"/>
          <w:szCs w:val="14"/>
          <w:color w:val="auto"/>
        </w:rPr>
      </w:pPr>
    </w:p>
    <w:p>
      <w:pPr>
        <w:ind w:left="520" w:right="480" w:hanging="260"/>
        <w:spacing w:after="0" w:line="287" w:lineRule="auto"/>
        <w:tabs>
          <w:tab w:leader="none" w:pos="51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Mineral resources expenses decreased $1,633,000, or 19%, to $7,052,000 in 2024 when compared to $8,685,000 in 2023. The decrease was primarily due to lower water cost of sales recognized of $1,665,000.</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further discussion of mineral resources operations, refer to Item 1 “Business—Mineral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9" w:right="31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86"/>
        </w:trPr>
        <w:tc>
          <w:tcPr>
            <w:tcW w:w="2660" w:type="dxa"/>
            <w:vAlign w:val="bottom"/>
          </w:tcPr>
          <w:p>
            <w:pPr>
              <w:spacing w:after="0"/>
              <w:rPr>
                <w:sz w:val="20"/>
                <w:szCs w:val="20"/>
                <w:color w:val="auto"/>
              </w:rPr>
            </w:pPr>
            <w:r>
              <w:rPr>
                <w:rFonts w:ascii="Times New Roman" w:cs="Times New Roman" w:eastAsia="Times New Roman" w:hAnsi="Times New Roman"/>
                <w:sz w:val="14"/>
                <w:szCs w:val="14"/>
                <w:b w:val="1"/>
                <w:bCs w:val="1"/>
                <w:color w:val="006EBF"/>
              </w:rPr>
              <w:t>Farming</w:t>
            </w: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3"/>
        </w:trPr>
        <w:tc>
          <w:tcPr>
            <w:tcW w:w="2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2"/>
          </w:tcPr>
          <w:p>
            <w:pPr>
              <w:jc w:val="right"/>
              <w:ind w:right="450"/>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161"/>
        </w:trPr>
        <w:tc>
          <w:tcPr>
            <w:tcW w:w="2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Farming revenues</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Almonds</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940" w:type="dxa"/>
            <w:vAlign w:val="bottom"/>
            <w:gridSpan w:val="3"/>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7,759</w:t>
            </w:r>
          </w:p>
        </w:tc>
        <w:tc>
          <w:tcPr>
            <w:tcW w:w="20" w:type="dxa"/>
            <w:vAlign w:val="bottom"/>
            <w:shd w:val="clear" w:color="auto" w:fill="CCEEFF"/>
          </w:tcPr>
          <w:p>
            <w:pPr>
              <w:spacing w:after="0"/>
              <w:rPr>
                <w:sz w:val="15"/>
                <w:szCs w:val="15"/>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7,122</w:t>
            </w:r>
          </w:p>
        </w:tc>
        <w:tc>
          <w:tcPr>
            <w:tcW w:w="460" w:type="dxa"/>
            <w:vAlign w:val="bottom"/>
            <w:gridSpan w:val="2"/>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5,378</w:t>
            </w:r>
          </w:p>
        </w:tc>
        <w:tc>
          <w:tcPr>
            <w:tcW w:w="0" w:type="dxa"/>
            <w:vAlign w:val="bottom"/>
          </w:tcPr>
          <w:p>
            <w:pPr>
              <w:spacing w:after="0"/>
              <w:rPr>
                <w:sz w:val="1"/>
                <w:szCs w:val="1"/>
                <w:color w:val="auto"/>
              </w:rPr>
            </w:pPr>
          </w:p>
        </w:tc>
      </w:tr>
      <w:tr>
        <w:trPr>
          <w:trHeight w:val="180"/>
        </w:trPr>
        <w:tc>
          <w:tcPr>
            <w:tcW w:w="2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Pistachios</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6,779</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3,237</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4,036</w:t>
            </w:r>
          </w:p>
        </w:tc>
        <w:tc>
          <w:tcPr>
            <w:tcW w:w="0" w:type="dxa"/>
            <w:vAlign w:val="bottom"/>
          </w:tcPr>
          <w:p>
            <w:pPr>
              <w:spacing w:after="0"/>
              <w:rPr>
                <w:sz w:val="1"/>
                <w:szCs w:val="1"/>
                <w:color w:val="auto"/>
              </w:rPr>
            </w:pPr>
          </w:p>
        </w:tc>
      </w:tr>
      <w:tr>
        <w:trPr>
          <w:trHeight w:val="180"/>
        </w:trPr>
        <w:tc>
          <w:tcPr>
            <w:tcW w:w="2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Wine grapes</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3,431</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2,704</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3,290</w:t>
            </w:r>
          </w:p>
        </w:tc>
        <w:tc>
          <w:tcPr>
            <w:tcW w:w="0" w:type="dxa"/>
            <w:vAlign w:val="bottom"/>
          </w:tcPr>
          <w:p>
            <w:pPr>
              <w:spacing w:after="0"/>
              <w:rPr>
                <w:sz w:val="1"/>
                <w:szCs w:val="1"/>
                <w:color w:val="auto"/>
              </w:rPr>
            </w:pPr>
          </w:p>
        </w:tc>
      </w:tr>
      <w:tr>
        <w:trPr>
          <w:trHeight w:val="180"/>
        </w:trPr>
        <w:tc>
          <w:tcPr>
            <w:tcW w:w="2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Hay</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0" w:type="dxa"/>
            <w:vAlign w:val="bottom"/>
          </w:tcPr>
          <w:p>
            <w:pPr>
              <w:spacing w:after="0"/>
              <w:rPr>
                <w:sz w:val="1"/>
                <w:szCs w:val="1"/>
                <w:color w:val="auto"/>
              </w:rPr>
            </w:pPr>
          </w:p>
        </w:tc>
      </w:tr>
      <w:tr>
        <w:trPr>
          <w:trHeight w:val="180"/>
        </w:trPr>
        <w:tc>
          <w:tcPr>
            <w:tcW w:w="2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769</w:t>
            </w:r>
          </w:p>
        </w:tc>
        <w:tc>
          <w:tcPr>
            <w:tcW w:w="2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979</w:t>
            </w:r>
          </w:p>
        </w:tc>
        <w:tc>
          <w:tcPr>
            <w:tcW w:w="0" w:type="dxa"/>
            <w:vAlign w:val="bottom"/>
          </w:tcPr>
          <w:p>
            <w:pPr>
              <w:spacing w:after="0"/>
              <w:rPr>
                <w:sz w:val="1"/>
                <w:szCs w:val="1"/>
                <w:color w:val="auto"/>
              </w:rPr>
            </w:pPr>
          </w:p>
        </w:tc>
      </w:tr>
      <w:tr>
        <w:trPr>
          <w:trHeight w:val="171"/>
        </w:trPr>
        <w:tc>
          <w:tcPr>
            <w:tcW w:w="2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farming revenues</w:t>
            </w:r>
          </w:p>
        </w:tc>
        <w:tc>
          <w:tcPr>
            <w:tcW w:w="16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18,738</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13,925</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13,950</w:t>
            </w:r>
          </w:p>
        </w:tc>
        <w:tc>
          <w:tcPr>
            <w:tcW w:w="0" w:type="dxa"/>
            <w:vAlign w:val="bottom"/>
          </w:tcPr>
          <w:p>
            <w:pPr>
              <w:spacing w:after="0"/>
              <w:rPr>
                <w:sz w:val="1"/>
                <w:szCs w:val="1"/>
                <w:color w:val="auto"/>
              </w:rPr>
            </w:pPr>
          </w:p>
        </w:tc>
      </w:tr>
      <w:tr>
        <w:trPr>
          <w:trHeight w:val="160"/>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Farming expenses</w:t>
            </w: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Cost of sales</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13,532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11,832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12,125</w:t>
            </w:r>
          </w:p>
        </w:tc>
        <w:tc>
          <w:tcPr>
            <w:tcW w:w="0" w:type="dxa"/>
            <w:vAlign w:val="bottom"/>
          </w:tcPr>
          <w:p>
            <w:pPr>
              <w:spacing w:after="0"/>
              <w:rPr>
                <w:sz w:val="1"/>
                <w:szCs w:val="1"/>
                <w:color w:val="auto"/>
              </w:rPr>
            </w:pPr>
          </w:p>
        </w:tc>
      </w:tr>
      <w:tr>
        <w:trPr>
          <w:trHeight w:val="180"/>
        </w:trPr>
        <w:tc>
          <w:tcPr>
            <w:tcW w:w="2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Fixed water obligations</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2,796</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2,912</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w:t>
            </w:r>
          </w:p>
        </w:tc>
        <w:tc>
          <w:tcPr>
            <w:tcW w:w="0" w:type="dxa"/>
            <w:vAlign w:val="bottom"/>
          </w:tcPr>
          <w:p>
            <w:pPr>
              <w:spacing w:after="0"/>
              <w:rPr>
                <w:sz w:val="1"/>
                <w:szCs w:val="1"/>
                <w:color w:val="auto"/>
              </w:rPr>
            </w:pPr>
          </w:p>
        </w:tc>
      </w:tr>
      <w:tr>
        <w:trPr>
          <w:trHeight w:val="180"/>
        </w:trPr>
        <w:tc>
          <w:tcPr>
            <w:tcW w:w="28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109</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488</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0" w:type="dxa"/>
            <w:vAlign w:val="bottom"/>
          </w:tcPr>
          <w:p>
            <w:pPr>
              <w:spacing w:after="0"/>
              <w:rPr>
                <w:sz w:val="1"/>
                <w:szCs w:val="1"/>
                <w:color w:val="auto"/>
              </w:rPr>
            </w:pPr>
          </w:p>
        </w:tc>
      </w:tr>
      <w:tr>
        <w:trPr>
          <w:trHeight w:val="180"/>
        </w:trPr>
        <w:tc>
          <w:tcPr>
            <w:tcW w:w="2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2,413</w:t>
            </w:r>
          </w:p>
        </w:tc>
        <w:tc>
          <w:tcPr>
            <w:tcW w:w="2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2,319</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2,097</w:t>
            </w:r>
          </w:p>
        </w:tc>
        <w:tc>
          <w:tcPr>
            <w:tcW w:w="0" w:type="dxa"/>
            <w:vAlign w:val="bottom"/>
          </w:tcPr>
          <w:p>
            <w:pPr>
              <w:spacing w:after="0"/>
              <w:rPr>
                <w:sz w:val="1"/>
                <w:szCs w:val="1"/>
                <w:color w:val="auto"/>
              </w:rPr>
            </w:pPr>
          </w:p>
        </w:tc>
      </w:tr>
      <w:tr>
        <w:trPr>
          <w:trHeight w:val="171"/>
        </w:trPr>
        <w:tc>
          <w:tcPr>
            <w:tcW w:w="2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farming expenses</w:t>
            </w:r>
          </w:p>
        </w:tc>
        <w:tc>
          <w:tcPr>
            <w:tcW w:w="16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18,850</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17,551</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15,257</w:t>
            </w:r>
          </w:p>
        </w:tc>
        <w:tc>
          <w:tcPr>
            <w:tcW w:w="0" w:type="dxa"/>
            <w:vAlign w:val="bottom"/>
          </w:tcPr>
          <w:p>
            <w:pPr>
              <w:spacing w:after="0"/>
              <w:rPr>
                <w:sz w:val="1"/>
                <w:szCs w:val="1"/>
                <w:color w:val="auto"/>
              </w:rPr>
            </w:pPr>
          </w:p>
        </w:tc>
      </w:tr>
      <w:tr>
        <w:trPr>
          <w:trHeight w:val="196"/>
        </w:trPr>
        <w:tc>
          <w:tcPr>
            <w:tcW w:w="2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loss from farming</w:t>
            </w:r>
          </w:p>
        </w:tc>
        <w:tc>
          <w:tcPr>
            <w:tcW w:w="1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right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(112)</w:t>
            </w: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(3,626)</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(1,307)</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color w:val="auto"/>
                <w:w w:val="97"/>
              </w:rPr>
              <w:t>December 31, 2025</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3"/>
                <w:szCs w:val="13"/>
                <w:color w:val="auto"/>
                <w:w w:val="97"/>
              </w:rPr>
              <w:t>December 31, 2024</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3"/>
                <w:szCs w:val="13"/>
                <w:color w:val="auto"/>
                <w:w w:val="95"/>
              </w:rPr>
              <w:t>Change</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160" w:type="dxa"/>
            <w:vAlign w:val="bottom"/>
          </w:tcPr>
          <w:p>
            <w:pPr>
              <w:spacing w:after="0"/>
              <w:rPr>
                <w:sz w:val="10"/>
                <w:szCs w:val="10"/>
                <w:color w:val="auto"/>
              </w:rPr>
            </w:pPr>
          </w:p>
        </w:tc>
        <w:tc>
          <w:tcPr>
            <w:tcW w:w="700" w:type="dxa"/>
            <w:vAlign w:val="bottom"/>
            <w:vMerge w:val="restart"/>
          </w:tcPr>
          <w:p>
            <w:pPr>
              <w:jc w:val="right"/>
              <w:ind w:right="130"/>
              <w:spacing w:after="0"/>
              <w:rPr>
                <w:sz w:val="20"/>
                <w:szCs w:val="20"/>
                <w:color w:val="auto"/>
              </w:rPr>
            </w:pPr>
            <w:r>
              <w:rPr>
                <w:rFonts w:ascii="Times New Roman" w:cs="Times New Roman" w:eastAsia="Times New Roman" w:hAnsi="Times New Roman"/>
                <w:sz w:val="13"/>
                <w:szCs w:val="13"/>
                <w:color w:val="auto"/>
              </w:rPr>
              <w:t>Revenue</w:t>
            </w:r>
          </w:p>
        </w:tc>
        <w:tc>
          <w:tcPr>
            <w:tcW w:w="100" w:type="dxa"/>
            <w:vAlign w:val="bottom"/>
          </w:tcPr>
          <w:p>
            <w:pPr>
              <w:spacing w:after="0"/>
              <w:rPr>
                <w:sz w:val="10"/>
                <w:szCs w:val="10"/>
                <w:color w:val="auto"/>
              </w:rPr>
            </w:pPr>
          </w:p>
        </w:tc>
        <w:tc>
          <w:tcPr>
            <w:tcW w:w="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color w:val="auto"/>
                <w:w w:val="97"/>
              </w:rPr>
              <w:t>Quantity Sold</w:t>
            </w:r>
            <w:r>
              <w:rPr>
                <w:rFonts w:ascii="Times New Roman" w:cs="Times New Roman" w:eastAsia="Times New Roman" w:hAnsi="Times New Roman"/>
                <w:sz w:val="16"/>
                <w:szCs w:val="16"/>
                <w:color w:val="auto"/>
                <w:w w:val="97"/>
                <w:vertAlign w:val="superscript"/>
              </w:rPr>
              <w:t>2</w:t>
            </w:r>
          </w:p>
        </w:tc>
        <w:tc>
          <w:tcPr>
            <w:tcW w:w="140" w:type="dxa"/>
            <w:vAlign w:val="bottom"/>
          </w:tcPr>
          <w:p>
            <w:pPr>
              <w:spacing w:after="0"/>
              <w:rPr>
                <w:sz w:val="10"/>
                <w:szCs w:val="10"/>
                <w:color w:val="auto"/>
              </w:rPr>
            </w:pPr>
          </w:p>
        </w:tc>
        <w:tc>
          <w:tcPr>
            <w:tcW w:w="700" w:type="dxa"/>
            <w:vAlign w:val="bottom"/>
          </w:tcPr>
          <w:p>
            <w:pPr>
              <w:jc w:val="center"/>
              <w:ind w:right="51"/>
              <w:spacing w:after="0" w:line="120" w:lineRule="exact"/>
              <w:rPr>
                <w:sz w:val="20"/>
                <w:szCs w:val="20"/>
                <w:color w:val="auto"/>
              </w:rPr>
            </w:pPr>
            <w:r>
              <w:rPr>
                <w:rFonts w:ascii="Times New Roman" w:cs="Times New Roman" w:eastAsia="Times New Roman" w:hAnsi="Times New Roman"/>
                <w:sz w:val="13"/>
                <w:szCs w:val="13"/>
                <w:color w:val="auto"/>
                <w:w w:val="95"/>
              </w:rPr>
              <w:t>Average</w:t>
            </w: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vMerge w:val="restart"/>
          </w:tcPr>
          <w:p>
            <w:pPr>
              <w:jc w:val="right"/>
              <w:ind w:right="130"/>
              <w:spacing w:after="0"/>
              <w:rPr>
                <w:sz w:val="20"/>
                <w:szCs w:val="20"/>
                <w:color w:val="auto"/>
              </w:rPr>
            </w:pPr>
            <w:r>
              <w:rPr>
                <w:rFonts w:ascii="Times New Roman" w:cs="Times New Roman" w:eastAsia="Times New Roman" w:hAnsi="Times New Roman"/>
                <w:sz w:val="13"/>
                <w:szCs w:val="13"/>
                <w:color w:val="auto"/>
              </w:rPr>
              <w:t>Revenue</w:t>
            </w:r>
          </w:p>
        </w:tc>
        <w:tc>
          <w:tcPr>
            <w:tcW w:w="100" w:type="dxa"/>
            <w:vAlign w:val="bottom"/>
          </w:tcPr>
          <w:p>
            <w:pPr>
              <w:spacing w:after="0"/>
              <w:rPr>
                <w:sz w:val="10"/>
                <w:szCs w:val="10"/>
                <w:color w:val="auto"/>
              </w:rPr>
            </w:pPr>
          </w:p>
        </w:tc>
        <w:tc>
          <w:tcPr>
            <w:tcW w:w="9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color w:val="auto"/>
                <w:w w:val="97"/>
              </w:rPr>
              <w:t>Quantity Sold</w:t>
            </w:r>
            <w:r>
              <w:rPr>
                <w:rFonts w:ascii="Times New Roman" w:cs="Times New Roman" w:eastAsia="Times New Roman" w:hAnsi="Times New Roman"/>
                <w:sz w:val="16"/>
                <w:szCs w:val="16"/>
                <w:color w:val="auto"/>
                <w:w w:val="97"/>
                <w:vertAlign w:val="superscript"/>
              </w:rPr>
              <w:t>2</w:t>
            </w:r>
          </w:p>
        </w:tc>
        <w:tc>
          <w:tcPr>
            <w:tcW w:w="140" w:type="dxa"/>
            <w:vAlign w:val="bottom"/>
          </w:tcPr>
          <w:p>
            <w:pPr>
              <w:spacing w:after="0"/>
              <w:rPr>
                <w:sz w:val="10"/>
                <w:szCs w:val="10"/>
                <w:color w:val="auto"/>
              </w:rPr>
            </w:pPr>
          </w:p>
        </w:tc>
        <w:tc>
          <w:tcPr>
            <w:tcW w:w="720" w:type="dxa"/>
            <w:vAlign w:val="bottom"/>
          </w:tcPr>
          <w:p>
            <w:pPr>
              <w:jc w:val="right"/>
              <w:ind w:right="150"/>
              <w:spacing w:after="0" w:line="120" w:lineRule="exact"/>
              <w:rPr>
                <w:sz w:val="20"/>
                <w:szCs w:val="20"/>
                <w:color w:val="auto"/>
              </w:rPr>
            </w:pPr>
            <w:r>
              <w:rPr>
                <w:rFonts w:ascii="Times New Roman" w:cs="Times New Roman" w:eastAsia="Times New Roman" w:hAnsi="Times New Roman"/>
                <w:sz w:val="13"/>
                <w:szCs w:val="13"/>
                <w:color w:val="auto"/>
              </w:rPr>
              <w:t>Average</w:t>
            </w:r>
          </w:p>
        </w:tc>
        <w:tc>
          <w:tcPr>
            <w:tcW w:w="1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jc w:val="right"/>
              <w:ind w:right="130"/>
              <w:spacing w:after="0"/>
              <w:rPr>
                <w:sz w:val="20"/>
                <w:szCs w:val="20"/>
                <w:color w:val="auto"/>
              </w:rPr>
            </w:pPr>
            <w:r>
              <w:rPr>
                <w:rFonts w:ascii="Times New Roman" w:cs="Times New Roman" w:eastAsia="Times New Roman" w:hAnsi="Times New Roman"/>
                <w:sz w:val="13"/>
                <w:szCs w:val="13"/>
                <w:color w:val="auto"/>
              </w:rPr>
              <w:t>Revenue</w:t>
            </w:r>
          </w:p>
        </w:tc>
        <w:tc>
          <w:tcPr>
            <w:tcW w:w="100" w:type="dxa"/>
            <w:vAlign w:val="bottom"/>
          </w:tcPr>
          <w:p>
            <w:pPr>
              <w:spacing w:after="0"/>
              <w:rPr>
                <w:sz w:val="10"/>
                <w:szCs w:val="10"/>
                <w:color w:val="auto"/>
              </w:rPr>
            </w:pPr>
          </w:p>
        </w:tc>
        <w:tc>
          <w:tcPr>
            <w:tcW w:w="96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3"/>
                <w:szCs w:val="13"/>
                <w:color w:val="auto"/>
                <w:w w:val="94"/>
              </w:rPr>
              <w:t>Quantity Sold</w:t>
            </w:r>
            <w:r>
              <w:rPr>
                <w:rFonts w:ascii="Times New Roman" w:cs="Times New Roman" w:eastAsia="Times New Roman" w:hAnsi="Times New Roman"/>
                <w:sz w:val="16"/>
                <w:szCs w:val="16"/>
                <w:color w:val="auto"/>
                <w:w w:val="94"/>
                <w:vertAlign w:val="superscript"/>
              </w:rPr>
              <w:t>2</w:t>
            </w:r>
          </w:p>
        </w:tc>
        <w:tc>
          <w:tcPr>
            <w:tcW w:w="140" w:type="dxa"/>
            <w:vAlign w:val="bottom"/>
          </w:tcPr>
          <w:p>
            <w:pPr>
              <w:spacing w:after="0"/>
              <w:rPr>
                <w:sz w:val="10"/>
                <w:szCs w:val="10"/>
                <w:color w:val="auto"/>
              </w:rPr>
            </w:pPr>
          </w:p>
        </w:tc>
        <w:tc>
          <w:tcPr>
            <w:tcW w:w="700" w:type="dxa"/>
            <w:vAlign w:val="bottom"/>
          </w:tcPr>
          <w:p>
            <w:pPr>
              <w:jc w:val="right"/>
              <w:ind w:right="150"/>
              <w:spacing w:after="0" w:line="120" w:lineRule="exact"/>
              <w:rPr>
                <w:sz w:val="20"/>
                <w:szCs w:val="20"/>
                <w:color w:val="auto"/>
              </w:rPr>
            </w:pPr>
            <w:r>
              <w:rPr>
                <w:rFonts w:ascii="Times New Roman" w:cs="Times New Roman" w:eastAsia="Times New Roman" w:hAnsi="Times New Roman"/>
                <w:sz w:val="13"/>
                <w:szCs w:val="13"/>
                <w:color w:val="auto"/>
              </w:rPr>
              <w:t>Average</w:t>
            </w:r>
          </w:p>
        </w:tc>
        <w:tc>
          <w:tcPr>
            <w:tcW w:w="0" w:type="dxa"/>
            <w:vAlign w:val="bottom"/>
          </w:tcPr>
          <w:p>
            <w:pPr>
              <w:spacing w:after="0"/>
              <w:rPr>
                <w:sz w:val="1"/>
                <w:szCs w:val="1"/>
                <w:color w:val="auto"/>
              </w:rPr>
            </w:pPr>
          </w:p>
        </w:tc>
      </w:tr>
      <w:tr>
        <w:trPr>
          <w:trHeight w:val="170"/>
        </w:trPr>
        <w:tc>
          <w:tcPr>
            <w:tcW w:w="2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7"/>
              </w:rPr>
              <w:t>Price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Borders>
              <w:right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Price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230"/>
              <w:spacing w:after="0"/>
              <w:rPr>
                <w:sz w:val="20"/>
                <w:szCs w:val="20"/>
                <w:color w:val="auto"/>
              </w:rPr>
            </w:pPr>
            <w:r>
              <w:rPr>
                <w:rFonts w:ascii="Times New Roman" w:cs="Times New Roman" w:eastAsia="Times New Roman" w:hAnsi="Times New Roman"/>
                <w:sz w:val="13"/>
                <w:szCs w:val="13"/>
                <w:color w:val="auto"/>
              </w:rPr>
              <w:t>Price</w:t>
            </w:r>
          </w:p>
        </w:tc>
        <w:tc>
          <w:tcPr>
            <w:tcW w:w="0" w:type="dxa"/>
            <w:vAlign w:val="bottom"/>
          </w:tcPr>
          <w:p>
            <w:pPr>
              <w:spacing w:after="0"/>
              <w:rPr>
                <w:sz w:val="1"/>
                <w:szCs w:val="1"/>
                <w:color w:val="auto"/>
              </w:rPr>
            </w:pPr>
          </w:p>
        </w:tc>
      </w:tr>
      <w:tr>
        <w:trPr>
          <w:trHeight w:val="160"/>
        </w:trPr>
        <w:tc>
          <w:tcPr>
            <w:tcW w:w="2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ALMONDS (lbs.)</w:t>
            </w:r>
          </w:p>
        </w:tc>
        <w:tc>
          <w:tcPr>
            <w:tcW w:w="1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year crop</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5,152</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5,438</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12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gridSpan w:val="3"/>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0" w:type="dxa"/>
            <w:vAlign w:val="bottom"/>
          </w:tcPr>
          <w:p>
            <w:pPr>
              <w:spacing w:after="0"/>
              <w:rPr>
                <w:sz w:val="1"/>
                <w:szCs w:val="1"/>
                <w:color w:val="auto"/>
              </w:rPr>
            </w:pPr>
          </w:p>
        </w:tc>
      </w:tr>
      <w:tr>
        <w:trPr>
          <w:trHeight w:val="180"/>
        </w:trPr>
        <w:tc>
          <w:tcPr>
            <w:tcW w:w="2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Prior crop years</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850</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1,037</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562</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894</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0.42</w:t>
            </w:r>
          </w:p>
        </w:tc>
        <w:tc>
          <w:tcPr>
            <w:tcW w:w="0" w:type="dxa"/>
            <w:vAlign w:val="bottom"/>
          </w:tcPr>
          <w:p>
            <w:pPr>
              <w:spacing w:after="0"/>
              <w:rPr>
                <w:sz w:val="1"/>
                <w:szCs w:val="1"/>
                <w:color w:val="auto"/>
              </w:rPr>
            </w:pPr>
          </w:p>
        </w:tc>
      </w:tr>
      <w:tr>
        <w:trPr>
          <w:trHeight w:val="180"/>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Crop insurance</w:t>
            </w: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w:t>
            </w:r>
          </w:p>
        </w:tc>
        <w:tc>
          <w:tcPr>
            <w:tcW w:w="10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w:t>
            </w:r>
          </w:p>
        </w:tc>
        <w:tc>
          <w:tcPr>
            <w:tcW w:w="10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660" w:type="dxa"/>
            <w:vAlign w:val="bottom"/>
            <w:tcBorders>
              <w:bottom w:val="single" w:sz="8" w:color="CCEEFF"/>
            </w:tcBorders>
          </w:tcPr>
          <w:p>
            <w:pPr>
              <w:ind w:left="280"/>
              <w:spacing w:after="0" w:line="171" w:lineRule="exact"/>
              <w:rPr>
                <w:sz w:val="20"/>
                <w:szCs w:val="20"/>
                <w:color w:val="auto"/>
              </w:rPr>
            </w:pPr>
            <w:r>
              <w:rPr>
                <w:rFonts w:ascii="Times New Roman" w:cs="Times New Roman" w:eastAsia="Times New Roman" w:hAnsi="Times New Roman"/>
                <w:sz w:val="14"/>
                <w:szCs w:val="14"/>
                <w:color w:val="auto"/>
              </w:rPr>
              <w:t>Subtotal Almonds</w:t>
            </w:r>
            <w:r>
              <w:rPr>
                <w:rFonts w:ascii="Times New Roman" w:cs="Times New Roman" w:eastAsia="Times New Roman" w:hAnsi="Times New Roman"/>
                <w:sz w:val="18"/>
                <w:szCs w:val="18"/>
                <w:color w:val="auto"/>
                <w:vertAlign w:val="superscript"/>
              </w:rPr>
              <w:t>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7,759</w:t>
            </w: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2,685</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20" w:type="dxa"/>
            <w:vAlign w:val="bottom"/>
            <w:tcBorders>
              <w:bottom w:val="single" w:sz="8" w:color="CCEEFF"/>
              <w:right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7,122</w:t>
            </w: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2,685</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120" w:type="dxa"/>
            <w:vAlign w:val="bottom"/>
            <w:tcBorders>
              <w:bottom w:val="single" w:sz="8" w:color="CCEEFF"/>
              <w:right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gridSpan w:val="2"/>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637</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0.23</w:t>
            </w:r>
          </w:p>
        </w:tc>
        <w:tc>
          <w:tcPr>
            <w:tcW w:w="0" w:type="dxa"/>
            <w:vAlign w:val="bottom"/>
          </w:tcPr>
          <w:p>
            <w:pPr>
              <w:spacing w:after="0"/>
              <w:rPr>
                <w:sz w:val="1"/>
                <w:szCs w:val="1"/>
                <w:color w:val="auto"/>
              </w:rPr>
            </w:pPr>
          </w:p>
        </w:tc>
      </w:tr>
      <w:tr>
        <w:trPr>
          <w:trHeight w:val="160"/>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PISTACHIOS (lbs.)</w:t>
            </w: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year crop</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2,760</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220" w:type="dxa"/>
            <w:vAlign w:val="bottom"/>
            <w:gridSpan w:val="3"/>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5,339</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2,760</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0" w:type="dxa"/>
            <w:vAlign w:val="bottom"/>
          </w:tcPr>
          <w:p>
            <w:pPr>
              <w:spacing w:after="0"/>
              <w:rPr>
                <w:sz w:val="1"/>
                <w:szCs w:val="1"/>
                <w:color w:val="auto"/>
              </w:rPr>
            </w:pPr>
          </w:p>
        </w:tc>
      </w:tr>
      <w:tr>
        <w:trPr>
          <w:trHeight w:val="180"/>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Prior crop price adjustment</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1,836</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(1,846)</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Crop insurance</w:t>
            </w: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1,450</w:t>
            </w: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CCEEFF"/>
              <w:right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1,401</w:t>
            </w: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CCEEFF"/>
              <w:right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660" w:type="dxa"/>
            <w:vAlign w:val="bottom"/>
            <w:shd w:val="clear" w:color="auto" w:fill="CCEEFF"/>
          </w:tcPr>
          <w:p>
            <w:pPr>
              <w:ind w:left="280"/>
              <w:spacing w:after="0" w:line="171" w:lineRule="exact"/>
              <w:rPr>
                <w:sz w:val="20"/>
                <w:szCs w:val="20"/>
                <w:color w:val="auto"/>
              </w:rPr>
            </w:pPr>
            <w:r>
              <w:rPr>
                <w:rFonts w:ascii="Times New Roman" w:cs="Times New Roman" w:eastAsia="Times New Roman" w:hAnsi="Times New Roman"/>
                <w:sz w:val="14"/>
                <w:szCs w:val="14"/>
                <w:color w:val="auto"/>
              </w:rPr>
              <w:t>Subtotal Pistachios</w:t>
            </w:r>
            <w:r>
              <w:rPr>
                <w:rFonts w:ascii="Times New Roman" w:cs="Times New Roman" w:eastAsia="Times New Roman" w:hAnsi="Times New Roman"/>
                <w:sz w:val="18"/>
                <w:szCs w:val="18"/>
                <w:color w:val="auto"/>
                <w:vertAlign w:val="superscript"/>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6,779</w:t>
            </w:r>
          </w:p>
        </w:tc>
        <w:tc>
          <w:tcPr>
            <w:tcW w:w="10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2,760</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3,237</w:t>
            </w:r>
          </w:p>
        </w:tc>
        <w:tc>
          <w:tcPr>
            <w:tcW w:w="10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tcBorders>
              <w:bottom w:val="single" w:sz="8" w:color="auto"/>
            </w:tcBorders>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3,542</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2,760</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0" w:type="dxa"/>
            <w:vAlign w:val="bottom"/>
          </w:tcPr>
          <w:p>
            <w:pPr>
              <w:spacing w:after="0"/>
              <w:rPr>
                <w:sz w:val="1"/>
                <w:szCs w:val="1"/>
                <w:color w:val="auto"/>
              </w:rPr>
            </w:pPr>
          </w:p>
        </w:tc>
      </w:tr>
      <w:tr>
        <w:trPr>
          <w:trHeight w:val="160"/>
        </w:trPr>
        <w:tc>
          <w:tcPr>
            <w:tcW w:w="2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WINE GRAPES (tons)</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year crop</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285.92</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2,338</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292.25</w:t>
            </w:r>
          </w:p>
        </w:tc>
        <w:tc>
          <w:tcPr>
            <w:tcW w:w="12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gridSpan w:val="3"/>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1,093</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w:t>
            </w:r>
          </w:p>
        </w:tc>
        <w:tc>
          <w:tcPr>
            <w:tcW w:w="0" w:type="dxa"/>
            <w:vAlign w:val="bottom"/>
          </w:tcPr>
          <w:p>
            <w:pPr>
              <w:spacing w:after="0"/>
              <w:rPr>
                <w:sz w:val="1"/>
                <w:szCs w:val="1"/>
                <w:color w:val="auto"/>
              </w:rPr>
            </w:pPr>
          </w:p>
        </w:tc>
      </w:tr>
      <w:tr>
        <w:trPr>
          <w:trHeight w:val="180"/>
        </w:trPr>
        <w:tc>
          <w:tcPr>
            <w:tcW w:w="2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Crop insurance</w:t>
            </w: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CCEEFF"/>
              <w:right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CCEEFF"/>
              <w:right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Subtotal Wine Grapes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3,431</w:t>
            </w:r>
          </w:p>
        </w:tc>
        <w:tc>
          <w:tcPr>
            <w:tcW w:w="10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285.92</w:t>
            </w: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2,704</w:t>
            </w:r>
          </w:p>
        </w:tc>
        <w:tc>
          <w:tcPr>
            <w:tcW w:w="100" w:type="dxa"/>
            <w:vAlign w:val="bottom"/>
            <w:shd w:val="clear" w:color="auto" w:fill="CCEEFF"/>
          </w:tcPr>
          <w:p>
            <w:pPr>
              <w:spacing w:after="0"/>
              <w:rPr>
                <w:sz w:val="14"/>
                <w:szCs w:val="14"/>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292.25</w:t>
            </w:r>
          </w:p>
        </w:tc>
        <w:tc>
          <w:tcPr>
            <w:tcW w:w="120" w:type="dxa"/>
            <w:vAlign w:val="bottom"/>
            <w:tcBorders>
              <w:right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tcBorders>
              <w:bottom w:val="single" w:sz="8" w:color="auto"/>
            </w:tcBorders>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w:t>
            </w:r>
          </w:p>
        </w:tc>
        <w:tc>
          <w:tcPr>
            <w:tcW w:w="0" w:type="dxa"/>
            <w:vAlign w:val="bottom"/>
          </w:tcPr>
          <w:p>
            <w:pPr>
              <w:spacing w:after="0"/>
              <w:rPr>
                <w:sz w:val="1"/>
                <w:szCs w:val="1"/>
                <w:color w:val="auto"/>
              </w:rPr>
            </w:pPr>
          </w:p>
        </w:tc>
      </w:tr>
      <w:tr>
        <w:trPr>
          <w:trHeight w:val="160"/>
        </w:trPr>
        <w:tc>
          <w:tcPr>
            <w:tcW w:w="2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Hay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gridSpan w:val="3"/>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farming revenues</w:t>
            </w: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769</w:t>
            </w: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right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796</w:t>
            </w: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right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farming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18,738</w:t>
            </w: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13,925</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4,813</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2" w:lineRule="exact"/>
        <w:rPr>
          <w:sz w:val="20"/>
          <w:szCs w:val="20"/>
          <w:color w:val="auto"/>
        </w:rPr>
      </w:pPr>
    </w:p>
    <w:p>
      <w:pPr>
        <w:ind w:left="80" w:hanging="61"/>
        <w:spacing w:after="0"/>
        <w:tabs>
          <w:tab w:leader="none" w:pos="80" w:val="left"/>
        </w:tabs>
        <w:numPr>
          <w:ilvl w:val="0"/>
          <w:numId w:val="25"/>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Average price calculation reflects sale of almond and pistachio crops during the calendar reported year, exclusive of any price adjustments.</w:t>
      </w:r>
    </w:p>
    <w:p>
      <w:pPr>
        <w:spacing w:after="0" w:line="43" w:lineRule="exact"/>
        <w:rPr>
          <w:rFonts w:ascii="Times New Roman" w:cs="Times New Roman" w:eastAsia="Times New Roman" w:hAnsi="Times New Roman"/>
          <w:sz w:val="15"/>
          <w:szCs w:val="15"/>
          <w:color w:val="auto"/>
          <w:vertAlign w:val="superscript"/>
        </w:rPr>
      </w:pPr>
    </w:p>
    <w:p>
      <w:pPr>
        <w:ind w:left="20"/>
        <w:spacing w:after="0"/>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4"/>
          <w:szCs w:val="14"/>
          <w:color w:val="auto"/>
          <w:vertAlign w:val="superscript"/>
        </w:rPr>
        <w:t>2</w:t>
      </w:r>
      <w:r>
        <w:rPr>
          <w:rFonts w:ascii="Times New Roman" w:cs="Times New Roman" w:eastAsia="Times New Roman" w:hAnsi="Times New Roman"/>
          <w:sz w:val="11"/>
          <w:szCs w:val="11"/>
          <w:color w:val="auto"/>
        </w:rPr>
        <w:t xml:space="preserve"> Almond and pistachio units are presented in thousands of pounds, while wine grapes are presented in thousands of tons.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2025 Operational Highlights:</w:t>
      </w:r>
    </w:p>
    <w:p>
      <w:pPr>
        <w:spacing w:after="0" w:line="138" w:lineRule="exact"/>
        <w:rPr>
          <w:sz w:val="20"/>
          <w:szCs w:val="20"/>
          <w:color w:val="auto"/>
        </w:rPr>
      </w:pPr>
    </w:p>
    <w:p>
      <w:pPr>
        <w:jc w:val="both"/>
        <w:ind w:left="520" w:right="180" w:hanging="260"/>
        <w:spacing w:after="0" w:line="270" w:lineRule="auto"/>
        <w:tabs>
          <w:tab w:leader="none" w:pos="51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2025, farming segment revenues increased $4,813,000, or 34.6%, from $13,925,000 in 2024 to $18,738,000 in 2025. The increase was primarily driven by $5,339,000 in pistachio crop revenue recognized in 2025, as there was no pistachio harvest in 2024 as pistachios are an alternate bearing year crop and 2024 was a down-bearing year. The year-over-year increase was further supported by higher almond pricing and increased wine grape sales.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51" w:name="page52"/>
    <w:bookmarkEnd w:id="51"/>
    <w:p>
      <w:pPr>
        <w:ind w:left="520" w:right="60" w:hanging="260"/>
        <w:spacing w:after="0" w:line="287" w:lineRule="auto"/>
        <w:tabs>
          <w:tab w:leader="none" w:pos="51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2025, farming segment expenses increased $1,299,000, or 7%, from $17,551,000 in 2024 to $18,850,000 in 2025. This increase was primarily due to higher crop-related cost of sales associated with the 2025 pistachio harvest.</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color w:val="auto"/>
                <w:w w:val="97"/>
              </w:rPr>
              <w:t>December 31, 2024</w:t>
            </w: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3"/>
                <w:szCs w:val="13"/>
                <w:color w:val="auto"/>
                <w:w w:val="97"/>
              </w:rPr>
              <w:t>December 31, 2023</w:t>
            </w: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Change</w:t>
            </w: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160" w:type="dxa"/>
            <w:vAlign w:val="bottom"/>
          </w:tcPr>
          <w:p>
            <w:pPr>
              <w:spacing w:after="0"/>
              <w:rPr>
                <w:sz w:val="10"/>
                <w:szCs w:val="10"/>
                <w:color w:val="auto"/>
              </w:rPr>
            </w:pPr>
          </w:p>
        </w:tc>
        <w:tc>
          <w:tcPr>
            <w:tcW w:w="700" w:type="dxa"/>
            <w:vAlign w:val="bottom"/>
            <w:vMerge w:val="restart"/>
          </w:tcPr>
          <w:p>
            <w:pPr>
              <w:jc w:val="right"/>
              <w:ind w:right="130"/>
              <w:spacing w:after="0"/>
              <w:rPr>
                <w:sz w:val="20"/>
                <w:szCs w:val="20"/>
                <w:color w:val="auto"/>
              </w:rPr>
            </w:pPr>
            <w:r>
              <w:rPr>
                <w:rFonts w:ascii="Times New Roman" w:cs="Times New Roman" w:eastAsia="Times New Roman" w:hAnsi="Times New Roman"/>
                <w:sz w:val="13"/>
                <w:szCs w:val="13"/>
                <w:color w:val="auto"/>
              </w:rPr>
              <w:t>Revenue</w:t>
            </w:r>
          </w:p>
        </w:tc>
        <w:tc>
          <w:tcPr>
            <w:tcW w:w="100" w:type="dxa"/>
            <w:vAlign w:val="bottom"/>
          </w:tcPr>
          <w:p>
            <w:pPr>
              <w:spacing w:after="0"/>
              <w:rPr>
                <w:sz w:val="10"/>
                <w:szCs w:val="10"/>
                <w:color w:val="auto"/>
              </w:rPr>
            </w:pPr>
          </w:p>
        </w:tc>
        <w:tc>
          <w:tcPr>
            <w:tcW w:w="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color w:val="auto"/>
                <w:w w:val="97"/>
              </w:rPr>
              <w:t>Quantity Sold</w:t>
            </w:r>
            <w:r>
              <w:rPr>
                <w:rFonts w:ascii="Times New Roman" w:cs="Times New Roman" w:eastAsia="Times New Roman" w:hAnsi="Times New Roman"/>
                <w:sz w:val="16"/>
                <w:szCs w:val="16"/>
                <w:color w:val="auto"/>
                <w:w w:val="97"/>
                <w:vertAlign w:val="superscript"/>
              </w:rPr>
              <w:t>2</w:t>
            </w:r>
          </w:p>
        </w:tc>
        <w:tc>
          <w:tcPr>
            <w:tcW w:w="140" w:type="dxa"/>
            <w:vAlign w:val="bottom"/>
          </w:tcPr>
          <w:p>
            <w:pPr>
              <w:spacing w:after="0"/>
              <w:rPr>
                <w:sz w:val="10"/>
                <w:szCs w:val="10"/>
                <w:color w:val="auto"/>
              </w:rPr>
            </w:pPr>
          </w:p>
        </w:tc>
        <w:tc>
          <w:tcPr>
            <w:tcW w:w="700" w:type="dxa"/>
            <w:vAlign w:val="bottom"/>
          </w:tcPr>
          <w:p>
            <w:pPr>
              <w:jc w:val="center"/>
              <w:ind w:right="71"/>
              <w:spacing w:after="0" w:line="118" w:lineRule="exact"/>
              <w:rPr>
                <w:sz w:val="20"/>
                <w:szCs w:val="20"/>
                <w:color w:val="auto"/>
              </w:rPr>
            </w:pPr>
            <w:r>
              <w:rPr>
                <w:rFonts w:ascii="Times New Roman" w:cs="Times New Roman" w:eastAsia="Times New Roman" w:hAnsi="Times New Roman"/>
                <w:sz w:val="13"/>
                <w:szCs w:val="13"/>
                <w:color w:val="auto"/>
                <w:w w:val="99"/>
              </w:rPr>
              <w:t>Average</w:t>
            </w: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vMerge w:val="restart"/>
          </w:tcPr>
          <w:p>
            <w:pPr>
              <w:jc w:val="right"/>
              <w:ind w:right="130"/>
              <w:spacing w:after="0"/>
              <w:rPr>
                <w:sz w:val="20"/>
                <w:szCs w:val="20"/>
                <w:color w:val="auto"/>
              </w:rPr>
            </w:pPr>
            <w:r>
              <w:rPr>
                <w:rFonts w:ascii="Times New Roman" w:cs="Times New Roman" w:eastAsia="Times New Roman" w:hAnsi="Times New Roman"/>
                <w:sz w:val="13"/>
                <w:szCs w:val="13"/>
                <w:color w:val="auto"/>
              </w:rPr>
              <w:t>Revenue</w:t>
            </w:r>
          </w:p>
        </w:tc>
        <w:tc>
          <w:tcPr>
            <w:tcW w:w="100" w:type="dxa"/>
            <w:vAlign w:val="bottom"/>
          </w:tcPr>
          <w:p>
            <w:pPr>
              <w:spacing w:after="0"/>
              <w:rPr>
                <w:sz w:val="10"/>
                <w:szCs w:val="10"/>
                <w:color w:val="auto"/>
              </w:rPr>
            </w:pPr>
          </w:p>
        </w:tc>
        <w:tc>
          <w:tcPr>
            <w:tcW w:w="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color w:val="auto"/>
                <w:w w:val="94"/>
              </w:rPr>
              <w:t>Quantity Sold</w:t>
            </w:r>
            <w:r>
              <w:rPr>
                <w:rFonts w:ascii="Times New Roman" w:cs="Times New Roman" w:eastAsia="Times New Roman" w:hAnsi="Times New Roman"/>
                <w:sz w:val="16"/>
                <w:szCs w:val="16"/>
                <w:color w:val="auto"/>
                <w:w w:val="94"/>
                <w:vertAlign w:val="superscript"/>
              </w:rPr>
              <w:t>2</w:t>
            </w:r>
          </w:p>
        </w:tc>
        <w:tc>
          <w:tcPr>
            <w:tcW w:w="140" w:type="dxa"/>
            <w:vAlign w:val="bottom"/>
          </w:tcPr>
          <w:p>
            <w:pPr>
              <w:spacing w:after="0"/>
              <w:rPr>
                <w:sz w:val="10"/>
                <w:szCs w:val="10"/>
                <w:color w:val="auto"/>
              </w:rPr>
            </w:pPr>
          </w:p>
        </w:tc>
        <w:tc>
          <w:tcPr>
            <w:tcW w:w="720" w:type="dxa"/>
            <w:vAlign w:val="bottom"/>
          </w:tcPr>
          <w:p>
            <w:pPr>
              <w:jc w:val="center"/>
              <w:ind w:right="71"/>
              <w:spacing w:after="0" w:line="118" w:lineRule="exact"/>
              <w:rPr>
                <w:sz w:val="20"/>
                <w:szCs w:val="20"/>
                <w:color w:val="auto"/>
              </w:rPr>
            </w:pPr>
            <w:r>
              <w:rPr>
                <w:rFonts w:ascii="Times New Roman" w:cs="Times New Roman" w:eastAsia="Times New Roman" w:hAnsi="Times New Roman"/>
                <w:sz w:val="13"/>
                <w:szCs w:val="13"/>
                <w:color w:val="auto"/>
                <w:w w:val="95"/>
              </w:rPr>
              <w:t>Average</w:t>
            </w: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restart"/>
          </w:tcPr>
          <w:p>
            <w:pPr>
              <w:jc w:val="right"/>
              <w:ind w:right="150"/>
              <w:spacing w:after="0"/>
              <w:rPr>
                <w:sz w:val="20"/>
                <w:szCs w:val="20"/>
                <w:color w:val="auto"/>
              </w:rPr>
            </w:pPr>
            <w:r>
              <w:rPr>
                <w:rFonts w:ascii="Times New Roman" w:cs="Times New Roman" w:eastAsia="Times New Roman" w:hAnsi="Times New Roman"/>
                <w:sz w:val="13"/>
                <w:szCs w:val="13"/>
                <w:color w:val="auto"/>
              </w:rPr>
              <w:t>Revenue</w:t>
            </w:r>
          </w:p>
        </w:tc>
        <w:tc>
          <w:tcPr>
            <w:tcW w:w="80" w:type="dxa"/>
            <w:vAlign w:val="bottom"/>
          </w:tcPr>
          <w:p>
            <w:pPr>
              <w:spacing w:after="0"/>
              <w:rPr>
                <w:sz w:val="10"/>
                <w:szCs w:val="10"/>
                <w:color w:val="auto"/>
              </w:rPr>
            </w:pPr>
          </w:p>
        </w:tc>
        <w:tc>
          <w:tcPr>
            <w:tcW w:w="9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color w:val="auto"/>
                <w:w w:val="97"/>
              </w:rPr>
              <w:t>Quantity Sold</w:t>
            </w:r>
            <w:r>
              <w:rPr>
                <w:rFonts w:ascii="Times New Roman" w:cs="Times New Roman" w:eastAsia="Times New Roman" w:hAnsi="Times New Roman"/>
                <w:sz w:val="16"/>
                <w:szCs w:val="16"/>
                <w:color w:val="auto"/>
                <w:w w:val="97"/>
                <w:vertAlign w:val="superscript"/>
              </w:rPr>
              <w:t>2</w:t>
            </w:r>
          </w:p>
        </w:tc>
        <w:tc>
          <w:tcPr>
            <w:tcW w:w="160" w:type="dxa"/>
            <w:vAlign w:val="bottom"/>
          </w:tcPr>
          <w:p>
            <w:pPr>
              <w:spacing w:after="0"/>
              <w:rPr>
                <w:sz w:val="10"/>
                <w:szCs w:val="10"/>
                <w:color w:val="auto"/>
              </w:rPr>
            </w:pPr>
          </w:p>
        </w:tc>
        <w:tc>
          <w:tcPr>
            <w:tcW w:w="700" w:type="dxa"/>
            <w:vAlign w:val="bottom"/>
          </w:tcPr>
          <w:p>
            <w:pPr>
              <w:jc w:val="center"/>
              <w:ind w:right="91"/>
              <w:spacing w:after="0" w:line="118" w:lineRule="exact"/>
              <w:rPr>
                <w:sz w:val="20"/>
                <w:szCs w:val="20"/>
                <w:color w:val="auto"/>
              </w:rPr>
            </w:pPr>
            <w:r>
              <w:rPr>
                <w:rFonts w:ascii="Times New Roman" w:cs="Times New Roman" w:eastAsia="Times New Roman" w:hAnsi="Times New Roman"/>
                <w:sz w:val="13"/>
                <w:szCs w:val="13"/>
                <w:color w:val="auto"/>
                <w:w w:val="95"/>
              </w:rPr>
              <w:t>Average</w:t>
            </w:r>
          </w:p>
        </w:tc>
        <w:tc>
          <w:tcPr>
            <w:tcW w:w="0" w:type="dxa"/>
            <w:vAlign w:val="bottom"/>
          </w:tcPr>
          <w:p>
            <w:pPr>
              <w:spacing w:after="0"/>
              <w:rPr>
                <w:sz w:val="1"/>
                <w:szCs w:val="1"/>
                <w:color w:val="auto"/>
              </w:rPr>
            </w:pPr>
          </w:p>
        </w:tc>
      </w:tr>
      <w:tr>
        <w:trPr>
          <w:trHeight w:val="170"/>
        </w:trPr>
        <w:tc>
          <w:tcPr>
            <w:tcW w:w="2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3"/>
                <w:szCs w:val="13"/>
                <w:color w:val="auto"/>
              </w:rPr>
              <w:t>Price</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7"/>
              </w:rPr>
              <w:t>Price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center"/>
              <w:ind w:right="91"/>
              <w:spacing w:after="0"/>
              <w:rPr>
                <w:sz w:val="20"/>
                <w:szCs w:val="20"/>
                <w:color w:val="auto"/>
              </w:rPr>
            </w:pPr>
            <w:r>
              <w:rPr>
                <w:rFonts w:ascii="Times New Roman" w:cs="Times New Roman" w:eastAsia="Times New Roman" w:hAnsi="Times New Roman"/>
                <w:sz w:val="13"/>
                <w:szCs w:val="13"/>
                <w:color w:val="auto"/>
                <w:w w:val="97"/>
              </w:rPr>
              <w:t>Price</w:t>
            </w:r>
          </w:p>
        </w:tc>
        <w:tc>
          <w:tcPr>
            <w:tcW w:w="0" w:type="dxa"/>
            <w:vAlign w:val="bottom"/>
          </w:tcPr>
          <w:p>
            <w:pPr>
              <w:spacing w:after="0"/>
              <w:rPr>
                <w:sz w:val="1"/>
                <w:szCs w:val="1"/>
                <w:color w:val="auto"/>
              </w:rPr>
            </w:pPr>
          </w:p>
        </w:tc>
      </w:tr>
      <w:tr>
        <w:trPr>
          <w:trHeight w:val="160"/>
        </w:trPr>
        <w:tc>
          <w:tcPr>
            <w:tcW w:w="2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ALMONDS (lbs.)</w:t>
            </w:r>
          </w:p>
        </w:tc>
        <w:tc>
          <w:tcPr>
            <w:tcW w:w="1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year crop</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5,438</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2,138</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center"/>
              <w:ind w:left="271"/>
              <w:spacing w:after="0"/>
              <w:rPr>
                <w:sz w:val="20"/>
                <w:szCs w:val="20"/>
                <w:color w:val="auto"/>
              </w:rPr>
            </w:pPr>
            <w:r>
              <w:rPr>
                <w:rFonts w:ascii="Times New Roman" w:cs="Times New Roman" w:eastAsia="Times New Roman" w:hAnsi="Times New Roman"/>
                <w:sz w:val="14"/>
                <w:szCs w:val="14"/>
                <w:color w:val="auto"/>
                <w:w w:val="97"/>
              </w:rPr>
              <w:t>0.46</w:t>
            </w:r>
          </w:p>
        </w:tc>
        <w:tc>
          <w:tcPr>
            <w:tcW w:w="0" w:type="dxa"/>
            <w:vAlign w:val="bottom"/>
          </w:tcPr>
          <w:p>
            <w:pPr>
              <w:spacing w:after="0"/>
              <w:rPr>
                <w:sz w:val="1"/>
                <w:szCs w:val="1"/>
                <w:color w:val="auto"/>
              </w:rPr>
            </w:pPr>
          </w:p>
        </w:tc>
      </w:tr>
      <w:tr>
        <w:trPr>
          <w:trHeight w:val="180"/>
        </w:trPr>
        <w:tc>
          <w:tcPr>
            <w:tcW w:w="2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Prior crop years</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562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1,042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(480)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center"/>
              <w:ind w:left="271"/>
              <w:spacing w:after="0"/>
              <w:rPr>
                <w:sz w:val="20"/>
                <w:szCs w:val="20"/>
                <w:color w:val="auto"/>
              </w:rPr>
            </w:pPr>
            <w:r>
              <w:rPr>
                <w:rFonts w:ascii="Times New Roman" w:cs="Times New Roman" w:eastAsia="Times New Roman" w:hAnsi="Times New Roman"/>
                <w:sz w:val="14"/>
                <w:szCs w:val="14"/>
                <w:color w:val="auto"/>
                <w:w w:val="97"/>
              </w:rPr>
              <w:t>0.10</w:t>
            </w:r>
          </w:p>
        </w:tc>
        <w:tc>
          <w:tcPr>
            <w:tcW w:w="0" w:type="dxa"/>
            <w:vAlign w:val="bottom"/>
          </w:tcPr>
          <w:p>
            <w:pPr>
              <w:spacing w:after="0"/>
              <w:rPr>
                <w:sz w:val="1"/>
                <w:szCs w:val="1"/>
                <w:color w:val="auto"/>
              </w:rPr>
            </w:pPr>
          </w:p>
        </w:tc>
      </w:tr>
      <w:tr>
        <w:trPr>
          <w:trHeight w:val="180"/>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Crop insurance</w:t>
            </w: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w:t>
            </w:r>
          </w:p>
        </w:tc>
        <w:tc>
          <w:tcPr>
            <w:tcW w:w="10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0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8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640" w:type="dxa"/>
            <w:vAlign w:val="bottom"/>
            <w:tcBorders>
              <w:bottom w:val="single" w:sz="8" w:color="CCEEFF"/>
            </w:tcBorders>
          </w:tcPr>
          <w:p>
            <w:pPr>
              <w:ind w:left="280"/>
              <w:spacing w:after="0" w:line="171" w:lineRule="exact"/>
              <w:rPr>
                <w:sz w:val="20"/>
                <w:szCs w:val="20"/>
                <w:color w:val="auto"/>
              </w:rPr>
            </w:pPr>
            <w:r>
              <w:rPr>
                <w:rFonts w:ascii="Times New Roman" w:cs="Times New Roman" w:eastAsia="Times New Roman" w:hAnsi="Times New Roman"/>
                <w:sz w:val="14"/>
                <w:szCs w:val="14"/>
                <w:color w:val="auto"/>
              </w:rPr>
              <w:t>Subtotal Almonds</w:t>
            </w:r>
            <w:r>
              <w:rPr>
                <w:rFonts w:ascii="Times New Roman" w:cs="Times New Roman" w:eastAsia="Times New Roman" w:hAnsi="Times New Roman"/>
                <w:sz w:val="18"/>
                <w:szCs w:val="18"/>
                <w:color w:val="auto"/>
                <w:vertAlign w:val="superscript"/>
              </w:rPr>
              <w:t>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7,122</w:t>
            </w: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2,685</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120" w:type="dxa"/>
            <w:vAlign w:val="bottom"/>
            <w:tcBorders>
              <w:bottom w:val="single" w:sz="8" w:color="CCEEFF"/>
              <w:right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5,378</w:t>
            </w: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2,617</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00" w:type="dxa"/>
            <w:vAlign w:val="bottom"/>
            <w:tcBorders>
              <w:bottom w:val="single" w:sz="8" w:color="CCEEFF"/>
              <w:right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1,744</w:t>
            </w:r>
          </w:p>
        </w:tc>
        <w:tc>
          <w:tcPr>
            <w:tcW w:w="8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center"/>
              <w:ind w:left="271"/>
              <w:spacing w:after="0"/>
              <w:rPr>
                <w:sz w:val="20"/>
                <w:szCs w:val="20"/>
                <w:color w:val="auto"/>
              </w:rPr>
            </w:pPr>
            <w:r>
              <w:rPr>
                <w:rFonts w:ascii="Times New Roman" w:cs="Times New Roman" w:eastAsia="Times New Roman" w:hAnsi="Times New Roman"/>
                <w:sz w:val="14"/>
                <w:szCs w:val="14"/>
                <w:color w:val="auto"/>
                <w:w w:val="97"/>
              </w:rPr>
              <w:t>0.45</w:t>
            </w:r>
          </w:p>
        </w:tc>
        <w:tc>
          <w:tcPr>
            <w:tcW w:w="0" w:type="dxa"/>
            <w:vAlign w:val="bottom"/>
          </w:tcPr>
          <w:p>
            <w:pPr>
              <w:spacing w:after="0"/>
              <w:rPr>
                <w:sz w:val="1"/>
                <w:szCs w:val="1"/>
                <w:color w:val="auto"/>
              </w:rPr>
            </w:pPr>
          </w:p>
        </w:tc>
      </w:tr>
      <w:tr>
        <w:trPr>
          <w:trHeight w:val="160"/>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PISTACHIOS (lbs.)</w:t>
            </w: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year crop</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2,466</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(2,466)</w:t>
            </w:r>
          </w:p>
        </w:tc>
        <w:tc>
          <w:tcPr>
            <w:tcW w:w="1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center"/>
              <w:ind w:left="251"/>
              <w:spacing w:after="0"/>
              <w:rPr>
                <w:sz w:val="20"/>
                <w:szCs w:val="20"/>
                <w:color w:val="auto"/>
              </w:rPr>
            </w:pPr>
            <w:r>
              <w:rPr>
                <w:rFonts w:ascii="Times New Roman" w:cs="Times New Roman" w:eastAsia="Times New Roman" w:hAnsi="Times New Roman"/>
                <w:sz w:val="14"/>
                <w:szCs w:val="14"/>
                <w:color w:val="auto"/>
              </w:rPr>
              <w:t>(1.62)</w:t>
            </w:r>
          </w:p>
        </w:tc>
        <w:tc>
          <w:tcPr>
            <w:tcW w:w="0" w:type="dxa"/>
            <w:vAlign w:val="bottom"/>
          </w:tcPr>
          <w:p>
            <w:pPr>
              <w:spacing w:after="0"/>
              <w:rPr>
                <w:sz w:val="1"/>
                <w:szCs w:val="1"/>
                <w:color w:val="auto"/>
              </w:rPr>
            </w:pPr>
          </w:p>
        </w:tc>
      </w:tr>
      <w:tr>
        <w:trPr>
          <w:trHeight w:val="180"/>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Prior crop price adjustment</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1,836</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1,836</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Crop insurance</w:t>
            </w: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1,401</w:t>
            </w: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CCEEFF"/>
              <w:right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CCEEFF"/>
              <w:right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1,355</w:t>
            </w:r>
          </w:p>
        </w:tc>
        <w:tc>
          <w:tcPr>
            <w:tcW w:w="8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640" w:type="dxa"/>
            <w:vAlign w:val="bottom"/>
            <w:shd w:val="clear" w:color="auto" w:fill="CCEEFF"/>
          </w:tcPr>
          <w:p>
            <w:pPr>
              <w:ind w:left="280"/>
              <w:spacing w:after="0" w:line="171" w:lineRule="exact"/>
              <w:rPr>
                <w:sz w:val="20"/>
                <w:szCs w:val="20"/>
                <w:color w:val="auto"/>
              </w:rPr>
            </w:pPr>
            <w:r>
              <w:rPr>
                <w:rFonts w:ascii="Times New Roman" w:cs="Times New Roman" w:eastAsia="Times New Roman" w:hAnsi="Times New Roman"/>
                <w:sz w:val="14"/>
                <w:szCs w:val="14"/>
                <w:color w:val="auto"/>
              </w:rPr>
              <w:t>Subtotal Pistachios</w:t>
            </w:r>
            <w:r>
              <w:rPr>
                <w:rFonts w:ascii="Times New Roman" w:cs="Times New Roman" w:eastAsia="Times New Roman" w:hAnsi="Times New Roman"/>
                <w:sz w:val="18"/>
                <w:szCs w:val="18"/>
                <w:color w:val="auto"/>
                <w:vertAlign w:val="superscript"/>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3,237</w:t>
            </w:r>
          </w:p>
        </w:tc>
        <w:tc>
          <w:tcPr>
            <w:tcW w:w="10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4,036</w:t>
            </w:r>
          </w:p>
        </w:tc>
        <w:tc>
          <w:tcPr>
            <w:tcW w:w="10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0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w:t>
            </w:r>
          </w:p>
        </w:tc>
        <w:tc>
          <w:tcPr>
            <w:tcW w:w="8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(2,466)</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center"/>
              <w:ind w:left="251"/>
              <w:spacing w:after="0"/>
              <w:rPr>
                <w:sz w:val="20"/>
                <w:szCs w:val="20"/>
                <w:color w:val="auto"/>
              </w:rPr>
            </w:pPr>
            <w:r>
              <w:rPr>
                <w:rFonts w:ascii="Times New Roman" w:cs="Times New Roman" w:eastAsia="Times New Roman" w:hAnsi="Times New Roman"/>
                <w:sz w:val="14"/>
                <w:szCs w:val="14"/>
                <w:color w:val="auto"/>
              </w:rPr>
              <w:t>(1.62)</w:t>
            </w:r>
          </w:p>
        </w:tc>
        <w:tc>
          <w:tcPr>
            <w:tcW w:w="0" w:type="dxa"/>
            <w:vAlign w:val="bottom"/>
          </w:tcPr>
          <w:p>
            <w:pPr>
              <w:spacing w:after="0"/>
              <w:rPr>
                <w:sz w:val="1"/>
                <w:szCs w:val="1"/>
                <w:color w:val="auto"/>
              </w:rPr>
            </w:pPr>
          </w:p>
        </w:tc>
      </w:tr>
      <w:tr>
        <w:trPr>
          <w:trHeight w:val="160"/>
        </w:trPr>
        <w:tc>
          <w:tcPr>
            <w:tcW w:w="2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WINE GRAPES (tons)</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year crop</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2,338</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292.25</w:t>
            </w: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299.09</w:t>
            </w: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(952)</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center"/>
              <w:ind w:left="251"/>
              <w:spacing w:after="0"/>
              <w:rPr>
                <w:sz w:val="20"/>
                <w:szCs w:val="20"/>
                <w:color w:val="auto"/>
              </w:rPr>
            </w:pPr>
            <w:r>
              <w:rPr>
                <w:rFonts w:ascii="Times New Roman" w:cs="Times New Roman" w:eastAsia="Times New Roman" w:hAnsi="Times New Roman"/>
                <w:sz w:val="14"/>
                <w:szCs w:val="14"/>
                <w:color w:val="auto"/>
              </w:rPr>
              <w:t>(6.84)</w:t>
            </w:r>
          </w:p>
        </w:tc>
        <w:tc>
          <w:tcPr>
            <w:tcW w:w="0" w:type="dxa"/>
            <w:vAlign w:val="bottom"/>
          </w:tcPr>
          <w:p>
            <w:pPr>
              <w:spacing w:after="0"/>
              <w:rPr>
                <w:sz w:val="1"/>
                <w:szCs w:val="1"/>
                <w:color w:val="auto"/>
              </w:rPr>
            </w:pPr>
          </w:p>
        </w:tc>
      </w:tr>
      <w:tr>
        <w:trPr>
          <w:trHeight w:val="180"/>
        </w:trPr>
        <w:tc>
          <w:tcPr>
            <w:tcW w:w="2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Crop insurance</w:t>
            </w: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CCEEFF"/>
              <w:right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CCEEFF"/>
              <w:right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8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Subtotal Wine Grapes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2,704</w:t>
            </w:r>
          </w:p>
        </w:tc>
        <w:tc>
          <w:tcPr>
            <w:tcW w:w="10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292.25</w:t>
            </w: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3,290</w:t>
            </w:r>
          </w:p>
        </w:tc>
        <w:tc>
          <w:tcPr>
            <w:tcW w:w="10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299.09</w:t>
            </w:r>
          </w:p>
        </w:tc>
        <w:tc>
          <w:tcPr>
            <w:tcW w:w="10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w:t>
            </w:r>
          </w:p>
        </w:tc>
        <w:tc>
          <w:tcPr>
            <w:tcW w:w="8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center"/>
              <w:ind w:left="251"/>
              <w:spacing w:after="0"/>
              <w:rPr>
                <w:sz w:val="20"/>
                <w:szCs w:val="20"/>
                <w:color w:val="auto"/>
              </w:rPr>
            </w:pPr>
            <w:r>
              <w:rPr>
                <w:rFonts w:ascii="Times New Roman" w:cs="Times New Roman" w:eastAsia="Times New Roman" w:hAnsi="Times New Roman"/>
                <w:sz w:val="14"/>
                <w:szCs w:val="14"/>
                <w:color w:val="auto"/>
              </w:rPr>
              <w:t>(6.84)</w:t>
            </w:r>
          </w:p>
        </w:tc>
        <w:tc>
          <w:tcPr>
            <w:tcW w:w="0" w:type="dxa"/>
            <w:vAlign w:val="bottom"/>
          </w:tcPr>
          <w:p>
            <w:pPr>
              <w:spacing w:after="0"/>
              <w:rPr>
                <w:sz w:val="1"/>
                <w:szCs w:val="1"/>
                <w:color w:val="auto"/>
              </w:rPr>
            </w:pPr>
          </w:p>
        </w:tc>
      </w:tr>
      <w:tr>
        <w:trPr>
          <w:trHeight w:val="160"/>
        </w:trPr>
        <w:tc>
          <w:tcPr>
            <w:tcW w:w="2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Hay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farming revenues</w:t>
            </w: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796</w:t>
            </w: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right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979</w:t>
            </w: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right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8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farming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13,925</w:t>
            </w: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13,950</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2" w:lineRule="exact"/>
        <w:rPr>
          <w:sz w:val="20"/>
          <w:szCs w:val="20"/>
          <w:color w:val="auto"/>
        </w:rPr>
      </w:pPr>
    </w:p>
    <w:p>
      <w:pPr>
        <w:ind w:left="80" w:hanging="61"/>
        <w:spacing w:after="0"/>
        <w:tabs>
          <w:tab w:leader="none" w:pos="80" w:val="left"/>
        </w:tabs>
        <w:numPr>
          <w:ilvl w:val="0"/>
          <w:numId w:val="28"/>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Average price calculation reflects sale of almond and pistachio crops during the calendar reported year exclusive of any price adjustments.</w:t>
      </w:r>
    </w:p>
    <w:p>
      <w:pPr>
        <w:spacing w:after="0" w:line="43" w:lineRule="exact"/>
        <w:rPr>
          <w:rFonts w:ascii="Times New Roman" w:cs="Times New Roman" w:eastAsia="Times New Roman" w:hAnsi="Times New Roman"/>
          <w:sz w:val="15"/>
          <w:szCs w:val="15"/>
          <w:color w:val="auto"/>
          <w:vertAlign w:val="superscript"/>
        </w:rPr>
      </w:pPr>
    </w:p>
    <w:p>
      <w:pPr>
        <w:ind w:left="20"/>
        <w:spacing w:after="0"/>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4"/>
          <w:szCs w:val="14"/>
          <w:color w:val="auto"/>
          <w:vertAlign w:val="superscript"/>
        </w:rPr>
        <w:t>2</w:t>
      </w:r>
      <w:r>
        <w:rPr>
          <w:rFonts w:ascii="Times New Roman" w:cs="Times New Roman" w:eastAsia="Times New Roman" w:hAnsi="Times New Roman"/>
          <w:sz w:val="11"/>
          <w:szCs w:val="11"/>
          <w:color w:val="auto"/>
        </w:rPr>
        <w:t xml:space="preserve"> Almond and pistachio units are presented in thousands of pounds while wine grapes are presented in thousands of tons.</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2024 Operational Highlights:</w:t>
      </w:r>
    </w:p>
    <w:p>
      <w:pPr>
        <w:spacing w:after="0" w:line="138" w:lineRule="exact"/>
        <w:rPr>
          <w:sz w:val="20"/>
          <w:szCs w:val="20"/>
          <w:color w:val="auto"/>
        </w:rPr>
      </w:pPr>
    </w:p>
    <w:p>
      <w:pPr>
        <w:ind w:left="520" w:right="320" w:hanging="260"/>
        <w:spacing w:after="0" w:line="261" w:lineRule="auto"/>
        <w:tabs>
          <w:tab w:leader="none" w:pos="51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2024, farming segment revenues decreased $25,000, or 0.2%, from $13,950,000 in 2023 to $13,925,000 in 2024. The decrease was primarily driven by a $799,000 decline in pistachio sales revenue, resulting from the absence of a pistachio yield during the year. This is not indicative of a trend but rather attributed to insufficient chill hours, which affected production. Additionally, wine grape sales revenue fell by $586,000, primarily due to lower production volumes, which were impacted by a rare combination of late-season rains and unusually cool temperatures in early spring, both of which contributed to mildew issues that affected vine growth and overall yield. This weather pattern is atypical and not indicative of normal growing season conditions. These declines were mostly offset by a $1,744,000 increase in almond sales revenue, driven by higher crop availability and improved pricing.</w:t>
      </w:r>
    </w:p>
    <w:p>
      <w:pPr>
        <w:spacing w:after="0" w:line="100" w:lineRule="exact"/>
        <w:rPr>
          <w:rFonts w:ascii="Times New Roman" w:cs="Times New Roman" w:eastAsia="Times New Roman" w:hAnsi="Times New Roman"/>
          <w:sz w:val="14"/>
          <w:szCs w:val="14"/>
          <w:color w:val="auto"/>
        </w:rPr>
      </w:pPr>
    </w:p>
    <w:p>
      <w:pPr>
        <w:ind w:left="520" w:right="200" w:hanging="260"/>
        <w:spacing w:after="0" w:line="287" w:lineRule="auto"/>
        <w:tabs>
          <w:tab w:leader="none" w:pos="51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2024, farming segment expenses increased $2,294,000, or 15%, from $15,257,000 in 2023 to $17,551,000 in 2024. This increase was primarily due to an increase in water holding cost of $2,217,000 in 2024.</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further discussion of the farming operations, refer to Item 1 “Business—Farming Operations.”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7" w:right="31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86"/>
        </w:trPr>
        <w:tc>
          <w:tcPr>
            <w:tcW w:w="7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6EBF"/>
              </w:rPr>
              <w:t>Ranch Operations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403"/>
        </w:trPr>
        <w:tc>
          <w:tcPr>
            <w:tcW w:w="20" w:type="dxa"/>
            <w:vAlign w:val="bottom"/>
          </w:tcPr>
          <w:p>
            <w:pPr>
              <w:spacing w:after="0"/>
              <w:rPr>
                <w:sz w:val="24"/>
                <w:szCs w:val="24"/>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4"/>
                <w:szCs w:val="14"/>
                <w:color w:val="auto"/>
              </w:rPr>
              <w:t>($ in thousands)</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rPr>
              <w:t>2023</w:t>
            </w:r>
          </w:p>
        </w:tc>
      </w:tr>
      <w:tr>
        <w:trPr>
          <w:trHeight w:val="161"/>
        </w:trPr>
        <w:tc>
          <w:tcPr>
            <w:tcW w:w="20" w:type="dxa"/>
            <w:vAlign w:val="bottom"/>
          </w:tcPr>
          <w:p>
            <w:pPr>
              <w:spacing w:after="0"/>
              <w:rPr>
                <w:sz w:val="13"/>
                <w:szCs w:val="13"/>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4"/>
                <w:szCs w:val="14"/>
                <w:color w:val="auto"/>
              </w:rPr>
              <w:t>Ranch operations revenue</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7120" w:type="dxa"/>
            <w:vAlign w:val="bottom"/>
            <w:shd w:val="clear" w:color="auto" w:fill="CCEEFF"/>
          </w:tcPr>
          <w:p>
            <w:pPr>
              <w:ind w:left="160"/>
              <w:spacing w:after="0" w:line="181" w:lineRule="exact"/>
              <w:rPr>
                <w:sz w:val="20"/>
                <w:szCs w:val="20"/>
                <w:color w:val="auto"/>
              </w:rPr>
            </w:pPr>
            <w:r>
              <w:rPr>
                <w:rFonts w:ascii="Times New Roman" w:cs="Times New Roman" w:eastAsia="Times New Roman" w:hAnsi="Times New Roman"/>
                <w:sz w:val="14"/>
                <w:szCs w:val="14"/>
                <w:color w:val="auto"/>
              </w:rPr>
              <w:t xml:space="preserve">Game management and other </w:t>
            </w:r>
            <w:r>
              <w:rPr>
                <w:rFonts w:ascii="Times New Roman" w:cs="Times New Roman" w:eastAsia="Times New Roman" w:hAnsi="Times New Roman"/>
                <w:sz w:val="18"/>
                <w:szCs w:val="18"/>
                <w:color w:val="auto"/>
                <w:vertAlign w:val="superscript"/>
              </w:rPr>
              <w:t>1</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3,259</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2,884</w:t>
            </w:r>
          </w:p>
        </w:tc>
      </w:tr>
      <w:tr>
        <w:trPr>
          <w:trHeight w:val="180"/>
        </w:trPr>
        <w:tc>
          <w:tcPr>
            <w:tcW w:w="20" w:type="dxa"/>
            <w:vAlign w:val="bottom"/>
          </w:tcPr>
          <w:p>
            <w:pPr>
              <w:spacing w:after="0"/>
              <w:rPr>
                <w:sz w:val="15"/>
                <w:szCs w:val="15"/>
                <w:color w:val="auto"/>
              </w:rPr>
            </w:pPr>
          </w:p>
        </w:tc>
        <w:tc>
          <w:tcPr>
            <w:tcW w:w="71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Grazing</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2,220</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2,351</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1,623</w:t>
            </w:r>
          </w:p>
        </w:tc>
      </w:tr>
      <w:tr>
        <w:trPr>
          <w:trHeight w:val="171"/>
        </w:trPr>
        <w:tc>
          <w:tcPr>
            <w:tcW w:w="20" w:type="dxa"/>
            <w:vAlign w:val="bottom"/>
          </w:tcPr>
          <w:p>
            <w:pPr>
              <w:spacing w:after="0"/>
              <w:rPr>
                <w:sz w:val="14"/>
                <w:szCs w:val="14"/>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ranch operations revenues</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5,479</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5,195</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4,507</w:t>
            </w:r>
          </w:p>
        </w:tc>
      </w:tr>
      <w:tr>
        <w:trPr>
          <w:trHeight w:val="160"/>
        </w:trPr>
        <w:tc>
          <w:tcPr>
            <w:tcW w:w="20" w:type="dxa"/>
            <w:vAlign w:val="bottom"/>
          </w:tcPr>
          <w:p>
            <w:pPr>
              <w:spacing w:after="0"/>
              <w:rPr>
                <w:sz w:val="13"/>
                <w:szCs w:val="13"/>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4"/>
                <w:szCs w:val="14"/>
                <w:color w:val="auto"/>
              </w:rPr>
              <w:t>Ranch operation expenses</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7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Operating expenses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4,322</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4,095</w:t>
            </w:r>
          </w:p>
        </w:tc>
      </w:tr>
      <w:tr>
        <w:trPr>
          <w:trHeight w:val="180"/>
        </w:trPr>
        <w:tc>
          <w:tcPr>
            <w:tcW w:w="20" w:type="dxa"/>
            <w:vAlign w:val="bottom"/>
          </w:tcPr>
          <w:p>
            <w:pPr>
              <w:spacing w:after="0"/>
              <w:rPr>
                <w:sz w:val="15"/>
                <w:szCs w:val="15"/>
                <w:color w:val="auto"/>
              </w:rPr>
            </w:pPr>
          </w:p>
        </w:tc>
        <w:tc>
          <w:tcPr>
            <w:tcW w:w="7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w:t>
            </w:r>
          </w:p>
        </w:tc>
      </w:tr>
      <w:tr>
        <w:trPr>
          <w:trHeight w:val="180"/>
        </w:trPr>
        <w:tc>
          <w:tcPr>
            <w:tcW w:w="20" w:type="dxa"/>
            <w:vAlign w:val="bottom"/>
          </w:tcPr>
          <w:p>
            <w:pPr>
              <w:spacing w:after="0"/>
              <w:rPr>
                <w:sz w:val="15"/>
                <w:szCs w:val="15"/>
                <w:color w:val="auto"/>
              </w:rPr>
            </w:pPr>
          </w:p>
        </w:tc>
        <w:tc>
          <w:tcPr>
            <w:tcW w:w="7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w:t>
            </w:r>
          </w:p>
        </w:tc>
      </w:tr>
      <w:tr>
        <w:trPr>
          <w:trHeight w:val="171"/>
        </w:trPr>
        <w:tc>
          <w:tcPr>
            <w:tcW w:w="20" w:type="dxa"/>
            <w:vAlign w:val="bottom"/>
          </w:tcPr>
          <w:p>
            <w:pPr>
              <w:spacing w:after="0"/>
              <w:rPr>
                <w:sz w:val="14"/>
                <w:szCs w:val="14"/>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4"/>
                <w:szCs w:val="14"/>
                <w:color w:val="auto"/>
              </w:rPr>
              <w:t>Total ranch operations expenses</w:t>
            </w: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5,261</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4,864</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5,043</w:t>
            </w:r>
          </w:p>
        </w:tc>
      </w:tr>
      <w:tr>
        <w:trPr>
          <w:trHeight w:val="175"/>
        </w:trPr>
        <w:tc>
          <w:tcPr>
            <w:tcW w:w="20" w:type="dxa"/>
            <w:vAlign w:val="bottom"/>
          </w:tcPr>
          <w:p>
            <w:pPr>
              <w:spacing w:after="0"/>
              <w:rPr>
                <w:sz w:val="15"/>
                <w:szCs w:val="15"/>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4"/>
                <w:szCs w:val="14"/>
                <w:color w:val="auto"/>
              </w:rPr>
              <w:t>Operating income/(loss) from ranch operations</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80" w:type="dxa"/>
            <w:vAlign w:val="bottom"/>
          </w:tcPr>
          <w:p>
            <w:pPr>
              <w:spacing w:after="0"/>
              <w:rPr>
                <w:sz w:val="15"/>
                <w:szCs w:val="15"/>
                <w:color w:val="auto"/>
              </w:rPr>
            </w:pP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10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-123190</wp:posOffset>
            </wp:positionV>
            <wp:extent cx="7148195" cy="134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8195" cy="134620"/>
                    </a:xfrm>
                    <a:prstGeom prst="rect">
                      <a:avLst/>
                    </a:prstGeom>
                    <a:noFill/>
                  </pic:spPr>
                </pic:pic>
              </a:graphicData>
            </a:graphic>
          </wp:anchor>
        </w:drawing>
      </w:r>
    </w:p>
    <w:p>
      <w:pPr>
        <w:ind w:left="100" w:hanging="70"/>
        <w:spacing w:after="0" w:line="219" w:lineRule="auto"/>
        <w:tabs>
          <w:tab w:leader="none" w:pos="100" w:val="left"/>
        </w:tabs>
        <w:numPr>
          <w:ilvl w:val="0"/>
          <w:numId w:val="30"/>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Game management and other revenues consist of revenues from hunting, filming, High Desert Hunt Club (a premier upland bird hunting club), and other ancillary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4530725</wp:posOffset>
            </wp:positionH>
            <wp:positionV relativeFrom="paragraph">
              <wp:posOffset>-81280</wp:posOffset>
            </wp:positionV>
            <wp:extent cx="2627630"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627630" cy="6985"/>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2025 Operational Highlights:</w:t>
      </w:r>
    </w:p>
    <w:p>
      <w:pPr>
        <w:spacing w:after="0" w:line="138" w:lineRule="exact"/>
        <w:rPr>
          <w:sz w:val="20"/>
          <w:szCs w:val="20"/>
          <w:color w:val="auto"/>
        </w:rPr>
      </w:pPr>
    </w:p>
    <w:p>
      <w:pPr>
        <w:ind w:left="520" w:right="40" w:hanging="260"/>
        <w:spacing w:after="0" w:line="270" w:lineRule="auto"/>
        <w:tabs>
          <w:tab w:leader="none" w:pos="51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Revenues from ranch operations increased $284,000, or 5%, from $5,195,000 in 2024 to $5,479,000 in 2025. The increase was primarily attributable to an increase in game management and other revenue of $415,000, primarily attributed to higher guided hunt revenues and increased revenue recognized from hunting memberships. The increase was offset by the decrease in the grazing revenue of $131,000.</w:t>
      </w:r>
    </w:p>
    <w:p>
      <w:pPr>
        <w:spacing w:after="0" w:line="93" w:lineRule="exact"/>
        <w:rPr>
          <w:rFonts w:ascii="Times New Roman" w:cs="Times New Roman" w:eastAsia="Times New Roman" w:hAnsi="Times New Roman"/>
          <w:sz w:val="14"/>
          <w:szCs w:val="14"/>
          <w:color w:val="auto"/>
        </w:rPr>
      </w:pPr>
    </w:p>
    <w:p>
      <w:pPr>
        <w:ind w:left="520" w:right="240" w:hanging="260"/>
        <w:spacing w:after="0" w:line="287" w:lineRule="auto"/>
        <w:tabs>
          <w:tab w:leader="none" w:pos="51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Ranch operations expenses increased $397,000, or 8%, from $4,864,000 in 2024 to $5,261,000 in 2025. This increase was primarily attributable to higher operating expenses of $489,000 mainly associated with additional property taxes of $164,000, additional labor cost of $158,000 and higher repairs and maintenance expenses of $135,000.</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2024 Operational Highlights:</w:t>
      </w:r>
    </w:p>
    <w:p>
      <w:pPr>
        <w:spacing w:after="0" w:line="138" w:lineRule="exact"/>
        <w:rPr>
          <w:sz w:val="20"/>
          <w:szCs w:val="20"/>
          <w:color w:val="auto"/>
        </w:rPr>
      </w:pPr>
    </w:p>
    <w:p>
      <w:pPr>
        <w:ind w:left="520" w:right="540" w:hanging="260"/>
        <w:spacing w:after="0" w:line="287" w:lineRule="auto"/>
        <w:tabs>
          <w:tab w:leader="none" w:pos="516"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Revenues from ranch operations increased $688,000, or 15%, from $4,507,000 in 2023 to $5,195,000 in 2024. This is primarily attributed to an increase in grazing lease revenues of $728,000 due to improved pasture levels as a result of winter rains.</w:t>
      </w:r>
    </w:p>
    <w:p>
      <w:pPr>
        <w:spacing w:after="0" w:line="81" w:lineRule="exact"/>
        <w:rPr>
          <w:rFonts w:ascii="Times New Roman" w:cs="Times New Roman" w:eastAsia="Times New Roman" w:hAnsi="Times New Roman"/>
          <w:sz w:val="14"/>
          <w:szCs w:val="14"/>
          <w:color w:val="auto"/>
        </w:rPr>
      </w:pPr>
    </w:p>
    <w:p>
      <w:pPr>
        <w:ind w:left="520" w:right="160" w:hanging="260"/>
        <w:spacing w:after="0" w:line="287" w:lineRule="auto"/>
        <w:tabs>
          <w:tab w:leader="none" w:pos="516"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Ranch operations expenses decreased $179,000, or 4%, from $5,043,000 in 2023 to $4,864,000 in 2024. This decrease was primarily attributed to lower repair and maintenance expense of $109,000 and savings in payroll and compensation expenses of $54,000.</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6EBF"/>
        </w:rPr>
        <w:t>Other Income</w:t>
      </w:r>
    </w:p>
    <w:p>
      <w:pPr>
        <w:spacing w:after="0" w:line="138"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Total other income decreased $1,231,000, or 62%, to $750,000 for the year ended December 31, 2025, compared to $1,981,000 for the year ended December 31, 2024. The decrease was primarily attributed to a $1,359,000 reduction in investment income on marketable securities reflecting lower average invested balances during 2025.</w:t>
      </w:r>
    </w:p>
    <w:p>
      <w:pPr>
        <w:spacing w:after="0" w:line="82"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Total other income decreased by $438,000, or 18%, from $2,419,000 in 2023 to $1,981,000 in 2024. Investment income recognized on marketable securities decreased by $284,000 due to a decrease in average funds invested. Additionally, the decrease was attributable to the $426,000 employee retention credit received during the first quarter of 2023, which did not reoccur in 2024. The above decreases of income were partially offset by a $98,000 decrease in pension expenses in 2024.</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6EBF"/>
        </w:rPr>
        <w:t>Corporate Expenses</w:t>
      </w:r>
    </w:p>
    <w:p>
      <w:pPr>
        <w:spacing w:after="0" w:line="138" w:lineRule="exact"/>
        <w:rPr>
          <w:sz w:val="20"/>
          <w:szCs w:val="20"/>
          <w:color w:val="auto"/>
        </w:rPr>
      </w:pPr>
    </w:p>
    <w:p>
      <w:pPr>
        <w:ind w:right="540"/>
        <w:spacing w:after="0" w:line="270" w:lineRule="auto"/>
        <w:rPr>
          <w:sz w:val="20"/>
          <w:szCs w:val="20"/>
          <w:color w:val="auto"/>
        </w:rPr>
      </w:pPr>
      <w:r>
        <w:rPr>
          <w:rFonts w:ascii="Times New Roman" w:cs="Times New Roman" w:eastAsia="Times New Roman" w:hAnsi="Times New Roman"/>
          <w:sz w:val="14"/>
          <w:szCs w:val="14"/>
          <w:color w:val="auto"/>
        </w:rPr>
        <w:t>Corporate general and administrative costs increased $2,976,000, or 26.8%, to $14,068,000 during 2025 when compared to $11,092,000 in 2024. The increase was primarily due to higher shareholders' expenses associated with a contested board election and proxy defense efforts. The main components of the corporate expenses included general and administrative expenses of $7,980,000, operating and professional service expenses of $5,723,000, and depreciation and amortization of $354,000.</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53" w:name="page54"/>
    <w:bookmarkEnd w:id="53"/>
    <w:p>
      <w:pPr>
        <w:spacing w:after="0" w:line="270" w:lineRule="auto"/>
        <w:rPr>
          <w:sz w:val="20"/>
          <w:szCs w:val="20"/>
          <w:color w:val="auto"/>
        </w:rPr>
      </w:pPr>
      <w:r>
        <w:rPr>
          <w:rFonts w:ascii="Times New Roman" w:cs="Times New Roman" w:eastAsia="Times New Roman" w:hAnsi="Times New Roman"/>
          <w:sz w:val="14"/>
          <w:szCs w:val="14"/>
          <w:color w:val="auto"/>
        </w:rPr>
        <w:t>Corporate general and administrative costs increased $1,220,000, or 12.4%, to $11,092,000 during 2024 when compared to $9,872,000 in 2023. The increase was primarily attributable to higher stock compensation expense of $1,053,000 over the comparative period. The main components of the 2024 corporate expenses included general and administrative expenses of $6,578,000, operating and professional service expenses of $4,169,000, and depreciation and amortization of $345,000.</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6EBF"/>
        </w:rPr>
        <w:t>Equity in Earnings of Unconsolidated Joint Ventures</w:t>
      </w:r>
    </w:p>
    <w:p>
      <w:pPr>
        <w:spacing w:after="0" w:line="138" w:lineRule="exact"/>
        <w:rPr>
          <w:sz w:val="20"/>
          <w:szCs w:val="20"/>
          <w:color w:val="auto"/>
        </w:rPr>
      </w:pPr>
    </w:p>
    <w:p>
      <w:pPr>
        <w:ind w:right="340"/>
        <w:spacing w:after="0" w:line="264" w:lineRule="auto"/>
        <w:rPr>
          <w:sz w:val="20"/>
          <w:szCs w:val="20"/>
          <w:color w:val="auto"/>
        </w:rPr>
      </w:pPr>
      <w:r>
        <w:rPr>
          <w:rFonts w:ascii="Times New Roman" w:cs="Times New Roman" w:eastAsia="Times New Roman" w:hAnsi="Times New Roman"/>
          <w:sz w:val="14"/>
          <w:szCs w:val="14"/>
          <w:color w:val="auto"/>
        </w:rPr>
        <w:t>Equity in earnings of unconsolidated joint ventures is an important and growing component of our commercial/industrial activities and in the future, equity in earnings of unconsolidated joint ventures can become a significant part of our operations within the resort/residential segment. We continue to use joint ventures to advance our development projects at TRCC. This allows us to combine our resources with other real estate companies and gain greater access to capital, share in the risks of real estate developments, and share in the operating expenses. More importantly, it allows us to better manage the deployment of our capital and increase our leasing portfolio.</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2025</w:t>
            </w: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2024</w:t>
            </w:r>
          </w:p>
        </w:tc>
        <w:tc>
          <w:tcPr>
            <w:tcW w:w="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2023</w:t>
            </w:r>
          </w:p>
        </w:tc>
      </w:tr>
      <w:tr>
        <w:trPr>
          <w:trHeight w:val="16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 earnings (loss)</w:t>
            </w: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80"/>
        </w:trPr>
        <w:tc>
          <w:tcPr>
            <w:tcW w:w="7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Petro Travel Plaza Holdings LLC</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6,061</w:t>
            </w:r>
          </w:p>
        </w:tc>
        <w:tc>
          <w:tcPr>
            <w:tcW w:w="14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8,253</w:t>
            </w:r>
          </w:p>
        </w:tc>
        <w:tc>
          <w:tcPr>
            <w:tcW w:w="16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6,288</w:t>
            </w:r>
          </w:p>
        </w:tc>
      </w:tr>
      <w:tr>
        <w:trPr>
          <w:trHeight w:val="180"/>
        </w:trPr>
        <w:tc>
          <w:tcPr>
            <w:tcW w:w="7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TRCC/Rock Outlet Center, LLC</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(1,446)</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(1,351)</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(1,786)</w:t>
            </w:r>
          </w:p>
        </w:tc>
      </w:tr>
      <w:tr>
        <w:trPr>
          <w:trHeight w:val="180"/>
        </w:trPr>
        <w:tc>
          <w:tcPr>
            <w:tcW w:w="7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TRC-MRC 1, LLC</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923</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w:t>
            </w:r>
          </w:p>
        </w:tc>
      </w:tr>
      <w:tr>
        <w:trPr>
          <w:trHeight w:val="180"/>
        </w:trPr>
        <w:tc>
          <w:tcPr>
            <w:tcW w:w="7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TRC-MRC 2, LLC</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1,832</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2,162</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1,386</w:t>
            </w:r>
          </w:p>
        </w:tc>
      </w:tr>
      <w:tr>
        <w:trPr>
          <w:trHeight w:val="180"/>
        </w:trPr>
        <w:tc>
          <w:tcPr>
            <w:tcW w:w="7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TRC-MRC 3, LLC</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w:t>
            </w:r>
          </w:p>
        </w:tc>
      </w:tr>
      <w:tr>
        <w:trPr>
          <w:trHeight w:val="180"/>
        </w:trPr>
        <w:tc>
          <w:tcPr>
            <w:tcW w:w="7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TRC-MRC 4, LLC</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r>
      <w:tr>
        <w:trPr>
          <w:trHeight w:val="180"/>
        </w:trPr>
        <w:tc>
          <w:tcPr>
            <w:tcW w:w="7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TRC-MRC 5, LLC</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w:t>
            </w:r>
          </w:p>
        </w:tc>
      </w:tr>
      <w:tr>
        <w:trPr>
          <w:trHeight w:val="163"/>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in earnings of unconsolidated joint ventures, net</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8,362</w:t>
            </w:r>
          </w:p>
        </w:tc>
        <w:tc>
          <w:tcPr>
            <w:tcW w:w="140" w:type="dxa"/>
            <w:vAlign w:val="bottom"/>
          </w:tcPr>
          <w:p>
            <w:pPr>
              <w:jc w:val="right"/>
              <w:spacing w:after="0" w:line="89" w:lineRule="exact"/>
              <w:rPr>
                <w:sz w:val="20"/>
                <w:szCs w:val="20"/>
                <w:color w:val="auto"/>
              </w:rPr>
            </w:pPr>
            <w:r>
              <w:rPr>
                <w:rFonts w:ascii="Times New Roman" w:cs="Times New Roman" w:eastAsia="Times New Roman" w:hAnsi="Times New Roman"/>
                <w:sz w:val="8"/>
                <w:szCs w:val="8"/>
                <w:color w:val="auto"/>
              </w:rPr>
              <w:t>1</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10,881</w:t>
            </w:r>
          </w:p>
        </w:tc>
        <w:tc>
          <w:tcPr>
            <w:tcW w:w="160" w:type="dxa"/>
            <w:vAlign w:val="bottom"/>
          </w:tcPr>
          <w:p>
            <w:pPr>
              <w:jc w:val="right"/>
              <w:spacing w:after="0" w:line="89" w:lineRule="exact"/>
              <w:rPr>
                <w:sz w:val="20"/>
                <w:szCs w:val="20"/>
                <w:color w:val="auto"/>
              </w:rPr>
            </w:pPr>
            <w:r>
              <w:rPr>
                <w:rFonts w:ascii="Times New Roman" w:cs="Times New Roman" w:eastAsia="Times New Roman" w:hAnsi="Times New Roman"/>
                <w:sz w:val="8"/>
                <w:szCs w:val="8"/>
                <w:color w:val="auto"/>
              </w:rPr>
              <w:t>1</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61530" cy="134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ind w:left="80" w:hanging="61"/>
        <w:spacing w:after="0" w:line="195" w:lineRule="auto"/>
        <w:tabs>
          <w:tab w:leader="none" w:pos="80" w:val="left"/>
        </w:tabs>
        <w:numPr>
          <w:ilvl w:val="0"/>
          <w:numId w:val="3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1"/>
          <w:szCs w:val="11"/>
          <w:color w:val="auto"/>
        </w:rPr>
        <w:t>TRC-DP1, LLC joint venture had no operating activities during both of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5055870</wp:posOffset>
            </wp:positionH>
            <wp:positionV relativeFrom="paragraph">
              <wp:posOffset>-81280</wp:posOffset>
            </wp:positionV>
            <wp:extent cx="2108835"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08835" cy="6985"/>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2025 Operational Highlights: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2025, equity in earnings from unconsolidated joint ventures decreased $2,519,000, or 23%, to $8,362,000 when compared to $10,881,000 in 2024.</w:t>
      </w:r>
    </w:p>
    <w:p>
      <w:pPr>
        <w:spacing w:after="0" w:line="136" w:lineRule="exact"/>
        <w:rPr>
          <w:sz w:val="20"/>
          <w:szCs w:val="20"/>
          <w:color w:val="auto"/>
        </w:rPr>
      </w:pPr>
    </w:p>
    <w:p>
      <w:pPr>
        <w:jc w:val="both"/>
        <w:ind w:left="520" w:right="60" w:hanging="260"/>
        <w:spacing w:after="0" w:line="270" w:lineRule="auto"/>
        <w:tabs>
          <w:tab w:leader="none" w:pos="516"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Petro Travel Plaza equity in earnings decreased $2,192,000 or 27% when compared to 2024. Total revenues decreased $12.8 million, or 8.3%, year over year, driven primarily by a $9.6 million, or 8.9%, decline in fuel revenues reflecting lower volumes, as well as a $3.2 million, or 7.0%, decrease in non-fuel revenues. Fuel costs of revenues declined $9.0 million, or 10.1%, however, the reduction did not fully offset the decrease in fuel revenues, resulting in a $2.9 million, or 6.1%, decline in total gross profit for the period.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7"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color w:val="auto"/>
        </w:rPr>
        <w:t>2024 Operational Highlights:</w:t>
      </w:r>
    </w:p>
    <w:p>
      <w:pPr>
        <w:spacing w:after="0" w:line="138" w:lineRule="exact"/>
        <w:rPr>
          <w:sz w:val="20"/>
          <w:szCs w:val="20"/>
          <w:color w:val="auto"/>
        </w:rPr>
      </w:pPr>
    </w:p>
    <w:p>
      <w:pPr>
        <w:ind w:left="520" w:hanging="260"/>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2024, equity in earnings from unconsolidated joint ventures increased $4,013,000, or 58%, to $10,881,000 when compared to $6,868,000 in 2023.</w:t>
      </w:r>
    </w:p>
    <w:p>
      <w:pPr>
        <w:spacing w:after="0" w:line="136" w:lineRule="exact"/>
        <w:rPr>
          <w:rFonts w:ascii="Times New Roman" w:cs="Times New Roman" w:eastAsia="Times New Roman" w:hAnsi="Times New Roman"/>
          <w:sz w:val="14"/>
          <w:szCs w:val="14"/>
          <w:color w:val="auto"/>
        </w:rPr>
      </w:pPr>
    </w:p>
    <w:p>
      <w:pPr>
        <w:jc w:val="both"/>
        <w:ind w:left="520" w:right="120" w:hanging="260"/>
        <w:spacing w:after="0" w:line="270" w:lineRule="auto"/>
        <w:tabs>
          <w:tab w:leader="none" w:pos="516"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Petro Travel Plaza equity in earnings increased $1,965,000 or 31% when compared to 2023, which is largely attributable to higher fuel margins. Equity in earnings for our TRC-MRC LLC joint ventures increased by $1,613,000 due to higher rental rates or rental escalations, and the new revenue stream generated by the completed industrial building of the TRC-MRC 5, LLC joint venture.</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Additionally, equity in loss from the TRCC/Rock Outlet Center joint venture decreased by $435,000 compared to 2023 because of improved occupancy.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6EBF"/>
        </w:rPr>
        <w:t>Income Taxes</w:t>
      </w:r>
    </w:p>
    <w:p>
      <w:pPr>
        <w:spacing w:after="0" w:line="138" w:lineRule="exact"/>
        <w:rPr>
          <w:sz w:val="20"/>
          <w:szCs w:val="20"/>
          <w:color w:val="auto"/>
        </w:rPr>
      </w:pPr>
    </w:p>
    <w:p>
      <w:pPr>
        <w:jc w:val="both"/>
        <w:ind w:right="220"/>
        <w:spacing w:after="0" w:line="264" w:lineRule="auto"/>
        <w:rPr>
          <w:sz w:val="20"/>
          <w:szCs w:val="20"/>
          <w:color w:val="auto"/>
        </w:rPr>
      </w:pPr>
      <w:r>
        <w:rPr>
          <w:rFonts w:ascii="Times New Roman" w:cs="Times New Roman" w:eastAsia="Times New Roman" w:hAnsi="Times New Roman"/>
          <w:sz w:val="14"/>
          <w:szCs w:val="14"/>
          <w:color w:val="auto"/>
        </w:rPr>
        <w:t>For the twelve months ended December 31, 2025, the Company's net income tax expense was $1,088,000 compared to $976,000 for the twelve months ended December 31, 2024. These amounts represent effective income tax rates of approximately 93.9% and 26.6% for the twelve months ended December 31, 2025 and 2024, respectively. Our effective income tax rate for the year ended December 31, 2025 was higher than the federal statutory rate in the United States, as a result of permanent differences arising from non-deductible compensation under Section 162(m) of the Tax Cuts and Jobs Act of 2017. As of December 31, 2025 and 2024, we had income tax receivable of $1,475,000 and $1,279,000, respectively.</w:t>
      </w:r>
    </w:p>
    <w:p>
      <w:pPr>
        <w:spacing w:after="0" w:line="98"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As of December 31, 2025, we had net deferred tax liabilities of $9,849,000 compared to $9,059,000 as of December 31, 2024. Our largest deferred tax assets were made up of temporary differences related to deferred gains, pension adjustments, stock compensation, an interest rate swap, and capitalization of costs. Deferred tax liabilities consist of joint venture differences, depreciation, deferred gains, capitalization of stock compensation, and an interest rate swap. Due to the nature of most of our deferred tax assets, we believe they will be used in future years and an allowance is not necessary.</w:t>
      </w:r>
    </w:p>
    <w:p>
      <w:pPr>
        <w:spacing w:after="0" w:line="98" w:lineRule="exact"/>
        <w:rPr>
          <w:sz w:val="20"/>
          <w:szCs w:val="20"/>
          <w:color w:val="auto"/>
        </w:rPr>
      </w:pPr>
    </w:p>
    <w:p>
      <w:pPr>
        <w:ind w:right="440"/>
        <w:spacing w:after="0" w:line="287" w:lineRule="auto"/>
        <w:rPr>
          <w:sz w:val="20"/>
          <w:szCs w:val="20"/>
          <w:color w:val="auto"/>
        </w:rPr>
      </w:pPr>
      <w:r>
        <w:rPr>
          <w:rFonts w:ascii="Times New Roman" w:cs="Times New Roman" w:eastAsia="Times New Roman" w:hAnsi="Times New Roman"/>
          <w:sz w:val="14"/>
          <w:szCs w:val="14"/>
          <w:color w:val="auto"/>
        </w:rPr>
        <w:t>The Company classifies interest and penalties incurred on tax payments as income tax expenses. The Company made $50,000 in estimated federal tax payments in 2025 and $0 in 2024. The Company made $380,000 in estimated California state tax payments in 2025 and $315,000 in 2024. The Company received tax refunds of $28,000 and $1,000 in 2025 and 2024, respectively.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more details, see Note 11. (Income Taxes), of the Notes to Consolidated Financial Statements, included this Annual Report on Form 10-K.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6EBF"/>
        </w:rPr>
        <w:t>Liquidity and Capital Resources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6EBF"/>
        </w:rPr>
        <w:t>Overview</w:t>
      </w:r>
    </w:p>
    <w:p>
      <w:pPr>
        <w:spacing w:after="0" w:line="138"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4"/>
          <w:szCs w:val="14"/>
          <w:color w:val="auto"/>
        </w:rPr>
        <w:t>Our financial position allows us to pursue our strategies of continued development of TRCC, funding of operating activities, land entitlement, development, and conservation. Accordingly, we have established well-defined priorities for our available cash, including investing in core operating segments to achieve profitable future growth. Our primary sources of liquidity include cash generated from operations, investment proceeds, distributions from our unconsolidated joint venture investments and short-term borrowings from our bank credit facilities. In the past, we have also issued common stock and used the proceeds for capital investment activities. Our liquidity may fluctuate throughout the year due to seasonal production cycles within our farming segment, weather conditions, and market demand for our agricultural and real estate products. To meet working capital requirements and fund agricultural inputs and development activities, we utilize our revolving credit facilities as needed.</w:t>
      </w:r>
    </w:p>
    <w:p>
      <w:pPr>
        <w:spacing w:after="0" w:line="10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To enhance shareholder value over the long term, we expect to continue to invest funds towards vertical development within our active commercial and industrial development. We will also make investments as necessary in our real estate segments to secure land entitlement approvals, build infrastructure for our developments, invest in assets to be leased, provide adequate water supplies, and provide funds for general land development activities. Within our farming segment, we intend to make investments as needed to improve efficiency and expand operational capacity when it is economically advantageous to do so. As part of this strategy, we are investing in the development of an additional 150 acres of olives to enhance long-term production capacity and support future revenue growth.</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855" w:right="379" w:bottom="1440" w:gutter="0" w:footer="0" w:header="0"/>
        </w:sectPr>
      </w:pPr>
    </w:p>
    <w:bookmarkStart w:id="55" w:name="page56"/>
    <w:bookmarkEnd w:id="55"/>
    <w:p>
      <w:pPr>
        <w:ind w:right="20"/>
        <w:spacing w:after="0" w:line="264" w:lineRule="auto"/>
        <w:rPr>
          <w:sz w:val="20"/>
          <w:szCs w:val="20"/>
          <w:color w:val="auto"/>
        </w:rPr>
      </w:pPr>
      <w:r>
        <w:rPr>
          <w:rFonts w:ascii="Times New Roman" w:cs="Times New Roman" w:eastAsia="Times New Roman" w:hAnsi="Times New Roman"/>
          <w:sz w:val="14"/>
          <w:szCs w:val="14"/>
          <w:color w:val="auto"/>
        </w:rPr>
        <w:t>We believe our existing cash balances, projected cash flows from operations, distributions from joint ventures, and available borrowing capacity under our revolving credit facility will be sufficient to meet our anticipated capital expenditures, debt service obligations, and working capital requirements for at least the next 12 months. Revenue-generating operations, joint venture distributions, and access to credit facilities are expected to provide ongoing liquidity beyond the next 12 months. In addition, we have the ability to control a portion of our investing and financing cash flows to the extent necessary based on our liquidity demands.</w:t>
      </w:r>
    </w:p>
    <w:p>
      <w:pPr>
        <w:spacing w:after="0" w:line="98"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Our cash and cash equivalents and marketable securities totaled approximately $24,894,000 at December 31, 2025, a decrease of $28,814,000, or 54%, from the corresponding amount at the end of 2024.</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cash flow activities for the following years ended December 31:</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1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2025</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rPr>
              <w:t>2023</w:t>
            </w:r>
          </w:p>
        </w:tc>
      </w:tr>
      <w:tr>
        <w:trPr>
          <w:trHeight w:val="171"/>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1140" w:type="dxa"/>
            <w:vAlign w:val="bottom"/>
            <w:shd w:val="clear" w:color="auto" w:fill="CCEEFF"/>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6,132</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center"/>
              <w:ind w:left="749"/>
              <w:spacing w:after="0"/>
              <w:rPr>
                <w:sz w:val="20"/>
                <w:szCs w:val="20"/>
                <w:color w:val="auto"/>
              </w:rPr>
            </w:pPr>
            <w:r>
              <w:rPr>
                <w:rFonts w:ascii="Times New Roman" w:cs="Times New Roman" w:eastAsia="Times New Roman" w:hAnsi="Times New Roman"/>
                <w:sz w:val="14"/>
                <w:szCs w:val="14"/>
                <w:color w:val="auto"/>
                <w:w w:val="98"/>
              </w:rPr>
              <w:t>14,314</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13,655</w:t>
            </w:r>
          </w:p>
        </w:tc>
      </w:tr>
      <w:tr>
        <w:trPr>
          <w:trHeight w:val="180"/>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Investing activities</w:t>
            </w:r>
          </w:p>
        </w:tc>
        <w:tc>
          <w:tcPr>
            <w:tcW w:w="1140" w:type="dxa"/>
            <w:vAlign w:val="bottom"/>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(62,306)</w:t>
            </w:r>
          </w:p>
        </w:tc>
        <w:tc>
          <w:tcPr>
            <w:tcW w:w="100" w:type="dxa"/>
            <w:vAlign w:val="bottom"/>
          </w:tcPr>
          <w:p>
            <w:pPr>
              <w:spacing w:after="0"/>
              <w:rPr>
                <w:sz w:val="15"/>
                <w:szCs w:val="15"/>
                <w:color w:val="auto"/>
              </w:rPr>
            </w:pP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center"/>
              <w:ind w:left="729"/>
              <w:spacing w:after="0"/>
              <w:rPr>
                <w:sz w:val="20"/>
                <w:szCs w:val="20"/>
                <w:color w:val="auto"/>
              </w:rPr>
            </w:pPr>
            <w:r>
              <w:rPr>
                <w:rFonts w:ascii="Times New Roman" w:cs="Times New Roman" w:eastAsia="Times New Roman" w:hAnsi="Times New Roman"/>
                <w:sz w:val="14"/>
                <w:szCs w:val="14"/>
                <w:color w:val="auto"/>
              </w:rPr>
              <w:t>(25,748)</w:t>
            </w:r>
          </w:p>
        </w:tc>
        <w:tc>
          <w:tcPr>
            <w:tcW w:w="100" w:type="dxa"/>
            <w:vAlign w:val="bottom"/>
          </w:tcPr>
          <w:p>
            <w:pPr>
              <w:spacing w:after="0"/>
              <w:rPr>
                <w:sz w:val="15"/>
                <w:szCs w:val="15"/>
                <w:color w:val="auto"/>
              </w:rPr>
            </w:pP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(14,002)</w:t>
            </w:r>
          </w:p>
        </w:tc>
      </w:tr>
      <w:tr>
        <w:trPr>
          <w:trHeight w:val="18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Financing activities</w:t>
            </w:r>
          </w:p>
        </w:tc>
        <w:tc>
          <w:tcPr>
            <w:tcW w:w="1140" w:type="dxa"/>
            <w:vAlign w:val="bottom"/>
            <w:shd w:val="clear" w:color="auto" w:fill="CCEEFF"/>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26,431</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center"/>
              <w:ind w:left="749"/>
              <w:spacing w:after="0"/>
              <w:rPr>
                <w:sz w:val="20"/>
                <w:szCs w:val="20"/>
                <w:color w:val="auto"/>
              </w:rPr>
            </w:pPr>
            <w:r>
              <w:rPr>
                <w:rFonts w:ascii="Times New Roman" w:cs="Times New Roman" w:eastAsia="Times New Roman" w:hAnsi="Times New Roman"/>
                <w:sz w:val="14"/>
                <w:szCs w:val="14"/>
                <w:color w:val="auto"/>
                <w:w w:val="98"/>
              </w:rPr>
              <w:t>18,794</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(6,865)</w:t>
            </w:r>
          </w:p>
        </w:tc>
      </w:tr>
    </w:tbl>
    <w:p>
      <w:pPr>
        <w:spacing w:after="0" w:line="240"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Cash flows provided by operating activities are primarily dependent upon the rental rates of our leases, the collectability of rent and recovery of operating expenses from our tenants, distributions from joint ventures, the success of our crops and commodity prices within our mineral resources segment.</w:t>
      </w:r>
    </w:p>
    <w:p>
      <w:pPr>
        <w:spacing w:after="0" w:line="135" w:lineRule="exact"/>
        <w:rPr>
          <w:sz w:val="20"/>
          <w:szCs w:val="20"/>
          <w:color w:val="auto"/>
        </w:rPr>
      </w:pPr>
    </w:p>
    <w:p>
      <w:pPr>
        <w:ind w:right="300"/>
        <w:spacing w:after="0" w:line="271" w:lineRule="auto"/>
        <w:rPr>
          <w:sz w:val="20"/>
          <w:szCs w:val="20"/>
          <w:color w:val="auto"/>
        </w:rPr>
      </w:pPr>
      <w:r>
        <w:rPr>
          <w:rFonts w:ascii="Times New Roman" w:cs="Times New Roman" w:eastAsia="Times New Roman" w:hAnsi="Times New Roman"/>
          <w:sz w:val="14"/>
          <w:szCs w:val="14"/>
          <w:color w:val="auto"/>
        </w:rPr>
        <w:t>During 2025, our operations generated $6,132,000 compared to $14,314,000 in 2024. The year-over-year decrease was primarily driven by lower net income and the settlement of $3.2 million in liabilities related to cash-settled awards and bonus payable to our former Chief Executive Officer.</w:t>
      </w:r>
    </w:p>
    <w:p>
      <w:pPr>
        <w:spacing w:after="0" w:line="146"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4"/>
          <w:szCs w:val="14"/>
          <w:color w:val="auto"/>
        </w:rPr>
        <w:t>During 2024, our operations generated $14,314,000 in cash. Distributions from joint ventures increased in 2024, reflecting improved fuel margins and rental rates, as well as higher current liabilities balances.</w:t>
      </w:r>
    </w:p>
    <w:p>
      <w:pPr>
        <w:spacing w:after="0" w:line="146"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4"/>
          <w:szCs w:val="14"/>
          <w:color w:val="auto"/>
        </w:rPr>
        <w:t>During 2025, investing activities used $62,306,000, primarily driven by capital expenditures of $63,210,000 related to real estate expenditures either under development or held for lease, and property and equipment investments. Of the $63,210,000, we used $34,073,000 for the completion of Phase 1 of our Terra Vista at Tejon multifamily development and $12,487,000 for road and water infrastructure improvements at TRCC to support continued expansion. We also invested $3,147,000 on permitting efforts for MV, $4,028,000 on litigation defense for Centennial, and $2,932,000 on permitting efforts for Grapevine. All real estate capital expenditures are inclusive of capitalized interest, payroll and overhead. Of the $3,147,000 incurred for MV, approximately $729,000 was related to direct entitlement preservation activities necessary to maintain the project’s development rights. Discretionary project expenditures were reduced by approximately $112,000, or 15%, compared to the prior year as part of our ongoing liquidity management strategy. Of the $4,028,000 incurred for Centennial, approximately $1,863,000 was related to direct litigation defense and ongoing entitlement process. Discretionary project expenditures were reduced by approximately $35,000, or 2%, compared to the prior year.</w:t>
      </w:r>
    </w:p>
    <w:p>
      <w:pPr>
        <w:spacing w:after="0" w:line="158"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4"/>
          <w:szCs w:val="14"/>
          <w:color w:val="auto"/>
        </w:rPr>
        <w:t>We continue to actively manage capital deployment across projects, prioritizing required entitlement preservation and legal obligations while reducing discretionary development expenditures. We expect permitting-related expenditures for MV to remain at reduced levels unless development activity accelerates.</w:t>
      </w:r>
    </w:p>
    <w:p>
      <w:pPr>
        <w:spacing w:after="0" w:line="146"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4"/>
          <w:szCs w:val="14"/>
          <w:color w:val="auto"/>
        </w:rPr>
        <w:t>Our farming segment incurred cash outlays of $6,202,000 for cultural and water costs tied to crops not yet in production, development of new almond and olive orchards, and replacement of aging farm equipment. In addition, our mineral resources segment invested $8,013,000 to acquire water for use as needed and for future residential development activity. The Company also reinvested $32,387,000 into marketable securities.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These cash outflows were partially offset by $31,637,000 of maturities of marketable securities, $9,409,000 of CFD reimbursements, and $780,000 of distributions from unconsolidated joint ventures.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a result, net cash used in investing activities totaled $62,306,000 for the year.</w:t>
      </w:r>
    </w:p>
    <w:p>
      <w:pPr>
        <w:spacing w:after="0" w:line="17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4"/>
          <w:szCs w:val="14"/>
          <w:color w:val="auto"/>
        </w:rPr>
        <w:t>Terra Vista at Tejon commenced leasing in May 2025 and was approximately 63% leased as of December 31, 2025. As expected for a newly delivered apartment community, the property is currently in its lease-up phase and has not yet reached stabilized occupancy. During this period, operating results reflect start-up and absorption-related costs that are not indicative of stabilized operations. At stabilization, rental revenues are expected to offset fixed operating costs and generate positive operating income.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7" w:right="319" w:bottom="1440" w:gutter="0" w:footer="0" w:header="0"/>
        </w:sectPr>
      </w:pPr>
    </w:p>
    <w:bookmarkStart w:id="56" w:name="page57"/>
    <w:bookmarkEnd w:id="56"/>
    <w:p>
      <w:pPr>
        <w:ind w:right="40"/>
        <w:spacing w:after="0"/>
        <w:rPr>
          <w:sz w:val="20"/>
          <w:szCs w:val="20"/>
          <w:color w:val="auto"/>
        </w:rPr>
      </w:pPr>
      <w:r>
        <w:rPr>
          <w:rFonts w:ascii="Times New Roman" w:cs="Times New Roman" w:eastAsia="Times New Roman" w:hAnsi="Times New Roman"/>
          <w:sz w:val="14"/>
          <w:szCs w:val="14"/>
          <w:color w:val="auto"/>
        </w:rPr>
        <w:t>During 2024, investing activities used $25,748,000, which was largely attributed to capital expenditures of $57,234,000 used primarily for real estate development. Of the $57,234,000, we primarily used $43,018,000 to develop the Terra Vista at Tejon multi-family units, road, and water infrastructures at TRCC. We also spent $3,014,000 on permitting efforts for MV, $3,963,000 on litigation defense for Centennial, and $1,417,000 on permitting efforts for Grapevine. All real estate capital expenditures are inclusive of capitalized interest, payroll and overhead. Our farming segment had cash outlays of $4,891,000 for cultural and water costs tied to crops not yet in production, developing new almond and olive orchards, and replacing old farm equipment. Additionally, our mineral resources segment spent $8,874,000 to acquire water for use as needed and for future residential development activity. Lastly, the Company reinvested $73,995,000 into marketable securities. Offsetting cash outlays were maturities on marketable securities of $92,605,000, distributions from unconsolidated joint ventures of $6,336,000, and CFD reimbursements of $15,745,000.</w:t>
      </w:r>
    </w:p>
    <w:p>
      <w:pPr>
        <w:spacing w:after="0" w:line="2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Our estimated capital investment for 2026 is primarily related to our real estate projects as it was in 2025. These estimated investments include approximately $16,857,000 of development costs at TRCC-East for road infrastructure, water treatment system improvements, and expansion of the wastewater treatment plant for future anticipated absorption. We are also investing approximately $5,254,000 to continue developing olive and almond orchards and replacing old farming equipment. We may invest up to $11,142,000 for entitlement and permitting activities, predevelopment activities and land planning design at MV and Grapevine and litigation defense and ongoing entitlement efforts for Centennial. All real estate capital expenditures are inclusive of capitalized interest, payroll and overhead. The timing of these investments is dependent on our coordination efforts with Los Angeles County regarding litigation defense for Centennial, permitting activities for Grapevine, and design, civil engineering, land planning and design, and capital raising for MV. Our efforts within our master plan projects are managed to minimize each year's investment. Our plans also include $7,212,000 for payment of annual water inventory and water related investments.</w:t>
      </w:r>
    </w:p>
    <w:p>
      <w:pPr>
        <w:spacing w:after="0" w:line="168"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color w:val="auto"/>
        </w:rPr>
        <w:t>We capitalize interest cost as a cost of the project only during the period for which activities necessary to prepare an asset for its intended use are ongoing, provided that expenditures for the asset have been made and interest cost has been incurred. Capitalized interest for the years ended December 31, 2025 and 2024, of $5,091,000 and $4,353,000, respectively, is classified in real estate development. We also capitalized payroll costs related to development, pre-construction, and construction projects, which aggregated $2,881,000 and $2,884,000 for the years ended December 31, 2025 and 2024, respectively. Expenditures for repairs and maintenance are expensed as incurred. As noted above, these costs are included in the above investment numbers.</w:t>
      </w:r>
    </w:p>
    <w:p>
      <w:pPr>
        <w:spacing w:after="0" w:line="98" w:lineRule="exact"/>
        <w:rPr>
          <w:sz w:val="20"/>
          <w:szCs w:val="20"/>
          <w:color w:val="auto"/>
        </w:rPr>
      </w:pPr>
    </w:p>
    <w:p>
      <w:pPr>
        <w:ind w:right="660"/>
        <w:spacing w:after="0" w:line="287" w:lineRule="auto"/>
        <w:rPr>
          <w:sz w:val="20"/>
          <w:szCs w:val="20"/>
          <w:color w:val="auto"/>
        </w:rPr>
      </w:pPr>
      <w:r>
        <w:rPr>
          <w:rFonts w:ascii="Times New Roman" w:cs="Times New Roman" w:eastAsia="Times New Roman" w:hAnsi="Times New Roman"/>
          <w:sz w:val="14"/>
          <w:szCs w:val="14"/>
          <w:color w:val="auto"/>
        </w:rPr>
        <w:t>During 2025, financing activities generated $26,431,000, which is comprised of borrowings from the line-of-credit facility of $27,000,000 to fund construction projects and other ongoing development such as Terra Vista and TRCC infrastructure, partially offset by the tax payments on vested stock grants of $569,000.</w:t>
      </w:r>
    </w:p>
    <w:p>
      <w:pPr>
        <w:spacing w:after="0" w:line="82" w:lineRule="exact"/>
        <w:rPr>
          <w:sz w:val="20"/>
          <w:szCs w:val="20"/>
          <w:color w:val="auto"/>
        </w:rPr>
      </w:pPr>
    </w:p>
    <w:p>
      <w:pPr>
        <w:ind w:right="660"/>
        <w:spacing w:after="0" w:line="287" w:lineRule="auto"/>
        <w:rPr>
          <w:sz w:val="20"/>
          <w:szCs w:val="20"/>
          <w:color w:val="auto"/>
        </w:rPr>
      </w:pPr>
      <w:r>
        <w:rPr>
          <w:rFonts w:ascii="Times New Roman" w:cs="Times New Roman" w:eastAsia="Times New Roman" w:hAnsi="Times New Roman"/>
          <w:sz w:val="14"/>
          <w:szCs w:val="14"/>
          <w:color w:val="auto"/>
        </w:rPr>
        <w:t>During 2024, financing activities generated $18,794,000, which is comprised of borrowings from the line-of-credit facility of $19,000,000 to fund construction projects and other ongoing development such as Terra Vista and TRCC infrastructure, partially offset by the tax payments on vested stock grants of $206,000.</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Cash flows and earnings may fluctuate from period to period due to the commodity-driven nature of our farming and mineral operations and the timing of sales and leasing activity within our development projects. Some farming crops, notably pistachios, bear in alternate years which results in reduced revenues for those years. Development timelines, market conditions, and the time required to negotiate transactions can cause variability in reported results across periods. Often, the timing aspect of land development can lead to particular years or periods having more or less earnings than comparable periods. Based on current projections and available liquidity, management expects to maintain sufficient cash resources to fund internal operations over the next 12 months. As we move forward with the completion of the litigation, permitting and engineering design for our master planned communities and prepare to move into the development stage, we may need to secure additional funding in the long-term through either the issuance of equity and/or by securing other forms of financing such as joint ventures equity and debt financing.</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6EBF"/>
        </w:rPr>
        <w:t>Capital Structure and Financial Condition</w:t>
      </w:r>
    </w:p>
    <w:p>
      <w:pPr>
        <w:spacing w:after="0" w:line="138" w:lineRule="exact"/>
        <w:rPr>
          <w:sz w:val="20"/>
          <w:szCs w:val="20"/>
          <w:color w:val="auto"/>
        </w:rPr>
      </w:pPr>
    </w:p>
    <w:p>
      <w:pPr>
        <w:ind w:right="620"/>
        <w:spacing w:after="0" w:line="287" w:lineRule="auto"/>
        <w:rPr>
          <w:sz w:val="20"/>
          <w:szCs w:val="20"/>
          <w:color w:val="auto"/>
        </w:rPr>
      </w:pPr>
      <w:r>
        <w:rPr>
          <w:rFonts w:ascii="Times New Roman" w:cs="Times New Roman" w:eastAsia="Times New Roman" w:hAnsi="Times New Roman"/>
          <w:sz w:val="14"/>
          <w:szCs w:val="14"/>
          <w:color w:val="auto"/>
        </w:rPr>
        <w:t>At December 31, 2025, total capitalization at book value was $584,498,000 consisting of $93,942,000 of debt and $490,556,000 of equity, resulting in a debt-to-total-capitalization ratio of approximately 16.1%, representing an increase when compared to the debt-to-total-capitalization ratio of 12.0% at December 31, 2024.</w:t>
      </w:r>
    </w:p>
    <w:p>
      <w:pPr>
        <w:spacing w:after="0" w:line="82"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On November 17, 2023, we entered into a Credit Agreement with AgWest Farm Credit, PCA, as administrative agent and letter of credit intermediary (Administrative Agent), and certain other lenders, collectively, the Revolving Credit Facility. The Revolving Credit Facility provides TRC with (i) an RCL in the amount of $160,000,000 and (ii) the option for TRC to utilize a letter of credit sub-facility in the amount of $15,000,000 (LOC Sub-Facility). The LOC Sub-Facility is part of, and not in</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793" w:right="3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color w:val="auto"/>
        </w:rPr>
        <w:t>addition to, the RCL. As further summarized below, the RCL requires interest only payments and has a maturity date of January 1, 2029.</w:t>
      </w:r>
    </w:p>
    <w:p>
      <w:pPr>
        <w:spacing w:after="0" w:line="13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Upon closing of the Revolving Credit Facility, funds from the RCL were used to pay off and close out the existing Bank of America, N.A. Term Note (the Bank of America Term Note) and Revolving Line of Credit Note. The amount of this pay off was $47,078,564 plus accrued interest and fees on the Bank of America Term Note. We evaluated the debt exchange under ASC 470 and determined that the exchange should be treated as a debt extinguishment. Future borrowings under the Revolving Credit Facility will be used for ongoing working capital requirements, including to fund future construction projects, farming and ranching operations, and other general corporate purposes.</w:t>
      </w:r>
    </w:p>
    <w:p>
      <w:pPr>
        <w:spacing w:after="0" w:line="98"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To maintain availability of funds, undrawn amounts under the RCL will accrue an unused fee of 15 basis points per annum except that, for the LOC Sub-Facility, TRC will incur a fee of 2.00% per annum for each letter of credit issued to TRC. TRC’s ability to borrow/draw additional funds is subject to compliance with certain financial and other covenants, some of which are further described below, and the continuing accuracy of certain representations and warranties contained in the Revolving Credit Facility. Currently, there are no letters of credit outstanding.</w:t>
      </w:r>
    </w:p>
    <w:p>
      <w:pPr>
        <w:spacing w:after="0" w:line="9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color w:val="auto"/>
        </w:rPr>
        <w:t>The interest rate per annum applicable to the Revolving Credit Facility is one-month term SOFR plus an interest rate spread that is based on TRC’s consolidated NLER. The interest rate spread for the NLER has three tiers: (1) 2.75% if the NLER is 55% or more; (2) 2.5% if the NLER is between 35% and less than 55%; and (3) 2.25% if the NLER is less than 35%. The interest rate spread in the previous sentence may effectively be reduced by applying a patronage credit for TRC’s participation in the farm credit program, which patronage credit historically has been (for reference and information purposes only and not as a guarantee of future patronage credit) between 100-125 basis points. The Administrative Agent pays the patronage credit annually in the form of a dividend. As of December 31, 2025, the Company's NLER was in tier 3, or less than 35%, and the applicable interest rate spread was 2.25%. We received partial patronage credit in February 2026 of $646,000 which represents 125 basis points from the primary lender, and the remaining patronage credit in March 2026 for $310,000 which represents 100 basis points from the other participating lenders. As a result, our effective cost of debt for 2025 was approximately SOFR plus 100 basis points.</w:t>
      </w:r>
    </w:p>
    <w:p>
      <w:pPr>
        <w:spacing w:after="0" w:line="104"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4"/>
          <w:szCs w:val="14"/>
          <w:color w:val="auto"/>
        </w:rPr>
        <w:t>The Revolving Credit Facility requires the payment of interest only during the term, at which point the full drawn amount, plus accrued interest, must be repaid by the maturity date, if TRC has not earlier repaid the borrowed amount or extended the maturity date. The RCL may be repaid in part, or in full, by TRC at any time during the term without penalty. Certain events of default (as described in the Revolving Credit Facility) allow acceleration of repayment of borrowed funds, interest and other fees. The Revolving Credit Facility is unsecured, but the agreement provides the Administrative Agent a springing lien on TRC’s wholly owned, unencumbered assets, exclusive of assets subject to negative pledge, if one or more covenants is breached.</w:t>
      </w:r>
    </w:p>
    <w:p>
      <w:pPr>
        <w:spacing w:after="0" w:line="98"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The Revolving Credit Facility requires compliance with three financial covenants: (a) total liabilities divided by tangible net worth not greater than 0.55 to 1.00 at each year end; (b) a debt service coverage ratio not less than 1.50 to 1.00 as of each year end on a rolling four quarter basis; and (c) a liquidity ratio not less than 2.00 to 1.00 at each year end.</w:t>
      </w:r>
    </w:p>
    <w:p>
      <w:pPr>
        <w:spacing w:after="0" w:line="82" w:lineRule="exact"/>
        <w:rPr>
          <w:sz w:val="20"/>
          <w:szCs w:val="20"/>
          <w:color w:val="auto"/>
        </w:rPr>
      </w:pPr>
    </w:p>
    <w:p>
      <w:pPr>
        <w:ind w:right="700"/>
        <w:spacing w:after="0" w:line="287" w:lineRule="auto"/>
        <w:rPr>
          <w:sz w:val="20"/>
          <w:szCs w:val="20"/>
          <w:color w:val="auto"/>
        </w:rPr>
      </w:pPr>
      <w:r>
        <w:rPr>
          <w:rFonts w:ascii="Times New Roman" w:cs="Times New Roman" w:eastAsia="Times New Roman" w:hAnsi="Times New Roman"/>
          <w:sz w:val="14"/>
          <w:szCs w:val="14"/>
          <w:color w:val="auto"/>
        </w:rPr>
        <w:t>The Revolving Credit Facility also contains customary negative covenants that limit our ability to, among other things, make capital expenditures, incur indebtedness and issue guaranties, consummate certain asset sales, acquisitions or mergers, make investments, pay dividends or repurchase stock, make a change in capital ownership, or incur liens on any assets.</w:t>
      </w:r>
    </w:p>
    <w:p>
      <w:pPr>
        <w:spacing w:after="0" w:line="82"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The Revolving Credit Facility contains customary events of default, including: failure to make required payments; failure to comply with terms of the Credit Facility; bankruptcy and insolvency. The Credit Facility contains other customary terms and conditions, including representations and warranties, which are typical for credit facilities of this type.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December 31, 2025, the Company was in compliance with all financial covenants.</w:t>
      </w:r>
    </w:p>
    <w:p>
      <w:pPr>
        <w:spacing w:after="0" w:line="136"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We expect that current and future capital resource requirements will be provided primarily from current cash and marketable securities, cash flow from ongoing operations, distributions from joint ventures, proceeds from the sale of developed and undeveloped land parcels, potential sales of assets, additional use of debt or drawdowns against our line of credit, proceeds from the reimbursement of public infrastructure costs through CFD bond debt (described below under “Off-Balance Sheet Arrangements”), or issuance of additional common stock.</w:t>
      </w:r>
    </w:p>
    <w:p>
      <w:pPr>
        <w:spacing w:after="0" w:line="93"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In May 2025, we filed an updated shelf registration statement on Form S-3 that went effective in May 2025. Under the shelf registration statement, we may offer and sell in the future through one or more offerings not to exceed $200,000,000 of common stock, preferred stock, debt securities, warrants or any combination of the foregoing. The shelf registration allows for efficient and timely access to capital markets and, when combined with our other potential funding sources just noted, provides us with a variety of capital funding options that can then be used and appropriately matched to our funding needs.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7" w:right="319" w:bottom="1440" w:gutter="0" w:footer="0" w:header="0"/>
        </w:sectPr>
      </w:pPr>
    </w:p>
    <w:bookmarkStart w:id="58" w:name="page59"/>
    <w:bookmarkEnd w:id="58"/>
    <w:p>
      <w:pPr>
        <w:ind w:right="280"/>
        <w:spacing w:after="0" w:line="287" w:lineRule="auto"/>
        <w:rPr>
          <w:sz w:val="20"/>
          <w:szCs w:val="20"/>
          <w:color w:val="auto"/>
        </w:rPr>
      </w:pPr>
      <w:r>
        <w:rPr>
          <w:rFonts w:ascii="Times New Roman" w:cs="Times New Roman" w:eastAsia="Times New Roman" w:hAnsi="Times New Roman"/>
          <w:sz w:val="14"/>
          <w:szCs w:val="14"/>
          <w:color w:val="auto"/>
        </w:rPr>
        <w:t>As noted above, at December 31, 2025, we had $24,894,000 in cash and securities and as of the filing date of this Form 10-K, we had $66,058,000 available on credit lines to meet any short-term liquidity needs.</w:t>
      </w:r>
    </w:p>
    <w:p>
      <w:pPr>
        <w:spacing w:after="0" w:line="82" w:lineRule="exact"/>
        <w:rPr>
          <w:sz w:val="20"/>
          <w:szCs w:val="20"/>
          <w:color w:val="auto"/>
        </w:rPr>
      </w:pPr>
    </w:p>
    <w:p>
      <w:pPr>
        <w:jc w:val="both"/>
        <w:ind w:right="200"/>
        <w:spacing w:after="0" w:line="264" w:lineRule="auto"/>
        <w:rPr>
          <w:sz w:val="20"/>
          <w:szCs w:val="20"/>
          <w:color w:val="auto"/>
        </w:rPr>
      </w:pPr>
      <w:r>
        <w:rPr>
          <w:rFonts w:ascii="Times New Roman" w:cs="Times New Roman" w:eastAsia="Times New Roman" w:hAnsi="Times New Roman"/>
          <w:sz w:val="14"/>
          <w:szCs w:val="14"/>
          <w:color w:val="auto"/>
        </w:rPr>
        <w:t>We continue to expect that substantial investments will be required to develop our land assets. To meet these capital requirements, we may need to secure additional debt financing and continue to renew our existing credit facilities. In addition to debt financing, we will use other capital alternatives, such as joint ventures with financial partners, sales of assets, and/or the issuance of common stock. As we move into 2026, we will be evaluating various options for funding the potential start of development projects. There is no assurance that we can obtain financing or that we can obtain financing at favorable terms.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6EBF"/>
        </w:rPr>
        <w:t>Contractual Cash Obligations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our contractual cash obligations and commercial commitments as of December 31, 2025, to be paid over the next five years and beyond: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color w:val="auto"/>
              </w:rPr>
              <w:t>Payments Due by Period</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r>
      <w:tr>
        <w:trPr>
          <w:trHeight w:val="171"/>
        </w:trPr>
        <w:tc>
          <w:tcPr>
            <w:tcW w:w="4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280" w:type="dxa"/>
            <w:vAlign w:val="bottom"/>
          </w:tcPr>
          <w:p>
            <w:pPr>
              <w:spacing w:after="0"/>
              <w:rPr>
                <w:sz w:val="14"/>
                <w:szCs w:val="14"/>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Pr>
          <w:p>
            <w:pPr>
              <w:spacing w:after="0"/>
              <w:rPr>
                <w:sz w:val="14"/>
                <w:szCs w:val="14"/>
                <w:color w:val="auto"/>
              </w:rPr>
            </w:pPr>
          </w:p>
        </w:tc>
        <w:tc>
          <w:tcPr>
            <w:tcW w:w="11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Less than a year</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1-3 years</w:t>
            </w:r>
          </w:p>
        </w:tc>
        <w:tc>
          <w:tcPr>
            <w:tcW w:w="220" w:type="dxa"/>
            <w:vAlign w:val="bottom"/>
          </w:tcPr>
          <w:p>
            <w:pPr>
              <w:spacing w:after="0"/>
              <w:rPr>
                <w:sz w:val="14"/>
                <w:szCs w:val="14"/>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3-5 years</w:t>
            </w:r>
          </w:p>
        </w:tc>
        <w:tc>
          <w:tcPr>
            <w:tcW w:w="100" w:type="dxa"/>
            <w:vAlign w:val="bottom"/>
          </w:tcPr>
          <w:p>
            <w:pPr>
              <w:spacing w:after="0"/>
              <w:rPr>
                <w:sz w:val="14"/>
                <w:szCs w:val="14"/>
                <w:color w:val="auto"/>
              </w:rPr>
            </w:pPr>
          </w:p>
        </w:tc>
        <w:tc>
          <w:tcPr>
            <w:tcW w:w="11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More than 5 years</w:t>
            </w:r>
          </w:p>
        </w:tc>
        <w:tc>
          <w:tcPr>
            <w:tcW w:w="160" w:type="dxa"/>
            <w:vAlign w:val="bottom"/>
          </w:tcPr>
          <w:p>
            <w:pPr>
              <w:spacing w:after="0"/>
              <w:rPr>
                <w:sz w:val="14"/>
                <w:szCs w:val="14"/>
                <w:color w:val="auto"/>
              </w:rPr>
            </w:pPr>
          </w:p>
        </w:tc>
      </w:tr>
      <w:tr>
        <w:trPr>
          <w:trHeight w:val="160"/>
        </w:trPr>
        <w:tc>
          <w:tcPr>
            <w:tcW w:w="4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Contractual Obligations:</w:t>
            </w:r>
          </w:p>
        </w:tc>
        <w:tc>
          <w:tcPr>
            <w:tcW w:w="2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r>
      <w:tr>
        <w:trPr>
          <w:trHeight w:val="180"/>
        </w:trPr>
        <w:tc>
          <w:tcPr>
            <w:tcW w:w="43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Estimated water payments</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1,614,552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16,698</w:t>
            </w:r>
          </w:p>
        </w:tc>
        <w:tc>
          <w:tcPr>
            <w:tcW w:w="380" w:type="dxa"/>
            <w:vAlign w:val="bottom"/>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30,755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32,629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1,534,470</w:t>
            </w:r>
          </w:p>
        </w:tc>
        <w:tc>
          <w:tcPr>
            <w:tcW w:w="1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8"/>
                <w:szCs w:val="8"/>
                <w:color w:val="auto"/>
              </w:rPr>
              <w:t>1</w:t>
            </w:r>
          </w:p>
        </w:tc>
      </w:tr>
      <w:tr>
        <w:trPr>
          <w:trHeight w:val="180"/>
        </w:trPr>
        <w:tc>
          <w:tcPr>
            <w:tcW w:w="4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Revolving line-of-credit</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93,942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93,942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r>
      <w:tr>
        <w:trPr>
          <w:trHeight w:val="180"/>
        </w:trPr>
        <w:tc>
          <w:tcPr>
            <w:tcW w:w="43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Cash contract commitments</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2,837</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w:t>
            </w:r>
          </w:p>
        </w:tc>
        <w:tc>
          <w:tcPr>
            <w:tcW w:w="160" w:type="dxa"/>
            <w:vAlign w:val="bottom"/>
            <w:shd w:val="clear" w:color="auto" w:fill="CCEEFF"/>
          </w:tcPr>
          <w:p>
            <w:pPr>
              <w:spacing w:after="0"/>
              <w:rPr>
                <w:sz w:val="15"/>
                <w:szCs w:val="15"/>
                <w:color w:val="auto"/>
              </w:rPr>
            </w:pPr>
          </w:p>
        </w:tc>
      </w:tr>
      <w:tr>
        <w:trPr>
          <w:trHeight w:val="180"/>
        </w:trPr>
        <w:tc>
          <w:tcPr>
            <w:tcW w:w="4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Defined Benefit Plan</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3,148</w:t>
            </w:r>
          </w:p>
        </w:tc>
        <w:tc>
          <w:tcPr>
            <w:tcW w:w="160" w:type="dxa"/>
            <w:vAlign w:val="bottom"/>
          </w:tcPr>
          <w:p>
            <w:pPr>
              <w:spacing w:after="0"/>
              <w:rPr>
                <w:sz w:val="15"/>
                <w:szCs w:val="15"/>
                <w:color w:val="auto"/>
              </w:rPr>
            </w:pPr>
          </w:p>
        </w:tc>
      </w:tr>
      <w:tr>
        <w:trPr>
          <w:trHeight w:val="180"/>
        </w:trPr>
        <w:tc>
          <w:tcPr>
            <w:tcW w:w="43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SERP</w:t>
            </w: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5,153</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16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1,123</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1,076</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2,379</w:t>
            </w:r>
          </w:p>
        </w:tc>
        <w:tc>
          <w:tcPr>
            <w:tcW w:w="160" w:type="dxa"/>
            <w:vAlign w:val="bottom"/>
            <w:tcBorders>
              <w:bottom w:val="single" w:sz="8" w:color="auto"/>
            </w:tcBorders>
            <w:shd w:val="clear" w:color="auto" w:fill="CCEEFF"/>
          </w:tcPr>
          <w:p>
            <w:pPr>
              <w:spacing w:after="0"/>
              <w:rPr>
                <w:sz w:val="15"/>
                <w:szCs w:val="15"/>
                <w:color w:val="auto"/>
              </w:rPr>
            </w:pPr>
          </w:p>
        </w:tc>
      </w:tr>
      <w:tr>
        <w:trPr>
          <w:trHeight w:val="175"/>
        </w:trPr>
        <w:tc>
          <w:tcPr>
            <w:tcW w:w="4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contractual obligations</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1,723,310</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20,621</w:t>
            </w:r>
          </w:p>
        </w:tc>
        <w:tc>
          <w:tcPr>
            <w:tcW w:w="16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32,885</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128,736</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1,541,068</w:t>
            </w:r>
          </w:p>
        </w:tc>
        <w:tc>
          <w:tcPr>
            <w:tcW w:w="16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2778760</wp:posOffset>
            </wp:positionH>
            <wp:positionV relativeFrom="paragraph">
              <wp:posOffset>-1905</wp:posOffset>
            </wp:positionV>
            <wp:extent cx="4385945"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385945" cy="6985"/>
                    </a:xfrm>
                    <a:prstGeom prst="rect">
                      <a:avLst/>
                    </a:prstGeom>
                    <a:noFill/>
                  </pic:spPr>
                </pic:pic>
              </a:graphicData>
            </a:graphic>
          </wp:anchor>
        </w:drawing>
      </w:r>
    </w:p>
    <w:p>
      <w:pPr>
        <w:ind w:left="20" w:right="260" w:hanging="1"/>
        <w:spacing w:after="0" w:line="202" w:lineRule="auto"/>
        <w:tabs>
          <w:tab w:leader="none" w:pos="75" w:val="left"/>
        </w:tabs>
        <w:numPr>
          <w:ilvl w:val="0"/>
          <w:numId w:val="36"/>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Amount represents Nickel Family water contract payments through 2044 and SWP contract payments through 2085, assuming 3% of escalation on payment each year. For the most significant component, the WRMWSD contract payment, we used an average of the actual water payments for the past five years (2021-2025) as base year, or $5.37 million, escalating 3% each year, to derive at the number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2778760</wp:posOffset>
            </wp:positionH>
            <wp:positionV relativeFrom="paragraph">
              <wp:posOffset>-147955</wp:posOffset>
            </wp:positionV>
            <wp:extent cx="4385945"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385945" cy="6985"/>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 above includes only those contracts that include fixed or minimum obligations. It does not include normal purchases, which are made in the ordinary course of business.</w:t>
      </w:r>
    </w:p>
    <w:p>
      <w:pPr>
        <w:spacing w:after="0" w:line="72"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4"/>
          <w:szCs w:val="14"/>
          <w:color w:val="auto"/>
        </w:rPr>
        <w:t>As discussed in Note 14 (Retirement Plans) of the Notes to Consolidated Financial Statements, we have long-term liabilities for deferred employee compensation, including pension and supplemental retirement plans. Payments in the above table reflect estimates of future defined benefit plan contributions from the Company to the plan trust, estimates of payments to employees from the plan trust, and estimates of future payments to employees from the Company that are in the SERP program. During 2025, we did not make any pension contributions and we do not expect to make contributions in 2026.</w:t>
      </w:r>
    </w:p>
    <w:p>
      <w:pPr>
        <w:spacing w:after="0" w:line="2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Our cash contract commitments consist of contracts in various stages of completion related to infrastructure development within our industrial developments and entitlement costs related to our industrial and residential development projects. Also, included in the cash contract commitments are estimated fees earned in 2014 by a consultant, related to the entitlement of the Grapevine Development Area. The Company exited a consulting contract in 2014 related to the Grapevine Development and is obligated to pay an earned incentive fee at the time of successful receipt of all project permits and entitlements and at a value measurement date five years after entitlements have been achieved for Grapevine. The final amount of the incentive fees will not be finalized until the future payment dates. The Company believes that net savings from exiting the contract over this future time period will more than offset the incentive payment costs.</w:t>
      </w:r>
    </w:p>
    <w:p>
      <w:pPr>
        <w:spacing w:after="0" w:line="101"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Estimated water payments include the Nickel water purchase contract, which obligates us to purchase 6,693 acre-feet of water annually through 2044 and SWP contracts with WRMWSD, Tulare Lake Basin Water Storage District, and Dudley-Ridge Water Storage District. These contracts for the supply of future water run through 2035. Please refer to Note 6 (Long-Term Water Assets) of the Notes to Consolidated Financial Statements for additional information regarding water assets.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6EBF"/>
        </w:rPr>
        <w:t>Off-Balance Sheet Arrangements</w:t>
      </w:r>
    </w:p>
    <w:p>
      <w:pPr>
        <w:spacing w:after="0" w:line="64"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The TRPFFA is a joint powers authority formed by Kern County and TCWD to finance public infrastructure within our Kern County developments. TRPFFA created two CFD's, the West CFD and the East CFD. The West CFD has placed liens on 420 acres of land to secure payment of special taxes related to $19,540,000 of outstanding bond debt sold by TRPFFA for TRCC-West. The East CFD has placed liens on 1,931 acres of our land to secure payments of special taxes related to $95,660,000 of outstanding bond debt sold by TRPFFA for TRCC-East. At TRCC-West, the West CFD has no additional bond debt approved for issuance. On July 25, 2024, TRPFFA sold bonds which will provide approximately $25,000,000 of improvement funds for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7"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color w:val="auto"/>
        </w:rPr>
        <w:t>the reimbursement of public infrastructure costs at TRCC-East. At TRCC-East, the East CFD has approximately $18,605,000 of additional bond debt authorized by TRPFFA.</w:t>
      </w:r>
    </w:p>
    <w:p>
      <w:pPr>
        <w:spacing w:after="0" w:line="136"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As of December 31, 2025, aggregate outstanding debt of unconsolidated joint ventures was $216,092,000; $20,039,000 of this debt was attributable to the loan for TRCC/Rock Outlet joint venture. This loan was 100% guaranteed at December 31, 2025. All other outstanding debt attributed to our joint ventures have met their respective debt covenants and therefore were not subject to an effective guarantee at December 31, 2025. The $11,030,000 of debt related to our joint venture with TA/Petro does not require a guarantee from the joint venture or its members.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6EBF"/>
        </w:rPr>
        <w:t>Non-GAAP Financial Measures</w:t>
      </w:r>
    </w:p>
    <w:p>
      <w:pPr>
        <w:spacing w:after="0" w:line="191"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4"/>
          <w:szCs w:val="14"/>
          <w:color w:val="auto"/>
        </w:rPr>
        <w:t>EBITDA represents earnings before interest, taxes, depreciation, and amortization, a non-GAAP financial measure, and is used by us and others as a supplemental measure of performance. We use Adjusted EBITDA to assess the performance of our core operations, for financial and operational decision making, and as a supplemental or additional means of evaluating period-to-period comparisons on a consistent basis. Adjusted EBITDA is calculated as EBITDA, excluding stock compensation expense and certain identified non-recurring items that are not indicative of our on-going operations or that may obscure our underlying results and trends. We believe EBITDA and Adjusted EBITDA provide investors relevant and useful information, when reconciled to their most comparable GAAP financial measure, because they permit investors to view income from our operations on an unleveraged basis, before the effects of taxes, depreciation and amortization, and stock compensation expense and other items impacting comparability. By excluding interest expense and income, EBITDA and Adjusted EBITDA allow investors to measure our performance independent of our capital structure and indebtedness and, therefore, allow for a more meaningful comparison of our performance to that of other companies, both in the real estate industry and in other industries. We believe that excluding charges related to share-based compensation facilitates a comparison of our operations across periods and among other companies without the variances caused by different valuation methodologies, the volatility of the expense (which depends on market forces outside our control), and the assumptions and the variety of award types that a company can use. In addition, the Company excludes certain items impacting comparability, such as shareholder activism advisory costs and legal expenses associated with the Centennial litigation, to provide investors with a clearer understanding of the Company’s core operating performance across periods. EBITDA and Adjusted EBITDA have limitations as measures of our performance. EBITDA and Adjusted EBITDA do not reflect our historical cash expenditures or future cash requirements for capital expenditures or contractual commitments. While EBITDA and Adjusted EBITDA are relevant and widely used measures of performance, they do not represent net (loss) income or cash flows from operations as defined by GAAP. Further, our computation of EBITDA and Adjusted EBITDA may not be comparable to similar measures reported by other companies. The following table reconciles EBITDA and Adjusted EBITDA to Net income, the most directly comparable GAAP measure.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jc w:val="right"/>
              <w:ind w:right="149"/>
              <w:spacing w:after="0"/>
              <w:rPr>
                <w:sz w:val="20"/>
                <w:szCs w:val="20"/>
                <w:color w:val="auto"/>
              </w:rPr>
            </w:pPr>
            <w:r>
              <w:rPr>
                <w:rFonts w:ascii="Times New Roman" w:cs="Times New Roman" w:eastAsia="Times New Roman" w:hAnsi="Times New Roman"/>
                <w:sz w:val="14"/>
                <w:szCs w:val="14"/>
                <w:color w:val="auto"/>
              </w:rPr>
              <w:t>Year-Ended December 31,</w:t>
            </w:r>
          </w:p>
        </w:tc>
        <w:tc>
          <w:tcPr>
            <w:tcW w:w="920" w:type="dxa"/>
            <w:vAlign w:val="bottom"/>
            <w:tcBorders>
              <w:bottom w:val="single" w:sz="8" w:color="auto"/>
            </w:tcBorders>
          </w:tcPr>
          <w:p>
            <w:pPr>
              <w:spacing w:after="0"/>
              <w:rPr>
                <w:sz w:val="16"/>
                <w:szCs w:val="16"/>
                <w:color w:val="auto"/>
              </w:rPr>
            </w:pPr>
          </w:p>
        </w:tc>
      </w:tr>
      <w:tr>
        <w:trPr>
          <w:trHeight w:val="171"/>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rPr>
              <w:t>2023</w:t>
            </w:r>
          </w:p>
        </w:tc>
      </w:tr>
      <w:tr>
        <w:trPr>
          <w:trHeight w:val="171"/>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3,265</w:t>
            </w:r>
          </w:p>
        </w:tc>
      </w:tr>
      <w:tr>
        <w:trPr>
          <w:trHeight w:val="180"/>
        </w:trPr>
        <w:tc>
          <w:tcPr>
            <w:tcW w:w="7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loss attributed to non-controlling interest</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net</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80"/>
        </w:trPr>
        <w:tc>
          <w:tcPr>
            <w:tcW w:w="7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Consolidated interest income</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(2,557)</w:t>
            </w:r>
          </w:p>
        </w:tc>
      </w:tr>
      <w:tr>
        <w:trPr>
          <w:trHeight w:val="180"/>
        </w:trPr>
        <w:tc>
          <w:tcPr>
            <w:tcW w:w="7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Our share of interest expense from unconsolidated joint ventures</w:t>
            </w:r>
          </w:p>
        </w:tc>
        <w:tc>
          <w:tcPr>
            <w:tcW w:w="2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5,793</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6,165</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4,879</w:t>
            </w:r>
          </w:p>
        </w:tc>
      </w:tr>
      <w:tr>
        <w:trPr>
          <w:trHeight w:val="171"/>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interest, net</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4,879</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2,322</w:t>
            </w:r>
          </w:p>
        </w:tc>
      </w:tr>
      <w:tr>
        <w:trPr>
          <w:trHeight w:val="180"/>
        </w:trPr>
        <w:tc>
          <w:tcPr>
            <w:tcW w:w="7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Income tax expense</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1,088</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2,323</w:t>
            </w:r>
          </w:p>
        </w:tc>
      </w:tr>
      <w:tr>
        <w:trPr>
          <w:trHeight w:val="180"/>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0"/>
        </w:trPr>
        <w:tc>
          <w:tcPr>
            <w:tcW w:w="7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Consolidated</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6,014</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4,806</w:t>
            </w:r>
          </w:p>
        </w:tc>
      </w:tr>
      <w:tr>
        <w:trPr>
          <w:trHeight w:val="180"/>
        </w:trPr>
        <w:tc>
          <w:tcPr>
            <w:tcW w:w="75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Our share of depreciation and amortization from unconsolidated joint ventures</w:t>
            </w: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6,990</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6,753</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5,418</w:t>
            </w:r>
          </w:p>
        </w:tc>
      </w:tr>
      <w:tr>
        <w:trPr>
          <w:trHeight w:val="171"/>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depreciation and amortization</w:t>
            </w:r>
          </w:p>
        </w:tc>
        <w:tc>
          <w:tcPr>
            <w:tcW w:w="2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13,004</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11,638</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10,224</w:t>
            </w:r>
          </w:p>
        </w:tc>
      </w:tr>
      <w:tr>
        <w:trPr>
          <w:trHeight w:val="171"/>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EBITDA</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19,046</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19,196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18,134</w:t>
            </w:r>
          </w:p>
        </w:tc>
      </w:tr>
      <w:tr>
        <w:trPr>
          <w:trHeight w:val="18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compensation expense</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1,711</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3,252</w:t>
            </w:r>
          </w:p>
        </w:tc>
      </w:tr>
      <w:tr>
        <w:trPr>
          <w:trHeight w:val="180"/>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Items impacting comparability:</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0"/>
        </w:trPr>
        <w:tc>
          <w:tcPr>
            <w:tcW w:w="750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4"/>
                <w:szCs w:val="14"/>
                <w:color w:val="auto"/>
              </w:rPr>
              <w:t xml:space="preserve">Shareholder activism expense </w:t>
            </w:r>
            <w:r>
              <w:rPr>
                <w:rFonts w:ascii="Times New Roman" w:cs="Times New Roman" w:eastAsia="Times New Roman" w:hAnsi="Times New Roman"/>
                <w:sz w:val="18"/>
                <w:szCs w:val="18"/>
                <w:color w:val="auto"/>
                <w:vertAlign w:val="superscript"/>
              </w:rPr>
              <w:t>1</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3,399</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500" w:type="dxa"/>
            <w:vAlign w:val="bottom"/>
          </w:tcPr>
          <w:p>
            <w:pPr>
              <w:ind w:left="100"/>
              <w:spacing w:after="0" w:line="181" w:lineRule="exact"/>
              <w:rPr>
                <w:sz w:val="20"/>
                <w:szCs w:val="20"/>
                <w:color w:val="auto"/>
              </w:rPr>
            </w:pPr>
            <w:r>
              <w:rPr>
                <w:rFonts w:ascii="Times New Roman" w:cs="Times New Roman" w:eastAsia="Times New Roman" w:hAnsi="Times New Roman"/>
                <w:sz w:val="14"/>
                <w:szCs w:val="14"/>
                <w:color w:val="auto"/>
              </w:rPr>
              <w:t xml:space="preserve">Centennial litigation expense </w:t>
            </w:r>
            <w:r>
              <w:rPr>
                <w:rFonts w:ascii="Times New Roman" w:cs="Times New Roman" w:eastAsia="Times New Roman" w:hAnsi="Times New Roman"/>
                <w:sz w:val="18"/>
                <w:szCs w:val="18"/>
                <w:color w:val="auto"/>
                <w:vertAlign w:val="superscript"/>
              </w:rPr>
              <w:t>2</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w:t>
            </w:r>
          </w:p>
        </w:tc>
        <w:tc>
          <w:tcPr>
            <w:tcW w:w="80" w:type="dxa"/>
            <w:vAlign w:val="bottom"/>
          </w:tcPr>
          <w:p>
            <w:pPr>
              <w:spacing w:after="0"/>
              <w:rPr>
                <w:sz w:val="15"/>
                <w:szCs w:val="15"/>
                <w:color w:val="auto"/>
              </w:rPr>
            </w:pP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69"/>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26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25,256</w:t>
            </w:r>
          </w:p>
        </w:tc>
        <w:tc>
          <w:tcPr>
            <w:tcW w:w="80" w:type="dxa"/>
            <w:vAlign w:val="bottom"/>
          </w:tcPr>
          <w:p>
            <w:pPr>
              <w:spacing w:after="0"/>
              <w:rPr>
                <w:sz w:val="14"/>
                <w:szCs w:val="14"/>
                <w:color w:val="auto"/>
              </w:rPr>
            </w:pPr>
          </w:p>
        </w:tc>
        <w:tc>
          <w:tcPr>
            <w:tcW w:w="28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23,378</w:t>
            </w:r>
          </w:p>
        </w:tc>
        <w:tc>
          <w:tcPr>
            <w:tcW w:w="100" w:type="dxa"/>
            <w:vAlign w:val="bottom"/>
          </w:tcPr>
          <w:p>
            <w:pPr>
              <w:spacing w:after="0"/>
              <w:rPr>
                <w:sz w:val="14"/>
                <w:szCs w:val="14"/>
                <w:color w:val="auto"/>
              </w:rPr>
            </w:pPr>
          </w:p>
        </w:tc>
        <w:tc>
          <w:tcPr>
            <w:tcW w:w="280" w:type="dxa"/>
            <w:vAlign w:val="bottom"/>
            <w:tcBorders>
              <w:top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21,386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161530" cy="1212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ind w:left="80" w:hanging="61"/>
        <w:spacing w:after="0" w:line="197" w:lineRule="auto"/>
        <w:tabs>
          <w:tab w:leader="none" w:pos="80" w:val="left"/>
        </w:tabs>
        <w:numPr>
          <w:ilvl w:val="0"/>
          <w:numId w:val="37"/>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Represents advisory fees related to shareholder activism matters.</w:t>
      </w:r>
    </w:p>
    <w:p>
      <w:pPr>
        <w:ind w:left="80" w:hanging="61"/>
        <w:spacing w:after="0" w:line="221" w:lineRule="auto"/>
        <w:tabs>
          <w:tab w:leader="none" w:pos="80" w:val="left"/>
        </w:tabs>
        <w:numPr>
          <w:ilvl w:val="0"/>
          <w:numId w:val="38"/>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Represents legal expenses associated with the Centennial litigation attributable to opposing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7161530" cy="1009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1530" cy="10096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83" w:right="319" w:bottom="1440" w:gutter="0" w:footer="0" w:header="0"/>
        </w:sectPr>
      </w:pPr>
    </w:p>
    <w:bookmarkStart w:id="60" w:name="page61"/>
    <w:bookmarkEnd w:id="60"/>
    <w:p>
      <w:pPr>
        <w:jc w:val="both"/>
        <w:spacing w:after="0" w:line="264" w:lineRule="auto"/>
        <w:rPr>
          <w:sz w:val="20"/>
          <w:szCs w:val="20"/>
          <w:color w:val="auto"/>
        </w:rPr>
      </w:pPr>
      <w:r>
        <w:rPr>
          <w:rFonts w:ascii="Times New Roman" w:cs="Times New Roman" w:eastAsia="Times New Roman" w:hAnsi="Times New Roman"/>
          <w:sz w:val="14"/>
          <w:szCs w:val="14"/>
          <w:color w:val="auto"/>
        </w:rPr>
        <w:t>NOI is a non-GAAP financial measure calculated as operating income, the most directly comparable financial measure calculated and presented in accordance with GAAP, excluding general and administrative expenses, interest expense, depreciation and amortization, and gain or loss on sales of real estate. We believe NOI provides useful information to investors regarding our financial condition and results of operations because it primarily reflects those income and expense items that are incurred at the property level. Therefore, we believe NOI is a useful measure for evaluating the operating performance of our real estate assets. The following tables reconcile operating income to NOI.</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right="180"/>
              <w:spacing w:after="0"/>
              <w:rPr>
                <w:sz w:val="20"/>
                <w:szCs w:val="20"/>
                <w:color w:val="auto"/>
              </w:rPr>
            </w:pPr>
            <w:r>
              <w:rPr>
                <w:rFonts w:ascii="Times New Roman" w:cs="Times New Roman" w:eastAsia="Times New Roman" w:hAnsi="Times New Roman"/>
                <w:sz w:val="14"/>
                <w:szCs w:val="14"/>
                <w:color w:val="auto"/>
                <w:w w:val="98"/>
              </w:rPr>
              <w:t>Year-Ended December 31,</w:t>
            </w: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r>
      <w:tr>
        <w:trPr>
          <w:trHeight w:val="171"/>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jc w:val="center"/>
              <w:ind w:right="29"/>
              <w:spacing w:after="0"/>
              <w:rPr>
                <w:sz w:val="20"/>
                <w:szCs w:val="20"/>
                <w:color w:val="auto"/>
              </w:rPr>
            </w:pPr>
            <w:r>
              <w:rPr>
                <w:rFonts w:ascii="Times New Roman" w:cs="Times New Roman" w:eastAsia="Times New Roman" w:hAnsi="Times New Roman"/>
                <w:sz w:val="14"/>
                <w:szCs w:val="14"/>
                <w:color w:val="auto"/>
                <w:w w:val="99"/>
              </w:rPr>
              <w:t>2024</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color w:val="auto"/>
              </w:rPr>
              <w:t>2023</w:t>
            </w:r>
          </w:p>
        </w:tc>
      </w:tr>
      <w:tr>
        <w:trPr>
          <w:trHeight w:val="171"/>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Commercial/Industrial operating income</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3,705</w:t>
            </w:r>
          </w:p>
        </w:tc>
      </w:tr>
      <w:tr>
        <w:trPr>
          <w:trHeight w:val="180"/>
        </w:trPr>
        <w:tc>
          <w:tcPr>
            <w:tcW w:w="6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Plus: Commercial/Industrial depreciation and amortization</w:t>
            </w: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w:t>
            </w:r>
          </w:p>
        </w:tc>
      </w:tr>
      <w:tr>
        <w:trPr>
          <w:trHeight w:val="180"/>
        </w:trPr>
        <w:tc>
          <w:tcPr>
            <w:tcW w:w="6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Plus: General, administrative, cost of sales and other expenses</w:t>
            </w: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7,130</w:t>
            </w:r>
          </w:p>
        </w:tc>
      </w:tr>
      <w:tr>
        <w:trPr>
          <w:trHeight w:val="180"/>
        </w:trPr>
        <w:tc>
          <w:tcPr>
            <w:tcW w:w="60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Less: Other revenues including land sales</w:t>
            </w: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(6,368)</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(2,836)</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(3,075)</w:t>
            </w:r>
          </w:p>
        </w:tc>
      </w:tr>
      <w:tr>
        <w:trPr>
          <w:trHeight w:val="196"/>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Commercial/Industrial net operating income</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8,008</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6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9,036</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8,228</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r>
        <w:trPr>
          <w:trHeight w:val="439"/>
        </w:trPr>
        <w:tc>
          <w:tcPr>
            <w:tcW w:w="6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center"/>
              <w:ind w:right="180"/>
              <w:spacing w:after="0"/>
              <w:rPr>
                <w:sz w:val="20"/>
                <w:szCs w:val="20"/>
                <w:color w:val="auto"/>
              </w:rPr>
            </w:pPr>
            <w:r>
              <w:rPr>
                <w:rFonts w:ascii="Times New Roman" w:cs="Times New Roman" w:eastAsia="Times New Roman" w:hAnsi="Times New Roman"/>
                <w:sz w:val="14"/>
                <w:szCs w:val="14"/>
                <w:color w:val="auto"/>
                <w:w w:val="98"/>
              </w:rPr>
              <w:t>Year-Ended December 31,</w:t>
            </w:r>
          </w:p>
        </w:tc>
        <w:tc>
          <w:tcPr>
            <w:tcW w:w="1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r>
      <w:tr>
        <w:trPr>
          <w:trHeight w:val="171"/>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operating income</w:t>
            </w: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jc w:val="center"/>
              <w:ind w:right="29"/>
              <w:spacing w:after="0"/>
              <w:rPr>
                <w:sz w:val="20"/>
                <w:szCs w:val="20"/>
                <w:color w:val="auto"/>
              </w:rPr>
            </w:pPr>
            <w:r>
              <w:rPr>
                <w:rFonts w:ascii="Times New Roman" w:cs="Times New Roman" w:eastAsia="Times New Roman" w:hAnsi="Times New Roman"/>
                <w:sz w:val="14"/>
                <w:szCs w:val="14"/>
                <w:color w:val="auto"/>
                <w:w w:val="99"/>
              </w:rPr>
              <w:t>2024</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color w:val="auto"/>
              </w:rPr>
              <w:t>2023</w:t>
            </w:r>
          </w:p>
        </w:tc>
      </w:tr>
      <w:tr>
        <w:trPr>
          <w:trHeight w:val="171"/>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Pastoria Energy Facility</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5,231</w:t>
            </w:r>
          </w:p>
        </w:tc>
      </w:tr>
      <w:tr>
        <w:trPr>
          <w:trHeight w:val="180"/>
        </w:trPr>
        <w:tc>
          <w:tcPr>
            <w:tcW w:w="6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TRCC</w:t>
            </w: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1,334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1,296</w:t>
            </w:r>
          </w:p>
        </w:tc>
      </w:tr>
      <w:tr>
        <w:trPr>
          <w:trHeight w:val="18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Communication leases</w:t>
            </w: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2,269</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1,070</w:t>
            </w:r>
          </w:p>
        </w:tc>
      </w:tr>
      <w:tr>
        <w:trPr>
          <w:trHeight w:val="180"/>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commercial leases</w:t>
            </w: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512</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631</w:t>
            </w:r>
          </w:p>
        </w:tc>
      </w:tr>
      <w:tr>
        <w:trPr>
          <w:trHeight w:val="196"/>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Commercial/Industrial net operating income</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8,008</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6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9,036</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8,228</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gridSpan w:val="2"/>
          </w:tcPr>
          <w:p>
            <w:pPr>
              <w:spacing w:after="0" w:line="20" w:lineRule="exact"/>
              <w:rPr>
                <w:sz w:val="1"/>
                <w:szCs w:val="1"/>
                <w:color w:val="auto"/>
              </w:rPr>
            </w:pPr>
          </w:p>
        </w:tc>
      </w:tr>
      <w:tr>
        <w:trPr>
          <w:trHeight w:val="673"/>
        </w:trPr>
        <w:tc>
          <w:tcPr>
            <w:tcW w:w="6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80" w:type="dxa"/>
            <w:vAlign w:val="bottom"/>
            <w:tcBorders>
              <w:bottom w:val="single" w:sz="8" w:color="auto"/>
            </w:tcBorders>
            <w:gridSpan w:val="4"/>
          </w:tcPr>
          <w:p>
            <w:pPr>
              <w:jc w:val="right"/>
              <w:ind w:right="529"/>
              <w:spacing w:after="0"/>
              <w:rPr>
                <w:sz w:val="20"/>
                <w:szCs w:val="20"/>
                <w:color w:val="auto"/>
              </w:rPr>
            </w:pPr>
            <w:r>
              <w:rPr>
                <w:rFonts w:ascii="Times New Roman" w:cs="Times New Roman" w:eastAsia="Times New Roman" w:hAnsi="Times New Roman"/>
                <w:sz w:val="14"/>
                <w:szCs w:val="14"/>
                <w:color w:val="auto"/>
              </w:rPr>
              <w:t>Year-Ended December 31,</w:t>
            </w:r>
          </w:p>
        </w:tc>
      </w:tr>
      <w:tr>
        <w:trPr>
          <w:trHeight w:val="171"/>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400" w:type="dxa"/>
            <w:vAlign w:val="bottom"/>
            <w:tcBorders>
              <w:bottom w:val="single" w:sz="8" w:color="CCEEFF"/>
            </w:tcBorders>
          </w:tcPr>
          <w:p>
            <w:pPr>
              <w:spacing w:after="0"/>
              <w:rPr>
                <w:sz w:val="14"/>
                <w:szCs w:val="14"/>
                <w:color w:val="auto"/>
              </w:rPr>
            </w:pPr>
          </w:p>
        </w:tc>
        <w:tc>
          <w:tcPr>
            <w:tcW w:w="13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1129"/>
              <w:spacing w:after="0"/>
              <w:rPr>
                <w:sz w:val="20"/>
                <w:szCs w:val="20"/>
                <w:color w:val="auto"/>
              </w:rPr>
            </w:pPr>
            <w:r>
              <w:rPr>
                <w:rFonts w:ascii="Times New Roman" w:cs="Times New Roman" w:eastAsia="Times New Roman" w:hAnsi="Times New Roman"/>
                <w:sz w:val="14"/>
                <w:szCs w:val="14"/>
                <w:color w:val="auto"/>
              </w:rPr>
              <w:t>2025</w:t>
            </w:r>
          </w:p>
        </w:tc>
      </w:tr>
      <w:tr>
        <w:trPr>
          <w:trHeight w:val="171"/>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Multifamily operating loss</w:t>
            </w:r>
            <w:r>
              <w:rPr>
                <w:rFonts w:ascii="Times New Roman" w:cs="Times New Roman" w:eastAsia="Times New Roman" w:hAnsi="Times New Roman"/>
                <w:sz w:val="7"/>
                <w:szCs w:val="7"/>
                <w:b w:val="1"/>
                <w:bCs w:val="1"/>
                <w:color w:val="auto"/>
              </w:rPr>
              <w:t>1</w:t>
            </w: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900" w:type="dxa"/>
            <w:vAlign w:val="bottom"/>
            <w:shd w:val="clear" w:color="auto" w:fill="CCEEFF"/>
          </w:tcPr>
          <w:p>
            <w:pPr>
              <w:jc w:val="center"/>
              <w:ind w:right="729"/>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(1,547)</w:t>
            </w:r>
          </w:p>
        </w:tc>
      </w:tr>
      <w:tr>
        <w:trPr>
          <w:trHeight w:val="180"/>
        </w:trPr>
        <w:tc>
          <w:tcPr>
            <w:tcW w:w="6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Plus: Multifamily depreciation and amortization</w:t>
            </w: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960</w:t>
            </w:r>
          </w:p>
        </w:tc>
      </w:tr>
      <w:tr>
        <w:trPr>
          <w:trHeight w:val="180"/>
        </w:trPr>
        <w:tc>
          <w:tcPr>
            <w:tcW w:w="6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Plus: Selling, general and administrative expenses</w:t>
            </w: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w:t>
            </w:r>
          </w:p>
        </w:tc>
      </w:tr>
      <w:tr>
        <w:trPr>
          <w:trHeight w:val="171"/>
        </w:trPr>
        <w:tc>
          <w:tcPr>
            <w:tcW w:w="6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Multifamily net operating loss</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Borders>
              <w:bottom w:val="single" w:sz="8" w:color="auto"/>
            </w:tcBorders>
          </w:tcPr>
          <w:p>
            <w:pPr>
              <w:jc w:val="center"/>
              <w:ind w:right="7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(83)</w:t>
            </w:r>
          </w:p>
        </w:tc>
      </w:tr>
    </w:tbl>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7"/>
          <w:szCs w:val="7"/>
          <w:color w:val="auto"/>
        </w:rPr>
        <w:t>1</w:t>
      </w:r>
      <w:r>
        <w:rPr>
          <w:rFonts w:ascii="Times New Roman" w:cs="Times New Roman" w:eastAsia="Times New Roman" w:hAnsi="Times New Roman"/>
          <w:sz w:val="11"/>
          <w:szCs w:val="11"/>
          <w:color w:val="auto"/>
        </w:rPr>
        <w:t>Multifamily segment had no operating activities in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161530" cy="1009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1530" cy="100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83" w:right="319" w:bottom="1440" w:gutter="0" w:footer="0" w:header="0"/>
        </w:sectPr>
      </w:pPr>
    </w:p>
    <w:bookmarkStart w:id="61" w:name="page62"/>
    <w:bookmarkEnd w:id="61"/>
    <w:p>
      <w:pPr>
        <w:jc w:val="both"/>
        <w:spacing w:after="0" w:line="261" w:lineRule="auto"/>
        <w:rPr>
          <w:sz w:val="20"/>
          <w:szCs w:val="20"/>
          <w:color w:val="auto"/>
        </w:rPr>
      </w:pPr>
      <w:r>
        <w:rPr>
          <w:rFonts w:ascii="Times New Roman" w:cs="Times New Roman" w:eastAsia="Times New Roman" w:hAnsi="Times New Roman"/>
          <w:sz w:val="14"/>
          <w:szCs w:val="14"/>
          <w:color w:val="auto"/>
        </w:rPr>
        <w:t>We utilize NOI of unconsolidated joint ventures as a measure of financial or operating performance that is not specifically defined by GAAP. We believe NOI of unconsolidated joint ventures provides investors with additional information concerning operating performance of our unconsolidated joint ventures. We also use this measure internally to monitor the operating performance of our unconsolidated joint ventures. Our computation of this non-GAAP measure may not be the same as similar measures reported by other companies. This non-GAAP financial measure should not be considered as an alternative to net income as a measure of the operating performance of our unconsolidated joint ventures or to cash flows computed in accordance with GAAP as a measure of liquidity nor are they indicative of cash flows from operating and financial activities of our unconsolidated joint ventures.</w:t>
      </w:r>
    </w:p>
    <w:p>
      <w:pPr>
        <w:spacing w:after="0" w:line="48"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The following schedule reconciles net income of unconsolidated joint ventures to NOI of unconsolidated joint ventures. Please refer to Note 16 (Investment in Unconsolidated and Consolidated Joint Ventures) of the Notes to Unaudited Consolidated Financial Statements for further discussion on joint ventures.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Year-Ended December 31,</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7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171"/>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Earnings of unconsolidated joint ventures</w:t>
            </w:r>
          </w:p>
        </w:tc>
        <w:tc>
          <w:tcPr>
            <w:tcW w:w="17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14,561</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18,874</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11,641</w:t>
            </w:r>
          </w:p>
        </w:tc>
        <w:tc>
          <w:tcPr>
            <w:tcW w:w="0" w:type="dxa"/>
            <w:vAlign w:val="bottom"/>
          </w:tcPr>
          <w:p>
            <w:pPr>
              <w:spacing w:after="0"/>
              <w:rPr>
                <w:sz w:val="1"/>
                <w:szCs w:val="1"/>
                <w:color w:val="auto"/>
              </w:rPr>
            </w:pPr>
          </w:p>
        </w:tc>
      </w:tr>
      <w:tr>
        <w:trPr>
          <w:trHeight w:val="180"/>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Interest expense of unconsolidated joint ventures</w:t>
            </w:r>
          </w:p>
        </w:tc>
        <w:tc>
          <w:tcPr>
            <w:tcW w:w="17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11,473</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12,167</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9,587</w:t>
            </w:r>
          </w:p>
        </w:tc>
        <w:tc>
          <w:tcPr>
            <w:tcW w:w="0" w:type="dxa"/>
            <w:vAlign w:val="bottom"/>
          </w:tcPr>
          <w:p>
            <w:pPr>
              <w:spacing w:after="0"/>
              <w:rPr>
                <w:sz w:val="1"/>
                <w:szCs w:val="1"/>
                <w:color w:val="auto"/>
              </w:rPr>
            </w:pPr>
          </w:p>
        </w:tc>
      </w:tr>
      <w:tr>
        <w:trPr>
          <w:trHeight w:val="171"/>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 of unconsolidated joint ventures</w:t>
            </w:r>
          </w:p>
        </w:tc>
        <w:tc>
          <w:tcPr>
            <w:tcW w:w="17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26,034</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31,041</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21,228</w:t>
            </w:r>
          </w:p>
        </w:tc>
        <w:tc>
          <w:tcPr>
            <w:tcW w:w="0" w:type="dxa"/>
            <w:vAlign w:val="bottom"/>
          </w:tcPr>
          <w:p>
            <w:pPr>
              <w:spacing w:after="0"/>
              <w:rPr>
                <w:sz w:val="1"/>
                <w:szCs w:val="1"/>
                <w:color w:val="auto"/>
              </w:rPr>
            </w:pPr>
          </w:p>
        </w:tc>
      </w:tr>
      <w:tr>
        <w:trPr>
          <w:trHeight w:val="180"/>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 of unconsolidated joint ventures</w:t>
            </w:r>
          </w:p>
        </w:tc>
        <w:tc>
          <w:tcPr>
            <w:tcW w:w="17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13,223</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12,869</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10,246</w:t>
            </w:r>
          </w:p>
        </w:tc>
        <w:tc>
          <w:tcPr>
            <w:tcW w:w="0" w:type="dxa"/>
            <w:vAlign w:val="bottom"/>
          </w:tcPr>
          <w:p>
            <w:pPr>
              <w:spacing w:after="0"/>
              <w:rPr>
                <w:sz w:val="1"/>
                <w:szCs w:val="1"/>
                <w:color w:val="auto"/>
              </w:rPr>
            </w:pPr>
          </w:p>
        </w:tc>
      </w:tr>
      <w:tr>
        <w:trPr>
          <w:trHeight w:val="196"/>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operating income of unconsolidated joint ventures</w:t>
            </w:r>
          </w:p>
        </w:tc>
        <w:tc>
          <w:tcPr>
            <w:tcW w:w="17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39,257</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43,910</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31,474</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CCEEFF"/>
            </w:tcBorders>
            <w:vMerge w:val="restart"/>
          </w:tcPr>
          <w:p>
            <w:pPr>
              <w:jc w:val="right"/>
              <w:ind w:right="489"/>
              <w:spacing w:after="0"/>
              <w:rPr>
                <w:sz w:val="20"/>
                <w:szCs w:val="20"/>
                <w:color w:val="auto"/>
              </w:rPr>
            </w:pPr>
            <w:r>
              <w:rPr>
                <w:rFonts w:ascii="Times New Roman" w:cs="Times New Roman" w:eastAsia="Times New Roman" w:hAnsi="Times New Roman"/>
                <w:sz w:val="14"/>
                <w:szCs w:val="14"/>
                <w:color w:val="auto"/>
              </w:rPr>
              <w:t>62</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0"/>
        </w:trPr>
        <w:tc>
          <w:tcPr>
            <w:tcW w:w="458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580" w:type="dxa"/>
            <w:vAlign w:val="bottom"/>
            <w:tcBorders>
              <w:bottom w:val="single" w:sz="8" w:color="9A9A9A"/>
            </w:tcBorders>
          </w:tcPr>
          <w:p>
            <w:pPr>
              <w:spacing w:after="0"/>
              <w:rPr>
                <w:sz w:val="7"/>
                <w:szCs w:val="7"/>
                <w:color w:val="auto"/>
              </w:rPr>
            </w:pPr>
          </w:p>
        </w:tc>
        <w:tc>
          <w:tcPr>
            <w:tcW w:w="170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83" w:right="319" w:bottom="1440" w:gutter="0" w:footer="0" w:header="0"/>
        </w:sectPr>
      </w:pPr>
    </w:p>
    <w:bookmarkStart w:id="62" w:name="page63"/>
    <w:bookmarkEnd w:id="62"/>
    <w:p>
      <w:pPr>
        <w:spacing w:after="0"/>
        <w:tabs>
          <w:tab w:leader="none" w:pos="780" w:val="left"/>
        </w:tabs>
        <w:rPr>
          <w:sz w:val="20"/>
          <w:szCs w:val="20"/>
          <w:color w:val="auto"/>
        </w:rPr>
      </w:pPr>
      <w:r>
        <w:rPr>
          <w:rFonts w:ascii="Times New Roman" w:cs="Times New Roman" w:eastAsia="Times New Roman" w:hAnsi="Times New Roman"/>
          <w:sz w:val="14"/>
          <w:szCs w:val="14"/>
          <w:b w:val="1"/>
          <w:bCs w:val="1"/>
          <w:color w:val="006EBF"/>
        </w:rPr>
        <w:t>ITEM 7A.</w:t>
        <w:tab/>
        <w:t>QUANTITATIVE AND QUALITATIVE DISCLOSURES ABOUT MARKET RISK</w:t>
      </w:r>
    </w:p>
    <w:p>
      <w:pPr>
        <w:spacing w:after="0" w:line="138"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Market risk represents the risk of loss that may impact the financial position, results of operations, or cash flows of the Company due to adverse changes in financial or commodity market prices or rates. We are exposed to market risk in the areas of interest rates and commodity prices.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Financial Market Risks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exposure to financial market risks includes changes to interest rates and credit risks related to marketable securities, interest rates related to our outstanding indebtedness and trade receivables.</w:t>
      </w:r>
    </w:p>
    <w:p>
      <w:pPr>
        <w:spacing w:after="0" w:line="136"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The primary objective of our investment activities is to preserve principal, while at the same time maximizing yields and prudently managing risk. To achieve this objective and limit interest rate exposure, we limit our investments to securities with a maturity of less than five years and an investment grade rating from Moody’s or Standard and Poor’s. See Note 3 (Marketable Securities) of the Notes to Consolidated Financial Statements.</w:t>
      </w:r>
    </w:p>
    <w:p>
      <w:pPr>
        <w:spacing w:after="0" w:line="9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Our current RCL has a $93,942,000 outstanding balance. The interest rate on this line of credit can float at a rate equal to one-month term SOFR plus 2.25%, before patronage. During the term of this RCL (which matures in January 2029), the Company can borrow at any time and partially or wholly repay any outstanding borrowings and then re-borrow, as necessary outstanding balances.</w:t>
      </w:r>
    </w:p>
    <w:p>
      <w:pPr>
        <w:spacing w:after="0" w:line="8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Market risk related to our farming inventories ultimately depends on the value of almonds, grapes, and pistachios at the time of payment or sale. Credit risk related to our receivables depends upon the financial condition of our customers. Based on historical experience with our current customers, and periodic credit evaluations of our customers’ financial conditions, we believe our credit risk is minimal. Market risk related to our farming inventories is discussed below in the section pertaining to commodity price exposure.</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7" w:right="339" w:bottom="1440" w:gutter="0" w:footer="0" w:header="0"/>
        </w:sectPr>
      </w:pPr>
    </w:p>
    <w:bookmarkStart w:id="63" w:name="page64"/>
    <w:bookmarkEnd w:id="63"/>
    <w:p>
      <w:pPr>
        <w:ind w:right="340"/>
        <w:spacing w:after="0" w:line="287" w:lineRule="auto"/>
        <w:rPr>
          <w:sz w:val="20"/>
          <w:szCs w:val="20"/>
          <w:color w:val="auto"/>
        </w:rPr>
      </w:pPr>
      <w:r>
        <w:rPr>
          <w:rFonts w:ascii="Times New Roman" w:cs="Times New Roman" w:eastAsia="Times New Roman" w:hAnsi="Times New Roman"/>
          <w:sz w:val="14"/>
          <w:szCs w:val="14"/>
          <w:color w:val="auto"/>
        </w:rPr>
        <w:t>The following tables provide information about our financial instruments that are sensitive to changes in interest rates. The tables present our debt obligations and marketable securities and their related weighted-average interest rates by expected maturity dates.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Interest Rate Sensitivity Financial Market Risks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Principal Amount by Expected Maturity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At December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percentage data)</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2027</w:t>
            </w:r>
          </w:p>
        </w:tc>
        <w:tc>
          <w:tcPr>
            <w:tcW w:w="1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2028</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2029</w:t>
            </w:r>
          </w:p>
        </w:tc>
        <w:tc>
          <w:tcPr>
            <w:tcW w:w="14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2030</w:t>
            </w:r>
          </w:p>
        </w:tc>
        <w:tc>
          <w:tcPr>
            <w:tcW w:w="80" w:type="dxa"/>
            <w:vAlign w:val="bottom"/>
          </w:tcPr>
          <w:p>
            <w:pPr>
              <w:spacing w:after="0"/>
              <w:rPr>
                <w:sz w:val="16"/>
                <w:szCs w:val="16"/>
                <w:color w:val="auto"/>
              </w:rPr>
            </w:pPr>
          </w:p>
        </w:tc>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Thereafter</w:t>
            </w:r>
          </w:p>
        </w:tc>
        <w:tc>
          <w:tcPr>
            <w:tcW w:w="11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Total</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Fair Value</w:t>
            </w:r>
          </w:p>
        </w:tc>
        <w:tc>
          <w:tcPr>
            <w:tcW w:w="0" w:type="dxa"/>
            <w:vAlign w:val="bottom"/>
          </w:tcPr>
          <w:p>
            <w:pPr>
              <w:spacing w:after="0"/>
              <w:rPr>
                <w:sz w:val="1"/>
                <w:szCs w:val="1"/>
                <w:color w:val="auto"/>
              </w:rPr>
            </w:pPr>
          </w:p>
        </w:tc>
      </w:tr>
      <w:tr>
        <w:trPr>
          <w:trHeight w:val="160"/>
        </w:trPr>
        <w:tc>
          <w:tcPr>
            <w:tcW w:w="2920" w:type="dxa"/>
            <w:vAlign w:val="bottom"/>
            <w:vMerge w:val="continue"/>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Marketable securities</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$14,598</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$758</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5"/>
              </w:rPr>
              <w:t>$—</w:t>
            </w:r>
          </w:p>
        </w:tc>
        <w:tc>
          <w:tcPr>
            <w:tcW w:w="11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$15,356</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$15,370</w:t>
            </w:r>
          </w:p>
        </w:tc>
        <w:tc>
          <w:tcPr>
            <w:tcW w:w="0" w:type="dxa"/>
            <w:vAlign w:val="bottom"/>
          </w:tcPr>
          <w:p>
            <w:pPr>
              <w:spacing w:after="0"/>
              <w:rPr>
                <w:sz w:val="1"/>
                <w:szCs w:val="1"/>
                <w:color w:val="auto"/>
              </w:rPr>
            </w:pPr>
          </w:p>
        </w:tc>
      </w:tr>
      <w:tr>
        <w:trPr>
          <w:trHeight w:val="180"/>
        </w:trPr>
        <w:tc>
          <w:tcPr>
            <w:tcW w:w="2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Weighted average interest rate</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3.89%</w:t>
            </w:r>
          </w:p>
        </w:tc>
        <w:tc>
          <w:tcPr>
            <w:tcW w:w="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4.52%</w:t>
            </w:r>
          </w:p>
        </w:tc>
        <w:tc>
          <w:tcPr>
            <w:tcW w:w="100" w:type="dxa"/>
            <w:vAlign w:val="bottom"/>
          </w:tcPr>
          <w:p>
            <w:pPr>
              <w:spacing w:after="0"/>
              <w:rPr>
                <w:sz w:val="15"/>
                <w:szCs w:val="15"/>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3.92 %</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Revolving line-of-credit</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5"/>
              </w:rPr>
              <w:t>$—</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$93,942</w:t>
            </w:r>
          </w:p>
        </w:tc>
        <w:tc>
          <w:tcPr>
            <w:tcW w:w="140" w:type="dxa"/>
            <w:vAlign w:val="bottom"/>
          </w:tcPr>
          <w:p>
            <w:pPr>
              <w:spacing w:after="0"/>
              <w:rPr>
                <w:sz w:val="15"/>
                <w:szCs w:val="15"/>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5"/>
              </w:rPr>
              <w:t>$—</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$93,942</w:t>
            </w:r>
          </w:p>
        </w:tc>
        <w:tc>
          <w:tcPr>
            <w:tcW w:w="8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$93,942</w:t>
            </w:r>
          </w:p>
        </w:tc>
        <w:tc>
          <w:tcPr>
            <w:tcW w:w="0" w:type="dxa"/>
            <w:vAlign w:val="bottom"/>
          </w:tcPr>
          <w:p>
            <w:pPr>
              <w:spacing w:after="0"/>
              <w:rPr>
                <w:sz w:val="1"/>
                <w:szCs w:val="1"/>
                <w:color w:val="auto"/>
              </w:rPr>
            </w:pPr>
          </w:p>
        </w:tc>
      </w:tr>
      <w:tr>
        <w:trPr>
          <w:trHeight w:val="180"/>
        </w:trPr>
        <w:tc>
          <w:tcPr>
            <w:tcW w:w="292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4"/>
                <w:szCs w:val="14"/>
                <w:color w:val="auto"/>
              </w:rPr>
              <w:t>Weighted average interest rate</w:t>
            </w:r>
            <w:r>
              <w:rPr>
                <w:rFonts w:ascii="Times New Roman" w:cs="Times New Roman" w:eastAsia="Times New Roman" w:hAnsi="Times New Roman"/>
                <w:sz w:val="18"/>
                <w:szCs w:val="18"/>
                <w:color w:val="auto"/>
                <w:vertAlign w:val="superscript"/>
              </w:rPr>
              <w:t>1</w:t>
            </w:r>
          </w:p>
        </w:tc>
        <w:tc>
          <w:tcPr>
            <w:tcW w:w="1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S+2.25%</w:t>
            </w:r>
          </w:p>
        </w:tc>
        <w:tc>
          <w:tcPr>
            <w:tcW w:w="1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S+2.25%</w:t>
            </w:r>
          </w:p>
        </w:tc>
        <w:tc>
          <w:tcPr>
            <w:tcW w:w="1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S+2.25%</w:t>
            </w:r>
          </w:p>
        </w:tc>
        <w:tc>
          <w:tcPr>
            <w:tcW w:w="10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rPr>
              <w:t>S+2.25%</w:t>
            </w:r>
          </w:p>
        </w:tc>
        <w:tc>
          <w:tcPr>
            <w:tcW w:w="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S+2.25%</w:t>
            </w:r>
          </w:p>
        </w:tc>
        <w:tc>
          <w:tcPr>
            <w:tcW w:w="11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S+2.25%</w:t>
            </w:r>
          </w:p>
        </w:tc>
        <w:tc>
          <w:tcPr>
            <w:tcW w:w="11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S+2.25%</w:t>
            </w: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3"/>
          <w:szCs w:val="13"/>
          <w:color w:val="auto"/>
        </w:rPr>
        <w:t>The effective interest rate on this line of credit is SOFR plus a margin of 2.25%, and the rate was 6.15% as of December 31, 2025, before patronage.</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Interest Rate Sensitivity Financial Market Risks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Principal Amount by Expected Maturity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At December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percentage data)</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2025</w:t>
            </w:r>
          </w:p>
        </w:tc>
        <w:tc>
          <w:tcPr>
            <w:tcW w:w="8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2027</w:t>
            </w:r>
          </w:p>
        </w:tc>
        <w:tc>
          <w:tcPr>
            <w:tcW w:w="1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2028</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2029</w:t>
            </w:r>
          </w:p>
        </w:tc>
        <w:tc>
          <w:tcPr>
            <w:tcW w:w="100" w:type="dxa"/>
            <w:vAlign w:val="bottom"/>
          </w:tcPr>
          <w:p>
            <w:pPr>
              <w:spacing w:after="0"/>
              <w:rPr>
                <w:sz w:val="16"/>
                <w:szCs w:val="16"/>
                <w:color w:val="auto"/>
              </w:rPr>
            </w:pPr>
          </w:p>
        </w:tc>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Thereafter</w:t>
            </w:r>
          </w:p>
        </w:tc>
        <w:tc>
          <w:tcPr>
            <w:tcW w:w="10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Total</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Fair Value</w:t>
            </w:r>
          </w:p>
        </w:tc>
        <w:tc>
          <w:tcPr>
            <w:tcW w:w="0" w:type="dxa"/>
            <w:vAlign w:val="bottom"/>
          </w:tcPr>
          <w:p>
            <w:pPr>
              <w:spacing w:after="0"/>
              <w:rPr>
                <w:sz w:val="1"/>
                <w:szCs w:val="1"/>
                <w:color w:val="auto"/>
              </w:rPr>
            </w:pPr>
          </w:p>
        </w:tc>
      </w:tr>
      <w:tr>
        <w:trPr>
          <w:trHeight w:val="160"/>
        </w:trPr>
        <w:tc>
          <w:tcPr>
            <w:tcW w:w="2960" w:type="dxa"/>
            <w:vAlign w:val="bottom"/>
            <w:vMerge w:val="continue"/>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Marketable securities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$12,701</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$999</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$737</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5"/>
              </w:rPr>
              <w:t>$—</w:t>
            </w: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5"/>
              </w:rPr>
              <w:t>$—</w:t>
            </w:r>
          </w:p>
        </w:tc>
        <w:tc>
          <w:tcPr>
            <w:tcW w:w="11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$14,437</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$14,441</w:t>
            </w:r>
          </w:p>
        </w:tc>
        <w:tc>
          <w:tcPr>
            <w:tcW w:w="0" w:type="dxa"/>
            <w:vAlign w:val="bottom"/>
          </w:tcPr>
          <w:p>
            <w:pPr>
              <w:spacing w:after="0"/>
              <w:rPr>
                <w:sz w:val="1"/>
                <w:szCs w:val="1"/>
                <w:color w:val="auto"/>
              </w:rPr>
            </w:pPr>
          </w:p>
        </w:tc>
      </w:tr>
      <w:tr>
        <w:trPr>
          <w:trHeight w:val="180"/>
        </w:trPr>
        <w:tc>
          <w:tcPr>
            <w:tcW w:w="2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Weighted average interest rate</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4.64%</w:t>
            </w:r>
          </w:p>
        </w:tc>
        <w:tc>
          <w:tcPr>
            <w:tcW w:w="8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4.06%</w:t>
            </w:r>
          </w:p>
        </w:tc>
        <w:tc>
          <w:tcPr>
            <w:tcW w:w="8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4.36%</w:t>
            </w:r>
          </w:p>
        </w:tc>
        <w:tc>
          <w:tcPr>
            <w:tcW w:w="100" w:type="dxa"/>
            <w:vAlign w:val="bottom"/>
          </w:tcPr>
          <w:p>
            <w:pPr>
              <w:spacing w:after="0"/>
              <w:rPr>
                <w:sz w:val="15"/>
                <w:szCs w:val="15"/>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4.59%</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Revolving line-of-credit</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5"/>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$66,942</w:t>
            </w:r>
          </w:p>
        </w:tc>
        <w:tc>
          <w:tcPr>
            <w:tcW w:w="100" w:type="dxa"/>
            <w:vAlign w:val="bottom"/>
          </w:tcPr>
          <w:p>
            <w:pPr>
              <w:spacing w:after="0"/>
              <w:rPr>
                <w:sz w:val="15"/>
                <w:szCs w:val="15"/>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$66,942</w:t>
            </w:r>
          </w:p>
        </w:tc>
        <w:tc>
          <w:tcPr>
            <w:tcW w:w="1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$66,942</w:t>
            </w:r>
          </w:p>
        </w:tc>
        <w:tc>
          <w:tcPr>
            <w:tcW w:w="0" w:type="dxa"/>
            <w:vAlign w:val="bottom"/>
          </w:tcPr>
          <w:p>
            <w:pPr>
              <w:spacing w:after="0"/>
              <w:rPr>
                <w:sz w:val="1"/>
                <w:szCs w:val="1"/>
                <w:color w:val="auto"/>
              </w:rPr>
            </w:pPr>
          </w:p>
        </w:tc>
      </w:tr>
      <w:tr>
        <w:trPr>
          <w:trHeight w:val="180"/>
        </w:trPr>
        <w:tc>
          <w:tcPr>
            <w:tcW w:w="296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4"/>
                <w:szCs w:val="14"/>
                <w:color w:val="auto"/>
              </w:rPr>
              <w:t>Weighted average interest rate</w:t>
            </w:r>
            <w:r>
              <w:rPr>
                <w:rFonts w:ascii="Times New Roman" w:cs="Times New Roman" w:eastAsia="Times New Roman" w:hAnsi="Times New Roman"/>
                <w:sz w:val="18"/>
                <w:szCs w:val="18"/>
                <w:color w:val="auto"/>
                <w:vertAlign w:val="superscript"/>
              </w:rPr>
              <w:t>1</w:t>
            </w:r>
          </w:p>
        </w:tc>
        <w:tc>
          <w:tcPr>
            <w:tcW w:w="1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S+2.25%</w:t>
            </w:r>
          </w:p>
        </w:tc>
        <w:tc>
          <w:tcPr>
            <w:tcW w:w="10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S+2.25%</w:t>
            </w:r>
          </w:p>
        </w:tc>
        <w:tc>
          <w:tcPr>
            <w:tcW w:w="10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S+2.25%</w:t>
            </w:r>
          </w:p>
        </w:tc>
        <w:tc>
          <w:tcPr>
            <w:tcW w:w="10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S+2.25%</w:t>
            </w: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S+2.25%</w:t>
            </w:r>
          </w:p>
        </w:tc>
        <w:tc>
          <w:tcPr>
            <w:tcW w:w="11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S+2.25%</w:t>
            </w:r>
          </w:p>
        </w:tc>
        <w:tc>
          <w:tcPr>
            <w:tcW w:w="10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S+2.25%</w:t>
            </w: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3"/>
          <w:szCs w:val="13"/>
          <w:color w:val="auto"/>
        </w:rPr>
        <w:t>The effective interest rate on this line of credit is SOFR plus a margin of 2.25%, and the rate was 6.85% as of December 31, 2024, before patronage.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Commodity Price Exposure</w:t>
      </w:r>
    </w:p>
    <w:p>
      <w:pPr>
        <w:spacing w:after="0" w:line="136" w:lineRule="exact"/>
        <w:rPr>
          <w:sz w:val="20"/>
          <w:szCs w:val="20"/>
          <w:color w:val="auto"/>
        </w:rPr>
      </w:pPr>
    </w:p>
    <w:p>
      <w:pPr>
        <w:jc w:val="both"/>
        <w:ind w:right="100"/>
        <w:spacing w:after="0" w:line="270" w:lineRule="auto"/>
        <w:rPr>
          <w:sz w:val="20"/>
          <w:szCs w:val="20"/>
          <w:color w:val="auto"/>
        </w:rPr>
      </w:pPr>
      <w:r>
        <w:rPr>
          <w:rFonts w:ascii="Times New Roman" w:cs="Times New Roman" w:eastAsia="Times New Roman" w:hAnsi="Times New Roman"/>
          <w:sz w:val="14"/>
          <w:szCs w:val="14"/>
          <w:color w:val="auto"/>
        </w:rPr>
        <w:t>As of December 31, 2025, we have exposure to adverse price fluctuations associated with certain inventories and accounts receivable. Farming inventories consist of farming cultural and processing costs related to 2025 and 2024 crop production. The farming costs inventoried are recorded as actual costs are incurred. Historically, these costs have been recovered each year when that year’s crop harvest has been sold.</w:t>
      </w:r>
    </w:p>
    <w:p>
      <w:pPr>
        <w:spacing w:after="0" w:line="93" w:lineRule="exact"/>
        <w:rPr>
          <w:sz w:val="20"/>
          <w:szCs w:val="20"/>
          <w:color w:val="auto"/>
        </w:rPr>
      </w:pPr>
    </w:p>
    <w:p>
      <w:pPr>
        <w:ind w:right="340"/>
        <w:spacing w:after="0" w:line="270" w:lineRule="auto"/>
        <w:rPr>
          <w:sz w:val="20"/>
          <w:szCs w:val="20"/>
          <w:color w:val="auto"/>
        </w:rPr>
      </w:pPr>
      <w:r>
        <w:rPr>
          <w:rFonts w:ascii="Times New Roman" w:cs="Times New Roman" w:eastAsia="Times New Roman" w:hAnsi="Times New Roman"/>
          <w:sz w:val="14"/>
          <w:szCs w:val="14"/>
          <w:color w:val="auto"/>
        </w:rPr>
        <w:t>With respect to accounts receivable, the amount at risk relates primarily to farm crops. These receivables are recorded based on estimated final pricing. The final price is generally not known for several months following the close of our fiscal year. Of the $9,389,000 in outstanding receivables at December 31, 2025, $4,062,000 receivables were at risk for changing prices. Over the previous three years, pistachio prices have fluctuated between $1.62 to $1.93.</w:t>
      </w:r>
    </w:p>
    <w:p>
      <w:pPr>
        <w:spacing w:after="0" w:line="16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006EBF"/>
        </w:rPr>
        <w:t>ITEM 8.</w:t>
      </w:r>
      <w:r>
        <w:rPr>
          <w:sz w:val="20"/>
          <w:szCs w:val="20"/>
          <w:color w:val="auto"/>
        </w:rPr>
        <w:tab/>
      </w:r>
      <w:r>
        <w:rPr>
          <w:rFonts w:ascii="Times New Roman" w:cs="Times New Roman" w:eastAsia="Times New Roman" w:hAnsi="Times New Roman"/>
          <w:sz w:val="13"/>
          <w:szCs w:val="13"/>
          <w:b w:val="1"/>
          <w:bCs w:val="1"/>
          <w:color w:val="006EBF"/>
        </w:rPr>
        <w:t>FINANCIAL STATEMENTS AND SUPPLEMENTARY DATA</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response to this Item is submitted in a separate section of this Form 10-K.</w:t>
      </w:r>
    </w:p>
    <w:p>
      <w:pPr>
        <w:spacing w:after="0" w:line="208"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4"/>
          <w:szCs w:val="14"/>
          <w:b w:val="1"/>
          <w:bCs w:val="1"/>
          <w:color w:val="006EBF"/>
        </w:rPr>
        <w:t>ITEM 9.</w:t>
        <w:tab/>
        <w:t>CHANGES IN AND DISAGREEMENTS WITH ACCOUNTANTS ON ACCOUNTING AND FINANCIAL DISCLOSURE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7" w:right="319" w:bottom="1440" w:gutter="0" w:footer="0" w:header="0"/>
        </w:sectPr>
      </w:pPr>
    </w:p>
    <w:bookmarkStart w:id="64" w:name="page65"/>
    <w:bookmarkEnd w:id="64"/>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006EBF"/>
        </w:rPr>
        <w:t>ITEM 9A.</w:t>
        <w:tab/>
        <w:t>CONTROLS AND PROCEDURES</w:t>
      </w:r>
    </w:p>
    <w:p>
      <w:pPr>
        <w:spacing w:after="0" w:line="138" w:lineRule="exact"/>
        <w:rPr>
          <w:sz w:val="20"/>
          <w:szCs w:val="20"/>
          <w:color w:val="auto"/>
        </w:rPr>
      </w:pPr>
    </w:p>
    <w:p>
      <w:pPr>
        <w:ind w:left="440" w:hanging="435"/>
        <w:spacing w:after="0"/>
        <w:tabs>
          <w:tab w:leader="none" w:pos="4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Evaluation of Disclosure Controls and Procedures</w:t>
      </w:r>
    </w:p>
    <w:p>
      <w:pPr>
        <w:spacing w:after="0" w:line="13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pursuant to Rules 13a-15 and 15d-15 of the Securities Exchange Act of 1934, as amended, or the Exchange Act. Based upon that evaluation, the Chief Executive Officer and Chief Financial Officer concluded that our disclosure controls and procedures are effective as of December 31, 2025 in ensuring that all information required in the reports we file or submit under the Exchange Act was accumulated and communicated to our management, including our Chief Executive Officer and Chief Financial Officer, as appropriate to allow timely decisions regarding required disclosure and was recorded, processed, summarized and reported within the time period required by the rules and regulations of the SEC.</w:t>
      </w:r>
    </w:p>
    <w:p>
      <w:pPr>
        <w:spacing w:after="0" w:line="103" w:lineRule="exact"/>
        <w:rPr>
          <w:sz w:val="20"/>
          <w:szCs w:val="20"/>
          <w:color w:val="auto"/>
        </w:rPr>
      </w:pPr>
    </w:p>
    <w:p>
      <w:pPr>
        <w:ind w:left="440" w:hanging="435"/>
        <w:spacing w:after="0"/>
        <w:tabs>
          <w:tab w:leader="none" w:pos="4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Internal Control Over Financial Reporting</w:t>
      </w:r>
    </w:p>
    <w:p>
      <w:pPr>
        <w:spacing w:after="0" w:line="136"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There have been no changes in our internal control over financial reporting identified in connection with the evaluation required by paragraph (d) of Rule 13a-15 or Rule 15d-15 under the Exchange Act that occurred during our last fiscal quarter that has materially affected, or is reasonably likely to materially affect, our internal control over financial reporting.</w:t>
      </w:r>
    </w:p>
    <w:p>
      <w:pPr>
        <w:spacing w:after="0" w:line="82"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4"/>
          <w:szCs w:val="14"/>
          <w:color w:val="auto"/>
        </w:rPr>
        <w:t>(c)</w:t>
        <w:tab/>
        <w:t>Management’s Report on Internal Control Over Financial Reporting</w:t>
      </w:r>
    </w:p>
    <w:p>
      <w:pPr>
        <w:spacing w:after="0" w:line="136"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The management of the Company is responsible for establishing and maintaining adequate internal control over financial reporting and for the assessment of the effectiveness of internal control over financial reporting. As defined in Rule 13a-15(f) of the Exchange Act, internal control over financial reporting is a process designed by, or supervised by,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w:t>
      </w:r>
    </w:p>
    <w:p>
      <w:pPr>
        <w:spacing w:after="0" w:line="98"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The Company’s internal control over financial reporting is supported by written policies and procedures, that (1) pertain to the maintenance of records that, in reasonable detail, accurately and fairly reflect the transactions and dispositions of the Company’s assets; (2) provide reasonable assurance that transactions are recorded as necessary to permit preparation of financial statements in accordance with GAAP, and that receipts and expenditures of the Company are being made only in accordance with authorizations of the Company’s management and directors; and (3) provide reasonable assurance regarding prevention or timely detection of unauthorized acquisition, use or disposition of the Company’s assets that could have a material effect on the financial statements.</w:t>
      </w:r>
    </w:p>
    <w:p>
      <w:pPr>
        <w:spacing w:after="0" w:line="98"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8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4"/>
          <w:szCs w:val="14"/>
          <w:color w:val="auto"/>
        </w:rPr>
        <w:t xml:space="preserve">In connection with the preparation of the Company’s annual financial statements, under the supervision and with the participation of the Company’s management, including its Chief Executive Officer and Chief Financial Officer, management of the Company has undertaken an assessment of the effectiveness of the Company’s internal control over financial reporting as of December 31, 2025 based on criteria established in </w:t>
      </w:r>
      <w:r>
        <w:rPr>
          <w:rFonts w:ascii="Times New Roman" w:cs="Times New Roman" w:eastAsia="Times New Roman" w:hAnsi="Times New Roman"/>
          <w:sz w:val="14"/>
          <w:szCs w:val="14"/>
          <w:i w:val="1"/>
          <w:iCs w:val="1"/>
          <w:color w:val="auto"/>
        </w:rPr>
        <w:t>Internal Control – Integrated Framework</w:t>
      </w:r>
      <w:r>
        <w:rPr>
          <w:rFonts w:ascii="Times New Roman" w:cs="Times New Roman" w:eastAsia="Times New Roman" w:hAnsi="Times New Roman"/>
          <w:sz w:val="14"/>
          <w:szCs w:val="14"/>
          <w:color w:val="auto"/>
        </w:rPr>
        <w:t xml:space="preserve"> issued by the Committee of Sponsoring Organizations of the Treadway Commission (2013 Framework), or COSO. Management’s assessment included an evaluation of the design of the Company’s internal control over financial reporting and testing of the operational effectiveness of the Company’s internal control over financial reporting.</w:t>
      </w:r>
    </w:p>
    <w:p>
      <w:pPr>
        <w:spacing w:after="0" w:line="101"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Based on this assessment, management did not identify any material weakness in the Company’s internal control, and management has concluded that the Company’s internal control over financial reporting was effective as of December 31, 2025.</w:t>
      </w:r>
    </w:p>
    <w:p>
      <w:pPr>
        <w:spacing w:after="0" w:line="14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006EBF"/>
        </w:rPr>
        <w:t>ITEM 9B.</w:t>
      </w:r>
      <w:r>
        <w:rPr>
          <w:sz w:val="20"/>
          <w:szCs w:val="20"/>
          <w:color w:val="auto"/>
        </w:rPr>
        <w:tab/>
      </w:r>
      <w:r>
        <w:rPr>
          <w:rFonts w:ascii="Times New Roman" w:cs="Times New Roman" w:eastAsia="Times New Roman" w:hAnsi="Times New Roman"/>
          <w:sz w:val="13"/>
          <w:szCs w:val="13"/>
          <w:b w:val="1"/>
          <w:bCs w:val="1"/>
          <w:color w:val="006EBF"/>
        </w:rPr>
        <w:t>OTHER INFORMATION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20"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4"/>
          <w:szCs w:val="14"/>
          <w:b w:val="1"/>
          <w:bCs w:val="1"/>
          <w:color w:val="006EBF"/>
        </w:rPr>
        <w:t>ITEM 9C.</w:t>
        <w:tab/>
        <w:t>DISCLOSURE REGARDING FOREIGN JURISDICTIONS THAT PREVENT INSPECTIONS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29" w:right="339" w:bottom="1440" w:gutter="0" w:footer="0" w:header="0"/>
        </w:sectPr>
      </w:pPr>
    </w:p>
    <w:bookmarkStart w:id="65" w:name="page66"/>
    <w:bookmarkEnd w:id="65"/>
    <w:p>
      <w:pPr>
        <w:ind w:left="5360"/>
        <w:spacing w:after="0"/>
        <w:rPr>
          <w:sz w:val="20"/>
          <w:szCs w:val="20"/>
          <w:color w:val="auto"/>
        </w:rPr>
      </w:pPr>
      <w:r>
        <w:rPr>
          <w:rFonts w:ascii="Times New Roman" w:cs="Times New Roman" w:eastAsia="Times New Roman" w:hAnsi="Times New Roman"/>
          <w:sz w:val="14"/>
          <w:szCs w:val="14"/>
          <w:b w:val="1"/>
          <w:bCs w:val="1"/>
          <w:u w:val="single" w:color="auto"/>
          <w:color w:val="auto"/>
        </w:rPr>
        <w:t>PART III</w:t>
      </w:r>
    </w:p>
    <w:p>
      <w:pPr>
        <w:spacing w:after="0" w:line="210"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b w:val="1"/>
          <w:bCs w:val="1"/>
          <w:color w:val="006EBF"/>
        </w:rPr>
        <w:t>ITEM 10.</w:t>
        <w:tab/>
        <w:t>DIRECTORS, EXECUTIVE OFFICERS AND CORPORATE GOVERNANCE</w:t>
      </w:r>
    </w:p>
    <w:p>
      <w:pPr>
        <w:spacing w:after="0" w:line="74" w:lineRule="exact"/>
        <w:rPr>
          <w:sz w:val="20"/>
          <w:szCs w:val="20"/>
          <w:color w:val="auto"/>
        </w:rPr>
      </w:pPr>
    </w:p>
    <w:p>
      <w:pPr>
        <w:jc w:val="both"/>
        <w:ind w:right="200"/>
        <w:spacing w:after="0" w:line="264" w:lineRule="auto"/>
        <w:rPr>
          <w:sz w:val="20"/>
          <w:szCs w:val="20"/>
          <w:color w:val="auto"/>
        </w:rPr>
      </w:pPr>
      <w:r>
        <w:rPr>
          <w:rFonts w:ascii="Times New Roman" w:cs="Times New Roman" w:eastAsia="Times New Roman" w:hAnsi="Times New Roman"/>
          <w:sz w:val="14"/>
          <w:szCs w:val="14"/>
          <w:color w:val="auto"/>
        </w:rPr>
        <w:t>Information as to our Executive Officers is set forth in Part I, Item 1 of this Form 10-K under “Information about our Executive Officers” and information as to our Code of Business Conducts and Ethics is set forth in Part I, Item 1 of this Form 10-K under "Reports." The other information required by this Item is incorporated by reference from the definitive proxy statement to be filed by us with the SEC with respect to our 2026 Annual Meeting of Stockholders and will be found under the captions “The Election of Directors,” “Insider Trading Policy,” “Code of Business Conduct and Ethics and Corporate Governance Guidelines,” “Corporate Governance Matters” and, if applicable, “Delinquent Section 16(a) Reports.”</w:t>
      </w:r>
    </w:p>
    <w:p>
      <w:pPr>
        <w:spacing w:after="0" w:line="17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4"/>
          <w:szCs w:val="14"/>
          <w:b w:val="1"/>
          <w:bCs w:val="1"/>
          <w:color w:val="006EBF"/>
        </w:rPr>
        <w:t>ITEM 11.</w:t>
        <w:tab/>
        <w:t>EXECUTIVE COMPENSATION</w:t>
      </w:r>
    </w:p>
    <w:p>
      <w:pPr>
        <w:spacing w:after="0" w:line="85"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Information required by this Item is incorporated by reference from the definitive proxy statement to be filed by us with the SEC with respect to our 2026 Annual Meeting of Stockholders and will be found under the captions “Compensation Discussion and Analysis,” "Pay Ratio Disclosure," "Pay versus Performance," and “Compensation Committee Report.”</w:t>
      </w:r>
    </w:p>
    <w:p>
      <w:pPr>
        <w:spacing w:after="0" w:line="143"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006EBF"/>
        </w:rPr>
        <w:t>ITEM 12.</w:t>
        <w:tab/>
        <w:t>SECURITY OWNERSHIP OF CERTAIN BENEFICIAL OWNERS AND MANAGEMENT AND RELATED STOCKHOLDER MATTERS</w:t>
      </w:r>
    </w:p>
    <w:p>
      <w:pPr>
        <w:spacing w:after="0" w:line="1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(a)  Security Ownership of Certain Beneficial Owners and Management.</w:t>
      </w:r>
    </w:p>
    <w:p>
      <w:pPr>
        <w:spacing w:after="0" w:line="136"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Information required by this Item with respect to security ownership of certain beneficial owners and management is incorporated by reference from the definitive proxy statement to be filed by us with the SEC with respect to our 2026 Annual Meeting of Stockholders and will be found under the caption "Stock Ownership of Certain Beneficial Owners and Management."</w:t>
      </w:r>
    </w:p>
    <w:p>
      <w:pPr>
        <w:spacing w:after="0" w:line="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(b) Securities Authorized for Issuance under Equity Compensation Plans.</w:t>
      </w:r>
    </w:p>
    <w:p>
      <w:pPr>
        <w:spacing w:after="0" w:line="136" w:lineRule="exact"/>
        <w:rPr>
          <w:sz w:val="20"/>
          <w:szCs w:val="20"/>
          <w:color w:val="auto"/>
        </w:rPr>
      </w:pPr>
    </w:p>
    <w:p>
      <w:pPr>
        <w:ind w:right="460"/>
        <w:spacing w:after="0" w:line="264" w:lineRule="auto"/>
        <w:rPr>
          <w:sz w:val="20"/>
          <w:szCs w:val="20"/>
          <w:color w:val="auto"/>
        </w:rPr>
      </w:pPr>
      <w:r>
        <w:rPr>
          <w:rFonts w:ascii="Times New Roman" w:cs="Times New Roman" w:eastAsia="Times New Roman" w:hAnsi="Times New Roman"/>
          <w:sz w:val="14"/>
          <w:szCs w:val="14"/>
          <w:color w:val="auto"/>
        </w:rPr>
        <w:t>The following table shows aggregated information as of December 31, 2025 with respect to all of our compensation plans under which our equity securities were authorized for issuance. At December 31, 2025, we had, and we presently have, no other compensation contracts or arrangements for the issuance of any such equity securities and there were then, and continue to be, no compensation plans, contracts or arrangements which were not approved by our stockholders. More detailed information with respect to our compensation plans is included in Note 10 (Stock Compensation - Restricted Stock and Performance Share Grants) of the Notes to Consolidated Financial Statements.</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Equity Compensation Plans Approved by Security Holders</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28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color w:val="auto"/>
              </w:rPr>
              <w:t>Equity</w:t>
            </w:r>
          </w:p>
        </w:tc>
        <w:tc>
          <w:tcPr>
            <w:tcW w:w="2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Number of securities remaining</w:t>
            </w:r>
          </w:p>
        </w:tc>
        <w:tc>
          <w:tcPr>
            <w:tcW w:w="0" w:type="dxa"/>
            <w:vAlign w:val="bottom"/>
          </w:tcPr>
          <w:p>
            <w:pPr>
              <w:spacing w:after="0"/>
              <w:rPr>
                <w:sz w:val="1"/>
                <w:szCs w:val="1"/>
                <w:color w:val="auto"/>
              </w:rPr>
            </w:pPr>
          </w:p>
        </w:tc>
      </w:tr>
      <w:tr>
        <w:trPr>
          <w:trHeight w:val="113"/>
        </w:trPr>
        <w:tc>
          <w:tcPr>
            <w:tcW w:w="2820" w:type="dxa"/>
            <w:vAlign w:val="bottom"/>
            <w:gridSpan w:val="2"/>
            <w:vMerge w:val="continue"/>
          </w:tcPr>
          <w:p>
            <w:pPr>
              <w:spacing w:after="0"/>
              <w:rPr>
                <w:sz w:val="9"/>
                <w:szCs w:val="9"/>
                <w:color w:val="auto"/>
              </w:rPr>
            </w:pPr>
          </w:p>
        </w:tc>
        <w:tc>
          <w:tcPr>
            <w:tcW w:w="28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color w:val="auto"/>
              </w:rPr>
              <w:t>Number of securities to be</w:t>
            </w:r>
          </w:p>
        </w:tc>
        <w:tc>
          <w:tcPr>
            <w:tcW w:w="2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color w:val="auto"/>
              </w:rPr>
              <w:t>Weighted-average</w:t>
            </w:r>
          </w:p>
        </w:tc>
        <w:tc>
          <w:tcPr>
            <w:tcW w:w="2760" w:type="dxa"/>
            <w:vAlign w:val="bottom"/>
          </w:tcPr>
          <w:p>
            <w:pPr>
              <w:jc w:val="center"/>
              <w:spacing w:after="0" w:line="113" w:lineRule="exact"/>
              <w:rPr>
                <w:sz w:val="20"/>
                <w:szCs w:val="20"/>
                <w:color w:val="auto"/>
              </w:rPr>
            </w:pPr>
            <w:r>
              <w:rPr>
                <w:rFonts w:ascii="Times New Roman" w:cs="Times New Roman" w:eastAsia="Times New Roman" w:hAnsi="Times New Roman"/>
                <w:sz w:val="11"/>
                <w:szCs w:val="11"/>
                <w:color w:val="auto"/>
              </w:rPr>
              <w:t>available for future issuance</w:t>
            </w:r>
          </w:p>
        </w:tc>
        <w:tc>
          <w:tcPr>
            <w:tcW w:w="0" w:type="dxa"/>
            <w:vAlign w:val="bottom"/>
          </w:tcPr>
          <w:p>
            <w:pPr>
              <w:spacing w:after="0"/>
              <w:rPr>
                <w:sz w:val="1"/>
                <w:szCs w:val="1"/>
                <w:color w:val="auto"/>
              </w:rPr>
            </w:pPr>
          </w:p>
        </w:tc>
      </w:tr>
      <w:tr>
        <w:trPr>
          <w:trHeight w:val="106"/>
        </w:trPr>
        <w:tc>
          <w:tcPr>
            <w:tcW w:w="2820" w:type="dxa"/>
            <w:vAlign w:val="bottom"/>
            <w:gridSpan w:val="2"/>
          </w:tcPr>
          <w:p>
            <w:pPr>
              <w:jc w:val="center"/>
              <w:ind w:right="100"/>
              <w:spacing w:after="0" w:line="106" w:lineRule="exact"/>
              <w:rPr>
                <w:sz w:val="20"/>
                <w:szCs w:val="20"/>
                <w:color w:val="auto"/>
              </w:rPr>
            </w:pPr>
            <w:r>
              <w:rPr>
                <w:rFonts w:ascii="Times New Roman" w:cs="Times New Roman" w:eastAsia="Times New Roman" w:hAnsi="Times New Roman"/>
                <w:sz w:val="11"/>
                <w:szCs w:val="11"/>
                <w:color w:val="auto"/>
              </w:rPr>
              <w:t>compensation plans</w:t>
            </w:r>
          </w:p>
        </w:tc>
        <w:tc>
          <w:tcPr>
            <w:tcW w:w="2840" w:type="dxa"/>
            <w:vAlign w:val="bottom"/>
            <w:gridSpan w:val="2"/>
            <w:vMerge w:val="continue"/>
          </w:tcPr>
          <w:p>
            <w:pPr>
              <w:spacing w:after="0"/>
              <w:rPr>
                <w:sz w:val="9"/>
                <w:szCs w:val="9"/>
                <w:color w:val="auto"/>
              </w:rPr>
            </w:pPr>
          </w:p>
        </w:tc>
        <w:tc>
          <w:tcPr>
            <w:tcW w:w="2840" w:type="dxa"/>
            <w:vAlign w:val="bottom"/>
            <w:gridSpan w:val="2"/>
            <w:vMerge w:val="continue"/>
          </w:tcPr>
          <w:p>
            <w:pPr>
              <w:spacing w:after="0"/>
              <w:rPr>
                <w:sz w:val="9"/>
                <w:szCs w:val="9"/>
                <w:color w:val="auto"/>
              </w:rPr>
            </w:pPr>
          </w:p>
        </w:tc>
        <w:tc>
          <w:tcPr>
            <w:tcW w:w="2760" w:type="dxa"/>
            <w:vAlign w:val="bottom"/>
          </w:tcPr>
          <w:p>
            <w:pPr>
              <w:jc w:val="center"/>
              <w:spacing w:after="0" w:line="106" w:lineRule="exact"/>
              <w:rPr>
                <w:sz w:val="20"/>
                <w:szCs w:val="20"/>
                <w:color w:val="auto"/>
              </w:rPr>
            </w:pPr>
            <w:r>
              <w:rPr>
                <w:rFonts w:ascii="Times New Roman" w:cs="Times New Roman" w:eastAsia="Times New Roman" w:hAnsi="Times New Roman"/>
                <w:sz w:val="11"/>
                <w:szCs w:val="11"/>
                <w:color w:val="auto"/>
              </w:rPr>
              <w:t>under equity compensation</w:t>
            </w:r>
          </w:p>
        </w:tc>
        <w:tc>
          <w:tcPr>
            <w:tcW w:w="0" w:type="dxa"/>
            <w:vAlign w:val="bottom"/>
          </w:tcPr>
          <w:p>
            <w:pPr>
              <w:spacing w:after="0"/>
              <w:rPr>
                <w:sz w:val="1"/>
                <w:szCs w:val="1"/>
                <w:color w:val="auto"/>
              </w:rPr>
            </w:pPr>
          </w:p>
        </w:tc>
      </w:tr>
      <w:tr>
        <w:trPr>
          <w:trHeight w:val="117"/>
        </w:trPr>
        <w:tc>
          <w:tcPr>
            <w:tcW w:w="2820" w:type="dxa"/>
            <w:vAlign w:val="bottom"/>
            <w:gridSpan w:val="2"/>
          </w:tcPr>
          <w:p>
            <w:pPr>
              <w:jc w:val="center"/>
              <w:ind w:right="100"/>
              <w:spacing w:after="0" w:line="117" w:lineRule="exact"/>
              <w:rPr>
                <w:sz w:val="20"/>
                <w:szCs w:val="20"/>
                <w:color w:val="auto"/>
              </w:rPr>
            </w:pPr>
            <w:r>
              <w:rPr>
                <w:rFonts w:ascii="Times New Roman" w:cs="Times New Roman" w:eastAsia="Times New Roman" w:hAnsi="Times New Roman"/>
                <w:sz w:val="11"/>
                <w:szCs w:val="11"/>
                <w:color w:val="auto"/>
              </w:rPr>
              <w:t>approved by</w:t>
            </w:r>
          </w:p>
        </w:tc>
        <w:tc>
          <w:tcPr>
            <w:tcW w:w="2840" w:type="dxa"/>
            <w:vAlign w:val="bottom"/>
            <w:gridSpan w:val="2"/>
          </w:tcPr>
          <w:p>
            <w:pPr>
              <w:jc w:val="center"/>
              <w:ind w:right="100"/>
              <w:spacing w:after="0" w:line="117" w:lineRule="exact"/>
              <w:rPr>
                <w:sz w:val="20"/>
                <w:szCs w:val="20"/>
                <w:color w:val="auto"/>
              </w:rPr>
            </w:pPr>
            <w:r>
              <w:rPr>
                <w:rFonts w:ascii="Times New Roman" w:cs="Times New Roman" w:eastAsia="Times New Roman" w:hAnsi="Times New Roman"/>
                <w:sz w:val="11"/>
                <w:szCs w:val="11"/>
                <w:color w:val="auto"/>
              </w:rPr>
              <w:t>issued upon exercise of</w:t>
            </w:r>
          </w:p>
        </w:tc>
        <w:tc>
          <w:tcPr>
            <w:tcW w:w="2840" w:type="dxa"/>
            <w:vAlign w:val="bottom"/>
            <w:gridSpan w:val="2"/>
          </w:tcPr>
          <w:p>
            <w:pPr>
              <w:jc w:val="center"/>
              <w:ind w:right="100"/>
              <w:spacing w:after="0" w:line="117" w:lineRule="exact"/>
              <w:rPr>
                <w:sz w:val="20"/>
                <w:szCs w:val="20"/>
                <w:color w:val="auto"/>
              </w:rPr>
            </w:pPr>
            <w:r>
              <w:rPr>
                <w:rFonts w:ascii="Times New Roman" w:cs="Times New Roman" w:eastAsia="Times New Roman" w:hAnsi="Times New Roman"/>
                <w:sz w:val="11"/>
                <w:szCs w:val="11"/>
                <w:color w:val="auto"/>
              </w:rPr>
              <w:t>exercise price of</w:t>
            </w:r>
          </w:p>
        </w:tc>
        <w:tc>
          <w:tcPr>
            <w:tcW w:w="27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rPr>
              <w:t>plans (excluding securities</w:t>
            </w:r>
          </w:p>
        </w:tc>
        <w:tc>
          <w:tcPr>
            <w:tcW w:w="0" w:type="dxa"/>
            <w:vAlign w:val="bottom"/>
          </w:tcPr>
          <w:p>
            <w:pPr>
              <w:spacing w:after="0"/>
              <w:rPr>
                <w:sz w:val="1"/>
                <w:szCs w:val="1"/>
                <w:color w:val="auto"/>
              </w:rPr>
            </w:pPr>
          </w:p>
        </w:tc>
      </w:tr>
      <w:tr>
        <w:trPr>
          <w:trHeight w:val="159"/>
        </w:trPr>
        <w:tc>
          <w:tcPr>
            <w:tcW w:w="282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1"/>
                <w:szCs w:val="11"/>
                <w:color w:val="auto"/>
              </w:rPr>
              <w:t xml:space="preserve">security holders </w:t>
            </w:r>
            <w:r>
              <w:rPr>
                <w:rFonts w:ascii="Times New Roman" w:cs="Times New Roman" w:eastAsia="Times New Roman" w:hAnsi="Times New Roman"/>
                <w:sz w:val="14"/>
                <w:szCs w:val="14"/>
                <w:color w:val="auto"/>
                <w:vertAlign w:val="superscript"/>
              </w:rPr>
              <w:t>1</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outstanding grants</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outstanding grants</w:t>
            </w:r>
          </w:p>
        </w:tc>
        <w:tc>
          <w:tcPr>
            <w:tcW w:w="27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reflected in column (a))</w:t>
            </w:r>
          </w:p>
        </w:tc>
        <w:tc>
          <w:tcPr>
            <w:tcW w:w="0" w:type="dxa"/>
            <w:vAlign w:val="bottom"/>
          </w:tcPr>
          <w:p>
            <w:pPr>
              <w:spacing w:after="0"/>
              <w:rPr>
                <w:sz w:val="1"/>
                <w:szCs w:val="1"/>
                <w:color w:val="auto"/>
              </w:rPr>
            </w:pPr>
          </w:p>
        </w:tc>
      </w:tr>
      <w:tr>
        <w:trPr>
          <w:trHeight w:val="150"/>
        </w:trPr>
        <w:tc>
          <w:tcPr>
            <w:tcW w:w="27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(a)</w:t>
            </w:r>
          </w:p>
        </w:tc>
        <w:tc>
          <w:tcPr>
            <w:tcW w:w="100" w:type="dxa"/>
            <w:vAlign w:val="bottom"/>
            <w:tcBorders>
              <w:top w:val="single" w:sz="8" w:color="CCEEFF"/>
            </w:tcBorders>
            <w:shd w:val="clear" w:color="auto" w:fill="CCEEFF"/>
          </w:tcPr>
          <w:p>
            <w:pPr>
              <w:spacing w:after="0"/>
              <w:rPr>
                <w:sz w:val="13"/>
                <w:szCs w:val="13"/>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(b)</w:t>
            </w:r>
          </w:p>
        </w:tc>
        <w:tc>
          <w:tcPr>
            <w:tcW w:w="100" w:type="dxa"/>
            <w:vAlign w:val="bottom"/>
            <w:tcBorders>
              <w:top w:val="single" w:sz="8" w:color="CCEEFF"/>
            </w:tcBorders>
            <w:shd w:val="clear" w:color="auto" w:fill="CCEEFF"/>
          </w:tcPr>
          <w:p>
            <w:pPr>
              <w:spacing w:after="0"/>
              <w:rPr>
                <w:sz w:val="13"/>
                <w:szCs w:val="13"/>
                <w:color w:val="auto"/>
              </w:rPr>
            </w:pPr>
          </w:p>
        </w:tc>
        <w:tc>
          <w:tcPr>
            <w:tcW w:w="2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7"/>
              </w:rPr>
              <w:t>(c)</w:t>
            </w:r>
          </w:p>
        </w:tc>
        <w:tc>
          <w:tcPr>
            <w:tcW w:w="0" w:type="dxa"/>
            <w:vAlign w:val="bottom"/>
          </w:tcPr>
          <w:p>
            <w:pPr>
              <w:spacing w:after="0"/>
              <w:rPr>
                <w:sz w:val="1"/>
                <w:szCs w:val="1"/>
                <w:color w:val="auto"/>
              </w:rPr>
            </w:pPr>
          </w:p>
        </w:tc>
      </w:tr>
      <w:tr>
        <w:trPr>
          <w:trHeight w:val="138"/>
        </w:trPr>
        <w:tc>
          <w:tcPr>
            <w:tcW w:w="2820" w:type="dxa"/>
            <w:vAlign w:val="bottom"/>
            <w:gridSpan w:val="2"/>
          </w:tcPr>
          <w:p>
            <w:pPr>
              <w:jc w:val="center"/>
              <w:ind w:right="100"/>
              <w:spacing w:after="0" w:line="138" w:lineRule="exact"/>
              <w:rPr>
                <w:sz w:val="20"/>
                <w:szCs w:val="20"/>
                <w:color w:val="auto"/>
              </w:rPr>
            </w:pPr>
            <w:r>
              <w:rPr>
                <w:rFonts w:ascii="Times New Roman" w:cs="Times New Roman" w:eastAsia="Times New Roman" w:hAnsi="Times New Roman"/>
                <w:sz w:val="14"/>
                <w:szCs w:val="14"/>
                <w:color w:val="auto"/>
              </w:rPr>
              <w:t>Restricted stock</w:t>
            </w:r>
          </w:p>
        </w:tc>
        <w:tc>
          <w:tcPr>
            <w:tcW w:w="274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color w:val="auto"/>
              </w:rPr>
              <w:t>364,798</w:t>
            </w:r>
          </w:p>
        </w:tc>
        <w:tc>
          <w:tcPr>
            <w:tcW w:w="100" w:type="dxa"/>
            <w:vAlign w:val="bottom"/>
          </w:tcPr>
          <w:p>
            <w:pPr>
              <w:spacing w:after="0"/>
              <w:rPr>
                <w:sz w:val="11"/>
                <w:szCs w:val="11"/>
                <w:color w:val="auto"/>
              </w:rPr>
            </w:pPr>
          </w:p>
        </w:tc>
        <w:tc>
          <w:tcPr>
            <w:tcW w:w="2840" w:type="dxa"/>
            <w:vAlign w:val="bottom"/>
            <w:gridSpan w:val="2"/>
          </w:tcPr>
          <w:p>
            <w:pPr>
              <w:jc w:val="center"/>
              <w:ind w:right="80"/>
              <w:spacing w:after="0" w:line="138" w:lineRule="exact"/>
              <w:rPr>
                <w:sz w:val="20"/>
                <w:szCs w:val="20"/>
                <w:color w:val="auto"/>
              </w:rPr>
            </w:pPr>
            <w:r>
              <w:rPr>
                <w:rFonts w:ascii="Times New Roman" w:cs="Times New Roman" w:eastAsia="Times New Roman" w:hAnsi="Times New Roman"/>
                <w:sz w:val="14"/>
                <w:szCs w:val="14"/>
                <w:color w:val="auto"/>
              </w:rPr>
              <w:t>Final price determined</w:t>
            </w:r>
          </w:p>
        </w:tc>
        <w:tc>
          <w:tcPr>
            <w:tcW w:w="276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color w:val="auto"/>
                <w:w w:val="99"/>
              </w:rPr>
              <w:t>1,244,881</w:t>
            </w:r>
          </w:p>
        </w:tc>
        <w:tc>
          <w:tcPr>
            <w:tcW w:w="0" w:type="dxa"/>
            <w:vAlign w:val="bottom"/>
          </w:tcPr>
          <w:p>
            <w:pPr>
              <w:spacing w:after="0"/>
              <w:rPr>
                <w:sz w:val="1"/>
                <w:szCs w:val="1"/>
                <w:color w:val="auto"/>
              </w:rPr>
            </w:pPr>
          </w:p>
        </w:tc>
      </w:tr>
      <w:tr>
        <w:trPr>
          <w:trHeight w:val="144"/>
        </w:trPr>
        <w:tc>
          <w:tcPr>
            <w:tcW w:w="282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color w:val="auto"/>
              </w:rPr>
              <w:t>grants and restricted</w:t>
            </w:r>
          </w:p>
        </w:tc>
        <w:tc>
          <w:tcPr>
            <w:tcW w:w="2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4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color w:val="auto"/>
              </w:rPr>
              <w:t>at time of vesting</w:t>
            </w:r>
          </w:p>
        </w:tc>
        <w:tc>
          <w:tcPr>
            <w:tcW w:w="2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2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color w:val="auto"/>
              </w:rPr>
              <w:t>stock units at target</w:t>
            </w:r>
          </w:p>
        </w:tc>
        <w:tc>
          <w:tcPr>
            <w:tcW w:w="2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goal achievement</w:t>
            </w:r>
          </w:p>
        </w:tc>
        <w:tc>
          <w:tcPr>
            <w:tcW w:w="2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8" w:lineRule="exact"/>
        <w:rPr>
          <w:sz w:val="20"/>
          <w:szCs w:val="20"/>
          <w:color w:val="auto"/>
        </w:rPr>
      </w:pPr>
    </w:p>
    <w:p>
      <w:pPr>
        <w:ind w:left="60" w:hanging="55"/>
        <w:spacing w:after="0"/>
        <w:tabs>
          <w:tab w:leader="none" w:pos="60" w:val="left"/>
        </w:tabs>
        <w:numPr>
          <w:ilvl w:val="0"/>
          <w:numId w:val="41"/>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The Company does not use equity compensation plans that have not been approved by the security holders.</w:t>
      </w:r>
    </w:p>
    <w:p>
      <w:pPr>
        <w:spacing w:after="0" w:line="183"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006EBF"/>
        </w:rPr>
        <w:t>ITEM 13.</w:t>
        <w:tab/>
        <w:t>CERTAIN RELATIONSHIPS AND RELATED TRANSACTIONS, AND DIRECTOR INDEPENDENCE</w:t>
      </w:r>
    </w:p>
    <w:p>
      <w:pPr>
        <w:spacing w:after="0" w:line="85"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Information required by this Item is incorporated by reference from the definitive proxy statement to be filed by us with the SEC with respect to our 2026 Annual Meeting of Stockholders and will be found under the captions “Related Person Transactions” and “Corporate Governance Matters.”</w:t>
      </w:r>
    </w:p>
    <w:p>
      <w:pPr>
        <w:spacing w:after="0" w:line="143"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006EBF"/>
        </w:rPr>
        <w:t>ITEM 14.</w:t>
        <w:tab/>
        <w:t>PRINCIPAL ACCOUNTANT FEES AND SERVICES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independent registered public accounting firm is DELOITTE &amp; TOUCHE LLP, Los Angeles, CA, PCAOB Auditor Firm ID: 34.</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66" w:name="page67"/>
    <w:bookmarkEnd w:id="66"/>
    <w:p>
      <w:pPr>
        <w:spacing w:after="0" w:line="287" w:lineRule="auto"/>
        <w:rPr>
          <w:sz w:val="20"/>
          <w:szCs w:val="20"/>
          <w:color w:val="auto"/>
        </w:rPr>
      </w:pPr>
      <w:r>
        <w:rPr>
          <w:rFonts w:ascii="Times New Roman" w:cs="Times New Roman" w:eastAsia="Times New Roman" w:hAnsi="Times New Roman"/>
          <w:sz w:val="14"/>
          <w:szCs w:val="14"/>
          <w:color w:val="auto"/>
        </w:rPr>
        <w:t>Information required by this Item is incorporated by reference from the definitive proxy statement to be filed by us with the SEC with respect to our 2026 Annual Meeting of Stockholders and will be found under the caption "The Ratification of the Appointment of Independent Registered Public Accounting Firm."</w:t>
      </w: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04" w:right="35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PART IV</w:t>
      </w:r>
    </w:p>
    <w:p>
      <w:pPr>
        <w:spacing w:after="0" w:line="94"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b w:val="1"/>
          <w:bCs w:val="1"/>
          <w:color w:val="006EBF"/>
        </w:rPr>
        <w:t>ITEM 15.</w:t>
      </w:r>
      <w:r>
        <w:rPr>
          <w:sz w:val="20"/>
          <w:szCs w:val="20"/>
          <w:color w:val="auto"/>
        </w:rPr>
        <w:tab/>
      </w:r>
      <w:r>
        <w:rPr>
          <w:rFonts w:ascii="Times New Roman" w:cs="Times New Roman" w:eastAsia="Times New Roman" w:hAnsi="Times New Roman"/>
          <w:sz w:val="13"/>
          <w:szCs w:val="13"/>
          <w:b w:val="1"/>
          <w:bCs w:val="1"/>
          <w:color w:val="006EBF"/>
        </w:rPr>
        <w:t>EXHIBITS AND FINANCIAL STATEMENT SCHEDULES</w:t>
      </w:r>
    </w:p>
    <w:p>
      <w:pPr>
        <w:spacing w:after="0" w:line="43" w:lineRule="exact"/>
        <w:rPr>
          <w:sz w:val="20"/>
          <w:szCs w:val="20"/>
          <w:color w:val="auto"/>
        </w:rPr>
      </w:pPr>
    </w:p>
    <w:p>
      <w:pPr>
        <w:ind w:left="20"/>
        <w:spacing w:after="0"/>
        <w:tabs>
          <w:tab w:leader="none" w:pos="9820" w:val="left"/>
        </w:tabs>
        <w:rPr>
          <w:sz w:val="20"/>
          <w:szCs w:val="20"/>
          <w:color w:val="auto"/>
        </w:rPr>
      </w:pPr>
      <w:r>
        <w:rPr>
          <w:rFonts w:ascii="Times New Roman" w:cs="Times New Roman" w:eastAsia="Times New Roman" w:hAnsi="Times New Roman"/>
          <w:sz w:val="14"/>
          <w:szCs w:val="14"/>
          <w:color w:val="auto"/>
        </w:rPr>
        <w:t xml:space="preserve">(a) </w:t>
      </w:r>
      <w:r>
        <w:rPr>
          <w:rFonts w:ascii="Times New Roman" w:cs="Times New Roman" w:eastAsia="Times New Roman" w:hAnsi="Times New Roman"/>
          <w:sz w:val="14"/>
          <w:szCs w:val="14"/>
          <w:u w:val="single" w:color="auto"/>
          <w:color w:val="auto"/>
        </w:rPr>
        <w:t>Documents filed as part of this report:</w:t>
      </w:r>
      <w:r>
        <w:rPr>
          <w:sz w:val="20"/>
          <w:szCs w:val="20"/>
          <w:color w:val="auto"/>
        </w:rPr>
        <w:tab/>
      </w:r>
      <w:r>
        <w:rPr>
          <w:rFonts w:ascii="Times New Roman" w:cs="Times New Roman" w:eastAsia="Times New Roman" w:hAnsi="Times New Roman"/>
          <w:sz w:val="14"/>
          <w:szCs w:val="14"/>
          <w:u w:val="single" w:color="auto"/>
          <w:color w:val="auto"/>
        </w:rPr>
        <w:t>Page Number</w:t>
      </w:r>
    </w:p>
    <w:p>
      <w:pPr>
        <w:spacing w:after="0" w:line="23" w:lineRule="exact"/>
        <w:rPr>
          <w:sz w:val="20"/>
          <w:szCs w:val="20"/>
          <w:color w:val="auto"/>
        </w:rPr>
      </w:pPr>
    </w:p>
    <w:p>
      <w:pPr>
        <w:ind w:left="500" w:hanging="240"/>
        <w:spacing w:after="0"/>
        <w:tabs>
          <w:tab w:leader="none" w:pos="5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Consolidated Financial Statements:</w:t>
      </w:r>
    </w:p>
    <w:p>
      <w:pPr>
        <w:spacing w:after="0" w:line="19" w:lineRule="exact"/>
        <w:rPr>
          <w:sz w:val="20"/>
          <w:szCs w:val="20"/>
          <w:color w:val="auto"/>
        </w:rPr>
      </w:pPr>
    </w:p>
    <w:tbl>
      <w:tblPr>
        <w:tblLayout w:type="fixed"/>
        <w:tblInd w:w="1120" w:type="dxa"/>
        <w:tblCellMar>
          <w:top w:w="0" w:type="dxa"/>
          <w:left w:w="0" w:type="dxa"/>
          <w:bottom w:w="0" w:type="dxa"/>
          <w:right w:w="0" w:type="dxa"/>
        </w:tblCellMar>
      </w:tblPr>
      <w:tr>
        <w:trPr>
          <w:trHeight w:val="177"/>
        </w:trPr>
        <w:tc>
          <w:tcPr>
            <w:tcW w:w="2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91"/>
              </w:rPr>
              <w:t>1.1</w:t>
            </w:r>
          </w:p>
        </w:tc>
        <w:tc>
          <w:tcPr>
            <w:tcW w:w="8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Report of Independent Registered Public Accounting Firm</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r>
      <w:tr>
        <w:trPr>
          <w:trHeight w:val="180"/>
        </w:trPr>
        <w:tc>
          <w:tcPr>
            <w:tcW w:w="2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91"/>
              </w:rPr>
              <w:t>1.2</w:t>
            </w:r>
          </w:p>
        </w:tc>
        <w:tc>
          <w:tcPr>
            <w:tcW w:w="8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Consolidated Balance Sheets – As of December 31, 2025 and 2024</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r>
      <w:tr>
        <w:trPr>
          <w:trHeight w:val="180"/>
        </w:trPr>
        <w:tc>
          <w:tcPr>
            <w:tcW w:w="2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91"/>
              </w:rPr>
              <w:t>1.3</w:t>
            </w:r>
          </w:p>
        </w:tc>
        <w:tc>
          <w:tcPr>
            <w:tcW w:w="8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Consolidated Statements of Operations - Years Ended December 31, 2025, 2024 and 2023</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r>
      <w:tr>
        <w:trPr>
          <w:trHeight w:val="180"/>
        </w:trPr>
        <w:tc>
          <w:tcPr>
            <w:tcW w:w="2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91"/>
              </w:rPr>
              <w:t>1.4</w:t>
            </w:r>
          </w:p>
        </w:tc>
        <w:tc>
          <w:tcPr>
            <w:tcW w:w="8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Consolidated Statements of Comprehensive (Loss) Income - Years Ended December 31, 2025, 2024 and 2023</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180"/>
        </w:trPr>
        <w:tc>
          <w:tcPr>
            <w:tcW w:w="2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91"/>
              </w:rPr>
              <w:t>1.5</w:t>
            </w:r>
          </w:p>
        </w:tc>
        <w:tc>
          <w:tcPr>
            <w:tcW w:w="8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Consolidated Statements of Changes of Equity - Years Ended December 31, 2025, 2024 and 2023</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r>
      <w:tr>
        <w:trPr>
          <w:trHeight w:val="180"/>
        </w:trPr>
        <w:tc>
          <w:tcPr>
            <w:tcW w:w="2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91"/>
              </w:rPr>
              <w:t>1.6</w:t>
            </w:r>
          </w:p>
        </w:tc>
        <w:tc>
          <w:tcPr>
            <w:tcW w:w="8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Consolidated Statements of Cash Flows - Years Ended December 31, 2025, 2024 and 2023</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r>
      <w:tr>
        <w:trPr>
          <w:trHeight w:val="184"/>
        </w:trPr>
        <w:tc>
          <w:tcPr>
            <w:tcW w:w="2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91"/>
              </w:rPr>
              <w:t>1.7</w:t>
            </w:r>
          </w:p>
        </w:tc>
        <w:tc>
          <w:tcPr>
            <w:tcW w:w="8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Notes to Consolidated Financial Statements</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r>
    </w:tbl>
    <w:p>
      <w:pPr>
        <w:ind w:left="500" w:hanging="240"/>
        <w:spacing w:after="0"/>
        <w:tabs>
          <w:tab w:leader="none" w:pos="5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Supplemental Financial Statement Schedules: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460" w:type="dxa"/>
            <w:vAlign w:val="bottom"/>
            <w:gridSpan w:val="3"/>
          </w:tcPr>
          <w:p>
            <w:pPr>
              <w:jc w:val="right"/>
              <w:ind w:right="549"/>
              <w:spacing w:after="0"/>
              <w:rPr>
                <w:sz w:val="20"/>
                <w:szCs w:val="20"/>
                <w:color w:val="auto"/>
              </w:rPr>
            </w:pPr>
            <w:r>
              <w:rPr>
                <w:rFonts w:ascii="Times New Roman" w:cs="Times New Roman" w:eastAsia="Times New Roman" w:hAnsi="Times New Roman"/>
                <w:sz w:val="14"/>
                <w:szCs w:val="14"/>
                <w:color w:val="auto"/>
              </w:rPr>
              <w:t>None.</w:t>
            </w:r>
          </w:p>
        </w:tc>
        <w:tc>
          <w:tcPr>
            <w:tcW w:w="85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53"/>
        </w:trPr>
        <w:tc>
          <w:tcPr>
            <w:tcW w:w="1460" w:type="dxa"/>
            <w:vAlign w:val="bottom"/>
            <w:gridSpan w:val="3"/>
          </w:tcPr>
          <w:p>
            <w:pPr>
              <w:jc w:val="right"/>
              <w:ind w:right="389"/>
              <w:spacing w:after="0" w:line="153" w:lineRule="exact"/>
              <w:rPr>
                <w:sz w:val="20"/>
                <w:szCs w:val="20"/>
                <w:color w:val="auto"/>
              </w:rPr>
            </w:pPr>
            <w:r>
              <w:rPr>
                <w:rFonts w:ascii="Times New Roman" w:cs="Times New Roman" w:eastAsia="Times New Roman" w:hAnsi="Times New Roman"/>
                <w:sz w:val="14"/>
                <w:szCs w:val="14"/>
                <w:color w:val="auto"/>
              </w:rPr>
              <w:t>3   Exhibits:</w:t>
            </w:r>
          </w:p>
        </w:tc>
        <w:tc>
          <w:tcPr>
            <w:tcW w:w="854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88"/>
        </w:trPr>
        <w:tc>
          <w:tcPr>
            <w:tcW w:w="50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9000" w:type="dxa"/>
            <w:vAlign w:val="bottom"/>
            <w:gridSpan w:val="2"/>
          </w:tcPr>
          <w:p>
            <w:pPr>
              <w:ind w:left="1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3.1   </w:t>
            </w:r>
            <w:hyperlink r:id="rId105">
              <w:r>
                <w:rPr>
                  <w:rFonts w:ascii="Times New Roman" w:cs="Times New Roman" w:eastAsia="Times New Roman" w:hAnsi="Times New Roman"/>
                  <w:sz w:val="14"/>
                  <w:szCs w:val="14"/>
                  <w:color w:val="auto"/>
                </w:rPr>
                <w:t>Restated Certificate of Incorporation</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1</w:t>
            </w:r>
          </w:p>
        </w:tc>
      </w:tr>
      <w:tr>
        <w:trPr>
          <w:trHeight w:val="180"/>
        </w:trPr>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3.2   Amended and Restated Bylaws</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Filed herewith</w:t>
            </w:r>
          </w:p>
        </w:tc>
      </w:tr>
      <w:tr>
        <w:trPr>
          <w:trHeight w:val="180"/>
        </w:trPr>
        <w:tc>
          <w:tcPr>
            <w:tcW w:w="1460" w:type="dxa"/>
            <w:vAlign w:val="bottom"/>
            <w:gridSpan w:val="3"/>
          </w:tcPr>
          <w:p>
            <w:pPr>
              <w:ind w:left="1120"/>
              <w:spacing w:after="0"/>
              <w:rPr>
                <w:sz w:val="20"/>
                <w:szCs w:val="20"/>
                <w:color w:val="auto"/>
              </w:rPr>
            </w:pPr>
            <w:r>
              <w:rPr>
                <w:rFonts w:ascii="Times New Roman" w:cs="Times New Roman" w:eastAsia="Times New Roman" w:hAnsi="Times New Roman"/>
                <w:sz w:val="14"/>
                <w:szCs w:val="14"/>
                <w:color w:val="auto"/>
              </w:rPr>
              <w:t>4.4</w:t>
            </w:r>
          </w:p>
        </w:tc>
        <w:tc>
          <w:tcPr>
            <w:tcW w:w="8540" w:type="dxa"/>
            <w:vAlign w:val="bottom"/>
          </w:tcPr>
          <w:p>
            <w:pPr>
              <w:ind w:left="60"/>
              <w:spacing w:after="0"/>
              <w:rPr>
                <w:rFonts w:ascii="Times New Roman" w:cs="Times New Roman" w:eastAsia="Times New Roman" w:hAnsi="Times New Roman"/>
                <w:sz w:val="14"/>
                <w:szCs w:val="14"/>
                <w:color w:val="auto"/>
              </w:rPr>
            </w:pPr>
            <w:hyperlink r:id="rId106">
              <w:r>
                <w:rPr>
                  <w:rFonts w:ascii="Times New Roman" w:cs="Times New Roman" w:eastAsia="Times New Roman" w:hAnsi="Times New Roman"/>
                  <w:sz w:val="14"/>
                  <w:szCs w:val="14"/>
                  <w:color w:val="auto"/>
                </w:rPr>
                <w:t>Description of Securities</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44</w:t>
            </w:r>
          </w:p>
        </w:tc>
      </w:tr>
      <w:tr>
        <w:trPr>
          <w:trHeight w:val="180"/>
        </w:trPr>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0" w:type="dxa"/>
            <w:vAlign w:val="bottom"/>
            <w:gridSpan w:val="2"/>
          </w:tcPr>
          <w:p>
            <w:pPr>
              <w:ind w:left="1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4.5   </w:t>
            </w:r>
            <w:hyperlink r:id="rId107">
              <w:r>
                <w:rPr>
                  <w:rFonts w:ascii="Times New Roman" w:cs="Times New Roman" w:eastAsia="Times New Roman" w:hAnsi="Times New Roman"/>
                  <w:sz w:val="14"/>
                  <w:szCs w:val="14"/>
                  <w:color w:val="auto"/>
                </w:rPr>
                <w:t>Form of Indenture for Debt</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37</w:t>
            </w:r>
          </w:p>
        </w:tc>
      </w:tr>
      <w:tr>
        <w:trPr>
          <w:trHeight w:val="142"/>
        </w:trPr>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54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color w:val="auto"/>
              </w:rPr>
              <w:t>Water Service Contract with Wheeler Ridge-Maricopa Water Storage District (without exhibits), amendments originally filed under Item 11 to</w:t>
            </w:r>
          </w:p>
        </w:tc>
        <w:tc>
          <w:tcPr>
            <w:tcW w:w="1280" w:type="dxa"/>
            <w:vAlign w:val="bottom"/>
          </w:tcPr>
          <w:p>
            <w:pPr>
              <w:spacing w:after="0"/>
              <w:rPr>
                <w:sz w:val="12"/>
                <w:szCs w:val="12"/>
                <w:color w:val="auto"/>
              </w:rPr>
            </w:pPr>
          </w:p>
        </w:tc>
      </w:tr>
      <w:tr>
        <w:trPr>
          <w:trHeight w:val="191"/>
        </w:trPr>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10.1   Registrant's Annual Report on Form 10-K</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6</w:t>
            </w:r>
          </w:p>
        </w:tc>
      </w:tr>
      <w:tr>
        <w:trPr>
          <w:trHeight w:val="262"/>
        </w:trPr>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10.9(1)</w:t>
            </w:r>
          </w:p>
        </w:tc>
        <w:tc>
          <w:tcPr>
            <w:tcW w:w="8540" w:type="dxa"/>
            <w:vAlign w:val="bottom"/>
          </w:tcPr>
          <w:p>
            <w:pPr>
              <w:ind w:left="80"/>
              <w:spacing w:after="0"/>
              <w:rPr>
                <w:rFonts w:ascii="Times New Roman" w:cs="Times New Roman" w:eastAsia="Times New Roman" w:hAnsi="Times New Roman"/>
                <w:sz w:val="14"/>
                <w:szCs w:val="14"/>
                <w:color w:val="auto"/>
              </w:rPr>
            </w:pPr>
            <w:hyperlink r:id="rId108">
              <w:r>
                <w:rPr>
                  <w:rFonts w:ascii="Times New Roman" w:cs="Times New Roman" w:eastAsia="Times New Roman" w:hAnsi="Times New Roman"/>
                  <w:sz w:val="14"/>
                  <w:szCs w:val="14"/>
                  <w:color w:val="auto"/>
                </w:rPr>
                <w:t>*Stock Option Agreement Pursuant to the Non-Employee Director Stock Incentive Plan</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7</w:t>
            </w:r>
          </w:p>
        </w:tc>
      </w:tr>
      <w:tr>
        <w:trPr>
          <w:trHeight w:val="180"/>
        </w:trPr>
        <w:tc>
          <w:tcPr>
            <w:tcW w:w="1460" w:type="dxa"/>
            <w:vAlign w:val="bottom"/>
            <w:gridSpan w:val="3"/>
          </w:tcPr>
          <w:p>
            <w:pPr>
              <w:ind w:left="1060"/>
              <w:spacing w:after="0"/>
              <w:rPr>
                <w:sz w:val="20"/>
                <w:szCs w:val="20"/>
                <w:color w:val="auto"/>
              </w:rPr>
            </w:pPr>
            <w:r>
              <w:rPr>
                <w:rFonts w:ascii="Times New Roman" w:cs="Times New Roman" w:eastAsia="Times New Roman" w:hAnsi="Times New Roman"/>
                <w:sz w:val="14"/>
                <w:szCs w:val="14"/>
                <w:color w:val="auto"/>
              </w:rPr>
              <w:t>10.10</w:t>
            </w:r>
          </w:p>
        </w:tc>
        <w:tc>
          <w:tcPr>
            <w:tcW w:w="8540" w:type="dxa"/>
            <w:vAlign w:val="bottom"/>
          </w:tcPr>
          <w:p>
            <w:pPr>
              <w:ind w:left="80"/>
              <w:spacing w:after="0"/>
              <w:rPr>
                <w:rFonts w:ascii="Times New Roman" w:cs="Times New Roman" w:eastAsia="Times New Roman" w:hAnsi="Times New Roman"/>
                <w:sz w:val="14"/>
                <w:szCs w:val="14"/>
                <w:color w:val="auto"/>
              </w:rPr>
            </w:pPr>
            <w:hyperlink r:id="rId109">
              <w:r>
                <w:rPr>
                  <w:rFonts w:ascii="Times New Roman" w:cs="Times New Roman" w:eastAsia="Times New Roman" w:hAnsi="Times New Roman"/>
                  <w:sz w:val="14"/>
                  <w:szCs w:val="14"/>
                  <w:color w:val="auto"/>
                </w:rPr>
                <w:t>*Amended and Restated 1998 Stock Incentive Plan</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9</w:t>
            </w:r>
          </w:p>
        </w:tc>
      </w:tr>
      <w:tr>
        <w:trPr>
          <w:trHeight w:val="180"/>
        </w:trPr>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10.10(1)</w:t>
            </w:r>
          </w:p>
        </w:tc>
        <w:tc>
          <w:tcPr>
            <w:tcW w:w="8540" w:type="dxa"/>
            <w:vAlign w:val="bottom"/>
          </w:tcPr>
          <w:p>
            <w:pPr>
              <w:ind w:left="80"/>
              <w:spacing w:after="0"/>
              <w:rPr>
                <w:rFonts w:ascii="Times New Roman" w:cs="Times New Roman" w:eastAsia="Times New Roman" w:hAnsi="Times New Roman"/>
                <w:sz w:val="14"/>
                <w:szCs w:val="14"/>
                <w:color w:val="auto"/>
              </w:rPr>
            </w:pPr>
            <w:hyperlink r:id="rId108">
              <w:r>
                <w:rPr>
                  <w:rFonts w:ascii="Times New Roman" w:cs="Times New Roman" w:eastAsia="Times New Roman" w:hAnsi="Times New Roman"/>
                  <w:sz w:val="14"/>
                  <w:szCs w:val="14"/>
                  <w:color w:val="auto"/>
                </w:rPr>
                <w:t>*Stock Option Agreement Pursuant to the 1998 Stock Incentive Plan</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7</w:t>
            </w:r>
          </w:p>
        </w:tc>
      </w:tr>
      <w:tr>
        <w:trPr>
          <w:trHeight w:val="180"/>
        </w:trPr>
        <w:tc>
          <w:tcPr>
            <w:tcW w:w="1460" w:type="dxa"/>
            <w:vAlign w:val="bottom"/>
            <w:gridSpan w:val="3"/>
          </w:tcPr>
          <w:p>
            <w:pPr>
              <w:ind w:left="1060"/>
              <w:spacing w:after="0"/>
              <w:rPr>
                <w:sz w:val="20"/>
                <w:szCs w:val="20"/>
                <w:color w:val="auto"/>
              </w:rPr>
            </w:pPr>
            <w:r>
              <w:rPr>
                <w:rFonts w:ascii="Times New Roman" w:cs="Times New Roman" w:eastAsia="Times New Roman" w:hAnsi="Times New Roman"/>
                <w:sz w:val="14"/>
                <w:szCs w:val="14"/>
                <w:color w:val="auto"/>
              </w:rPr>
              <w:t>10.12</w:t>
            </w:r>
          </w:p>
        </w:tc>
        <w:tc>
          <w:tcPr>
            <w:tcW w:w="8540" w:type="dxa"/>
            <w:vAlign w:val="bottom"/>
          </w:tcPr>
          <w:p>
            <w:pPr>
              <w:ind w:left="80"/>
              <w:spacing w:after="0"/>
              <w:rPr>
                <w:rFonts w:ascii="Times New Roman" w:cs="Times New Roman" w:eastAsia="Times New Roman" w:hAnsi="Times New Roman"/>
                <w:sz w:val="14"/>
                <w:szCs w:val="14"/>
                <w:color w:val="auto"/>
              </w:rPr>
            </w:pPr>
            <w:hyperlink r:id="rId110">
              <w:r>
                <w:rPr>
                  <w:rFonts w:ascii="Times New Roman" w:cs="Times New Roman" w:eastAsia="Times New Roman" w:hAnsi="Times New Roman"/>
                  <w:sz w:val="14"/>
                  <w:szCs w:val="14"/>
                  <w:color w:val="auto"/>
                </w:rPr>
                <w:t>Ground Lease with Pastoria Energy Facility L.L.C.</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10</w:t>
            </w:r>
          </w:p>
        </w:tc>
      </w:tr>
      <w:tr>
        <w:trPr>
          <w:trHeight w:val="180"/>
        </w:trPr>
        <w:tc>
          <w:tcPr>
            <w:tcW w:w="1460" w:type="dxa"/>
            <w:vAlign w:val="bottom"/>
            <w:gridSpan w:val="3"/>
          </w:tcPr>
          <w:p>
            <w:pPr>
              <w:ind w:left="1060"/>
              <w:spacing w:after="0"/>
              <w:rPr>
                <w:sz w:val="20"/>
                <w:szCs w:val="20"/>
                <w:color w:val="auto"/>
              </w:rPr>
            </w:pPr>
            <w:r>
              <w:rPr>
                <w:rFonts w:ascii="Times New Roman" w:cs="Times New Roman" w:eastAsia="Times New Roman" w:hAnsi="Times New Roman"/>
                <w:sz w:val="14"/>
                <w:szCs w:val="14"/>
                <w:color w:val="auto"/>
              </w:rPr>
              <w:t>10.17</w:t>
            </w:r>
          </w:p>
        </w:tc>
        <w:tc>
          <w:tcPr>
            <w:tcW w:w="8540" w:type="dxa"/>
            <w:vAlign w:val="bottom"/>
          </w:tcPr>
          <w:p>
            <w:pPr>
              <w:ind w:left="80"/>
              <w:spacing w:after="0"/>
              <w:rPr>
                <w:rFonts w:ascii="Times New Roman" w:cs="Times New Roman" w:eastAsia="Times New Roman" w:hAnsi="Times New Roman"/>
                <w:sz w:val="14"/>
                <w:szCs w:val="14"/>
                <w:color w:val="auto"/>
              </w:rPr>
            </w:pPr>
            <w:hyperlink r:id="rId111">
              <w:r>
                <w:rPr>
                  <w:rFonts w:ascii="Times New Roman" w:cs="Times New Roman" w:eastAsia="Times New Roman" w:hAnsi="Times New Roman"/>
                  <w:sz w:val="14"/>
                  <w:szCs w:val="14"/>
                  <w:color w:val="auto"/>
                </w:rPr>
                <w:t>*2004 Stock Incentive Program</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13</w:t>
            </w:r>
          </w:p>
        </w:tc>
      </w:tr>
      <w:tr>
        <w:trPr>
          <w:trHeight w:val="180"/>
        </w:trPr>
        <w:tc>
          <w:tcPr>
            <w:tcW w:w="1460" w:type="dxa"/>
            <w:vAlign w:val="bottom"/>
            <w:gridSpan w:val="3"/>
          </w:tcPr>
          <w:p>
            <w:pPr>
              <w:ind w:left="1060"/>
              <w:spacing w:after="0"/>
              <w:rPr>
                <w:sz w:val="20"/>
                <w:szCs w:val="20"/>
                <w:color w:val="auto"/>
              </w:rPr>
            </w:pPr>
            <w:r>
              <w:rPr>
                <w:rFonts w:ascii="Times New Roman" w:cs="Times New Roman" w:eastAsia="Times New Roman" w:hAnsi="Times New Roman"/>
                <w:sz w:val="14"/>
                <w:szCs w:val="14"/>
                <w:color w:val="auto"/>
              </w:rPr>
              <w:t>10.18</w:t>
            </w:r>
          </w:p>
        </w:tc>
        <w:tc>
          <w:tcPr>
            <w:tcW w:w="8540" w:type="dxa"/>
            <w:vAlign w:val="bottom"/>
          </w:tcPr>
          <w:p>
            <w:pPr>
              <w:ind w:left="80"/>
              <w:spacing w:after="0"/>
              <w:rPr>
                <w:rFonts w:ascii="Times New Roman" w:cs="Times New Roman" w:eastAsia="Times New Roman" w:hAnsi="Times New Roman"/>
                <w:sz w:val="14"/>
                <w:szCs w:val="14"/>
                <w:color w:val="auto"/>
              </w:rPr>
            </w:pPr>
            <w:hyperlink r:id="rId112">
              <w:r>
                <w:rPr>
                  <w:rFonts w:ascii="Times New Roman" w:cs="Times New Roman" w:eastAsia="Times New Roman" w:hAnsi="Times New Roman"/>
                  <w:sz w:val="14"/>
                  <w:szCs w:val="14"/>
                  <w:color w:val="auto"/>
                </w:rPr>
                <w:t>*Form of Restricted Stock Agreement for Directors</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13</w:t>
            </w:r>
          </w:p>
        </w:tc>
      </w:tr>
      <w:tr>
        <w:trPr>
          <w:trHeight w:val="180"/>
        </w:trPr>
        <w:tc>
          <w:tcPr>
            <w:tcW w:w="1460" w:type="dxa"/>
            <w:vAlign w:val="bottom"/>
            <w:gridSpan w:val="3"/>
          </w:tcPr>
          <w:p>
            <w:pPr>
              <w:ind w:left="1060"/>
              <w:spacing w:after="0"/>
              <w:rPr>
                <w:sz w:val="20"/>
                <w:szCs w:val="20"/>
                <w:color w:val="auto"/>
              </w:rPr>
            </w:pPr>
            <w:r>
              <w:rPr>
                <w:rFonts w:ascii="Times New Roman" w:cs="Times New Roman" w:eastAsia="Times New Roman" w:hAnsi="Times New Roman"/>
                <w:sz w:val="14"/>
                <w:szCs w:val="14"/>
                <w:color w:val="auto"/>
              </w:rPr>
              <w:t>10.19</w:t>
            </w:r>
          </w:p>
        </w:tc>
        <w:tc>
          <w:tcPr>
            <w:tcW w:w="8540" w:type="dxa"/>
            <w:vAlign w:val="bottom"/>
          </w:tcPr>
          <w:p>
            <w:pPr>
              <w:ind w:left="80"/>
              <w:spacing w:after="0"/>
              <w:rPr>
                <w:rFonts w:ascii="Times New Roman" w:cs="Times New Roman" w:eastAsia="Times New Roman" w:hAnsi="Times New Roman"/>
                <w:sz w:val="14"/>
                <w:szCs w:val="14"/>
                <w:color w:val="auto"/>
              </w:rPr>
            </w:pPr>
            <w:hyperlink r:id="rId113">
              <w:r>
                <w:rPr>
                  <w:rFonts w:ascii="Times New Roman" w:cs="Times New Roman" w:eastAsia="Times New Roman" w:hAnsi="Times New Roman"/>
                  <w:sz w:val="14"/>
                  <w:szCs w:val="14"/>
                  <w:color w:val="auto"/>
                </w:rPr>
                <w:t>*Form of Restricted Stock Unit Agreement</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13</w:t>
            </w:r>
          </w:p>
        </w:tc>
      </w:tr>
      <w:tr>
        <w:trPr>
          <w:trHeight w:val="180"/>
        </w:trPr>
        <w:tc>
          <w:tcPr>
            <w:tcW w:w="1460" w:type="dxa"/>
            <w:vAlign w:val="bottom"/>
            <w:gridSpan w:val="3"/>
          </w:tcPr>
          <w:p>
            <w:pPr>
              <w:ind w:left="1060"/>
              <w:spacing w:after="0"/>
              <w:rPr>
                <w:sz w:val="20"/>
                <w:szCs w:val="20"/>
                <w:color w:val="auto"/>
              </w:rPr>
            </w:pPr>
            <w:r>
              <w:rPr>
                <w:rFonts w:ascii="Times New Roman" w:cs="Times New Roman" w:eastAsia="Times New Roman" w:hAnsi="Times New Roman"/>
                <w:sz w:val="14"/>
                <w:szCs w:val="14"/>
                <w:color w:val="auto"/>
              </w:rPr>
              <w:t>10.23</w:t>
            </w:r>
          </w:p>
        </w:tc>
        <w:tc>
          <w:tcPr>
            <w:tcW w:w="8540" w:type="dxa"/>
            <w:vAlign w:val="bottom"/>
          </w:tcPr>
          <w:p>
            <w:pPr>
              <w:ind w:left="80"/>
              <w:spacing w:after="0"/>
              <w:rPr>
                <w:rFonts w:ascii="Times New Roman" w:cs="Times New Roman" w:eastAsia="Times New Roman" w:hAnsi="Times New Roman"/>
                <w:sz w:val="14"/>
                <w:szCs w:val="14"/>
                <w:color w:val="auto"/>
              </w:rPr>
            </w:pPr>
            <w:hyperlink r:id="rId114">
              <w:r>
                <w:rPr>
                  <w:rFonts w:ascii="Times New Roman" w:cs="Times New Roman" w:eastAsia="Times New Roman" w:hAnsi="Times New Roman"/>
                  <w:sz w:val="14"/>
                  <w:szCs w:val="14"/>
                  <w:color w:val="auto"/>
                </w:rPr>
                <w:t>Limited Liability Company Agreement of Tejon Mountain Village LLC</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14</w:t>
            </w:r>
          </w:p>
        </w:tc>
      </w:tr>
      <w:tr>
        <w:trPr>
          <w:trHeight w:val="180"/>
        </w:trPr>
        <w:tc>
          <w:tcPr>
            <w:tcW w:w="1460" w:type="dxa"/>
            <w:vAlign w:val="bottom"/>
            <w:gridSpan w:val="3"/>
          </w:tcPr>
          <w:p>
            <w:pPr>
              <w:ind w:left="1060"/>
              <w:spacing w:after="0"/>
              <w:rPr>
                <w:sz w:val="20"/>
                <w:szCs w:val="20"/>
                <w:color w:val="auto"/>
              </w:rPr>
            </w:pPr>
            <w:r>
              <w:rPr>
                <w:rFonts w:ascii="Times New Roman" w:cs="Times New Roman" w:eastAsia="Times New Roman" w:hAnsi="Times New Roman"/>
                <w:sz w:val="14"/>
                <w:szCs w:val="14"/>
                <w:color w:val="auto"/>
              </w:rPr>
              <w:t>10.24</w:t>
            </w:r>
          </w:p>
        </w:tc>
        <w:tc>
          <w:tcPr>
            <w:tcW w:w="8540" w:type="dxa"/>
            <w:vAlign w:val="bottom"/>
          </w:tcPr>
          <w:p>
            <w:pPr>
              <w:ind w:left="80"/>
              <w:spacing w:after="0"/>
              <w:rPr>
                <w:rFonts w:ascii="Times New Roman" w:cs="Times New Roman" w:eastAsia="Times New Roman" w:hAnsi="Times New Roman"/>
                <w:sz w:val="14"/>
                <w:szCs w:val="14"/>
                <w:color w:val="auto"/>
              </w:rPr>
            </w:pPr>
            <w:hyperlink r:id="rId115">
              <w:r>
                <w:rPr>
                  <w:rFonts w:ascii="Times New Roman" w:cs="Times New Roman" w:eastAsia="Times New Roman" w:hAnsi="Times New Roman"/>
                  <w:sz w:val="14"/>
                  <w:szCs w:val="14"/>
                  <w:color w:val="auto"/>
                </w:rPr>
                <w:t>Tejon Ranch Conservation and Land Use Agreement</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15</w:t>
            </w:r>
          </w:p>
        </w:tc>
      </w:tr>
      <w:tr>
        <w:trPr>
          <w:trHeight w:val="180"/>
        </w:trPr>
        <w:tc>
          <w:tcPr>
            <w:tcW w:w="1460" w:type="dxa"/>
            <w:vAlign w:val="bottom"/>
            <w:gridSpan w:val="3"/>
          </w:tcPr>
          <w:p>
            <w:pPr>
              <w:ind w:left="1060"/>
              <w:spacing w:after="0"/>
              <w:rPr>
                <w:sz w:val="20"/>
                <w:szCs w:val="20"/>
                <w:color w:val="auto"/>
              </w:rPr>
            </w:pPr>
            <w:r>
              <w:rPr>
                <w:rFonts w:ascii="Times New Roman" w:cs="Times New Roman" w:eastAsia="Times New Roman" w:hAnsi="Times New Roman"/>
                <w:sz w:val="14"/>
                <w:szCs w:val="14"/>
                <w:color w:val="auto"/>
              </w:rPr>
              <w:t>10.25</w:t>
            </w:r>
          </w:p>
        </w:tc>
        <w:tc>
          <w:tcPr>
            <w:tcW w:w="8540" w:type="dxa"/>
            <w:vAlign w:val="bottom"/>
          </w:tcPr>
          <w:p>
            <w:pPr>
              <w:ind w:left="80"/>
              <w:spacing w:after="0"/>
              <w:rPr>
                <w:rFonts w:ascii="Times New Roman" w:cs="Times New Roman" w:eastAsia="Times New Roman" w:hAnsi="Times New Roman"/>
                <w:sz w:val="14"/>
                <w:szCs w:val="14"/>
                <w:color w:val="auto"/>
              </w:rPr>
            </w:pPr>
            <w:hyperlink r:id="rId116">
              <w:r>
                <w:rPr>
                  <w:rFonts w:ascii="Times New Roman" w:cs="Times New Roman" w:eastAsia="Times New Roman" w:hAnsi="Times New Roman"/>
                  <w:sz w:val="14"/>
                  <w:szCs w:val="14"/>
                  <w:color w:val="auto"/>
                </w:rPr>
                <w:t>Second Amended and Restated Limited Liability Agreement of Centennial Founders, LLC</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16</w:t>
            </w:r>
          </w:p>
        </w:tc>
      </w:tr>
      <w:tr>
        <w:trPr>
          <w:trHeight w:val="180"/>
        </w:trPr>
        <w:tc>
          <w:tcPr>
            <w:tcW w:w="1460" w:type="dxa"/>
            <w:vAlign w:val="bottom"/>
            <w:gridSpan w:val="3"/>
          </w:tcPr>
          <w:p>
            <w:pPr>
              <w:ind w:left="1060"/>
              <w:spacing w:after="0"/>
              <w:rPr>
                <w:sz w:val="20"/>
                <w:szCs w:val="20"/>
                <w:color w:val="auto"/>
              </w:rPr>
            </w:pPr>
            <w:r>
              <w:rPr>
                <w:rFonts w:ascii="Times New Roman" w:cs="Times New Roman" w:eastAsia="Times New Roman" w:hAnsi="Times New Roman"/>
                <w:sz w:val="14"/>
                <w:szCs w:val="14"/>
                <w:color w:val="auto"/>
              </w:rPr>
              <w:t>10.27</w:t>
            </w:r>
          </w:p>
        </w:tc>
        <w:tc>
          <w:tcPr>
            <w:tcW w:w="8540" w:type="dxa"/>
            <w:vAlign w:val="bottom"/>
          </w:tcPr>
          <w:p>
            <w:pPr>
              <w:ind w:left="80"/>
              <w:spacing w:after="0"/>
              <w:rPr>
                <w:rFonts w:ascii="Times New Roman" w:cs="Times New Roman" w:eastAsia="Times New Roman" w:hAnsi="Times New Roman"/>
                <w:sz w:val="14"/>
                <w:szCs w:val="14"/>
                <w:color w:val="auto"/>
              </w:rPr>
            </w:pPr>
            <w:hyperlink r:id="rId117">
              <w:r>
                <w:rPr>
                  <w:rFonts w:ascii="Times New Roman" w:cs="Times New Roman" w:eastAsia="Times New Roman" w:hAnsi="Times New Roman"/>
                  <w:sz w:val="14"/>
                  <w:szCs w:val="14"/>
                  <w:color w:val="auto"/>
                </w:rPr>
                <w:t>Limited Liability Company Agreement of TRCC/Rock Outlet Center LLC</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18</w:t>
            </w:r>
          </w:p>
        </w:tc>
      </w:tr>
      <w:tr>
        <w:trPr>
          <w:trHeight w:val="180"/>
        </w:trPr>
        <w:tc>
          <w:tcPr>
            <w:tcW w:w="1460" w:type="dxa"/>
            <w:vAlign w:val="bottom"/>
            <w:gridSpan w:val="3"/>
          </w:tcPr>
          <w:p>
            <w:pPr>
              <w:ind w:left="1060"/>
              <w:spacing w:after="0"/>
              <w:rPr>
                <w:sz w:val="20"/>
                <w:szCs w:val="20"/>
                <w:color w:val="auto"/>
              </w:rPr>
            </w:pPr>
            <w:r>
              <w:rPr>
                <w:rFonts w:ascii="Times New Roman" w:cs="Times New Roman" w:eastAsia="Times New Roman" w:hAnsi="Times New Roman"/>
                <w:sz w:val="14"/>
                <w:szCs w:val="14"/>
                <w:color w:val="auto"/>
              </w:rPr>
              <w:t>10.29</w:t>
            </w:r>
          </w:p>
        </w:tc>
        <w:tc>
          <w:tcPr>
            <w:tcW w:w="8540" w:type="dxa"/>
            <w:vAlign w:val="bottom"/>
          </w:tcPr>
          <w:p>
            <w:pPr>
              <w:ind w:left="80"/>
              <w:spacing w:after="0"/>
              <w:rPr>
                <w:rFonts w:ascii="Times New Roman" w:cs="Times New Roman" w:eastAsia="Times New Roman" w:hAnsi="Times New Roman"/>
                <w:sz w:val="14"/>
                <w:szCs w:val="14"/>
                <w:color w:val="auto"/>
              </w:rPr>
            </w:pPr>
            <w:hyperlink r:id="rId118">
              <w:r>
                <w:rPr>
                  <w:rFonts w:ascii="Times New Roman" w:cs="Times New Roman" w:eastAsia="Times New Roman" w:hAnsi="Times New Roman"/>
                  <w:sz w:val="14"/>
                  <w:szCs w:val="14"/>
                  <w:color w:val="auto"/>
                </w:rPr>
                <w:t>Amendments to Limited Liability Company Agreement of Tejon Mountain Village LLC</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20</w:t>
            </w:r>
          </w:p>
        </w:tc>
      </w:tr>
      <w:tr>
        <w:trPr>
          <w:trHeight w:val="180"/>
        </w:trPr>
        <w:tc>
          <w:tcPr>
            <w:tcW w:w="1460" w:type="dxa"/>
            <w:vAlign w:val="bottom"/>
            <w:gridSpan w:val="3"/>
          </w:tcPr>
          <w:p>
            <w:pPr>
              <w:ind w:left="1060"/>
              <w:spacing w:after="0"/>
              <w:rPr>
                <w:sz w:val="20"/>
                <w:szCs w:val="20"/>
                <w:color w:val="auto"/>
              </w:rPr>
            </w:pPr>
            <w:r>
              <w:rPr>
                <w:rFonts w:ascii="Times New Roman" w:cs="Times New Roman" w:eastAsia="Times New Roman" w:hAnsi="Times New Roman"/>
                <w:sz w:val="14"/>
                <w:szCs w:val="14"/>
                <w:color w:val="auto"/>
              </w:rPr>
              <w:t>10.30</w:t>
            </w:r>
          </w:p>
        </w:tc>
        <w:tc>
          <w:tcPr>
            <w:tcW w:w="8540" w:type="dxa"/>
            <w:vAlign w:val="bottom"/>
          </w:tcPr>
          <w:p>
            <w:pPr>
              <w:ind w:left="80"/>
              <w:spacing w:after="0"/>
              <w:rPr>
                <w:rFonts w:ascii="Times New Roman" w:cs="Times New Roman" w:eastAsia="Times New Roman" w:hAnsi="Times New Roman"/>
                <w:sz w:val="14"/>
                <w:szCs w:val="14"/>
                <w:color w:val="auto"/>
              </w:rPr>
            </w:pPr>
            <w:hyperlink r:id="rId119">
              <w:r>
                <w:rPr>
                  <w:rFonts w:ascii="Times New Roman" w:cs="Times New Roman" w:eastAsia="Times New Roman" w:hAnsi="Times New Roman"/>
                  <w:sz w:val="14"/>
                  <w:szCs w:val="14"/>
                  <w:color w:val="auto"/>
                </w:rPr>
                <w:t>Membership Interest Purchase Agreement - Tejon Mountain Village LLC</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21</w:t>
            </w:r>
          </w:p>
        </w:tc>
      </w:tr>
      <w:tr>
        <w:trPr>
          <w:trHeight w:val="180"/>
        </w:trPr>
        <w:tc>
          <w:tcPr>
            <w:tcW w:w="1460" w:type="dxa"/>
            <w:vAlign w:val="bottom"/>
            <w:gridSpan w:val="3"/>
          </w:tcPr>
          <w:p>
            <w:pPr>
              <w:ind w:left="1060"/>
              <w:spacing w:after="0"/>
              <w:rPr>
                <w:sz w:val="20"/>
                <w:szCs w:val="20"/>
                <w:color w:val="auto"/>
              </w:rPr>
            </w:pPr>
            <w:r>
              <w:rPr>
                <w:rFonts w:ascii="Times New Roman" w:cs="Times New Roman" w:eastAsia="Times New Roman" w:hAnsi="Times New Roman"/>
                <w:sz w:val="14"/>
                <w:szCs w:val="14"/>
                <w:color w:val="auto"/>
              </w:rPr>
              <w:t>10.34</w:t>
            </w:r>
          </w:p>
        </w:tc>
        <w:tc>
          <w:tcPr>
            <w:tcW w:w="8540" w:type="dxa"/>
            <w:vAlign w:val="bottom"/>
          </w:tcPr>
          <w:p>
            <w:pPr>
              <w:ind w:left="80"/>
              <w:spacing w:after="0"/>
              <w:rPr>
                <w:rFonts w:ascii="Times New Roman" w:cs="Times New Roman" w:eastAsia="Times New Roman" w:hAnsi="Times New Roman"/>
                <w:sz w:val="14"/>
                <w:szCs w:val="14"/>
                <w:color w:val="auto"/>
              </w:rPr>
            </w:pPr>
            <w:hyperlink r:id="rId120">
              <w:r>
                <w:rPr>
                  <w:rFonts w:ascii="Times New Roman" w:cs="Times New Roman" w:eastAsia="Times New Roman" w:hAnsi="Times New Roman"/>
                  <w:sz w:val="14"/>
                  <w:szCs w:val="14"/>
                  <w:color w:val="auto"/>
                </w:rPr>
                <w:t>Amendments to Lease Agreement with Pastoria Energy Facility L.L.C.</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23</w:t>
            </w:r>
          </w:p>
        </w:tc>
      </w:tr>
      <w:tr>
        <w:trPr>
          <w:trHeight w:val="180"/>
        </w:trPr>
        <w:tc>
          <w:tcPr>
            <w:tcW w:w="1460" w:type="dxa"/>
            <w:vAlign w:val="bottom"/>
            <w:gridSpan w:val="3"/>
          </w:tcPr>
          <w:p>
            <w:pPr>
              <w:ind w:left="1060"/>
              <w:spacing w:after="0"/>
              <w:rPr>
                <w:sz w:val="20"/>
                <w:szCs w:val="20"/>
                <w:color w:val="auto"/>
              </w:rPr>
            </w:pPr>
            <w:r>
              <w:rPr>
                <w:rFonts w:ascii="Times New Roman" w:cs="Times New Roman" w:eastAsia="Times New Roman" w:hAnsi="Times New Roman"/>
                <w:sz w:val="14"/>
                <w:szCs w:val="14"/>
                <w:color w:val="auto"/>
              </w:rPr>
              <w:t>10.35</w:t>
            </w:r>
          </w:p>
        </w:tc>
        <w:tc>
          <w:tcPr>
            <w:tcW w:w="8540" w:type="dxa"/>
            <w:vAlign w:val="bottom"/>
          </w:tcPr>
          <w:p>
            <w:pPr>
              <w:ind w:left="80"/>
              <w:spacing w:after="0"/>
              <w:rPr>
                <w:rFonts w:ascii="Times New Roman" w:cs="Times New Roman" w:eastAsia="Times New Roman" w:hAnsi="Times New Roman"/>
                <w:sz w:val="14"/>
                <w:szCs w:val="14"/>
                <w:color w:val="auto"/>
              </w:rPr>
            </w:pPr>
            <w:hyperlink r:id="rId121">
              <w:r>
                <w:rPr>
                  <w:rFonts w:ascii="Times New Roman" w:cs="Times New Roman" w:eastAsia="Times New Roman" w:hAnsi="Times New Roman"/>
                  <w:sz w:val="14"/>
                  <w:szCs w:val="14"/>
                  <w:color w:val="auto"/>
                </w:rPr>
                <w:t>Water Supply Agreement with Pastoria Energy Facility L.L.C.</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24</w:t>
            </w:r>
          </w:p>
        </w:tc>
      </w:tr>
      <w:tr>
        <w:trPr>
          <w:trHeight w:val="180"/>
        </w:trPr>
        <w:tc>
          <w:tcPr>
            <w:tcW w:w="1460" w:type="dxa"/>
            <w:vAlign w:val="bottom"/>
            <w:gridSpan w:val="3"/>
          </w:tcPr>
          <w:p>
            <w:pPr>
              <w:ind w:left="1060"/>
              <w:spacing w:after="0"/>
              <w:rPr>
                <w:sz w:val="20"/>
                <w:szCs w:val="20"/>
                <w:color w:val="auto"/>
              </w:rPr>
            </w:pPr>
            <w:r>
              <w:rPr>
                <w:rFonts w:ascii="Times New Roman" w:cs="Times New Roman" w:eastAsia="Times New Roman" w:hAnsi="Times New Roman"/>
                <w:sz w:val="14"/>
                <w:szCs w:val="14"/>
                <w:color w:val="auto"/>
              </w:rPr>
              <w:t>10.37</w:t>
            </w:r>
          </w:p>
        </w:tc>
        <w:tc>
          <w:tcPr>
            <w:tcW w:w="8540" w:type="dxa"/>
            <w:vAlign w:val="bottom"/>
          </w:tcPr>
          <w:p>
            <w:pPr>
              <w:ind w:left="80"/>
              <w:spacing w:after="0"/>
              <w:rPr>
                <w:rFonts w:ascii="Times New Roman" w:cs="Times New Roman" w:eastAsia="Times New Roman" w:hAnsi="Times New Roman"/>
                <w:sz w:val="14"/>
                <w:szCs w:val="14"/>
                <w:color w:val="auto"/>
              </w:rPr>
            </w:pPr>
            <w:hyperlink r:id="rId122">
              <w:r>
                <w:rPr>
                  <w:rFonts w:ascii="Times New Roman" w:cs="Times New Roman" w:eastAsia="Times New Roman" w:hAnsi="Times New Roman"/>
                  <w:sz w:val="14"/>
                  <w:szCs w:val="14"/>
                  <w:color w:val="auto"/>
                </w:rPr>
                <w:t>Limited Liability Company Agreement of TRC-MRC 2, LLC</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26</w:t>
            </w:r>
          </w:p>
        </w:tc>
      </w:tr>
      <w:tr>
        <w:trPr>
          <w:trHeight w:val="180"/>
        </w:trPr>
        <w:tc>
          <w:tcPr>
            <w:tcW w:w="1460" w:type="dxa"/>
            <w:vAlign w:val="bottom"/>
            <w:gridSpan w:val="3"/>
          </w:tcPr>
          <w:p>
            <w:pPr>
              <w:ind w:left="1060"/>
              <w:spacing w:after="0"/>
              <w:rPr>
                <w:sz w:val="20"/>
                <w:szCs w:val="20"/>
                <w:color w:val="auto"/>
              </w:rPr>
            </w:pPr>
            <w:r>
              <w:rPr>
                <w:rFonts w:ascii="Times New Roman" w:cs="Times New Roman" w:eastAsia="Times New Roman" w:hAnsi="Times New Roman"/>
                <w:sz w:val="14"/>
                <w:szCs w:val="14"/>
                <w:color w:val="auto"/>
              </w:rPr>
              <w:t>10.38</w:t>
            </w:r>
          </w:p>
        </w:tc>
        <w:tc>
          <w:tcPr>
            <w:tcW w:w="8540" w:type="dxa"/>
            <w:vAlign w:val="bottom"/>
          </w:tcPr>
          <w:p>
            <w:pPr>
              <w:ind w:left="80"/>
              <w:spacing w:after="0"/>
              <w:rPr>
                <w:rFonts w:ascii="Times New Roman" w:cs="Times New Roman" w:eastAsia="Times New Roman" w:hAnsi="Times New Roman"/>
                <w:sz w:val="14"/>
                <w:szCs w:val="14"/>
                <w:color w:val="auto"/>
              </w:rPr>
            </w:pPr>
            <w:hyperlink r:id="rId123">
              <w:r>
                <w:rPr>
                  <w:rFonts w:ascii="Times New Roman" w:cs="Times New Roman" w:eastAsia="Times New Roman" w:hAnsi="Times New Roman"/>
                  <w:sz w:val="14"/>
                  <w:szCs w:val="14"/>
                  <w:color w:val="auto"/>
                </w:rPr>
                <w:t>Limited Liability Company Agreement of TRC-MRC 1, LLC</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27</w:t>
            </w:r>
          </w:p>
        </w:tc>
      </w:tr>
      <w:tr>
        <w:trPr>
          <w:trHeight w:val="180"/>
        </w:trPr>
        <w:tc>
          <w:tcPr>
            <w:tcW w:w="1460" w:type="dxa"/>
            <w:vAlign w:val="bottom"/>
            <w:gridSpan w:val="3"/>
          </w:tcPr>
          <w:p>
            <w:pPr>
              <w:ind w:left="1060"/>
              <w:spacing w:after="0"/>
              <w:rPr>
                <w:sz w:val="20"/>
                <w:szCs w:val="20"/>
                <w:color w:val="auto"/>
              </w:rPr>
            </w:pPr>
            <w:r>
              <w:rPr>
                <w:rFonts w:ascii="Times New Roman" w:cs="Times New Roman" w:eastAsia="Times New Roman" w:hAnsi="Times New Roman"/>
                <w:sz w:val="14"/>
                <w:szCs w:val="14"/>
                <w:color w:val="auto"/>
              </w:rPr>
              <w:t>10.39</w:t>
            </w:r>
          </w:p>
        </w:tc>
        <w:tc>
          <w:tcPr>
            <w:tcW w:w="8540" w:type="dxa"/>
            <w:vAlign w:val="bottom"/>
          </w:tcPr>
          <w:p>
            <w:pPr>
              <w:ind w:left="80"/>
              <w:spacing w:after="0"/>
              <w:rPr>
                <w:rFonts w:ascii="Times New Roman" w:cs="Times New Roman" w:eastAsia="Times New Roman" w:hAnsi="Times New Roman"/>
                <w:sz w:val="14"/>
                <w:szCs w:val="14"/>
                <w:color w:val="auto"/>
              </w:rPr>
            </w:pPr>
            <w:hyperlink r:id="rId124">
              <w:r>
                <w:rPr>
                  <w:rFonts w:ascii="Times New Roman" w:cs="Times New Roman" w:eastAsia="Times New Roman" w:hAnsi="Times New Roman"/>
                  <w:sz w:val="14"/>
                  <w:szCs w:val="14"/>
                  <w:color w:val="auto"/>
                </w:rPr>
                <w:t xml:space="preserve">Centennial Founders, LLC Redemption and Withdrawal Agreement </w:t>
              </w:r>
            </w:hyperlink>
            <w:r>
              <w:rPr>
                <w:rFonts w:ascii="Times New Roman" w:cs="Times New Roman" w:eastAsia="Times New Roman" w:hAnsi="Times New Roman"/>
                <w:sz w:val="14"/>
                <w:szCs w:val="14"/>
                <w:color w:val="auto"/>
              </w:rPr>
              <w:t>- Lewis Tejon Member</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28</w:t>
            </w:r>
          </w:p>
        </w:tc>
      </w:tr>
      <w:tr>
        <w:trPr>
          <w:trHeight w:val="180"/>
        </w:trPr>
        <w:tc>
          <w:tcPr>
            <w:tcW w:w="1460" w:type="dxa"/>
            <w:vAlign w:val="bottom"/>
            <w:gridSpan w:val="3"/>
          </w:tcPr>
          <w:p>
            <w:pPr>
              <w:ind w:left="1060"/>
              <w:spacing w:after="0"/>
              <w:rPr>
                <w:sz w:val="20"/>
                <w:szCs w:val="20"/>
                <w:color w:val="auto"/>
              </w:rPr>
            </w:pPr>
            <w:r>
              <w:rPr>
                <w:rFonts w:ascii="Times New Roman" w:cs="Times New Roman" w:eastAsia="Times New Roman" w:hAnsi="Times New Roman"/>
                <w:sz w:val="14"/>
                <w:szCs w:val="14"/>
                <w:color w:val="auto"/>
              </w:rPr>
              <w:t>10.40</w:t>
            </w:r>
          </w:p>
        </w:tc>
        <w:tc>
          <w:tcPr>
            <w:tcW w:w="8540" w:type="dxa"/>
            <w:vAlign w:val="bottom"/>
          </w:tcPr>
          <w:p>
            <w:pPr>
              <w:ind w:left="80"/>
              <w:spacing w:after="0"/>
              <w:rPr>
                <w:rFonts w:ascii="Times New Roman" w:cs="Times New Roman" w:eastAsia="Times New Roman" w:hAnsi="Times New Roman"/>
                <w:sz w:val="14"/>
                <w:szCs w:val="14"/>
                <w:color w:val="auto"/>
              </w:rPr>
            </w:pPr>
            <w:hyperlink r:id="rId125">
              <w:r>
                <w:rPr>
                  <w:rFonts w:ascii="Times New Roman" w:cs="Times New Roman" w:eastAsia="Times New Roman" w:hAnsi="Times New Roman"/>
                  <w:sz w:val="14"/>
                  <w:szCs w:val="14"/>
                  <w:color w:val="auto"/>
                </w:rPr>
                <w:t>First Amendment to Second Amended and Restated Limited Liability Company Agreement of Centennial Founders, LLC</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29</w:t>
            </w:r>
          </w:p>
        </w:tc>
      </w:tr>
      <w:tr>
        <w:trPr>
          <w:trHeight w:val="184"/>
        </w:trPr>
        <w:tc>
          <w:tcPr>
            <w:tcW w:w="1460" w:type="dxa"/>
            <w:vAlign w:val="bottom"/>
            <w:gridSpan w:val="3"/>
          </w:tcPr>
          <w:p>
            <w:pPr>
              <w:ind w:left="1060"/>
              <w:spacing w:after="0"/>
              <w:rPr>
                <w:sz w:val="20"/>
                <w:szCs w:val="20"/>
                <w:color w:val="auto"/>
              </w:rPr>
            </w:pPr>
            <w:r>
              <w:rPr>
                <w:rFonts w:ascii="Times New Roman" w:cs="Times New Roman" w:eastAsia="Times New Roman" w:hAnsi="Times New Roman"/>
                <w:sz w:val="14"/>
                <w:szCs w:val="14"/>
                <w:color w:val="auto"/>
              </w:rPr>
              <w:t>10.41</w:t>
            </w:r>
          </w:p>
        </w:tc>
        <w:tc>
          <w:tcPr>
            <w:tcW w:w="8540" w:type="dxa"/>
            <w:vAlign w:val="bottom"/>
          </w:tcPr>
          <w:p>
            <w:pPr>
              <w:ind w:left="80"/>
              <w:spacing w:after="0"/>
              <w:rPr>
                <w:rFonts w:ascii="Times New Roman" w:cs="Times New Roman" w:eastAsia="Times New Roman" w:hAnsi="Times New Roman"/>
                <w:sz w:val="14"/>
                <w:szCs w:val="14"/>
                <w:color w:val="auto"/>
              </w:rPr>
            </w:pPr>
            <w:hyperlink r:id="rId126">
              <w:r>
                <w:rPr>
                  <w:rFonts w:ascii="Times New Roman" w:cs="Times New Roman" w:eastAsia="Times New Roman" w:hAnsi="Times New Roman"/>
                  <w:sz w:val="14"/>
                  <w:szCs w:val="14"/>
                  <w:color w:val="auto"/>
                </w:rPr>
                <w:t>Second Amendment to Second Amended and Restated Limited Liability Company Agreement of Centennial Founders, LLC</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30</w:t>
            </w:r>
          </w:p>
        </w:tc>
      </w:tr>
      <w:tr>
        <w:trPr>
          <w:trHeight w:val="679"/>
        </w:trPr>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540" w:type="dxa"/>
            <w:vAlign w:val="bottom"/>
          </w:tcPr>
          <w:p>
            <w:pPr>
              <w:ind w:left="4120"/>
              <w:spacing w:after="0"/>
              <w:rPr>
                <w:sz w:val="20"/>
                <w:szCs w:val="20"/>
                <w:color w:val="auto"/>
              </w:rPr>
            </w:pPr>
            <w:r>
              <w:rPr>
                <w:rFonts w:ascii="Times New Roman" w:cs="Times New Roman" w:eastAsia="Times New Roman" w:hAnsi="Times New Roman"/>
                <w:sz w:val="14"/>
                <w:szCs w:val="14"/>
                <w:color w:val="auto"/>
              </w:rPr>
              <w:t>68</w:t>
            </w:r>
          </w:p>
        </w:tc>
        <w:tc>
          <w:tcPr>
            <w:tcW w:w="1280" w:type="dxa"/>
            <w:vAlign w:val="bottom"/>
          </w:tcPr>
          <w:p>
            <w:pPr>
              <w:spacing w:after="0"/>
              <w:rPr>
                <w:sz w:val="24"/>
                <w:szCs w:val="24"/>
                <w:color w:val="auto"/>
              </w:rPr>
            </w:pPr>
          </w:p>
        </w:tc>
      </w:tr>
      <w:tr>
        <w:trPr>
          <w:trHeight w:val="87"/>
        </w:trPr>
        <w:tc>
          <w:tcPr>
            <w:tcW w:w="5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854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68" w:name="page69"/>
    <w:bookmarkEnd w:id="68"/>
    <w:tbl>
      <w:tblPr>
        <w:tblLayout w:type="fixed"/>
        <w:tblInd w:w="880" w:type="dxa"/>
        <w:tblCellMar>
          <w:top w:w="0" w:type="dxa"/>
          <w:left w:w="0" w:type="dxa"/>
          <w:bottom w:w="0" w:type="dxa"/>
          <w:right w:w="0" w:type="dxa"/>
        </w:tblCellMar>
      </w:tblP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10.42</w:t>
            </w:r>
          </w:p>
        </w:tc>
        <w:tc>
          <w:tcPr>
            <w:tcW w:w="8520" w:type="dxa"/>
            <w:vAlign w:val="bottom"/>
          </w:tcPr>
          <w:p>
            <w:pPr>
              <w:ind w:left="60"/>
              <w:spacing w:after="0"/>
              <w:rPr>
                <w:rFonts w:ascii="Times New Roman" w:cs="Times New Roman" w:eastAsia="Times New Roman" w:hAnsi="Times New Roman"/>
                <w:sz w:val="14"/>
                <w:szCs w:val="14"/>
                <w:color w:val="auto"/>
              </w:rPr>
            </w:pPr>
            <w:hyperlink r:id="rId129">
              <w:r>
                <w:rPr>
                  <w:rFonts w:ascii="Times New Roman" w:cs="Times New Roman" w:eastAsia="Times New Roman" w:hAnsi="Times New Roman"/>
                  <w:sz w:val="14"/>
                  <w:szCs w:val="14"/>
                  <w:color w:val="auto"/>
                </w:rPr>
                <w:t>Limited Liability Company Agreement of TRC-MRC 3, LLC</w:t>
              </w:r>
            </w:hyperlink>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31</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10.43</w:t>
            </w:r>
          </w:p>
        </w:tc>
        <w:tc>
          <w:tcPr>
            <w:tcW w:w="8520" w:type="dxa"/>
            <w:vAlign w:val="bottom"/>
          </w:tcPr>
          <w:p>
            <w:pPr>
              <w:ind w:left="60"/>
              <w:spacing w:after="0"/>
              <w:rPr>
                <w:rFonts w:ascii="Times New Roman" w:cs="Times New Roman" w:eastAsia="Times New Roman" w:hAnsi="Times New Roman"/>
                <w:sz w:val="14"/>
                <w:szCs w:val="14"/>
                <w:color w:val="auto"/>
              </w:rPr>
            </w:pPr>
            <w:hyperlink r:id="rId130">
              <w:r>
                <w:rPr>
                  <w:rFonts w:ascii="Times New Roman" w:cs="Times New Roman" w:eastAsia="Times New Roman" w:hAnsi="Times New Roman"/>
                  <w:sz w:val="14"/>
                  <w:szCs w:val="14"/>
                  <w:color w:val="auto"/>
                </w:rPr>
                <w:t>Fourth Amendment to Second Amended and Restated Limited Liability Company Agreement of Centennial Founders, LLC</w:t>
              </w:r>
            </w:hyperlink>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32</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10.44</w:t>
            </w:r>
          </w:p>
        </w:tc>
        <w:tc>
          <w:tcPr>
            <w:tcW w:w="8520" w:type="dxa"/>
            <w:vAlign w:val="bottom"/>
          </w:tcPr>
          <w:p>
            <w:pPr>
              <w:ind w:left="60"/>
              <w:spacing w:after="0"/>
              <w:rPr>
                <w:rFonts w:ascii="Times New Roman" w:cs="Times New Roman" w:eastAsia="Times New Roman" w:hAnsi="Times New Roman"/>
                <w:sz w:val="14"/>
                <w:szCs w:val="14"/>
                <w:color w:val="auto"/>
              </w:rPr>
            </w:pPr>
            <w:hyperlink r:id="rId131">
              <w:r>
                <w:rPr>
                  <w:rFonts w:ascii="Times New Roman" w:cs="Times New Roman" w:eastAsia="Times New Roman" w:hAnsi="Times New Roman"/>
                  <w:sz w:val="14"/>
                  <w:szCs w:val="14"/>
                  <w:color w:val="auto"/>
                </w:rPr>
                <w:t>Centennial Founders, LLC Redemption and Withdrawal Agreement - CalAtlantic</w:t>
              </w:r>
            </w:hyperlink>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33</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10.47</w:t>
            </w:r>
          </w:p>
        </w:tc>
        <w:tc>
          <w:tcPr>
            <w:tcW w:w="8520" w:type="dxa"/>
            <w:vAlign w:val="bottom"/>
          </w:tcPr>
          <w:p>
            <w:pPr>
              <w:ind w:left="60"/>
              <w:spacing w:after="0"/>
              <w:rPr>
                <w:rFonts w:ascii="Times New Roman" w:cs="Times New Roman" w:eastAsia="Times New Roman" w:hAnsi="Times New Roman"/>
                <w:sz w:val="14"/>
                <w:szCs w:val="14"/>
                <w:color w:val="auto"/>
              </w:rPr>
            </w:pPr>
            <w:hyperlink r:id="rId132">
              <w:r>
                <w:rPr>
                  <w:rFonts w:ascii="Times New Roman" w:cs="Times New Roman" w:eastAsia="Times New Roman" w:hAnsi="Times New Roman"/>
                  <w:sz w:val="14"/>
                  <w:szCs w:val="14"/>
                  <w:color w:val="auto"/>
                </w:rPr>
                <w:t>*Executive Severance Agreement - Executive Severance Agreement - Gregory S. Bielli</w:t>
              </w:r>
            </w:hyperlink>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38</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10.48</w:t>
            </w:r>
          </w:p>
        </w:tc>
        <w:tc>
          <w:tcPr>
            <w:tcW w:w="8520" w:type="dxa"/>
            <w:vAlign w:val="bottom"/>
          </w:tcPr>
          <w:p>
            <w:pPr>
              <w:ind w:left="60"/>
              <w:spacing w:after="0"/>
              <w:rPr>
                <w:rFonts w:ascii="Times New Roman" w:cs="Times New Roman" w:eastAsia="Times New Roman" w:hAnsi="Times New Roman"/>
                <w:sz w:val="14"/>
                <w:szCs w:val="14"/>
                <w:color w:val="auto"/>
              </w:rPr>
            </w:pPr>
            <w:hyperlink r:id="rId133">
              <w:r>
                <w:rPr>
                  <w:rFonts w:ascii="Times New Roman" w:cs="Times New Roman" w:eastAsia="Times New Roman" w:hAnsi="Times New Roman"/>
                  <w:sz w:val="14"/>
                  <w:szCs w:val="14"/>
                  <w:color w:val="auto"/>
                </w:rPr>
                <w:t>Limited Liability Company Agreement of TRC-MRC 4, LLC</w:t>
              </w:r>
            </w:hyperlink>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39</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10.49</w:t>
            </w:r>
          </w:p>
        </w:tc>
        <w:tc>
          <w:tcPr>
            <w:tcW w:w="8520" w:type="dxa"/>
            <w:vAlign w:val="bottom"/>
          </w:tcPr>
          <w:p>
            <w:pPr>
              <w:ind w:left="60"/>
              <w:spacing w:after="0"/>
              <w:rPr>
                <w:rFonts w:ascii="Times New Roman" w:cs="Times New Roman" w:eastAsia="Times New Roman" w:hAnsi="Times New Roman"/>
                <w:sz w:val="14"/>
                <w:szCs w:val="14"/>
                <w:color w:val="auto"/>
              </w:rPr>
            </w:pPr>
            <w:hyperlink r:id="rId134">
              <w:r>
                <w:rPr>
                  <w:rFonts w:ascii="Times New Roman" w:cs="Times New Roman" w:eastAsia="Times New Roman" w:hAnsi="Times New Roman"/>
                  <w:sz w:val="14"/>
                  <w:szCs w:val="14"/>
                  <w:color w:val="auto"/>
                </w:rPr>
                <w:t>Settlement Agreement of CEQA litigation with Climate Resolve</w:t>
              </w:r>
            </w:hyperlink>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40</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10.50</w:t>
            </w:r>
          </w:p>
        </w:tc>
        <w:tc>
          <w:tcPr>
            <w:tcW w:w="8520" w:type="dxa"/>
            <w:vAlign w:val="bottom"/>
          </w:tcPr>
          <w:p>
            <w:pPr>
              <w:ind w:left="60"/>
              <w:spacing w:after="0"/>
              <w:rPr>
                <w:rFonts w:ascii="Times New Roman" w:cs="Times New Roman" w:eastAsia="Times New Roman" w:hAnsi="Times New Roman"/>
                <w:sz w:val="14"/>
                <w:szCs w:val="14"/>
                <w:color w:val="auto"/>
              </w:rPr>
            </w:pPr>
            <w:hyperlink r:id="rId135">
              <w:r>
                <w:rPr>
                  <w:rFonts w:ascii="Times New Roman" w:cs="Times New Roman" w:eastAsia="Times New Roman" w:hAnsi="Times New Roman"/>
                  <w:sz w:val="14"/>
                  <w:szCs w:val="14"/>
                  <w:color w:val="auto"/>
                </w:rPr>
                <w:t>Limited Liability Company Agreement of TRC-MRC Multi I, LLC</w:t>
              </w:r>
            </w:hyperlink>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41</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10.51</w:t>
            </w:r>
          </w:p>
        </w:tc>
        <w:tc>
          <w:tcPr>
            <w:tcW w:w="8520" w:type="dxa"/>
            <w:vAlign w:val="bottom"/>
          </w:tcPr>
          <w:p>
            <w:pPr>
              <w:ind w:left="60"/>
              <w:spacing w:after="0"/>
              <w:rPr>
                <w:rFonts w:ascii="Times New Roman" w:cs="Times New Roman" w:eastAsia="Times New Roman" w:hAnsi="Times New Roman"/>
                <w:sz w:val="14"/>
                <w:szCs w:val="14"/>
                <w:color w:val="auto"/>
              </w:rPr>
            </w:pPr>
            <w:hyperlink r:id="rId136">
              <w:r>
                <w:rPr>
                  <w:rFonts w:ascii="Times New Roman" w:cs="Times New Roman" w:eastAsia="Times New Roman" w:hAnsi="Times New Roman"/>
                  <w:sz w:val="14"/>
                  <w:szCs w:val="14"/>
                  <w:color w:val="auto"/>
                </w:rPr>
                <w:t>Limited Liability Company Agreement of TRC-MRC 5, LLC</w:t>
              </w:r>
            </w:hyperlink>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42</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10.54</w:t>
            </w:r>
          </w:p>
        </w:tc>
        <w:tc>
          <w:tcPr>
            <w:tcW w:w="8520" w:type="dxa"/>
            <w:vAlign w:val="bottom"/>
          </w:tcPr>
          <w:p>
            <w:pPr>
              <w:ind w:left="60"/>
              <w:spacing w:after="0"/>
              <w:rPr>
                <w:rFonts w:ascii="Times New Roman" w:cs="Times New Roman" w:eastAsia="Times New Roman" w:hAnsi="Times New Roman"/>
                <w:sz w:val="14"/>
                <w:szCs w:val="14"/>
                <w:color w:val="auto"/>
              </w:rPr>
            </w:pPr>
            <w:hyperlink r:id="rId137">
              <w:r>
                <w:rPr>
                  <w:rFonts w:ascii="Times New Roman" w:cs="Times New Roman" w:eastAsia="Times New Roman" w:hAnsi="Times New Roman"/>
                  <w:sz w:val="14"/>
                  <w:szCs w:val="14"/>
                  <w:color w:val="auto"/>
                </w:rPr>
                <w:t>Credit Agreement Between Tejon Ranchcorp and AgWest Farm Credit, PCA</w:t>
              </w:r>
            </w:hyperlink>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46</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10.55</w:t>
            </w:r>
          </w:p>
        </w:tc>
        <w:tc>
          <w:tcPr>
            <w:tcW w:w="8520" w:type="dxa"/>
            <w:vAlign w:val="bottom"/>
          </w:tcPr>
          <w:p>
            <w:pPr>
              <w:ind w:left="60"/>
              <w:spacing w:after="0"/>
              <w:rPr>
                <w:rFonts w:ascii="Times New Roman" w:cs="Times New Roman" w:eastAsia="Times New Roman" w:hAnsi="Times New Roman"/>
                <w:sz w:val="14"/>
                <w:szCs w:val="14"/>
                <w:color w:val="auto"/>
              </w:rPr>
            </w:pPr>
            <w:hyperlink r:id="rId138">
              <w:r>
                <w:rPr>
                  <w:rFonts w:ascii="Times New Roman" w:cs="Times New Roman" w:eastAsia="Times New Roman" w:hAnsi="Times New Roman"/>
                  <w:sz w:val="14"/>
                  <w:szCs w:val="14"/>
                  <w:color w:val="auto"/>
                </w:rPr>
                <w:t>Consulting Letter Agreement between Tejon Ranch Co. and Gregory S. Bielli</w:t>
              </w:r>
            </w:hyperlink>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47</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10.56</w:t>
            </w:r>
          </w:p>
        </w:tc>
        <w:tc>
          <w:tcPr>
            <w:tcW w:w="8520" w:type="dxa"/>
            <w:vAlign w:val="bottom"/>
          </w:tcPr>
          <w:p>
            <w:pPr>
              <w:ind w:left="60"/>
              <w:spacing w:after="0"/>
              <w:rPr>
                <w:rFonts w:ascii="Times New Roman" w:cs="Times New Roman" w:eastAsia="Times New Roman" w:hAnsi="Times New Roman"/>
                <w:sz w:val="14"/>
                <w:szCs w:val="14"/>
                <w:color w:val="auto"/>
              </w:rPr>
            </w:pPr>
            <w:hyperlink r:id="rId139">
              <w:r>
                <w:rPr>
                  <w:rFonts w:ascii="Times New Roman" w:cs="Times New Roman" w:eastAsia="Times New Roman" w:hAnsi="Times New Roman"/>
                  <w:sz w:val="14"/>
                  <w:szCs w:val="14"/>
                  <w:color w:val="auto"/>
                </w:rPr>
                <w:t>Limited Liability Company Agreement of TRC-DP 1, LLC</w:t>
              </w:r>
            </w:hyperlink>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48</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10.57</w:t>
            </w:r>
          </w:p>
        </w:tc>
        <w:tc>
          <w:tcPr>
            <w:tcW w:w="8520" w:type="dxa"/>
            <w:vAlign w:val="bottom"/>
          </w:tcPr>
          <w:p>
            <w:pPr>
              <w:ind w:left="60"/>
              <w:spacing w:after="0"/>
              <w:rPr>
                <w:rFonts w:ascii="Times New Roman" w:cs="Times New Roman" w:eastAsia="Times New Roman" w:hAnsi="Times New Roman"/>
                <w:sz w:val="14"/>
                <w:szCs w:val="14"/>
                <w:color w:val="auto"/>
              </w:rPr>
            </w:pPr>
            <w:hyperlink r:id="rId140">
              <w:r>
                <w:rPr>
                  <w:rFonts w:ascii="Times New Roman" w:cs="Times New Roman" w:eastAsia="Times New Roman" w:hAnsi="Times New Roman"/>
                  <w:sz w:val="14"/>
                  <w:szCs w:val="14"/>
                  <w:color w:val="auto"/>
                </w:rPr>
                <w:t>*Compensatory Agreement approved by the Board on February 10, 2025, by and among Tejon Ranch Co. and Matthew H. Walker</w:t>
              </w:r>
            </w:hyperlink>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49</w:t>
            </w:r>
          </w:p>
        </w:tc>
      </w:tr>
      <w:tr>
        <w:trPr>
          <w:trHeight w:val="142"/>
        </w:trPr>
        <w:tc>
          <w:tcPr>
            <w:tcW w:w="600" w:type="dxa"/>
            <w:vAlign w:val="bottom"/>
          </w:tcPr>
          <w:p>
            <w:pPr>
              <w:jc w:val="right"/>
              <w:ind w:right="29"/>
              <w:spacing w:after="0" w:line="142" w:lineRule="exact"/>
              <w:rPr>
                <w:sz w:val="20"/>
                <w:szCs w:val="20"/>
                <w:color w:val="auto"/>
              </w:rPr>
            </w:pPr>
            <w:r>
              <w:rPr>
                <w:rFonts w:ascii="Times New Roman" w:cs="Times New Roman" w:eastAsia="Times New Roman" w:hAnsi="Times New Roman"/>
                <w:sz w:val="14"/>
                <w:szCs w:val="14"/>
                <w:color w:val="auto"/>
              </w:rPr>
              <w:t>10.58</w:t>
            </w:r>
          </w:p>
        </w:tc>
        <w:tc>
          <w:tcPr>
            <w:tcW w:w="8520" w:type="dxa"/>
            <w:vAlign w:val="bottom"/>
          </w:tcPr>
          <w:p>
            <w:pPr>
              <w:ind w:left="60"/>
              <w:spacing w:after="0" w:line="142" w:lineRule="exact"/>
              <w:rPr>
                <w:rFonts w:ascii="Times New Roman" w:cs="Times New Roman" w:eastAsia="Times New Roman" w:hAnsi="Times New Roman"/>
                <w:sz w:val="14"/>
                <w:szCs w:val="14"/>
                <w:color w:val="auto"/>
              </w:rPr>
            </w:pPr>
            <w:hyperlink r:id="rId141">
              <w:r>
                <w:rPr>
                  <w:rFonts w:ascii="Times New Roman" w:cs="Times New Roman" w:eastAsia="Times New Roman" w:hAnsi="Times New Roman"/>
                  <w:sz w:val="14"/>
                  <w:szCs w:val="14"/>
                  <w:color w:val="auto"/>
                </w:rPr>
                <w:t>First Amendment to CEO Compensation Terms (Sign On Incentive), approved by the Board on October 14, 2025, by and among Tejon Ranch</w:t>
              </w:r>
            </w:hyperlink>
          </w:p>
        </w:tc>
        <w:tc>
          <w:tcPr>
            <w:tcW w:w="1240" w:type="dxa"/>
            <w:vAlign w:val="bottom"/>
          </w:tcPr>
          <w:p>
            <w:pPr>
              <w:spacing w:after="0"/>
              <w:rPr>
                <w:sz w:val="12"/>
                <w:szCs w:val="12"/>
                <w:color w:val="auto"/>
              </w:rPr>
            </w:pPr>
          </w:p>
        </w:tc>
      </w:tr>
      <w:tr>
        <w:trPr>
          <w:trHeight w:val="187"/>
        </w:trPr>
        <w:tc>
          <w:tcPr>
            <w:tcW w:w="600" w:type="dxa"/>
            <w:vAlign w:val="bottom"/>
          </w:tcPr>
          <w:p>
            <w:pPr>
              <w:spacing w:after="0"/>
              <w:rPr>
                <w:sz w:val="16"/>
                <w:szCs w:val="16"/>
                <w:color w:val="auto"/>
              </w:rPr>
            </w:pPr>
          </w:p>
        </w:tc>
        <w:tc>
          <w:tcPr>
            <w:tcW w:w="8520" w:type="dxa"/>
            <w:vAlign w:val="bottom"/>
          </w:tcPr>
          <w:p>
            <w:pPr>
              <w:ind w:left="60"/>
              <w:spacing w:after="0"/>
              <w:rPr>
                <w:rFonts w:ascii="Times New Roman" w:cs="Times New Roman" w:eastAsia="Times New Roman" w:hAnsi="Times New Roman"/>
                <w:sz w:val="14"/>
                <w:szCs w:val="14"/>
                <w:color w:val="auto"/>
              </w:rPr>
            </w:pPr>
            <w:hyperlink r:id="rId141">
              <w:r>
                <w:rPr>
                  <w:rFonts w:ascii="Times New Roman" w:cs="Times New Roman" w:eastAsia="Times New Roman" w:hAnsi="Times New Roman"/>
                  <w:sz w:val="14"/>
                  <w:szCs w:val="14"/>
                  <w:color w:val="auto"/>
                </w:rPr>
                <w:t>Co. and Matthew H. Walker</w:t>
              </w:r>
            </w:hyperlink>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50</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10.59</w:t>
            </w:r>
          </w:p>
        </w:tc>
        <w:tc>
          <w:tcPr>
            <w:tcW w:w="8520" w:type="dxa"/>
            <w:vAlign w:val="bottom"/>
          </w:tcPr>
          <w:p>
            <w:pPr>
              <w:ind w:left="60"/>
              <w:spacing w:after="0"/>
              <w:rPr>
                <w:rFonts w:ascii="Times New Roman" w:cs="Times New Roman" w:eastAsia="Times New Roman" w:hAnsi="Times New Roman"/>
                <w:sz w:val="14"/>
                <w:szCs w:val="14"/>
                <w:color w:val="auto"/>
              </w:rPr>
            </w:pPr>
            <w:hyperlink r:id="rId142">
              <w:r>
                <w:rPr>
                  <w:rFonts w:ascii="Times New Roman" w:cs="Times New Roman" w:eastAsia="Times New Roman" w:hAnsi="Times New Roman"/>
                  <w:sz w:val="14"/>
                  <w:szCs w:val="14"/>
                  <w:color w:val="auto"/>
                </w:rPr>
                <w:t>Support Agreement, by and between Company and Nitor, dated November 4, 2024</w:t>
              </w:r>
            </w:hyperlink>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51</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10.60</w:t>
            </w:r>
          </w:p>
        </w:tc>
        <w:tc>
          <w:tcPr>
            <w:tcW w:w="8520" w:type="dxa"/>
            <w:vAlign w:val="bottom"/>
          </w:tcPr>
          <w:p>
            <w:pPr>
              <w:ind w:left="60"/>
              <w:spacing w:after="0"/>
              <w:rPr>
                <w:rFonts w:ascii="Times New Roman" w:cs="Times New Roman" w:eastAsia="Times New Roman" w:hAnsi="Times New Roman"/>
                <w:sz w:val="14"/>
                <w:szCs w:val="14"/>
                <w:color w:val="auto"/>
              </w:rPr>
            </w:pPr>
            <w:hyperlink r:id="rId143">
              <w:r>
                <w:rPr>
                  <w:rFonts w:ascii="Times New Roman" w:cs="Times New Roman" w:eastAsia="Times New Roman" w:hAnsi="Times New Roman"/>
                  <w:sz w:val="14"/>
                  <w:szCs w:val="14"/>
                  <w:color w:val="auto"/>
                </w:rPr>
                <w:t>*Tejon Ranch Co. 2023 Stock Incentive Plan</w:t>
              </w:r>
            </w:hyperlink>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52</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10.61</w:t>
            </w:r>
          </w:p>
        </w:tc>
        <w:tc>
          <w:tcPr>
            <w:tcW w:w="8520" w:type="dxa"/>
            <w:vAlign w:val="bottom"/>
          </w:tcPr>
          <w:p>
            <w:pPr>
              <w:ind w:left="60"/>
              <w:spacing w:after="0"/>
              <w:rPr>
                <w:rFonts w:ascii="Times New Roman" w:cs="Times New Roman" w:eastAsia="Times New Roman" w:hAnsi="Times New Roman"/>
                <w:sz w:val="14"/>
                <w:szCs w:val="14"/>
                <w:color w:val="auto"/>
              </w:rPr>
            </w:pPr>
            <w:hyperlink r:id="rId144">
              <w:r>
                <w:rPr>
                  <w:rFonts w:ascii="Times New Roman" w:cs="Times New Roman" w:eastAsia="Times New Roman" w:hAnsi="Times New Roman"/>
                  <w:sz w:val="14"/>
                  <w:szCs w:val="14"/>
                  <w:color w:val="auto"/>
                </w:rPr>
                <w:t>*Form of Restricted Stock Unit Agreement</w:t>
              </w:r>
            </w:hyperlink>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53</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10.62</w:t>
            </w:r>
          </w:p>
        </w:tc>
        <w:tc>
          <w:tcPr>
            <w:tcW w:w="85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Agreement Resolving Attorney's Fees with CBD / CNPS</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Filed herewith</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19</w:t>
            </w:r>
          </w:p>
        </w:tc>
        <w:tc>
          <w:tcPr>
            <w:tcW w:w="85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Insider Trading Policies</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Filed herewith</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21</w:t>
            </w:r>
          </w:p>
        </w:tc>
        <w:tc>
          <w:tcPr>
            <w:tcW w:w="85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List of Subsidiaries of Registrant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Filed herewith</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23.1</w:t>
            </w:r>
          </w:p>
        </w:tc>
        <w:tc>
          <w:tcPr>
            <w:tcW w:w="85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Consent of Deloitte &amp; Touche LLP, independent registered public accounting firm (Los Angeles, CA)</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Filed herewith</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31.1</w:t>
            </w:r>
          </w:p>
        </w:tc>
        <w:tc>
          <w:tcPr>
            <w:tcW w:w="85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Certification as adopted pursuant to Section 302 of the Sarbanes-Oxley Act of 2002</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Filed herewith</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31.2</w:t>
            </w:r>
          </w:p>
        </w:tc>
        <w:tc>
          <w:tcPr>
            <w:tcW w:w="85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Certification as adopted pursuant to Section 302 of the Sarbanes-Oxley Act of 2002</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Filed herewith</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32</w:t>
            </w:r>
          </w:p>
        </w:tc>
        <w:tc>
          <w:tcPr>
            <w:tcW w:w="85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Certification Pursuant to 18 U.S.C. Section 1350, as Adopted Pursuant to Section 906 of the Sarbanes-Oxley Act of 2002</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Filed herewith</w:t>
            </w:r>
          </w:p>
        </w:tc>
      </w:tr>
      <w:tr>
        <w:trPr>
          <w:trHeight w:val="180"/>
        </w:trPr>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8520" w:type="dxa"/>
            <w:vAlign w:val="bottom"/>
          </w:tcPr>
          <w:p>
            <w:pPr>
              <w:ind w:left="60"/>
              <w:spacing w:after="0"/>
              <w:rPr>
                <w:rFonts w:ascii="Times New Roman" w:cs="Times New Roman" w:eastAsia="Times New Roman" w:hAnsi="Times New Roman"/>
                <w:sz w:val="14"/>
                <w:szCs w:val="14"/>
                <w:color w:val="auto"/>
              </w:rPr>
            </w:pPr>
            <w:hyperlink r:id="rId145">
              <w:r>
                <w:rPr>
                  <w:rFonts w:ascii="Times New Roman" w:cs="Times New Roman" w:eastAsia="Times New Roman" w:hAnsi="Times New Roman"/>
                  <w:sz w:val="14"/>
                  <w:szCs w:val="14"/>
                  <w:color w:val="auto"/>
                </w:rPr>
                <w:t>Clawback Policy Pursuant to SEC Exchange Act Rule 10-D1</w:t>
              </w:r>
            </w:hyperlink>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51</w:t>
            </w:r>
          </w:p>
        </w:tc>
      </w:tr>
      <w:tr>
        <w:trPr>
          <w:trHeight w:val="180"/>
        </w:trPr>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99.1</w:t>
            </w:r>
          </w:p>
        </w:tc>
        <w:tc>
          <w:tcPr>
            <w:tcW w:w="85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Financial Statements of Petro Travel Plaza Holdings LLC</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Filed herewith</w:t>
            </w:r>
          </w:p>
        </w:tc>
      </w:tr>
      <w:tr>
        <w:trPr>
          <w:trHeight w:val="180"/>
        </w:trPr>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101.INS</w:t>
            </w:r>
          </w:p>
        </w:tc>
        <w:tc>
          <w:tcPr>
            <w:tcW w:w="85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XBRL Instance Document.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Filed herewith</w:t>
            </w:r>
          </w:p>
        </w:tc>
      </w:tr>
      <w:tr>
        <w:trPr>
          <w:trHeight w:val="180"/>
        </w:trPr>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101.SCH</w:t>
            </w:r>
          </w:p>
        </w:tc>
        <w:tc>
          <w:tcPr>
            <w:tcW w:w="85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XBRL Taxonomy Extension Schema Document.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Filed herewith</w:t>
            </w:r>
          </w:p>
        </w:tc>
      </w:tr>
      <w:tr>
        <w:trPr>
          <w:trHeight w:val="180"/>
        </w:trPr>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101.CAL</w:t>
            </w:r>
          </w:p>
        </w:tc>
        <w:tc>
          <w:tcPr>
            <w:tcW w:w="85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XBRL Taxonomy Extension Calculation Linkbase Document.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Filed herewith</w:t>
            </w:r>
          </w:p>
        </w:tc>
      </w:tr>
      <w:tr>
        <w:trPr>
          <w:trHeight w:val="180"/>
        </w:trPr>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101.DEF</w:t>
            </w:r>
          </w:p>
        </w:tc>
        <w:tc>
          <w:tcPr>
            <w:tcW w:w="85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XBRL Taxonomy Extension Definition Linkbase Document.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Filed herewith</w:t>
            </w:r>
          </w:p>
        </w:tc>
      </w:tr>
      <w:tr>
        <w:trPr>
          <w:trHeight w:val="180"/>
        </w:trPr>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101.LAB</w:t>
            </w:r>
          </w:p>
        </w:tc>
        <w:tc>
          <w:tcPr>
            <w:tcW w:w="85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XBRL Taxonomy Extension Label Linkbase Document.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Filed herewith</w:t>
            </w:r>
          </w:p>
        </w:tc>
      </w:tr>
      <w:tr>
        <w:trPr>
          <w:trHeight w:val="184"/>
        </w:trPr>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101.PRE</w:t>
            </w:r>
          </w:p>
        </w:tc>
        <w:tc>
          <w:tcPr>
            <w:tcW w:w="85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XBRL Taxonomy Extension Presentation Linkbase Document.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Filed herewith</w:t>
            </w:r>
          </w:p>
        </w:tc>
      </w:tr>
    </w:tbl>
    <w:p>
      <w:pPr>
        <w:ind w:left="1360" w:right="4580" w:hanging="160"/>
        <w:spacing w:after="0" w:line="297" w:lineRule="auto"/>
        <w:tabs>
          <w:tab w:leader="none" w:pos="15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Cover Page Interactive Data File (formatted as Inline XBRL and contained in Exhibit 101). </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4"/>
          <w:szCs w:val="14"/>
          <w:color w:val="auto"/>
        </w:rPr>
        <w:t>Management contract, compensatory plan or arrangement.</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FN 1</w:t>
            </w: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3.1 to our Quarterly Report on Form 10-Q for the</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period ended June 30, 2021, is incorporated herein by reference.</w:t>
            </w:r>
          </w:p>
        </w:tc>
      </w:tr>
      <w:tr>
        <w:trPr>
          <w:trHeight w:val="145"/>
        </w:trPr>
        <w:tc>
          <w:tcPr>
            <w:tcW w:w="8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6</w:t>
            </w:r>
          </w:p>
        </w:tc>
        <w:tc>
          <w:tcPr>
            <w:tcW w:w="1040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under Item 14 to our Annual Report on Form 10-K for the</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year ended December 31, 1994, is incorporated herein by reference. This Exhibit was not filed with the Securities and Exchange Commission in an electronic format.</w:t>
            </w:r>
          </w:p>
        </w:tc>
      </w:tr>
      <w:tr>
        <w:trPr>
          <w:trHeight w:val="145"/>
        </w:trPr>
        <w:tc>
          <w:tcPr>
            <w:tcW w:w="8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9</w:t>
            </w:r>
          </w:p>
        </w:tc>
        <w:tc>
          <w:tcPr>
            <w:tcW w:w="1040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10.10 to our Annual Report on Form 10-K for the</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year ended December 31, 2008, is incorporated herein by reference</w:t>
            </w:r>
          </w:p>
        </w:tc>
      </w:tr>
      <w:tr>
        <w:trPr>
          <w:trHeight w:val="145"/>
        </w:trPr>
        <w:tc>
          <w:tcPr>
            <w:tcW w:w="8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10</w:t>
            </w:r>
          </w:p>
        </w:tc>
        <w:tc>
          <w:tcPr>
            <w:tcW w:w="1040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10.16 to our Annual Report on Form 10-K for the</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year ended December 31, 2001, is incorporated herein by reference.</w:t>
            </w:r>
          </w:p>
        </w:tc>
      </w:tr>
      <w:tr>
        <w:trPr>
          <w:trHeight w:val="675"/>
        </w:trPr>
        <w:tc>
          <w:tcPr>
            <w:tcW w:w="880" w:type="dxa"/>
            <w:vAlign w:val="bottom"/>
          </w:tcPr>
          <w:p>
            <w:pPr>
              <w:spacing w:after="0"/>
              <w:rPr>
                <w:sz w:val="24"/>
                <w:szCs w:val="24"/>
                <w:color w:val="auto"/>
              </w:rPr>
            </w:pPr>
          </w:p>
        </w:tc>
        <w:tc>
          <w:tcPr>
            <w:tcW w:w="10400" w:type="dxa"/>
            <w:vAlign w:val="bottom"/>
          </w:tcPr>
          <w:p>
            <w:pPr>
              <w:ind w:left="4700"/>
              <w:spacing w:after="0"/>
              <w:rPr>
                <w:sz w:val="20"/>
                <w:szCs w:val="20"/>
                <w:color w:val="auto"/>
              </w:rPr>
            </w:pPr>
            <w:r>
              <w:rPr>
                <w:rFonts w:ascii="Times New Roman" w:cs="Times New Roman" w:eastAsia="Times New Roman" w:hAnsi="Times New Roman"/>
                <w:sz w:val="14"/>
                <w:szCs w:val="14"/>
                <w:color w:val="auto"/>
              </w:rPr>
              <w:t>69</w:t>
            </w:r>
          </w:p>
        </w:tc>
      </w:tr>
      <w:tr>
        <w:trPr>
          <w:trHeight w:val="87"/>
        </w:trPr>
        <w:tc>
          <w:tcPr>
            <w:tcW w:w="880" w:type="dxa"/>
            <w:vAlign w:val="bottom"/>
            <w:tcBorders>
              <w:bottom w:val="single" w:sz="8" w:color="9A9A9A"/>
            </w:tcBorders>
          </w:tcPr>
          <w:p>
            <w:pPr>
              <w:spacing w:after="0"/>
              <w:rPr>
                <w:sz w:val="7"/>
                <w:szCs w:val="7"/>
                <w:color w:val="auto"/>
              </w:rPr>
            </w:pPr>
          </w:p>
        </w:tc>
        <w:tc>
          <w:tcPr>
            <w:tcW w:w="104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61"/>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FN 13</w:t>
            </w: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Exhibits 10.21-10.23 to our Annual Report on Form 10-K</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for the year ended December 31, 2004, is incorporated herein by reference.</w:t>
            </w:r>
          </w:p>
        </w:tc>
      </w:tr>
      <w:tr>
        <w:trPr>
          <w:trHeight w:val="145"/>
        </w:trPr>
        <w:tc>
          <w:tcPr>
            <w:tcW w:w="8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14</w:t>
            </w:r>
          </w:p>
        </w:tc>
        <w:tc>
          <w:tcPr>
            <w:tcW w:w="1040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10.24 to our Current Report on Form 8-K filed on</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May 24, 2006, is incorporated herein by reference.</w:t>
            </w:r>
          </w:p>
        </w:tc>
      </w:tr>
      <w:tr>
        <w:trPr>
          <w:trHeight w:val="145"/>
        </w:trPr>
        <w:tc>
          <w:tcPr>
            <w:tcW w:w="8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15</w:t>
            </w:r>
          </w:p>
        </w:tc>
        <w:tc>
          <w:tcPr>
            <w:tcW w:w="1040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10.28 to our Current Report on Form 8-K filed on</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June 23, 2008, is incorporated herein by reference.</w:t>
            </w:r>
          </w:p>
        </w:tc>
      </w:tr>
      <w:tr>
        <w:trPr>
          <w:trHeight w:val="145"/>
        </w:trPr>
        <w:tc>
          <w:tcPr>
            <w:tcW w:w="8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16</w:t>
            </w:r>
          </w:p>
        </w:tc>
        <w:tc>
          <w:tcPr>
            <w:tcW w:w="1040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10.25 to our Quarterly Report on Form 10-Q for</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the period ended June 30, 2009, is incorporated herein by reference.</w:t>
            </w:r>
          </w:p>
        </w:tc>
      </w:tr>
      <w:tr>
        <w:trPr>
          <w:trHeight w:val="145"/>
        </w:trPr>
        <w:tc>
          <w:tcPr>
            <w:tcW w:w="8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18</w:t>
            </w:r>
          </w:p>
        </w:tc>
        <w:tc>
          <w:tcPr>
            <w:tcW w:w="1040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10.27 to our Current Report on Form 8-K filed on</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June 4, 2013, is incorporated herein by reference.</w:t>
            </w:r>
          </w:p>
        </w:tc>
      </w:tr>
      <w:tr>
        <w:trPr>
          <w:trHeight w:val="145"/>
        </w:trPr>
        <w:tc>
          <w:tcPr>
            <w:tcW w:w="8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20</w:t>
            </w:r>
          </w:p>
        </w:tc>
        <w:tc>
          <w:tcPr>
            <w:tcW w:w="1040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10.29 to our Amended Annual Report on Form 10-</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K/A for the year ended December 31, 2013, is incorporated herein by reference.</w:t>
            </w:r>
          </w:p>
        </w:tc>
      </w:tr>
      <w:tr>
        <w:trPr>
          <w:trHeight w:val="145"/>
        </w:trPr>
        <w:tc>
          <w:tcPr>
            <w:tcW w:w="8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21</w:t>
            </w:r>
          </w:p>
        </w:tc>
        <w:tc>
          <w:tcPr>
            <w:tcW w:w="1040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10.30 to our Current Report on Form 8-K filed on</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July 16, 2014, is incorporated herein by reference.</w:t>
            </w:r>
          </w:p>
        </w:tc>
      </w:tr>
      <w:tr>
        <w:trPr>
          <w:trHeight w:val="145"/>
        </w:trPr>
        <w:tc>
          <w:tcPr>
            <w:tcW w:w="8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23</w:t>
            </w:r>
          </w:p>
        </w:tc>
        <w:tc>
          <w:tcPr>
            <w:tcW w:w="1040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10.34 to our Annual Report on Form 10-K for the</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year ended December 31, 2014, is incorporated herein by reference.</w:t>
            </w:r>
          </w:p>
        </w:tc>
      </w:tr>
      <w:tr>
        <w:trPr>
          <w:trHeight w:val="145"/>
        </w:trPr>
        <w:tc>
          <w:tcPr>
            <w:tcW w:w="8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24</w:t>
            </w:r>
          </w:p>
        </w:tc>
        <w:tc>
          <w:tcPr>
            <w:tcW w:w="1040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10.35 to our Quarterly Report on Form 10-Q for</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the period ended June 30, 2015, is incorporated herein by reference.</w:t>
            </w:r>
          </w:p>
        </w:tc>
      </w:tr>
      <w:tr>
        <w:trPr>
          <w:trHeight w:val="145"/>
        </w:trPr>
        <w:tc>
          <w:tcPr>
            <w:tcW w:w="8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26</w:t>
            </w:r>
          </w:p>
        </w:tc>
        <w:tc>
          <w:tcPr>
            <w:tcW w:w="1040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10.37 to our Quarterly Report on Form 10-Q for</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the period ended June 30, 2016, is incorporated herein by reference.</w:t>
            </w:r>
          </w:p>
        </w:tc>
      </w:tr>
      <w:tr>
        <w:trPr>
          <w:trHeight w:val="145"/>
        </w:trPr>
        <w:tc>
          <w:tcPr>
            <w:tcW w:w="8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27</w:t>
            </w:r>
          </w:p>
        </w:tc>
        <w:tc>
          <w:tcPr>
            <w:tcW w:w="1040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10.38 to our Quarterly Report on Form 10-Q for</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the period ended September 30, 2016, is incorporated herein by reference.</w:t>
            </w:r>
          </w:p>
        </w:tc>
      </w:tr>
      <w:tr>
        <w:trPr>
          <w:trHeight w:val="145"/>
        </w:trPr>
        <w:tc>
          <w:tcPr>
            <w:tcW w:w="8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28</w:t>
            </w:r>
          </w:p>
        </w:tc>
        <w:tc>
          <w:tcPr>
            <w:tcW w:w="1040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10.39 to our Annual Report on Form 10-K for the</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year ended December 31, 2016, is incorporated herein by reference.</w:t>
            </w:r>
          </w:p>
        </w:tc>
      </w:tr>
      <w:tr>
        <w:trPr>
          <w:trHeight w:val="145"/>
        </w:trPr>
        <w:tc>
          <w:tcPr>
            <w:tcW w:w="8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29</w:t>
            </w:r>
          </w:p>
        </w:tc>
        <w:tc>
          <w:tcPr>
            <w:tcW w:w="1040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10.40 to our Annual Report on Form 10-K for the</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year ended December 31, 2016, is incorporated herein by reference.</w:t>
            </w:r>
          </w:p>
        </w:tc>
      </w:tr>
      <w:tr>
        <w:trPr>
          <w:trHeight w:val="145"/>
        </w:trPr>
        <w:tc>
          <w:tcPr>
            <w:tcW w:w="8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30</w:t>
            </w:r>
          </w:p>
        </w:tc>
        <w:tc>
          <w:tcPr>
            <w:tcW w:w="1040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10.41 to our Annual Report on Form 10-K for the</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year ended December 31, 2016, is incorporated herein by reference.</w:t>
            </w:r>
          </w:p>
        </w:tc>
      </w:tr>
      <w:tr>
        <w:trPr>
          <w:trHeight w:val="145"/>
        </w:trPr>
        <w:tc>
          <w:tcPr>
            <w:tcW w:w="8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31</w:t>
            </w:r>
          </w:p>
        </w:tc>
        <w:tc>
          <w:tcPr>
            <w:tcW w:w="1040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10.42 to our Quarterly Report on Form 10-Q for</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the period ended September 30, 2018, is incorporated herein by reference.</w:t>
            </w:r>
          </w:p>
        </w:tc>
      </w:tr>
      <w:tr>
        <w:trPr>
          <w:trHeight w:val="145"/>
        </w:trPr>
        <w:tc>
          <w:tcPr>
            <w:tcW w:w="8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32</w:t>
            </w:r>
          </w:p>
        </w:tc>
        <w:tc>
          <w:tcPr>
            <w:tcW w:w="1040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10.43 to our Annual Report on Form 10-K for the</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year ended December 31, 2018, is incorporated herein by reference.</w:t>
            </w:r>
          </w:p>
        </w:tc>
      </w:tr>
      <w:tr>
        <w:trPr>
          <w:trHeight w:val="145"/>
        </w:trPr>
        <w:tc>
          <w:tcPr>
            <w:tcW w:w="8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33</w:t>
            </w:r>
          </w:p>
        </w:tc>
        <w:tc>
          <w:tcPr>
            <w:tcW w:w="1040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10.44 to our Annual Report on Form 10-K for the</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year ended December 31, 2018, is incorporated herein by reference.</w:t>
            </w:r>
          </w:p>
        </w:tc>
      </w:tr>
      <w:tr>
        <w:trPr>
          <w:trHeight w:val="145"/>
        </w:trPr>
        <w:tc>
          <w:tcPr>
            <w:tcW w:w="8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37</w:t>
            </w:r>
          </w:p>
        </w:tc>
        <w:tc>
          <w:tcPr>
            <w:tcW w:w="1040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333-231032) as Exhibit 4.6 to our Registration Statement on Form S-3</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filed on April 25, 2019, is incorporated herein by reference.</w:t>
            </w:r>
          </w:p>
        </w:tc>
      </w:tr>
      <w:tr>
        <w:trPr>
          <w:trHeight w:val="145"/>
        </w:trPr>
        <w:tc>
          <w:tcPr>
            <w:tcW w:w="8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38</w:t>
            </w:r>
          </w:p>
        </w:tc>
        <w:tc>
          <w:tcPr>
            <w:tcW w:w="1040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10.47 to our Annual Report on Form 10-K for the</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year ended December 31, 2019, is incorporated herein by reference.</w:t>
            </w:r>
          </w:p>
        </w:tc>
      </w:tr>
      <w:tr>
        <w:trPr>
          <w:trHeight w:val="145"/>
        </w:trPr>
        <w:tc>
          <w:tcPr>
            <w:tcW w:w="8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39</w:t>
            </w:r>
          </w:p>
        </w:tc>
        <w:tc>
          <w:tcPr>
            <w:tcW w:w="1040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10.48 to our Quarterly Report on Form 10-Q for</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the period ended March 31, 2021, is incorporated herein by reference.</w:t>
            </w:r>
          </w:p>
        </w:tc>
      </w:tr>
      <w:tr>
        <w:trPr>
          <w:trHeight w:val="686"/>
        </w:trPr>
        <w:tc>
          <w:tcPr>
            <w:tcW w:w="880" w:type="dxa"/>
            <w:vAlign w:val="bottom"/>
          </w:tcPr>
          <w:p>
            <w:pPr>
              <w:spacing w:after="0"/>
              <w:rPr>
                <w:sz w:val="24"/>
                <w:szCs w:val="24"/>
                <w:color w:val="auto"/>
              </w:rPr>
            </w:pPr>
          </w:p>
        </w:tc>
        <w:tc>
          <w:tcPr>
            <w:tcW w:w="10400" w:type="dxa"/>
            <w:vAlign w:val="bottom"/>
          </w:tcPr>
          <w:p>
            <w:pPr>
              <w:ind w:left="4700"/>
              <w:spacing w:after="0"/>
              <w:rPr>
                <w:sz w:val="20"/>
                <w:szCs w:val="20"/>
                <w:color w:val="auto"/>
              </w:rPr>
            </w:pPr>
            <w:r>
              <w:rPr>
                <w:rFonts w:ascii="Times New Roman" w:cs="Times New Roman" w:eastAsia="Times New Roman" w:hAnsi="Times New Roman"/>
                <w:sz w:val="14"/>
                <w:szCs w:val="14"/>
                <w:color w:val="auto"/>
              </w:rPr>
              <w:t>70</w:t>
            </w:r>
          </w:p>
        </w:tc>
      </w:tr>
      <w:tr>
        <w:trPr>
          <w:trHeight w:val="87"/>
        </w:trPr>
        <w:tc>
          <w:tcPr>
            <w:tcW w:w="880" w:type="dxa"/>
            <w:vAlign w:val="bottom"/>
            <w:tcBorders>
              <w:bottom w:val="single" w:sz="8" w:color="9A9A9A"/>
            </w:tcBorders>
          </w:tcPr>
          <w:p>
            <w:pPr>
              <w:spacing w:after="0"/>
              <w:rPr>
                <w:sz w:val="7"/>
                <w:szCs w:val="7"/>
                <w:color w:val="auto"/>
              </w:rPr>
            </w:pPr>
          </w:p>
        </w:tc>
        <w:tc>
          <w:tcPr>
            <w:tcW w:w="104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42" w:right="319" w:bottom="1440" w:gutter="0" w:footer="0" w:header="0"/>
        </w:sectPr>
      </w:pPr>
    </w:p>
    <w:bookmarkStart w:id="70" w:name="page71"/>
    <w:bookmarkEnd w:id="70"/>
    <w:tbl>
      <w:tblPr>
        <w:tblLayout w:type="fixed"/>
        <w:tblInd w:w="20" w:type="dxa"/>
        <w:tblCellMar>
          <w:top w:w="0" w:type="dxa"/>
          <w:left w:w="0" w:type="dxa"/>
          <w:bottom w:w="0" w:type="dxa"/>
          <w:right w:w="0" w:type="dxa"/>
        </w:tblCellMar>
      </w:tblPr>
      <w:tr>
        <w:trPr>
          <w:trHeight w:val="161"/>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FN 40</w:t>
            </w:r>
          </w:p>
        </w:tc>
        <w:tc>
          <w:tcPr>
            <w:tcW w:w="102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10.49 to our Annual Report on Form 10-K for the</w:t>
            </w:r>
          </w:p>
        </w:tc>
      </w:tr>
      <w:tr>
        <w:trPr>
          <w:trHeight w:val="184"/>
        </w:trPr>
        <w:tc>
          <w:tcPr>
            <w:tcW w:w="860" w:type="dxa"/>
            <w:vAlign w:val="bottom"/>
          </w:tcPr>
          <w:p>
            <w:pPr>
              <w:spacing w:after="0"/>
              <w:rPr>
                <w:sz w:val="16"/>
                <w:szCs w:val="16"/>
                <w:color w:val="auto"/>
              </w:rPr>
            </w:pPr>
          </w:p>
        </w:tc>
        <w:tc>
          <w:tcPr>
            <w:tcW w:w="102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year ended December 31, 2021, is incorporated herein by reference.</w:t>
            </w:r>
          </w:p>
        </w:tc>
      </w:tr>
      <w:tr>
        <w:trPr>
          <w:trHeight w:val="177"/>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FN 41</w:t>
            </w:r>
          </w:p>
        </w:tc>
        <w:tc>
          <w:tcPr>
            <w:tcW w:w="102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10.50 to our Annual Report on Form 10-K for the</w:t>
            </w:r>
          </w:p>
        </w:tc>
      </w:tr>
      <w:tr>
        <w:trPr>
          <w:trHeight w:val="184"/>
        </w:trPr>
        <w:tc>
          <w:tcPr>
            <w:tcW w:w="860" w:type="dxa"/>
            <w:vAlign w:val="bottom"/>
          </w:tcPr>
          <w:p>
            <w:pPr>
              <w:spacing w:after="0"/>
              <w:rPr>
                <w:sz w:val="16"/>
                <w:szCs w:val="16"/>
                <w:color w:val="auto"/>
              </w:rPr>
            </w:pPr>
          </w:p>
        </w:tc>
        <w:tc>
          <w:tcPr>
            <w:tcW w:w="102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year ended December 31, 2021, is incorporated herein by reference.</w:t>
            </w:r>
          </w:p>
        </w:tc>
      </w:tr>
      <w:tr>
        <w:trPr>
          <w:trHeight w:val="177"/>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FN 42</w:t>
            </w:r>
          </w:p>
        </w:tc>
        <w:tc>
          <w:tcPr>
            <w:tcW w:w="102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10.51 to our Quarterly Report on Form 10-Q for</w:t>
            </w:r>
          </w:p>
        </w:tc>
      </w:tr>
      <w:tr>
        <w:trPr>
          <w:trHeight w:val="184"/>
        </w:trPr>
        <w:tc>
          <w:tcPr>
            <w:tcW w:w="860" w:type="dxa"/>
            <w:vAlign w:val="bottom"/>
          </w:tcPr>
          <w:p>
            <w:pPr>
              <w:spacing w:after="0"/>
              <w:rPr>
                <w:sz w:val="16"/>
                <w:szCs w:val="16"/>
                <w:color w:val="auto"/>
              </w:rPr>
            </w:pPr>
          </w:p>
        </w:tc>
        <w:tc>
          <w:tcPr>
            <w:tcW w:w="102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the period ended March 31, 2022, is incorporated herein by reference.</w:t>
            </w:r>
          </w:p>
        </w:tc>
      </w:tr>
      <w:tr>
        <w:trPr>
          <w:trHeight w:val="177"/>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FN 44</w:t>
            </w:r>
          </w:p>
        </w:tc>
        <w:tc>
          <w:tcPr>
            <w:tcW w:w="102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4.4 to our Annual Report on Form 10-K for the</w:t>
            </w:r>
          </w:p>
        </w:tc>
      </w:tr>
      <w:tr>
        <w:trPr>
          <w:trHeight w:val="184"/>
        </w:trPr>
        <w:tc>
          <w:tcPr>
            <w:tcW w:w="860" w:type="dxa"/>
            <w:vAlign w:val="bottom"/>
          </w:tcPr>
          <w:p>
            <w:pPr>
              <w:spacing w:after="0"/>
              <w:rPr>
                <w:sz w:val="16"/>
                <w:szCs w:val="16"/>
                <w:color w:val="auto"/>
              </w:rPr>
            </w:pPr>
          </w:p>
        </w:tc>
        <w:tc>
          <w:tcPr>
            <w:tcW w:w="102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year ended December 31, 2020, is incorporated herein by reference.</w:t>
            </w:r>
          </w:p>
        </w:tc>
      </w:tr>
      <w:tr>
        <w:trPr>
          <w:trHeight w:val="160"/>
        </w:trPr>
        <w:tc>
          <w:tcPr>
            <w:tcW w:w="86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FN 46</w:t>
            </w:r>
          </w:p>
        </w:tc>
        <w:tc>
          <w:tcPr>
            <w:tcW w:w="10280" w:type="dxa"/>
            <w:vAlign w:val="bottom"/>
          </w:tcPr>
          <w:p>
            <w:pPr>
              <w:ind w:left="500"/>
              <w:spacing w:after="0" w:line="159"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10.01 to our Current Report on Form 8-K on</w:t>
            </w:r>
          </w:p>
        </w:tc>
      </w:tr>
      <w:tr>
        <w:trPr>
          <w:trHeight w:val="184"/>
        </w:trPr>
        <w:tc>
          <w:tcPr>
            <w:tcW w:w="860" w:type="dxa"/>
            <w:vAlign w:val="bottom"/>
          </w:tcPr>
          <w:p>
            <w:pPr>
              <w:spacing w:after="0"/>
              <w:rPr>
                <w:sz w:val="16"/>
                <w:szCs w:val="16"/>
                <w:color w:val="auto"/>
              </w:rPr>
            </w:pPr>
          </w:p>
        </w:tc>
        <w:tc>
          <w:tcPr>
            <w:tcW w:w="102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November 20, 2023, is incorporated herein by reference.</w:t>
            </w:r>
          </w:p>
        </w:tc>
      </w:tr>
      <w:tr>
        <w:trPr>
          <w:trHeight w:val="145"/>
        </w:trPr>
        <w:tc>
          <w:tcPr>
            <w:tcW w:w="8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FN 47</w:t>
            </w:r>
          </w:p>
        </w:tc>
        <w:tc>
          <w:tcPr>
            <w:tcW w:w="1028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10.01 to our Current Report on Form 8-K on</w:t>
            </w:r>
          </w:p>
        </w:tc>
      </w:tr>
      <w:tr>
        <w:trPr>
          <w:trHeight w:val="184"/>
        </w:trPr>
        <w:tc>
          <w:tcPr>
            <w:tcW w:w="860" w:type="dxa"/>
            <w:vAlign w:val="bottom"/>
          </w:tcPr>
          <w:p>
            <w:pPr>
              <w:spacing w:after="0"/>
              <w:rPr>
                <w:sz w:val="16"/>
                <w:szCs w:val="16"/>
                <w:color w:val="auto"/>
              </w:rPr>
            </w:pPr>
          </w:p>
        </w:tc>
        <w:tc>
          <w:tcPr>
            <w:tcW w:w="102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March 26, 2024, is incorporated herein by reference.</w:t>
            </w:r>
          </w:p>
        </w:tc>
      </w:tr>
      <w:tr>
        <w:trPr>
          <w:trHeight w:val="145"/>
        </w:trPr>
        <w:tc>
          <w:tcPr>
            <w:tcW w:w="8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FN 48</w:t>
            </w:r>
          </w:p>
        </w:tc>
        <w:tc>
          <w:tcPr>
            <w:tcW w:w="1028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10.56 to our Quarterly Report on Form 10-Q for</w:t>
            </w:r>
          </w:p>
        </w:tc>
      </w:tr>
      <w:tr>
        <w:trPr>
          <w:trHeight w:val="184"/>
        </w:trPr>
        <w:tc>
          <w:tcPr>
            <w:tcW w:w="860" w:type="dxa"/>
            <w:vAlign w:val="bottom"/>
          </w:tcPr>
          <w:p>
            <w:pPr>
              <w:spacing w:after="0"/>
              <w:rPr>
                <w:sz w:val="16"/>
                <w:szCs w:val="16"/>
                <w:color w:val="auto"/>
              </w:rPr>
            </w:pPr>
          </w:p>
        </w:tc>
        <w:tc>
          <w:tcPr>
            <w:tcW w:w="102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the period ended September 30, 2024, is incorporated herein by reference.</w:t>
            </w:r>
          </w:p>
        </w:tc>
      </w:tr>
      <w:tr>
        <w:trPr>
          <w:trHeight w:val="145"/>
        </w:trPr>
        <w:tc>
          <w:tcPr>
            <w:tcW w:w="8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FN 49</w:t>
            </w:r>
          </w:p>
        </w:tc>
        <w:tc>
          <w:tcPr>
            <w:tcW w:w="1028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10.01 to our Current Report on Form 8-K on</w:t>
            </w:r>
          </w:p>
        </w:tc>
      </w:tr>
      <w:tr>
        <w:trPr>
          <w:trHeight w:val="184"/>
        </w:trPr>
        <w:tc>
          <w:tcPr>
            <w:tcW w:w="860" w:type="dxa"/>
            <w:vAlign w:val="bottom"/>
          </w:tcPr>
          <w:p>
            <w:pPr>
              <w:spacing w:after="0"/>
              <w:rPr>
                <w:sz w:val="16"/>
                <w:szCs w:val="16"/>
                <w:color w:val="auto"/>
              </w:rPr>
            </w:pPr>
          </w:p>
        </w:tc>
        <w:tc>
          <w:tcPr>
            <w:tcW w:w="102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February 11, 2025, is incorporated herein by reference.</w:t>
            </w:r>
          </w:p>
        </w:tc>
      </w:tr>
      <w:tr>
        <w:trPr>
          <w:trHeight w:val="145"/>
        </w:trPr>
        <w:tc>
          <w:tcPr>
            <w:tcW w:w="8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FN 50</w:t>
            </w:r>
          </w:p>
        </w:tc>
        <w:tc>
          <w:tcPr>
            <w:tcW w:w="1028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10.01 to our Current Report on Form 8-K on</w:t>
            </w:r>
          </w:p>
        </w:tc>
      </w:tr>
      <w:tr>
        <w:trPr>
          <w:trHeight w:val="184"/>
        </w:trPr>
        <w:tc>
          <w:tcPr>
            <w:tcW w:w="860" w:type="dxa"/>
            <w:vAlign w:val="bottom"/>
          </w:tcPr>
          <w:p>
            <w:pPr>
              <w:spacing w:after="0"/>
              <w:rPr>
                <w:sz w:val="16"/>
                <w:szCs w:val="16"/>
                <w:color w:val="auto"/>
              </w:rPr>
            </w:pPr>
          </w:p>
        </w:tc>
        <w:tc>
          <w:tcPr>
            <w:tcW w:w="102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October 16, 2025, is incorporated herein by reference.</w:t>
            </w:r>
          </w:p>
        </w:tc>
      </w:tr>
      <w:tr>
        <w:trPr>
          <w:trHeight w:val="145"/>
        </w:trPr>
        <w:tc>
          <w:tcPr>
            <w:tcW w:w="8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FN 51</w:t>
            </w:r>
          </w:p>
        </w:tc>
        <w:tc>
          <w:tcPr>
            <w:tcW w:w="1028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10.01 to our Current Report on Form 8-K on</w:t>
            </w:r>
          </w:p>
        </w:tc>
      </w:tr>
      <w:tr>
        <w:trPr>
          <w:trHeight w:val="184"/>
        </w:trPr>
        <w:tc>
          <w:tcPr>
            <w:tcW w:w="860" w:type="dxa"/>
            <w:vAlign w:val="bottom"/>
          </w:tcPr>
          <w:p>
            <w:pPr>
              <w:spacing w:after="0"/>
              <w:rPr>
                <w:sz w:val="16"/>
                <w:szCs w:val="16"/>
                <w:color w:val="auto"/>
              </w:rPr>
            </w:pPr>
          </w:p>
        </w:tc>
        <w:tc>
          <w:tcPr>
            <w:tcW w:w="102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November 8, 2024, is incorporated herein by reference.</w:t>
            </w:r>
          </w:p>
        </w:tc>
      </w:tr>
      <w:tr>
        <w:trPr>
          <w:trHeight w:val="145"/>
        </w:trPr>
        <w:tc>
          <w:tcPr>
            <w:tcW w:w="8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FN 52</w:t>
            </w:r>
          </w:p>
        </w:tc>
        <w:tc>
          <w:tcPr>
            <w:tcW w:w="1028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10.59 to our Quarterly Report on Form 10-Q for</w:t>
            </w:r>
          </w:p>
        </w:tc>
      </w:tr>
      <w:tr>
        <w:trPr>
          <w:trHeight w:val="184"/>
        </w:trPr>
        <w:tc>
          <w:tcPr>
            <w:tcW w:w="860" w:type="dxa"/>
            <w:vAlign w:val="bottom"/>
          </w:tcPr>
          <w:p>
            <w:pPr>
              <w:spacing w:after="0"/>
              <w:rPr>
                <w:sz w:val="16"/>
                <w:szCs w:val="16"/>
                <w:color w:val="auto"/>
              </w:rPr>
            </w:pPr>
          </w:p>
        </w:tc>
        <w:tc>
          <w:tcPr>
            <w:tcW w:w="102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the period ended June 30, 2025, is incorporated herein by reference.</w:t>
            </w:r>
          </w:p>
        </w:tc>
      </w:tr>
      <w:tr>
        <w:trPr>
          <w:trHeight w:val="145"/>
        </w:trPr>
        <w:tc>
          <w:tcPr>
            <w:tcW w:w="8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FN 53</w:t>
            </w:r>
          </w:p>
        </w:tc>
        <w:tc>
          <w:tcPr>
            <w:tcW w:w="1028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10.60 to our Quarterly Report on Form 10-Q for</w:t>
            </w:r>
          </w:p>
        </w:tc>
      </w:tr>
      <w:tr>
        <w:trPr>
          <w:trHeight w:val="184"/>
        </w:trPr>
        <w:tc>
          <w:tcPr>
            <w:tcW w:w="860" w:type="dxa"/>
            <w:vAlign w:val="bottom"/>
          </w:tcPr>
          <w:p>
            <w:pPr>
              <w:spacing w:after="0"/>
              <w:rPr>
                <w:sz w:val="16"/>
                <w:szCs w:val="16"/>
                <w:color w:val="auto"/>
              </w:rPr>
            </w:pPr>
          </w:p>
        </w:tc>
        <w:tc>
          <w:tcPr>
            <w:tcW w:w="102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the period ended June 30 30, 2025, is incorporated herein by reference.</w:t>
            </w:r>
          </w:p>
        </w:tc>
      </w:tr>
    </w:tbl>
    <w:p>
      <w:pPr>
        <w:spacing w:after="0" w:line="3" w:lineRule="exact"/>
        <w:rPr>
          <w:sz w:val="20"/>
          <w:szCs w:val="20"/>
          <w:color w:val="auto"/>
        </w:rPr>
      </w:pPr>
    </w:p>
    <w:p>
      <w:pPr>
        <w:ind w:left="220" w:hanging="201"/>
        <w:spacing w:after="0"/>
        <w:tabs>
          <w:tab w:leader="none" w:pos="2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Exhibits. The exhibits being filed with this report are attached at the end of this report.</w:t>
      </w:r>
    </w:p>
    <w:p>
      <w:pPr>
        <w:spacing w:after="0" w:line="23" w:lineRule="exact"/>
        <w:rPr>
          <w:rFonts w:ascii="Times New Roman" w:cs="Times New Roman" w:eastAsia="Times New Roman" w:hAnsi="Times New Roman"/>
          <w:sz w:val="14"/>
          <w:szCs w:val="14"/>
          <w:color w:val="auto"/>
        </w:rPr>
      </w:pPr>
    </w:p>
    <w:p>
      <w:pPr>
        <w:ind w:left="220" w:hanging="201"/>
        <w:spacing w:after="0"/>
        <w:tabs>
          <w:tab w:leader="none" w:pos="2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Financial Statement Schedules - The response to this portion of Item 15 is submitted as a separate section of this report.</w:t>
      </w:r>
    </w:p>
    <w:p>
      <w:pPr>
        <w:spacing w:after="0" w:line="162"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b w:val="1"/>
          <w:bCs w:val="1"/>
          <w:color w:val="006EBF"/>
        </w:rPr>
        <w:t>ITEM 16.</w:t>
      </w:r>
      <w:r>
        <w:rPr>
          <w:sz w:val="20"/>
          <w:szCs w:val="20"/>
          <w:color w:val="auto"/>
        </w:rPr>
        <w:tab/>
      </w:r>
      <w:r>
        <w:rPr>
          <w:rFonts w:ascii="Times New Roman" w:cs="Times New Roman" w:eastAsia="Times New Roman" w:hAnsi="Times New Roman"/>
          <w:sz w:val="13"/>
          <w:szCs w:val="13"/>
          <w:b w:val="1"/>
          <w:bCs w:val="1"/>
          <w:color w:val="006EBF"/>
        </w:rPr>
        <w:t>FORM 10-K SUMMARY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760" w:right="4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38"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as amended, the registrant has duly caused this report to be signed on its behalf by the undersigned, thereunto duly authorized.</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5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TEJON RANCH CO.</w:t>
            </w:r>
          </w:p>
        </w:tc>
      </w:tr>
      <w:tr>
        <w:trPr>
          <w:trHeight w:val="393"/>
        </w:trPr>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March 19, 2026</w:t>
            </w:r>
          </w:p>
        </w:tc>
        <w:tc>
          <w:tcPr>
            <w:tcW w:w="1560" w:type="dxa"/>
            <w:vAlign w:val="bottom"/>
          </w:tcPr>
          <w:p>
            <w:pPr>
              <w:ind w:left="1200"/>
              <w:spacing w:after="0"/>
              <w:rPr>
                <w:sz w:val="20"/>
                <w:szCs w:val="20"/>
                <w:color w:val="auto"/>
              </w:rPr>
            </w:pPr>
            <w:r>
              <w:rPr>
                <w:rFonts w:ascii="Times New Roman" w:cs="Times New Roman" w:eastAsia="Times New Roman" w:hAnsi="Times New Roman"/>
                <w:sz w:val="14"/>
                <w:szCs w:val="14"/>
                <w:color w:val="auto"/>
              </w:rPr>
              <w:t>By:</w:t>
            </w: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w:t>
            </w:r>
          </w:p>
        </w:tc>
        <w:tc>
          <w:tcPr>
            <w:tcW w:w="4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Matthew H. Walker</w:t>
            </w:r>
          </w:p>
        </w:tc>
      </w:tr>
      <w:tr>
        <w:trPr>
          <w:trHeight w:val="167"/>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Date</w:t>
            </w:r>
          </w:p>
        </w:tc>
        <w:tc>
          <w:tcPr>
            <w:tcW w:w="1560" w:type="dxa"/>
            <w:vAlign w:val="bottom"/>
          </w:tcPr>
          <w:p>
            <w:pPr>
              <w:spacing w:after="0"/>
              <w:rPr>
                <w:sz w:val="14"/>
                <w:szCs w:val="14"/>
                <w:color w:val="auto"/>
              </w:rPr>
            </w:pPr>
          </w:p>
        </w:tc>
        <w:tc>
          <w:tcPr>
            <w:tcW w:w="5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Matthew H. Walker</w:t>
            </w:r>
          </w:p>
        </w:tc>
      </w:tr>
      <w:tr>
        <w:trPr>
          <w:trHeight w:val="180"/>
        </w:trPr>
        <w:tc>
          <w:tcPr>
            <w:tcW w:w="46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r>
        <w:trPr>
          <w:trHeight w:val="184"/>
        </w:trPr>
        <w:tc>
          <w:tcPr>
            <w:tcW w:w="46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5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(Principal Executive Officer)</w:t>
            </w:r>
          </w:p>
        </w:tc>
      </w:tr>
      <w:tr>
        <w:trPr>
          <w:trHeight w:val="393"/>
        </w:trPr>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March 19, 2026</w:t>
            </w:r>
          </w:p>
        </w:tc>
        <w:tc>
          <w:tcPr>
            <w:tcW w:w="1560" w:type="dxa"/>
            <w:vAlign w:val="bottom"/>
          </w:tcPr>
          <w:p>
            <w:pPr>
              <w:ind w:left="1200"/>
              <w:spacing w:after="0"/>
              <w:rPr>
                <w:sz w:val="20"/>
                <w:szCs w:val="20"/>
                <w:color w:val="auto"/>
              </w:rPr>
            </w:pPr>
            <w:r>
              <w:rPr>
                <w:rFonts w:ascii="Times New Roman" w:cs="Times New Roman" w:eastAsia="Times New Roman" w:hAnsi="Times New Roman"/>
                <w:sz w:val="14"/>
                <w:szCs w:val="14"/>
                <w:color w:val="auto"/>
              </w:rPr>
              <w:t>By:</w:t>
            </w: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w:t>
            </w:r>
          </w:p>
        </w:tc>
        <w:tc>
          <w:tcPr>
            <w:tcW w:w="4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Robert D. Velasquez</w:t>
            </w:r>
          </w:p>
        </w:tc>
      </w:tr>
      <w:tr>
        <w:trPr>
          <w:trHeight w:val="175"/>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Date</w:t>
            </w:r>
          </w:p>
        </w:tc>
        <w:tc>
          <w:tcPr>
            <w:tcW w:w="1560" w:type="dxa"/>
            <w:vAlign w:val="bottom"/>
          </w:tcPr>
          <w:p>
            <w:pPr>
              <w:spacing w:after="0"/>
              <w:rPr>
                <w:sz w:val="15"/>
                <w:szCs w:val="15"/>
                <w:color w:val="auto"/>
              </w:rPr>
            </w:pPr>
          </w:p>
        </w:tc>
        <w:tc>
          <w:tcPr>
            <w:tcW w:w="5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Robert D. Velasquez</w:t>
            </w:r>
          </w:p>
        </w:tc>
      </w:tr>
    </w:tbl>
    <w:p>
      <w:pPr>
        <w:ind w:left="6180"/>
        <w:spacing w:after="0" w:line="217" w:lineRule="auto"/>
        <w:rPr>
          <w:sz w:val="20"/>
          <w:szCs w:val="20"/>
          <w:color w:val="auto"/>
        </w:rPr>
      </w:pPr>
      <w:r>
        <w:rPr>
          <w:rFonts w:ascii="Times New Roman" w:cs="Times New Roman" w:eastAsia="Times New Roman" w:hAnsi="Times New Roman"/>
          <w:sz w:val="14"/>
          <w:szCs w:val="14"/>
          <w:color w:val="auto"/>
        </w:rPr>
        <w:t>Chief Financial Officer, Treasurer, Senior Vice President, Finance and Chief Accounting</w:t>
      </w:r>
    </w:p>
    <w:p>
      <w:pPr>
        <w:spacing w:after="0" w:line="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4"/>
          <w:szCs w:val="14"/>
          <w:color w:val="auto"/>
        </w:rPr>
        <w:t>Officer</w:t>
      </w:r>
    </w:p>
    <w:p>
      <w:pPr>
        <w:spacing w:after="0" w:line="1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4"/>
          <w:szCs w:val="14"/>
          <w:color w:val="auto"/>
        </w:rPr>
        <w:t>(Principal Financial and Accounting Officer)</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72" w:name="page73"/>
    <w:bookmarkEnd w:id="72"/>
    <w:p>
      <w:pPr>
        <w:ind w:right="160"/>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as amended, this report has been signed below by the following persons on behalf of the registrant and in the capacities and on the date indicated.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42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Name</w:t>
            </w:r>
          </w:p>
        </w:tc>
        <w:tc>
          <w:tcPr>
            <w:tcW w:w="5040" w:type="dxa"/>
            <w:vAlign w:val="bottom"/>
          </w:tcPr>
          <w:p>
            <w:pPr>
              <w:ind w:left="3240"/>
              <w:spacing w:after="0"/>
              <w:rPr>
                <w:sz w:val="20"/>
                <w:szCs w:val="20"/>
                <w:color w:val="auto"/>
              </w:rPr>
            </w:pPr>
            <w:r>
              <w:rPr>
                <w:rFonts w:ascii="Times New Roman" w:cs="Times New Roman" w:eastAsia="Times New Roman" w:hAnsi="Times New Roman"/>
                <w:sz w:val="14"/>
                <w:szCs w:val="14"/>
                <w:color w:val="auto"/>
              </w:rPr>
              <w:t>Capacity</w:t>
            </w:r>
          </w:p>
        </w:tc>
        <w:tc>
          <w:tcPr>
            <w:tcW w:w="2800" w:type="dxa"/>
            <w:vAlign w:val="bottom"/>
          </w:tcPr>
          <w:p>
            <w:pPr>
              <w:jc w:val="center"/>
              <w:ind w:left="589"/>
              <w:spacing w:after="0"/>
              <w:rPr>
                <w:sz w:val="20"/>
                <w:szCs w:val="20"/>
                <w:color w:val="auto"/>
              </w:rPr>
            </w:pPr>
            <w:r>
              <w:rPr>
                <w:rFonts w:ascii="Times New Roman" w:cs="Times New Roman" w:eastAsia="Times New Roman" w:hAnsi="Times New Roman"/>
                <w:sz w:val="14"/>
                <w:szCs w:val="14"/>
                <w:color w:val="auto"/>
                <w:w w:val="98"/>
              </w:rPr>
              <w:t>Date</w:t>
            </w:r>
          </w:p>
        </w:tc>
      </w:tr>
      <w:tr>
        <w:trPr>
          <w:trHeight w:val="361"/>
        </w:trPr>
        <w:tc>
          <w:tcPr>
            <w:tcW w:w="20" w:type="dxa"/>
            <w:vAlign w:val="bottom"/>
          </w:tcPr>
          <w:p>
            <w:pPr>
              <w:spacing w:after="0"/>
              <w:rPr>
                <w:sz w:val="24"/>
                <w:szCs w:val="24"/>
                <w:color w:val="auto"/>
              </w:rPr>
            </w:pPr>
          </w:p>
        </w:tc>
        <w:tc>
          <w:tcPr>
            <w:tcW w:w="342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/s/ Steven A. Betts</w:t>
            </w:r>
          </w:p>
        </w:tc>
        <w:tc>
          <w:tcPr>
            <w:tcW w:w="5040" w:type="dxa"/>
            <w:vAlign w:val="bottom"/>
          </w:tcPr>
          <w:p>
            <w:pPr>
              <w:ind w:left="3260"/>
              <w:spacing w:after="0"/>
              <w:rPr>
                <w:sz w:val="20"/>
                <w:szCs w:val="20"/>
                <w:color w:val="auto"/>
              </w:rPr>
            </w:pPr>
            <w:r>
              <w:rPr>
                <w:rFonts w:ascii="Times New Roman" w:cs="Times New Roman" w:eastAsia="Times New Roman" w:hAnsi="Times New Roman"/>
                <w:sz w:val="14"/>
                <w:szCs w:val="14"/>
                <w:color w:val="auto"/>
              </w:rPr>
              <w:t>Director</w:t>
            </w:r>
          </w:p>
        </w:tc>
        <w:tc>
          <w:tcPr>
            <w:tcW w:w="2800" w:type="dxa"/>
            <w:vAlign w:val="bottom"/>
          </w:tcPr>
          <w:p>
            <w:pPr>
              <w:jc w:val="center"/>
              <w:ind w:left="589"/>
              <w:spacing w:after="0"/>
              <w:rPr>
                <w:sz w:val="20"/>
                <w:szCs w:val="20"/>
                <w:color w:val="auto"/>
              </w:rPr>
            </w:pPr>
            <w:r>
              <w:rPr>
                <w:rFonts w:ascii="Times New Roman" w:cs="Times New Roman" w:eastAsia="Times New Roman" w:hAnsi="Times New Roman"/>
                <w:sz w:val="14"/>
                <w:szCs w:val="14"/>
                <w:color w:val="auto"/>
              </w:rPr>
              <w:t>March 19, 2026</w:t>
            </w:r>
          </w:p>
        </w:tc>
      </w:tr>
      <w:tr>
        <w:trPr>
          <w:trHeight w:val="175"/>
        </w:trPr>
        <w:tc>
          <w:tcPr>
            <w:tcW w:w="20" w:type="dxa"/>
            <w:vAlign w:val="bottom"/>
          </w:tcPr>
          <w:p>
            <w:pPr>
              <w:spacing w:after="0"/>
              <w:rPr>
                <w:sz w:val="15"/>
                <w:szCs w:val="15"/>
                <w:color w:val="auto"/>
              </w:rPr>
            </w:pPr>
          </w:p>
        </w:tc>
        <w:tc>
          <w:tcPr>
            <w:tcW w:w="10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Steven A. Betts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2800" w:type="dxa"/>
            <w:vAlign w:val="bottom"/>
          </w:tcPr>
          <w:p>
            <w:pPr>
              <w:spacing w:after="0"/>
              <w:rPr>
                <w:sz w:val="15"/>
                <w:szCs w:val="15"/>
                <w:color w:val="auto"/>
              </w:rPr>
            </w:pPr>
          </w:p>
        </w:tc>
      </w:tr>
      <w:tr>
        <w:trPr>
          <w:trHeight w:val="346"/>
        </w:trPr>
        <w:tc>
          <w:tcPr>
            <w:tcW w:w="20" w:type="dxa"/>
            <w:vAlign w:val="bottom"/>
          </w:tcPr>
          <w:p>
            <w:pPr>
              <w:spacing w:after="0"/>
              <w:rPr>
                <w:sz w:val="24"/>
                <w:szCs w:val="24"/>
                <w:color w:val="auto"/>
              </w:rPr>
            </w:pPr>
          </w:p>
        </w:tc>
        <w:tc>
          <w:tcPr>
            <w:tcW w:w="342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/s/ Gregory S. Bielli</w:t>
            </w:r>
          </w:p>
        </w:tc>
        <w:tc>
          <w:tcPr>
            <w:tcW w:w="5040" w:type="dxa"/>
            <w:vAlign w:val="bottom"/>
          </w:tcPr>
          <w:p>
            <w:pPr>
              <w:ind w:left="3260"/>
              <w:spacing w:after="0"/>
              <w:rPr>
                <w:sz w:val="20"/>
                <w:szCs w:val="20"/>
                <w:color w:val="auto"/>
              </w:rPr>
            </w:pPr>
            <w:r>
              <w:rPr>
                <w:rFonts w:ascii="Times New Roman" w:cs="Times New Roman" w:eastAsia="Times New Roman" w:hAnsi="Times New Roman"/>
                <w:sz w:val="14"/>
                <w:szCs w:val="14"/>
                <w:color w:val="auto"/>
              </w:rPr>
              <w:t>Director</w:t>
            </w:r>
          </w:p>
        </w:tc>
        <w:tc>
          <w:tcPr>
            <w:tcW w:w="2800" w:type="dxa"/>
            <w:vAlign w:val="bottom"/>
          </w:tcPr>
          <w:p>
            <w:pPr>
              <w:jc w:val="center"/>
              <w:ind w:left="589"/>
              <w:spacing w:after="0"/>
              <w:rPr>
                <w:sz w:val="20"/>
                <w:szCs w:val="20"/>
                <w:color w:val="auto"/>
              </w:rPr>
            </w:pPr>
            <w:r>
              <w:rPr>
                <w:rFonts w:ascii="Times New Roman" w:cs="Times New Roman" w:eastAsia="Times New Roman" w:hAnsi="Times New Roman"/>
                <w:sz w:val="14"/>
                <w:szCs w:val="14"/>
                <w:color w:val="auto"/>
              </w:rPr>
              <w:t>March 19, 2026</w:t>
            </w:r>
          </w:p>
        </w:tc>
      </w:tr>
      <w:tr>
        <w:trPr>
          <w:trHeight w:val="175"/>
        </w:trPr>
        <w:tc>
          <w:tcPr>
            <w:tcW w:w="20" w:type="dxa"/>
            <w:vAlign w:val="bottom"/>
          </w:tcPr>
          <w:p>
            <w:pPr>
              <w:spacing w:after="0"/>
              <w:rPr>
                <w:sz w:val="15"/>
                <w:szCs w:val="15"/>
                <w:color w:val="auto"/>
              </w:rPr>
            </w:pPr>
          </w:p>
        </w:tc>
        <w:tc>
          <w:tcPr>
            <w:tcW w:w="114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4"/>
                <w:szCs w:val="14"/>
                <w:color w:val="auto"/>
              </w:rPr>
              <w:t>Gregory S. Bielli</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2800" w:type="dxa"/>
            <w:vAlign w:val="bottom"/>
          </w:tcPr>
          <w:p>
            <w:pPr>
              <w:spacing w:after="0"/>
              <w:rPr>
                <w:sz w:val="15"/>
                <w:szCs w:val="15"/>
                <w:color w:val="auto"/>
              </w:rPr>
            </w:pPr>
          </w:p>
        </w:tc>
      </w:tr>
      <w:tr>
        <w:trPr>
          <w:trHeight w:val="346"/>
        </w:trPr>
        <w:tc>
          <w:tcPr>
            <w:tcW w:w="20" w:type="dxa"/>
            <w:vAlign w:val="bottom"/>
          </w:tcPr>
          <w:p>
            <w:pPr>
              <w:spacing w:after="0"/>
              <w:rPr>
                <w:sz w:val="24"/>
                <w:szCs w:val="24"/>
                <w:color w:val="auto"/>
              </w:rPr>
            </w:pPr>
          </w:p>
        </w:tc>
        <w:tc>
          <w:tcPr>
            <w:tcW w:w="342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/s/ Denise Gammon</w:t>
            </w:r>
          </w:p>
        </w:tc>
        <w:tc>
          <w:tcPr>
            <w:tcW w:w="5040" w:type="dxa"/>
            <w:vAlign w:val="bottom"/>
          </w:tcPr>
          <w:p>
            <w:pPr>
              <w:ind w:left="3260"/>
              <w:spacing w:after="0"/>
              <w:rPr>
                <w:sz w:val="20"/>
                <w:szCs w:val="20"/>
                <w:color w:val="auto"/>
              </w:rPr>
            </w:pPr>
            <w:r>
              <w:rPr>
                <w:rFonts w:ascii="Times New Roman" w:cs="Times New Roman" w:eastAsia="Times New Roman" w:hAnsi="Times New Roman"/>
                <w:sz w:val="14"/>
                <w:szCs w:val="14"/>
                <w:color w:val="auto"/>
              </w:rPr>
              <w:t>Director</w:t>
            </w:r>
          </w:p>
        </w:tc>
        <w:tc>
          <w:tcPr>
            <w:tcW w:w="2800" w:type="dxa"/>
            <w:vAlign w:val="bottom"/>
          </w:tcPr>
          <w:p>
            <w:pPr>
              <w:jc w:val="center"/>
              <w:ind w:left="589"/>
              <w:spacing w:after="0"/>
              <w:rPr>
                <w:sz w:val="20"/>
                <w:szCs w:val="20"/>
                <w:color w:val="auto"/>
              </w:rPr>
            </w:pPr>
            <w:r>
              <w:rPr>
                <w:rFonts w:ascii="Times New Roman" w:cs="Times New Roman" w:eastAsia="Times New Roman" w:hAnsi="Times New Roman"/>
                <w:sz w:val="14"/>
                <w:szCs w:val="14"/>
                <w:color w:val="auto"/>
              </w:rPr>
              <w:t>March 19, 2026</w:t>
            </w:r>
          </w:p>
        </w:tc>
      </w:tr>
      <w:tr>
        <w:trPr>
          <w:trHeight w:val="175"/>
        </w:trPr>
        <w:tc>
          <w:tcPr>
            <w:tcW w:w="20" w:type="dxa"/>
            <w:vAlign w:val="bottom"/>
          </w:tcPr>
          <w:p>
            <w:pPr>
              <w:spacing w:after="0"/>
              <w:rPr>
                <w:sz w:val="15"/>
                <w:szCs w:val="15"/>
                <w:color w:val="auto"/>
              </w:rPr>
            </w:pPr>
          </w:p>
        </w:tc>
        <w:tc>
          <w:tcPr>
            <w:tcW w:w="112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4"/>
                <w:szCs w:val="14"/>
                <w:color w:val="auto"/>
              </w:rPr>
              <w:t>Denise Gammon</w:t>
            </w:r>
          </w:p>
        </w:tc>
        <w:tc>
          <w:tcPr>
            <w:tcW w:w="4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2800" w:type="dxa"/>
            <w:vAlign w:val="bottom"/>
          </w:tcPr>
          <w:p>
            <w:pPr>
              <w:spacing w:after="0"/>
              <w:rPr>
                <w:sz w:val="15"/>
                <w:szCs w:val="15"/>
                <w:color w:val="auto"/>
              </w:rPr>
            </w:pPr>
          </w:p>
        </w:tc>
      </w:tr>
      <w:tr>
        <w:trPr>
          <w:trHeight w:val="346"/>
        </w:trPr>
        <w:tc>
          <w:tcPr>
            <w:tcW w:w="20" w:type="dxa"/>
            <w:vAlign w:val="bottom"/>
          </w:tcPr>
          <w:p>
            <w:pPr>
              <w:spacing w:after="0"/>
              <w:rPr>
                <w:sz w:val="24"/>
                <w:szCs w:val="24"/>
                <w:color w:val="auto"/>
              </w:rPr>
            </w:pPr>
          </w:p>
        </w:tc>
        <w:tc>
          <w:tcPr>
            <w:tcW w:w="342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/s/ Andrew Dakos</w:t>
            </w:r>
          </w:p>
        </w:tc>
        <w:tc>
          <w:tcPr>
            <w:tcW w:w="5040" w:type="dxa"/>
            <w:vAlign w:val="bottom"/>
          </w:tcPr>
          <w:p>
            <w:pPr>
              <w:ind w:left="3260"/>
              <w:spacing w:after="0"/>
              <w:rPr>
                <w:sz w:val="20"/>
                <w:szCs w:val="20"/>
                <w:color w:val="auto"/>
              </w:rPr>
            </w:pPr>
            <w:r>
              <w:rPr>
                <w:rFonts w:ascii="Times New Roman" w:cs="Times New Roman" w:eastAsia="Times New Roman" w:hAnsi="Times New Roman"/>
                <w:sz w:val="14"/>
                <w:szCs w:val="14"/>
                <w:color w:val="auto"/>
              </w:rPr>
              <w:t>Director</w:t>
            </w:r>
          </w:p>
        </w:tc>
        <w:tc>
          <w:tcPr>
            <w:tcW w:w="2800" w:type="dxa"/>
            <w:vAlign w:val="bottom"/>
          </w:tcPr>
          <w:p>
            <w:pPr>
              <w:jc w:val="center"/>
              <w:ind w:left="589"/>
              <w:spacing w:after="0"/>
              <w:rPr>
                <w:sz w:val="20"/>
                <w:szCs w:val="20"/>
                <w:color w:val="auto"/>
              </w:rPr>
            </w:pPr>
            <w:r>
              <w:rPr>
                <w:rFonts w:ascii="Times New Roman" w:cs="Times New Roman" w:eastAsia="Times New Roman" w:hAnsi="Times New Roman"/>
                <w:sz w:val="14"/>
                <w:szCs w:val="14"/>
                <w:color w:val="auto"/>
              </w:rPr>
              <w:t>March 19, 2026</w:t>
            </w:r>
          </w:p>
        </w:tc>
      </w:tr>
      <w:tr>
        <w:trPr>
          <w:trHeight w:val="175"/>
        </w:trPr>
        <w:tc>
          <w:tcPr>
            <w:tcW w:w="20" w:type="dxa"/>
            <w:vAlign w:val="bottom"/>
          </w:tcPr>
          <w:p>
            <w:pPr>
              <w:spacing w:after="0"/>
              <w:rPr>
                <w:sz w:val="15"/>
                <w:szCs w:val="15"/>
                <w:color w:val="auto"/>
              </w:rPr>
            </w:pPr>
          </w:p>
        </w:tc>
        <w:tc>
          <w:tcPr>
            <w:tcW w:w="10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Andrew Dakos</w:t>
            </w: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2800" w:type="dxa"/>
            <w:vAlign w:val="bottom"/>
          </w:tcPr>
          <w:p>
            <w:pPr>
              <w:spacing w:after="0"/>
              <w:rPr>
                <w:sz w:val="15"/>
                <w:szCs w:val="15"/>
                <w:color w:val="auto"/>
              </w:rPr>
            </w:pPr>
          </w:p>
        </w:tc>
      </w:tr>
      <w:tr>
        <w:trPr>
          <w:trHeight w:val="346"/>
        </w:trPr>
        <w:tc>
          <w:tcPr>
            <w:tcW w:w="20" w:type="dxa"/>
            <w:vAlign w:val="bottom"/>
          </w:tcPr>
          <w:p>
            <w:pPr>
              <w:spacing w:after="0"/>
              <w:rPr>
                <w:sz w:val="24"/>
                <w:szCs w:val="24"/>
                <w:color w:val="auto"/>
              </w:rPr>
            </w:pPr>
          </w:p>
        </w:tc>
        <w:tc>
          <w:tcPr>
            <w:tcW w:w="342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/s/ Anthony L. Leggio</w:t>
            </w:r>
          </w:p>
        </w:tc>
        <w:tc>
          <w:tcPr>
            <w:tcW w:w="5040" w:type="dxa"/>
            <w:vAlign w:val="bottom"/>
          </w:tcPr>
          <w:p>
            <w:pPr>
              <w:ind w:left="3260"/>
              <w:spacing w:after="0"/>
              <w:rPr>
                <w:sz w:val="20"/>
                <w:szCs w:val="20"/>
                <w:color w:val="auto"/>
              </w:rPr>
            </w:pPr>
            <w:r>
              <w:rPr>
                <w:rFonts w:ascii="Times New Roman" w:cs="Times New Roman" w:eastAsia="Times New Roman" w:hAnsi="Times New Roman"/>
                <w:sz w:val="14"/>
                <w:szCs w:val="14"/>
                <w:color w:val="auto"/>
              </w:rPr>
              <w:t>Director</w:t>
            </w:r>
          </w:p>
        </w:tc>
        <w:tc>
          <w:tcPr>
            <w:tcW w:w="2800" w:type="dxa"/>
            <w:vAlign w:val="bottom"/>
          </w:tcPr>
          <w:p>
            <w:pPr>
              <w:jc w:val="center"/>
              <w:ind w:left="589"/>
              <w:spacing w:after="0"/>
              <w:rPr>
                <w:sz w:val="20"/>
                <w:szCs w:val="20"/>
                <w:color w:val="auto"/>
              </w:rPr>
            </w:pPr>
            <w:r>
              <w:rPr>
                <w:rFonts w:ascii="Times New Roman" w:cs="Times New Roman" w:eastAsia="Times New Roman" w:hAnsi="Times New Roman"/>
                <w:sz w:val="14"/>
                <w:szCs w:val="14"/>
                <w:color w:val="auto"/>
              </w:rPr>
              <w:t>March 19, 2026</w:t>
            </w:r>
          </w:p>
        </w:tc>
      </w:tr>
      <w:tr>
        <w:trPr>
          <w:trHeight w:val="175"/>
        </w:trPr>
        <w:tc>
          <w:tcPr>
            <w:tcW w:w="20" w:type="dxa"/>
            <w:vAlign w:val="bottom"/>
          </w:tcPr>
          <w:p>
            <w:pPr>
              <w:spacing w:after="0"/>
              <w:rPr>
                <w:sz w:val="15"/>
                <w:szCs w:val="15"/>
                <w:color w:val="auto"/>
              </w:rPr>
            </w:pPr>
          </w:p>
        </w:tc>
        <w:tc>
          <w:tcPr>
            <w:tcW w:w="1260" w:type="dxa"/>
            <w:vAlign w:val="bottom"/>
            <w:tcBorders>
              <w:top w:val="single" w:sz="8" w:color="auto"/>
            </w:tcBorders>
            <w:gridSpan w:val="9"/>
          </w:tcPr>
          <w:p>
            <w:pPr>
              <w:spacing w:after="0"/>
              <w:rPr>
                <w:sz w:val="20"/>
                <w:szCs w:val="20"/>
                <w:color w:val="auto"/>
              </w:rPr>
            </w:pPr>
            <w:r>
              <w:rPr>
                <w:rFonts w:ascii="Times New Roman" w:cs="Times New Roman" w:eastAsia="Times New Roman" w:hAnsi="Times New Roman"/>
                <w:sz w:val="14"/>
                <w:szCs w:val="14"/>
                <w:color w:val="auto"/>
              </w:rPr>
              <w:t>Anthony L. Leggio</w:t>
            </w:r>
          </w:p>
        </w:tc>
        <w:tc>
          <w:tcPr>
            <w:tcW w:w="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2800" w:type="dxa"/>
            <w:vAlign w:val="bottom"/>
          </w:tcPr>
          <w:p>
            <w:pPr>
              <w:spacing w:after="0"/>
              <w:rPr>
                <w:sz w:val="15"/>
                <w:szCs w:val="15"/>
                <w:color w:val="auto"/>
              </w:rPr>
            </w:pPr>
          </w:p>
        </w:tc>
      </w:tr>
      <w:tr>
        <w:trPr>
          <w:trHeight w:val="346"/>
        </w:trPr>
        <w:tc>
          <w:tcPr>
            <w:tcW w:w="20" w:type="dxa"/>
            <w:vAlign w:val="bottom"/>
          </w:tcPr>
          <w:p>
            <w:pPr>
              <w:spacing w:after="0"/>
              <w:rPr>
                <w:sz w:val="24"/>
                <w:szCs w:val="24"/>
                <w:color w:val="auto"/>
              </w:rPr>
            </w:pPr>
          </w:p>
        </w:tc>
        <w:tc>
          <w:tcPr>
            <w:tcW w:w="342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/s/ Jeffrey J. McCall</w:t>
            </w:r>
          </w:p>
        </w:tc>
        <w:tc>
          <w:tcPr>
            <w:tcW w:w="5040" w:type="dxa"/>
            <w:vAlign w:val="bottom"/>
          </w:tcPr>
          <w:p>
            <w:pPr>
              <w:ind w:left="3260"/>
              <w:spacing w:after="0"/>
              <w:rPr>
                <w:sz w:val="20"/>
                <w:szCs w:val="20"/>
                <w:color w:val="auto"/>
              </w:rPr>
            </w:pPr>
            <w:r>
              <w:rPr>
                <w:rFonts w:ascii="Times New Roman" w:cs="Times New Roman" w:eastAsia="Times New Roman" w:hAnsi="Times New Roman"/>
                <w:sz w:val="14"/>
                <w:szCs w:val="14"/>
                <w:color w:val="auto"/>
              </w:rPr>
              <w:t>Director</w:t>
            </w:r>
          </w:p>
        </w:tc>
        <w:tc>
          <w:tcPr>
            <w:tcW w:w="2800" w:type="dxa"/>
            <w:vAlign w:val="bottom"/>
          </w:tcPr>
          <w:p>
            <w:pPr>
              <w:jc w:val="center"/>
              <w:ind w:left="589"/>
              <w:spacing w:after="0"/>
              <w:rPr>
                <w:sz w:val="20"/>
                <w:szCs w:val="20"/>
                <w:color w:val="auto"/>
              </w:rPr>
            </w:pPr>
            <w:r>
              <w:rPr>
                <w:rFonts w:ascii="Times New Roman" w:cs="Times New Roman" w:eastAsia="Times New Roman" w:hAnsi="Times New Roman"/>
                <w:sz w:val="14"/>
                <w:szCs w:val="14"/>
                <w:color w:val="auto"/>
              </w:rPr>
              <w:t>March 19, 2026</w:t>
            </w:r>
          </w:p>
        </w:tc>
      </w:tr>
      <w:tr>
        <w:trPr>
          <w:trHeight w:val="175"/>
        </w:trPr>
        <w:tc>
          <w:tcPr>
            <w:tcW w:w="20" w:type="dxa"/>
            <w:vAlign w:val="bottom"/>
          </w:tcPr>
          <w:p>
            <w:pPr>
              <w:spacing w:after="0"/>
              <w:rPr>
                <w:sz w:val="15"/>
                <w:szCs w:val="15"/>
                <w:color w:val="auto"/>
              </w:rPr>
            </w:pPr>
          </w:p>
        </w:tc>
        <w:tc>
          <w:tcPr>
            <w:tcW w:w="1160" w:type="dxa"/>
            <w:vAlign w:val="bottom"/>
            <w:tcBorders>
              <w:top w:val="single" w:sz="8" w:color="auto"/>
            </w:tcBorders>
            <w:gridSpan w:val="8"/>
          </w:tcPr>
          <w:p>
            <w:pPr>
              <w:spacing w:after="0"/>
              <w:rPr>
                <w:sz w:val="20"/>
                <w:szCs w:val="20"/>
                <w:color w:val="auto"/>
              </w:rPr>
            </w:pPr>
            <w:r>
              <w:rPr>
                <w:rFonts w:ascii="Times New Roman" w:cs="Times New Roman" w:eastAsia="Times New Roman" w:hAnsi="Times New Roman"/>
                <w:sz w:val="14"/>
                <w:szCs w:val="14"/>
                <w:color w:val="auto"/>
              </w:rPr>
              <w:t>Jeffrey J. McCall</w:t>
            </w:r>
          </w:p>
        </w:tc>
        <w:tc>
          <w:tcPr>
            <w:tcW w:w="140" w:type="dxa"/>
            <w:vAlign w:val="bottom"/>
            <w:gridSpan w:val="2"/>
          </w:tcPr>
          <w:p>
            <w:pPr>
              <w:spacing w:after="0"/>
              <w:rPr>
                <w:sz w:val="15"/>
                <w:szCs w:val="15"/>
                <w:color w:val="auto"/>
              </w:rPr>
            </w:pPr>
          </w:p>
        </w:tc>
        <w:tc>
          <w:tcPr>
            <w:tcW w:w="21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2800" w:type="dxa"/>
            <w:vAlign w:val="bottom"/>
          </w:tcPr>
          <w:p>
            <w:pPr>
              <w:spacing w:after="0"/>
              <w:rPr>
                <w:sz w:val="15"/>
                <w:szCs w:val="15"/>
                <w:color w:val="auto"/>
              </w:rPr>
            </w:pPr>
          </w:p>
        </w:tc>
      </w:tr>
      <w:tr>
        <w:trPr>
          <w:trHeight w:val="304"/>
        </w:trPr>
        <w:tc>
          <w:tcPr>
            <w:tcW w:w="20" w:type="dxa"/>
            <w:vAlign w:val="bottom"/>
          </w:tcPr>
          <w:p>
            <w:pPr>
              <w:spacing w:after="0"/>
              <w:rPr>
                <w:sz w:val="24"/>
                <w:szCs w:val="24"/>
                <w:color w:val="auto"/>
              </w:rPr>
            </w:pPr>
          </w:p>
        </w:tc>
        <w:tc>
          <w:tcPr>
            <w:tcW w:w="342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/s/ Norman J. Metcalfe</w:t>
            </w:r>
          </w:p>
        </w:tc>
        <w:tc>
          <w:tcPr>
            <w:tcW w:w="5040" w:type="dxa"/>
            <w:vAlign w:val="bottom"/>
          </w:tcPr>
          <w:p>
            <w:pPr>
              <w:ind w:left="3260"/>
              <w:spacing w:after="0"/>
              <w:rPr>
                <w:sz w:val="20"/>
                <w:szCs w:val="20"/>
                <w:color w:val="auto"/>
              </w:rPr>
            </w:pPr>
            <w:r>
              <w:rPr>
                <w:rFonts w:ascii="Times New Roman" w:cs="Times New Roman" w:eastAsia="Times New Roman" w:hAnsi="Times New Roman"/>
                <w:sz w:val="14"/>
                <w:szCs w:val="14"/>
                <w:color w:val="auto"/>
              </w:rPr>
              <w:t>Director</w:t>
            </w:r>
          </w:p>
        </w:tc>
        <w:tc>
          <w:tcPr>
            <w:tcW w:w="2800" w:type="dxa"/>
            <w:vAlign w:val="bottom"/>
          </w:tcPr>
          <w:p>
            <w:pPr>
              <w:jc w:val="center"/>
              <w:ind w:left="589"/>
              <w:spacing w:after="0"/>
              <w:rPr>
                <w:sz w:val="20"/>
                <w:szCs w:val="20"/>
                <w:color w:val="auto"/>
              </w:rPr>
            </w:pPr>
            <w:r>
              <w:rPr>
                <w:rFonts w:ascii="Times New Roman" w:cs="Times New Roman" w:eastAsia="Times New Roman" w:hAnsi="Times New Roman"/>
                <w:sz w:val="14"/>
                <w:szCs w:val="14"/>
                <w:color w:val="auto"/>
              </w:rPr>
              <w:t>March 19, 2026</w:t>
            </w:r>
          </w:p>
        </w:tc>
      </w:tr>
      <w:tr>
        <w:trPr>
          <w:trHeight w:val="175"/>
        </w:trPr>
        <w:tc>
          <w:tcPr>
            <w:tcW w:w="20" w:type="dxa"/>
            <w:vAlign w:val="bottom"/>
          </w:tcPr>
          <w:p>
            <w:pPr>
              <w:spacing w:after="0"/>
              <w:rPr>
                <w:sz w:val="15"/>
                <w:szCs w:val="15"/>
                <w:color w:val="auto"/>
              </w:rPr>
            </w:pPr>
          </w:p>
        </w:tc>
        <w:tc>
          <w:tcPr>
            <w:tcW w:w="1300" w:type="dxa"/>
            <w:vAlign w:val="bottom"/>
            <w:tcBorders>
              <w:top w:val="single" w:sz="8" w:color="auto"/>
            </w:tcBorders>
            <w:gridSpan w:val="10"/>
          </w:tcPr>
          <w:p>
            <w:pPr>
              <w:spacing w:after="0"/>
              <w:rPr>
                <w:sz w:val="20"/>
                <w:szCs w:val="20"/>
                <w:color w:val="auto"/>
              </w:rPr>
            </w:pPr>
            <w:r>
              <w:rPr>
                <w:rFonts w:ascii="Times New Roman" w:cs="Times New Roman" w:eastAsia="Times New Roman" w:hAnsi="Times New Roman"/>
                <w:sz w:val="14"/>
                <w:szCs w:val="14"/>
                <w:color w:val="auto"/>
              </w:rPr>
              <w:t>Norman J. Metcalfe</w:t>
            </w:r>
          </w:p>
        </w:tc>
        <w:tc>
          <w:tcPr>
            <w:tcW w:w="21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2800" w:type="dxa"/>
            <w:vAlign w:val="bottom"/>
          </w:tcPr>
          <w:p>
            <w:pPr>
              <w:spacing w:after="0"/>
              <w:rPr>
                <w:sz w:val="15"/>
                <w:szCs w:val="15"/>
                <w:color w:val="auto"/>
              </w:rPr>
            </w:pPr>
          </w:p>
        </w:tc>
      </w:tr>
      <w:tr>
        <w:trPr>
          <w:trHeight w:val="346"/>
        </w:trPr>
        <w:tc>
          <w:tcPr>
            <w:tcW w:w="20" w:type="dxa"/>
            <w:vAlign w:val="bottom"/>
          </w:tcPr>
          <w:p>
            <w:pPr>
              <w:spacing w:after="0"/>
              <w:rPr>
                <w:sz w:val="24"/>
                <w:szCs w:val="24"/>
                <w:color w:val="auto"/>
              </w:rPr>
            </w:pPr>
          </w:p>
        </w:tc>
        <w:tc>
          <w:tcPr>
            <w:tcW w:w="342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/s/ Eric H. Speron</w:t>
            </w:r>
          </w:p>
        </w:tc>
        <w:tc>
          <w:tcPr>
            <w:tcW w:w="5040" w:type="dxa"/>
            <w:vAlign w:val="bottom"/>
          </w:tcPr>
          <w:p>
            <w:pPr>
              <w:ind w:left="3260"/>
              <w:spacing w:after="0"/>
              <w:rPr>
                <w:sz w:val="20"/>
                <w:szCs w:val="20"/>
                <w:color w:val="auto"/>
              </w:rPr>
            </w:pPr>
            <w:r>
              <w:rPr>
                <w:rFonts w:ascii="Times New Roman" w:cs="Times New Roman" w:eastAsia="Times New Roman" w:hAnsi="Times New Roman"/>
                <w:sz w:val="14"/>
                <w:szCs w:val="14"/>
                <w:color w:val="auto"/>
              </w:rPr>
              <w:t>Director</w:t>
            </w:r>
          </w:p>
        </w:tc>
        <w:tc>
          <w:tcPr>
            <w:tcW w:w="2800" w:type="dxa"/>
            <w:vAlign w:val="bottom"/>
          </w:tcPr>
          <w:p>
            <w:pPr>
              <w:jc w:val="center"/>
              <w:ind w:left="589"/>
              <w:spacing w:after="0"/>
              <w:rPr>
                <w:sz w:val="20"/>
                <w:szCs w:val="20"/>
                <w:color w:val="auto"/>
              </w:rPr>
            </w:pPr>
            <w:r>
              <w:rPr>
                <w:rFonts w:ascii="Times New Roman" w:cs="Times New Roman" w:eastAsia="Times New Roman" w:hAnsi="Times New Roman"/>
                <w:sz w:val="14"/>
                <w:szCs w:val="14"/>
                <w:color w:val="auto"/>
              </w:rPr>
              <w:t>March 19, 2026</w:t>
            </w:r>
          </w:p>
        </w:tc>
      </w:tr>
      <w:tr>
        <w:trPr>
          <w:trHeight w:val="175"/>
        </w:trPr>
        <w:tc>
          <w:tcPr>
            <w:tcW w:w="20" w:type="dxa"/>
            <w:vAlign w:val="bottom"/>
          </w:tcPr>
          <w:p>
            <w:pPr>
              <w:spacing w:after="0"/>
              <w:rPr>
                <w:sz w:val="15"/>
                <w:szCs w:val="15"/>
                <w:color w:val="auto"/>
              </w:rPr>
            </w:pPr>
          </w:p>
        </w:tc>
        <w:tc>
          <w:tcPr>
            <w:tcW w:w="1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Eric H. Speron</w:t>
            </w: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320" w:type="dxa"/>
            <w:vAlign w:val="bottom"/>
            <w:gridSpan w:val="6"/>
          </w:tcPr>
          <w:p>
            <w:pPr>
              <w:spacing w:after="0"/>
              <w:rPr>
                <w:sz w:val="15"/>
                <w:szCs w:val="15"/>
                <w:color w:val="auto"/>
              </w:rPr>
            </w:pPr>
          </w:p>
        </w:tc>
        <w:tc>
          <w:tcPr>
            <w:tcW w:w="5040" w:type="dxa"/>
            <w:vAlign w:val="bottom"/>
          </w:tcPr>
          <w:p>
            <w:pPr>
              <w:spacing w:after="0"/>
              <w:rPr>
                <w:sz w:val="15"/>
                <w:szCs w:val="15"/>
                <w:color w:val="auto"/>
              </w:rPr>
            </w:pPr>
          </w:p>
        </w:tc>
        <w:tc>
          <w:tcPr>
            <w:tcW w:w="2800" w:type="dxa"/>
            <w:vAlign w:val="bottom"/>
          </w:tcPr>
          <w:p>
            <w:pPr>
              <w:spacing w:after="0"/>
              <w:rPr>
                <w:sz w:val="15"/>
                <w:szCs w:val="15"/>
                <w:color w:val="auto"/>
              </w:rPr>
            </w:pPr>
          </w:p>
        </w:tc>
      </w:tr>
      <w:tr>
        <w:trPr>
          <w:trHeight w:val="346"/>
        </w:trPr>
        <w:tc>
          <w:tcPr>
            <w:tcW w:w="20" w:type="dxa"/>
            <w:vAlign w:val="bottom"/>
          </w:tcPr>
          <w:p>
            <w:pPr>
              <w:spacing w:after="0"/>
              <w:rPr>
                <w:sz w:val="24"/>
                <w:szCs w:val="24"/>
                <w:color w:val="auto"/>
              </w:rPr>
            </w:pPr>
          </w:p>
        </w:tc>
        <w:tc>
          <w:tcPr>
            <w:tcW w:w="342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/s/ Daniel R. Tisch</w:t>
            </w:r>
          </w:p>
        </w:tc>
        <w:tc>
          <w:tcPr>
            <w:tcW w:w="5040" w:type="dxa"/>
            <w:vAlign w:val="bottom"/>
          </w:tcPr>
          <w:p>
            <w:pPr>
              <w:ind w:left="3260"/>
              <w:spacing w:after="0"/>
              <w:rPr>
                <w:sz w:val="20"/>
                <w:szCs w:val="20"/>
                <w:color w:val="auto"/>
              </w:rPr>
            </w:pPr>
            <w:r>
              <w:rPr>
                <w:rFonts w:ascii="Times New Roman" w:cs="Times New Roman" w:eastAsia="Times New Roman" w:hAnsi="Times New Roman"/>
                <w:sz w:val="14"/>
                <w:szCs w:val="14"/>
                <w:color w:val="auto"/>
              </w:rPr>
              <w:t>Director</w:t>
            </w:r>
          </w:p>
        </w:tc>
        <w:tc>
          <w:tcPr>
            <w:tcW w:w="2800" w:type="dxa"/>
            <w:vAlign w:val="bottom"/>
          </w:tcPr>
          <w:p>
            <w:pPr>
              <w:jc w:val="center"/>
              <w:ind w:left="589"/>
              <w:spacing w:after="0"/>
              <w:rPr>
                <w:sz w:val="20"/>
                <w:szCs w:val="20"/>
                <w:color w:val="auto"/>
              </w:rPr>
            </w:pPr>
            <w:r>
              <w:rPr>
                <w:rFonts w:ascii="Times New Roman" w:cs="Times New Roman" w:eastAsia="Times New Roman" w:hAnsi="Times New Roman"/>
                <w:sz w:val="14"/>
                <w:szCs w:val="14"/>
                <w:color w:val="auto"/>
              </w:rPr>
              <w:t>March 19, 2026</w:t>
            </w:r>
          </w:p>
        </w:tc>
      </w:tr>
      <w:tr>
        <w:trPr>
          <w:trHeight w:val="175"/>
        </w:trPr>
        <w:tc>
          <w:tcPr>
            <w:tcW w:w="20" w:type="dxa"/>
            <w:vAlign w:val="bottom"/>
          </w:tcPr>
          <w:p>
            <w:pPr>
              <w:spacing w:after="0"/>
              <w:rPr>
                <w:sz w:val="15"/>
                <w:szCs w:val="15"/>
                <w:color w:val="auto"/>
              </w:rPr>
            </w:pPr>
          </w:p>
        </w:tc>
        <w:tc>
          <w:tcPr>
            <w:tcW w:w="108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rPr>
              <w:t>Daniel R. Tisch</w:t>
            </w:r>
          </w:p>
        </w:tc>
        <w:tc>
          <w:tcPr>
            <w:tcW w:w="20" w:type="dxa"/>
            <w:vAlign w:val="bottom"/>
          </w:tcPr>
          <w:p>
            <w:pPr>
              <w:spacing w:after="0"/>
              <w:rPr>
                <w:sz w:val="15"/>
                <w:szCs w:val="15"/>
                <w:color w:val="auto"/>
              </w:rPr>
            </w:pPr>
          </w:p>
        </w:tc>
        <w:tc>
          <w:tcPr>
            <w:tcW w:w="2320" w:type="dxa"/>
            <w:vAlign w:val="bottom"/>
            <w:gridSpan w:val="6"/>
          </w:tcPr>
          <w:p>
            <w:pPr>
              <w:spacing w:after="0"/>
              <w:rPr>
                <w:sz w:val="15"/>
                <w:szCs w:val="15"/>
                <w:color w:val="auto"/>
              </w:rPr>
            </w:pPr>
          </w:p>
        </w:tc>
        <w:tc>
          <w:tcPr>
            <w:tcW w:w="5040" w:type="dxa"/>
            <w:vAlign w:val="bottom"/>
          </w:tcPr>
          <w:p>
            <w:pPr>
              <w:spacing w:after="0"/>
              <w:rPr>
                <w:sz w:val="15"/>
                <w:szCs w:val="15"/>
                <w:color w:val="auto"/>
              </w:rPr>
            </w:pPr>
          </w:p>
        </w:tc>
        <w:tc>
          <w:tcPr>
            <w:tcW w:w="2800" w:type="dxa"/>
            <w:vAlign w:val="bottom"/>
          </w:tcPr>
          <w:p>
            <w:pPr>
              <w:spacing w:after="0"/>
              <w:rPr>
                <w:sz w:val="15"/>
                <w:szCs w:val="15"/>
                <w:color w:val="auto"/>
              </w:rPr>
            </w:pPr>
          </w:p>
        </w:tc>
      </w:tr>
      <w:tr>
        <w:trPr>
          <w:trHeight w:val="346"/>
        </w:trPr>
        <w:tc>
          <w:tcPr>
            <w:tcW w:w="20" w:type="dxa"/>
            <w:vAlign w:val="bottom"/>
          </w:tcPr>
          <w:p>
            <w:pPr>
              <w:spacing w:after="0"/>
              <w:rPr>
                <w:sz w:val="24"/>
                <w:szCs w:val="24"/>
                <w:color w:val="auto"/>
              </w:rPr>
            </w:pPr>
          </w:p>
        </w:tc>
        <w:tc>
          <w:tcPr>
            <w:tcW w:w="342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/s/ Kenneth G. Yee</w:t>
            </w:r>
          </w:p>
        </w:tc>
        <w:tc>
          <w:tcPr>
            <w:tcW w:w="5040" w:type="dxa"/>
            <w:vAlign w:val="bottom"/>
          </w:tcPr>
          <w:p>
            <w:pPr>
              <w:ind w:left="3260"/>
              <w:spacing w:after="0"/>
              <w:rPr>
                <w:sz w:val="20"/>
                <w:szCs w:val="20"/>
                <w:color w:val="auto"/>
              </w:rPr>
            </w:pPr>
            <w:r>
              <w:rPr>
                <w:rFonts w:ascii="Times New Roman" w:cs="Times New Roman" w:eastAsia="Times New Roman" w:hAnsi="Times New Roman"/>
                <w:sz w:val="14"/>
                <w:szCs w:val="14"/>
                <w:color w:val="auto"/>
              </w:rPr>
              <w:t>Director</w:t>
            </w:r>
          </w:p>
        </w:tc>
        <w:tc>
          <w:tcPr>
            <w:tcW w:w="2800" w:type="dxa"/>
            <w:vAlign w:val="bottom"/>
          </w:tcPr>
          <w:p>
            <w:pPr>
              <w:jc w:val="center"/>
              <w:ind w:left="589"/>
              <w:spacing w:after="0"/>
              <w:rPr>
                <w:sz w:val="20"/>
                <w:szCs w:val="20"/>
                <w:color w:val="auto"/>
              </w:rPr>
            </w:pPr>
            <w:r>
              <w:rPr>
                <w:rFonts w:ascii="Times New Roman" w:cs="Times New Roman" w:eastAsia="Times New Roman" w:hAnsi="Times New Roman"/>
                <w:sz w:val="14"/>
                <w:szCs w:val="14"/>
                <w:color w:val="auto"/>
              </w:rPr>
              <w:t>March 19, 2026</w:t>
            </w:r>
          </w:p>
        </w:tc>
      </w:tr>
      <w:tr>
        <w:trPr>
          <w:trHeight w:val="175"/>
        </w:trPr>
        <w:tc>
          <w:tcPr>
            <w:tcW w:w="20" w:type="dxa"/>
            <w:vAlign w:val="bottom"/>
          </w:tcPr>
          <w:p>
            <w:pPr>
              <w:spacing w:after="0"/>
              <w:rPr>
                <w:sz w:val="15"/>
                <w:szCs w:val="15"/>
                <w:color w:val="auto"/>
              </w:rPr>
            </w:pPr>
          </w:p>
        </w:tc>
        <w:tc>
          <w:tcPr>
            <w:tcW w:w="110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4"/>
                <w:szCs w:val="14"/>
                <w:color w:val="auto"/>
              </w:rPr>
              <w:t>Kenneth G. Yee</w:t>
            </w:r>
          </w:p>
        </w:tc>
        <w:tc>
          <w:tcPr>
            <w:tcW w:w="2320" w:type="dxa"/>
            <w:vAlign w:val="bottom"/>
            <w:gridSpan w:val="6"/>
          </w:tcPr>
          <w:p>
            <w:pPr>
              <w:spacing w:after="0"/>
              <w:rPr>
                <w:sz w:val="15"/>
                <w:szCs w:val="15"/>
                <w:color w:val="auto"/>
              </w:rPr>
            </w:pPr>
          </w:p>
        </w:tc>
        <w:tc>
          <w:tcPr>
            <w:tcW w:w="5040" w:type="dxa"/>
            <w:vAlign w:val="bottom"/>
          </w:tcPr>
          <w:p>
            <w:pPr>
              <w:spacing w:after="0"/>
              <w:rPr>
                <w:sz w:val="15"/>
                <w:szCs w:val="15"/>
                <w:color w:val="auto"/>
              </w:rPr>
            </w:pPr>
          </w:p>
        </w:tc>
        <w:tc>
          <w:tcPr>
            <w:tcW w:w="2800" w:type="dxa"/>
            <w:vAlign w:val="bottom"/>
          </w:tcPr>
          <w:p>
            <w:pPr>
              <w:spacing w:after="0"/>
              <w:rPr>
                <w:sz w:val="15"/>
                <w:szCs w:val="15"/>
                <w:color w:val="auto"/>
              </w:rPr>
            </w:pPr>
          </w:p>
        </w:tc>
      </w:tr>
      <w:tr>
        <w:trPr>
          <w:trHeight w:val="654"/>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5040" w:type="dxa"/>
            <w:vAlign w:val="bottom"/>
          </w:tcPr>
          <w:p>
            <w:pPr>
              <w:ind w:left="2140"/>
              <w:spacing w:after="0"/>
              <w:rPr>
                <w:sz w:val="20"/>
                <w:szCs w:val="20"/>
                <w:color w:val="auto"/>
              </w:rPr>
            </w:pPr>
            <w:r>
              <w:rPr>
                <w:rFonts w:ascii="Times New Roman" w:cs="Times New Roman" w:eastAsia="Times New Roman" w:hAnsi="Times New Roman"/>
                <w:sz w:val="14"/>
                <w:szCs w:val="14"/>
                <w:color w:val="auto"/>
              </w:rPr>
              <w:t>73</w:t>
            </w:r>
          </w:p>
        </w:tc>
        <w:tc>
          <w:tcPr>
            <w:tcW w:w="280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120" w:type="dxa"/>
            <w:vAlign w:val="bottom"/>
            <w:tcBorders>
              <w:bottom w:val="single" w:sz="8" w:color="9A9A9A"/>
            </w:tcBorders>
          </w:tcPr>
          <w:p>
            <w:pPr>
              <w:spacing w:after="0"/>
              <w:rPr>
                <w:sz w:val="7"/>
                <w:szCs w:val="7"/>
                <w:color w:val="auto"/>
              </w:rPr>
            </w:pPr>
          </w:p>
        </w:tc>
        <w:tc>
          <w:tcPr>
            <w:tcW w:w="5040" w:type="dxa"/>
            <w:vAlign w:val="bottom"/>
            <w:tcBorders>
              <w:bottom w:val="single" w:sz="8" w:color="9A9A9A"/>
            </w:tcBorders>
          </w:tcPr>
          <w:p>
            <w:pPr>
              <w:spacing w:after="0"/>
              <w:rPr>
                <w:sz w:val="7"/>
                <w:szCs w:val="7"/>
                <w:color w:val="auto"/>
              </w:rPr>
            </w:pPr>
          </w:p>
        </w:tc>
        <w:tc>
          <w:tcPr>
            <w:tcW w:w="28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73" w:name="page74"/>
    <w:bookmarkEnd w:id="7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Annual Report on Form 10-K</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Item 8, Item 15(a) (1) and (2), (b) and (c)</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List of Financial Statements and Financial Statement Schedules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Financial Statements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Certain Exhibits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Tejon Ranch Co.</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Tejon Ranch, California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55880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4"/>
          <w:szCs w:val="14"/>
          <w:b w:val="1"/>
          <w:bCs w:val="1"/>
          <w:color w:val="auto"/>
        </w:rPr>
        <w:t>Form 10-K - Item 15(a)(1) and (2)</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Tejon Ranch Co. and Subsidiaries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Index to Financial Statements and Financial Statement Schedules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ITEM 15(a)(1) - FINANCIAL STATEMENTS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consolidated financial statements of Tejon Ranch Co. and subsidiaries are included in Item 8:</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156"/>
        </w:trPr>
        <w:tc>
          <w:tcPr>
            <w:tcW w:w="9920" w:type="dxa"/>
            <w:vAlign w:val="bottom"/>
          </w:tcPr>
          <w:p>
            <w:pPr>
              <w:spacing w:after="0"/>
              <w:rPr>
                <w:sz w:val="13"/>
                <w:szCs w:val="13"/>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Page</w:t>
            </w:r>
          </w:p>
        </w:tc>
      </w:tr>
      <w:tr>
        <w:trPr>
          <w:trHeight w:val="176"/>
        </w:trPr>
        <w:tc>
          <w:tcPr>
            <w:tcW w:w="9920" w:type="dxa"/>
            <w:vAlign w:val="bottom"/>
          </w:tcPr>
          <w:p>
            <w:pPr>
              <w:spacing w:after="0"/>
              <w:rPr>
                <w:sz w:val="20"/>
                <w:szCs w:val="20"/>
                <w:color w:val="auto"/>
              </w:rPr>
            </w:pPr>
            <w:r>
              <w:rPr>
                <w:rFonts w:ascii="Times New Roman" w:cs="Times New Roman" w:eastAsia="Times New Roman" w:hAnsi="Times New Roman"/>
                <w:sz w:val="14"/>
                <w:szCs w:val="14"/>
                <w:color w:val="auto"/>
              </w:rPr>
              <w:t>Report of Independent Registered Public Accounting Firm</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76</w:t>
            </w:r>
          </w:p>
        </w:tc>
      </w:tr>
      <w:tr>
        <w:trPr>
          <w:trHeight w:val="180"/>
        </w:trPr>
        <w:tc>
          <w:tcPr>
            <w:tcW w:w="9920" w:type="dxa"/>
            <w:vAlign w:val="bottom"/>
          </w:tcPr>
          <w:p>
            <w:pPr>
              <w:spacing w:after="0"/>
              <w:rPr>
                <w:sz w:val="20"/>
                <w:szCs w:val="20"/>
                <w:color w:val="auto"/>
              </w:rPr>
            </w:pPr>
            <w:r>
              <w:rPr>
                <w:rFonts w:ascii="Times New Roman" w:cs="Times New Roman" w:eastAsia="Times New Roman" w:hAnsi="Times New Roman"/>
                <w:sz w:val="14"/>
                <w:szCs w:val="14"/>
                <w:color w:val="auto"/>
              </w:rPr>
              <w:t>Consolidated Balance Sheets - As of December 31, 2025 and 2024</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78</w:t>
            </w:r>
          </w:p>
        </w:tc>
      </w:tr>
      <w:tr>
        <w:trPr>
          <w:trHeight w:val="180"/>
        </w:trPr>
        <w:tc>
          <w:tcPr>
            <w:tcW w:w="9920" w:type="dxa"/>
            <w:vAlign w:val="bottom"/>
          </w:tcPr>
          <w:p>
            <w:pPr>
              <w:spacing w:after="0"/>
              <w:rPr>
                <w:sz w:val="20"/>
                <w:szCs w:val="20"/>
                <w:color w:val="auto"/>
              </w:rPr>
            </w:pPr>
            <w:r>
              <w:rPr>
                <w:rFonts w:ascii="Times New Roman" w:cs="Times New Roman" w:eastAsia="Times New Roman" w:hAnsi="Times New Roman"/>
                <w:sz w:val="14"/>
                <w:szCs w:val="14"/>
                <w:color w:val="auto"/>
              </w:rPr>
              <w:t>Consolidated Statements of Operations - Years Ended December 31, 2025, 2024, and 2023</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79</w:t>
            </w:r>
          </w:p>
        </w:tc>
      </w:tr>
      <w:tr>
        <w:trPr>
          <w:trHeight w:val="180"/>
        </w:trPr>
        <w:tc>
          <w:tcPr>
            <w:tcW w:w="9920" w:type="dxa"/>
            <w:vAlign w:val="bottom"/>
          </w:tcPr>
          <w:p>
            <w:pPr>
              <w:spacing w:after="0"/>
              <w:rPr>
                <w:sz w:val="20"/>
                <w:szCs w:val="20"/>
                <w:color w:val="auto"/>
              </w:rPr>
            </w:pPr>
            <w:r>
              <w:rPr>
                <w:rFonts w:ascii="Times New Roman" w:cs="Times New Roman" w:eastAsia="Times New Roman" w:hAnsi="Times New Roman"/>
                <w:sz w:val="14"/>
                <w:szCs w:val="14"/>
                <w:color w:val="auto"/>
              </w:rPr>
              <w:t>Consolidated Statements of Comprehensive (Loss) Income - Years Ended December 31, 2025, 2024 and 2023</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80</w:t>
            </w:r>
          </w:p>
        </w:tc>
      </w:tr>
      <w:tr>
        <w:trPr>
          <w:trHeight w:val="180"/>
        </w:trPr>
        <w:tc>
          <w:tcPr>
            <w:tcW w:w="9920" w:type="dxa"/>
            <w:vAlign w:val="bottom"/>
          </w:tcPr>
          <w:p>
            <w:pPr>
              <w:spacing w:after="0"/>
              <w:rPr>
                <w:sz w:val="20"/>
                <w:szCs w:val="20"/>
                <w:color w:val="auto"/>
              </w:rPr>
            </w:pPr>
            <w:r>
              <w:rPr>
                <w:rFonts w:ascii="Times New Roman" w:cs="Times New Roman" w:eastAsia="Times New Roman" w:hAnsi="Times New Roman"/>
                <w:sz w:val="14"/>
                <w:szCs w:val="14"/>
                <w:color w:val="auto"/>
              </w:rPr>
              <w:t>Consolidated Statements of Changes in Equity - Years Ended December 31, 2025, 2024 and 2023</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81</w:t>
            </w:r>
          </w:p>
        </w:tc>
      </w:tr>
      <w:tr>
        <w:trPr>
          <w:trHeight w:val="180"/>
        </w:trPr>
        <w:tc>
          <w:tcPr>
            <w:tcW w:w="9920" w:type="dxa"/>
            <w:vAlign w:val="bottom"/>
          </w:tcPr>
          <w:p>
            <w:pPr>
              <w:spacing w:after="0"/>
              <w:rPr>
                <w:sz w:val="20"/>
                <w:szCs w:val="20"/>
                <w:color w:val="auto"/>
              </w:rPr>
            </w:pPr>
            <w:r>
              <w:rPr>
                <w:rFonts w:ascii="Times New Roman" w:cs="Times New Roman" w:eastAsia="Times New Roman" w:hAnsi="Times New Roman"/>
                <w:sz w:val="14"/>
                <w:szCs w:val="14"/>
                <w:color w:val="auto"/>
              </w:rPr>
              <w:t>Consolidated Statements of Cash Flows - Years Ended December 31, 2025, 2024 and 2023</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82</w:t>
            </w:r>
          </w:p>
        </w:tc>
      </w:tr>
      <w:tr>
        <w:trPr>
          <w:trHeight w:val="184"/>
        </w:trPr>
        <w:tc>
          <w:tcPr>
            <w:tcW w:w="9920" w:type="dxa"/>
            <w:vAlign w:val="bottom"/>
          </w:tcPr>
          <w:p>
            <w:pPr>
              <w:spacing w:after="0"/>
              <w:rPr>
                <w:sz w:val="20"/>
                <w:szCs w:val="20"/>
                <w:color w:val="auto"/>
              </w:rPr>
            </w:pPr>
            <w:r>
              <w:rPr>
                <w:rFonts w:ascii="Times New Roman" w:cs="Times New Roman" w:eastAsia="Times New Roman" w:hAnsi="Times New Roman"/>
                <w:sz w:val="14"/>
                <w:szCs w:val="14"/>
                <w:color w:val="auto"/>
              </w:rPr>
              <w:t>Notes to Consolidated Financial Statements</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84</w:t>
            </w: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ITEM 15(a)(2) - FINANCIAL STATEMENT SCHEDULES</w:t>
      </w:r>
    </w:p>
    <w:p>
      <w:pPr>
        <w:spacing w:after="0" w:line="85"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All schedules for which provision is made in the applicable accounting regulation of the Securities and Exchange Commission are not required under the related instructions or are inapplicable, and therefore have been omitted.</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6" w:right="3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stockholders and the Board of Directors of Tejon Ranch Co.</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Financial Statements</w:t>
      </w:r>
    </w:p>
    <w:p>
      <w:pPr>
        <w:spacing w:after="0" w:line="127" w:lineRule="exact"/>
        <w:rPr>
          <w:sz w:val="20"/>
          <w:szCs w:val="20"/>
          <w:color w:val="auto"/>
        </w:rPr>
      </w:pPr>
    </w:p>
    <w:p>
      <w:pPr>
        <w:ind w:right="140"/>
        <w:spacing w:after="0" w:line="248"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Tejon Ranch Co. and subsidiaries (the "Company") as of December 31, 2025 and 2024, the related consolidated statements of operations, comprehensive (loss) income, changes in equity,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4" w:lineRule="exact"/>
        <w:rPr>
          <w:sz w:val="20"/>
          <w:szCs w:val="20"/>
          <w:color w:val="auto"/>
        </w:rPr>
      </w:pPr>
    </w:p>
    <w:p>
      <w:pPr>
        <w:ind w:right="340"/>
        <w:spacing w:after="0" w:line="248"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99"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4"/>
          <w:szCs w:val="14"/>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Audit Matter</w:t>
      </w:r>
    </w:p>
    <w:p>
      <w:pPr>
        <w:spacing w:after="0" w:line="127" w:lineRule="exact"/>
        <w:rPr>
          <w:sz w:val="20"/>
          <w:szCs w:val="20"/>
          <w:color w:val="auto"/>
        </w:rPr>
      </w:pPr>
    </w:p>
    <w:p>
      <w:pPr>
        <w:ind w:right="540"/>
        <w:spacing w:after="0" w:line="243" w:lineRule="auto"/>
        <w:rPr>
          <w:sz w:val="20"/>
          <w:szCs w:val="20"/>
          <w:color w:val="auto"/>
        </w:rPr>
      </w:pPr>
      <w:r>
        <w:rPr>
          <w:rFonts w:ascii="Times New Roman" w:cs="Times New Roman" w:eastAsia="Times New Roman" w:hAnsi="Times New Roman"/>
          <w:sz w:val="14"/>
          <w:szCs w:val="14"/>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Real Estate — Real Estate Development - Refer to Notes 1 and 5 to the financial statements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Critical Audit Matter Description</w:t>
      </w:r>
    </w:p>
    <w:p>
      <w:pPr>
        <w:spacing w:after="0" w:line="127"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4"/>
          <w:szCs w:val="14"/>
          <w:color w:val="auto"/>
        </w:rPr>
        <w:t>The Company’s evaluation of real estate development for impairment involves an initial assessment of each real estate development to determine whether events or changes in circumstances exist that may indicate that the carrying amounts of a real estate development are no longer recoverable. When events or changes in circumstances exist that result in an indicator of impairment, the Company evaluates the real estate development for impairment by comparing future undiscounted cash flows expected to be generated over the life of the real estate development to the respective carrying amount. If the carrying amount of the real estate development exceeds future undiscounted cash flows, an analysis is performed to determine the fair value of the asset.</w:t>
      </w:r>
    </w:p>
    <w:p>
      <w:pPr>
        <w:spacing w:after="0" w:line="99" w:lineRule="exact"/>
        <w:rPr>
          <w:sz w:val="20"/>
          <w:szCs w:val="20"/>
          <w:color w:val="auto"/>
        </w:rPr>
      </w:pPr>
    </w:p>
    <w:p>
      <w:pPr>
        <w:ind w:right="180"/>
        <w:spacing w:after="0"/>
        <w:rPr>
          <w:sz w:val="20"/>
          <w:szCs w:val="20"/>
          <w:color w:val="auto"/>
        </w:rPr>
      </w:pPr>
      <w:r>
        <w:rPr>
          <w:rFonts w:ascii="Times New Roman" w:cs="Times New Roman" w:eastAsia="Times New Roman" w:hAnsi="Times New Roman"/>
          <w:sz w:val="14"/>
          <w:szCs w:val="14"/>
          <w:color w:val="auto"/>
        </w:rPr>
        <w:t>The Company makes significant assumptions to evaluate each real estate development for possible indications of impairment. Possible indications of impairment may include events or changes in circumstances affecting the Company's strategic plans for the real estate development, the entitlement process, government regulation, litigation, geographical demand for new housing, and market conditions related to pricing of new homes and development costs. These assumptions include the identification of appropriate and comparable market prices, the consideration of the impact of changes to legal factors or the business climate, including those that impact the entitlement process, and assumptions surrounding expected positive cash flows and development costs. Considering that the planned development communities will be in a location that does not currently have many comparable homes, the Company must make assumptions surrounding the expected ability to sell the real estate assets at a price that is in excess of accumulated and estimated future development costs. Further, the facts and circumstances utilized to</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17" w:right="319" w:bottom="1440" w:gutter="0" w:footer="0" w:header="0"/>
        </w:sectPr>
      </w:pPr>
    </w:p>
    <w:bookmarkStart w:id="76" w:name="page77"/>
    <w:bookmarkEnd w:id="76"/>
    <w:p>
      <w:pPr>
        <w:ind w:right="140"/>
        <w:spacing w:after="0" w:line="271" w:lineRule="auto"/>
        <w:rPr>
          <w:sz w:val="20"/>
          <w:szCs w:val="20"/>
          <w:color w:val="auto"/>
        </w:rPr>
      </w:pPr>
      <w:r>
        <w:rPr>
          <w:rFonts w:ascii="Times New Roman" w:cs="Times New Roman" w:eastAsia="Times New Roman" w:hAnsi="Times New Roman"/>
          <w:sz w:val="14"/>
          <w:szCs w:val="14"/>
          <w:color w:val="auto"/>
        </w:rPr>
        <w:t>make these assumptions may change from period to period. The real estate development balance was $356.6 million as of December 31, 2025. No impairment loss has been recognized on any real estate development for the year ended December 31, 2025.</w:t>
      </w:r>
    </w:p>
    <w:p>
      <w:pPr>
        <w:spacing w:after="0" w:line="82" w:lineRule="exact"/>
        <w:rPr>
          <w:sz w:val="20"/>
          <w:szCs w:val="20"/>
          <w:color w:val="auto"/>
        </w:rPr>
      </w:pPr>
    </w:p>
    <w:p>
      <w:pPr>
        <w:jc w:val="both"/>
        <w:ind w:right="400"/>
        <w:spacing w:after="0" w:line="254" w:lineRule="auto"/>
        <w:rPr>
          <w:sz w:val="20"/>
          <w:szCs w:val="20"/>
          <w:color w:val="auto"/>
        </w:rPr>
      </w:pPr>
      <w:r>
        <w:rPr>
          <w:rFonts w:ascii="Times New Roman" w:cs="Times New Roman" w:eastAsia="Times New Roman" w:hAnsi="Times New Roman"/>
          <w:sz w:val="14"/>
          <w:szCs w:val="14"/>
          <w:color w:val="auto"/>
        </w:rPr>
        <w:t>We identified the determination of impairment indicators for real estate development as a critical audit matter due to the quantitative significance of real estate development and because of the assumptions management makes when determining whether events or changes in circumstances have occurred indicating that the carrying amounts of any real estate development may not be recoverable. This required a high degree of auditor judgment when performing audit procedures to evaluate whether management appropriately identified impairment indicators.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How the Critical Audit Matter Was Addressed in the Audit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audit procedures evaluated the real estate development asset for possible indications of impairment including the following, among others:</w:t>
      </w:r>
    </w:p>
    <w:p>
      <w:pPr>
        <w:spacing w:after="0" w:line="72" w:lineRule="exact"/>
        <w:rPr>
          <w:sz w:val="20"/>
          <w:szCs w:val="20"/>
          <w:color w:val="auto"/>
        </w:rPr>
      </w:pPr>
    </w:p>
    <w:p>
      <w:pPr>
        <w:ind w:left="520" w:right="200" w:hanging="260"/>
        <w:spacing w:after="0" w:line="254" w:lineRule="auto"/>
        <w:tabs>
          <w:tab w:leader="none" w:pos="516"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evaluated the design and implementation of controls over management’s identification of circumstances that may indicate the carrying amounts of the real estate developments are no longer recoverable, including controls over management’s evaluation of the Company's strategic plan for each real estate development, the entitlement process, government regulation, litigation, geographical demand for new housing, and market conditions related to pricing of new homes and development costs.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read and evaluated management’s documentation, including relevant accounting policies and information obtained by management from outside sources.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evaluated management’s impairment analysis by:</w:t>
      </w:r>
    </w:p>
    <w:p>
      <w:pPr>
        <w:spacing w:after="0" w:line="125" w:lineRule="exact"/>
        <w:rPr>
          <w:rFonts w:ascii="Times New Roman" w:cs="Times New Roman" w:eastAsia="Times New Roman" w:hAnsi="Times New Roman"/>
          <w:sz w:val="14"/>
          <w:szCs w:val="14"/>
          <w:color w:val="auto"/>
        </w:rPr>
      </w:pPr>
    </w:p>
    <w:p>
      <w:pPr>
        <w:ind w:left="1020" w:right="100" w:hanging="251"/>
        <w:spacing w:after="0" w:line="271" w:lineRule="auto"/>
        <w:tabs>
          <w:tab w:leader="none" w:pos="1017"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Testing the real estate development for possible indications of impairment, including searching for adverse asset-specific and/or market conditions by reviewing publicly available information on trends in home and land values and development costs in the surrounding regions of the Company's real estate developments.</w:t>
      </w:r>
    </w:p>
    <w:p>
      <w:pPr>
        <w:spacing w:after="0" w:line="82" w:lineRule="exact"/>
        <w:rPr>
          <w:rFonts w:ascii="Times New Roman" w:cs="Times New Roman" w:eastAsia="Times New Roman" w:hAnsi="Times New Roman"/>
          <w:sz w:val="14"/>
          <w:szCs w:val="14"/>
          <w:color w:val="auto"/>
        </w:rPr>
      </w:pPr>
    </w:p>
    <w:p>
      <w:pPr>
        <w:ind w:left="1020" w:hanging="251"/>
        <w:spacing w:after="0" w:line="271" w:lineRule="auto"/>
        <w:tabs>
          <w:tab w:leader="none" w:pos="1017"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Searching for contradictory evidence of significant changes, if any, to the Company's strategic plan for the real estate developments, including inquiries with executive management and members of the board of directors, reading minutes of meetings of the board of directors and committees of the board, and evaluating public statements made by the Company.</w:t>
      </w:r>
    </w:p>
    <w:p>
      <w:pPr>
        <w:spacing w:after="0" w:line="82" w:lineRule="exact"/>
        <w:rPr>
          <w:rFonts w:ascii="Times New Roman" w:cs="Times New Roman" w:eastAsia="Times New Roman" w:hAnsi="Times New Roman"/>
          <w:sz w:val="14"/>
          <w:szCs w:val="14"/>
          <w:color w:val="auto"/>
        </w:rPr>
      </w:pPr>
    </w:p>
    <w:p>
      <w:pPr>
        <w:ind w:left="1020" w:right="20" w:hanging="251"/>
        <w:spacing w:after="0" w:line="254" w:lineRule="auto"/>
        <w:tabs>
          <w:tab w:leader="none" w:pos="1017"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Obtaining letters from legal counsel and performing inquiries with the Company’s in-house legal counsel to evaluate any changes in the status of litigation matters affecting the real estate developments and the potential impact on the Company’s ability to recover the accumulated costs, including any relevant government regulations and/or other matters impacting the entitlement process.</w:t>
      </w:r>
    </w:p>
    <w:p>
      <w:pPr>
        <w:spacing w:after="0" w:line="93"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Developing an independent expectation of impairment indicators and comparing such expectation to management’s analysis.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Deloitte &amp; Touche LLP</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Los Angeles, California</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19, 2026</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2019.</w:t>
      </w:r>
    </w:p>
    <w:p>
      <w:pPr>
        <w:spacing w:after="0" w:line="200" w:lineRule="exact"/>
        <w:rPr>
          <w:sz w:val="20"/>
          <w:szCs w:val="20"/>
          <w:color w:val="auto"/>
        </w:rPr>
      </w:pPr>
    </w:p>
    <w:p>
      <w:pPr>
        <w:spacing w:after="0" w:line="2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846" w:right="379" w:bottom="1440" w:gutter="0" w:footer="0" w:header="0"/>
        </w:sectPr>
      </w:pPr>
    </w:p>
    <w:bookmarkStart w:id="77" w:name="page78"/>
    <w:bookmarkEnd w:id="77"/>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TEJON RANCH CO. AND SUBSIDIARIES</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 in thousands, except per share data)</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4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4"/>
                <w:szCs w:val="14"/>
                <w:color w:val="auto"/>
              </w:rPr>
              <w:t>December 31</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76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ASSETS</w:t>
            </w:r>
          </w:p>
        </w:tc>
        <w:tc>
          <w:tcPr>
            <w:tcW w:w="11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2025</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156"/>
        </w:trPr>
        <w:tc>
          <w:tcPr>
            <w:tcW w:w="7640" w:type="dxa"/>
            <w:vAlign w:val="bottom"/>
            <w:vMerge w:val="continue"/>
          </w:tcPr>
          <w:p>
            <w:pPr>
              <w:spacing w:after="0"/>
              <w:rPr>
                <w:sz w:val="13"/>
                <w:szCs w:val="13"/>
                <w:color w:val="auto"/>
              </w:rPr>
            </w:pPr>
          </w:p>
        </w:tc>
        <w:tc>
          <w:tcPr>
            <w:tcW w:w="1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764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1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76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120" w:type="dxa"/>
            <w:vAlign w:val="bottom"/>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9,524</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39,267</w:t>
            </w:r>
          </w:p>
        </w:tc>
        <w:tc>
          <w:tcPr>
            <w:tcW w:w="0" w:type="dxa"/>
            <w:vAlign w:val="bottom"/>
          </w:tcPr>
          <w:p>
            <w:pPr>
              <w:spacing w:after="0"/>
              <w:rPr>
                <w:sz w:val="1"/>
                <w:szCs w:val="1"/>
                <w:color w:val="auto"/>
              </w:rPr>
            </w:pPr>
          </w:p>
        </w:tc>
      </w:tr>
      <w:tr>
        <w:trPr>
          <w:trHeight w:val="180"/>
        </w:trPr>
        <w:tc>
          <w:tcPr>
            <w:tcW w:w="76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Marketable securities - available-for-sale</w:t>
            </w:r>
          </w:p>
        </w:tc>
        <w:tc>
          <w:tcPr>
            <w:tcW w:w="1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15,370</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14,441</w:t>
            </w:r>
          </w:p>
        </w:tc>
        <w:tc>
          <w:tcPr>
            <w:tcW w:w="0" w:type="dxa"/>
            <w:vAlign w:val="bottom"/>
          </w:tcPr>
          <w:p>
            <w:pPr>
              <w:spacing w:after="0"/>
              <w:rPr>
                <w:sz w:val="1"/>
                <w:szCs w:val="1"/>
                <w:color w:val="auto"/>
              </w:rPr>
            </w:pPr>
          </w:p>
        </w:tc>
      </w:tr>
      <w:tr>
        <w:trPr>
          <w:trHeight w:val="180"/>
        </w:trPr>
        <w:tc>
          <w:tcPr>
            <w:tcW w:w="76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Accounts receivable</w:t>
            </w:r>
          </w:p>
        </w:tc>
        <w:tc>
          <w:tcPr>
            <w:tcW w:w="1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9,389</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7,916</w:t>
            </w:r>
          </w:p>
        </w:tc>
        <w:tc>
          <w:tcPr>
            <w:tcW w:w="0" w:type="dxa"/>
            <w:vAlign w:val="bottom"/>
          </w:tcPr>
          <w:p>
            <w:pPr>
              <w:spacing w:after="0"/>
              <w:rPr>
                <w:sz w:val="1"/>
                <w:szCs w:val="1"/>
                <w:color w:val="auto"/>
              </w:rPr>
            </w:pPr>
          </w:p>
        </w:tc>
      </w:tr>
      <w:tr>
        <w:trPr>
          <w:trHeight w:val="180"/>
        </w:trPr>
        <w:tc>
          <w:tcPr>
            <w:tcW w:w="76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Inventories</w:t>
            </w:r>
          </w:p>
        </w:tc>
        <w:tc>
          <w:tcPr>
            <w:tcW w:w="1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3,347</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3,972</w:t>
            </w:r>
          </w:p>
        </w:tc>
        <w:tc>
          <w:tcPr>
            <w:tcW w:w="0" w:type="dxa"/>
            <w:vAlign w:val="bottom"/>
          </w:tcPr>
          <w:p>
            <w:pPr>
              <w:spacing w:after="0"/>
              <w:rPr>
                <w:sz w:val="1"/>
                <w:szCs w:val="1"/>
                <w:color w:val="auto"/>
              </w:rPr>
            </w:pPr>
          </w:p>
        </w:tc>
      </w:tr>
      <w:tr>
        <w:trPr>
          <w:trHeight w:val="180"/>
        </w:trPr>
        <w:tc>
          <w:tcPr>
            <w:tcW w:w="76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1,632</w:t>
            </w:r>
          </w:p>
        </w:tc>
        <w:tc>
          <w:tcPr>
            <w:tcW w:w="1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3,806</w:t>
            </w:r>
          </w:p>
        </w:tc>
        <w:tc>
          <w:tcPr>
            <w:tcW w:w="0" w:type="dxa"/>
            <w:vAlign w:val="bottom"/>
          </w:tcPr>
          <w:p>
            <w:pPr>
              <w:spacing w:after="0"/>
              <w:rPr>
                <w:sz w:val="1"/>
                <w:szCs w:val="1"/>
                <w:color w:val="auto"/>
              </w:rPr>
            </w:pPr>
          </w:p>
        </w:tc>
      </w:tr>
      <w:tr>
        <w:trPr>
          <w:trHeight w:val="171"/>
        </w:trPr>
        <w:tc>
          <w:tcPr>
            <w:tcW w:w="7640" w:type="dxa"/>
            <w:vAlign w:val="bottom"/>
          </w:tcPr>
          <w:p>
            <w:pPr>
              <w:spacing w:after="0"/>
              <w:rPr>
                <w:sz w:val="20"/>
                <w:szCs w:val="20"/>
                <w:color w:val="auto"/>
              </w:rPr>
            </w:pPr>
            <w:r>
              <w:rPr>
                <w:rFonts w:ascii="Times New Roman" w:cs="Times New Roman" w:eastAsia="Times New Roman" w:hAnsi="Times New Roman"/>
                <w:sz w:val="14"/>
                <w:szCs w:val="14"/>
                <w:color w:val="auto"/>
              </w:rPr>
              <w:t>Total current assets</w:t>
            </w:r>
          </w:p>
        </w:tc>
        <w:tc>
          <w:tcPr>
            <w:tcW w:w="1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39,262</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69,402</w:t>
            </w:r>
          </w:p>
        </w:tc>
        <w:tc>
          <w:tcPr>
            <w:tcW w:w="0" w:type="dxa"/>
            <w:vAlign w:val="bottom"/>
          </w:tcPr>
          <w:p>
            <w:pPr>
              <w:spacing w:after="0"/>
              <w:rPr>
                <w:sz w:val="1"/>
                <w:szCs w:val="1"/>
                <w:color w:val="auto"/>
              </w:rPr>
            </w:pPr>
          </w:p>
        </w:tc>
      </w:tr>
      <w:tr>
        <w:trPr>
          <w:trHeight w:val="180"/>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Real estate and improvements - held for lease, net</w:t>
            </w:r>
          </w:p>
        </w:tc>
        <w:tc>
          <w:tcPr>
            <w:tcW w:w="1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79,177</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16,253</w:t>
            </w:r>
          </w:p>
        </w:tc>
        <w:tc>
          <w:tcPr>
            <w:tcW w:w="0" w:type="dxa"/>
            <w:vAlign w:val="bottom"/>
          </w:tcPr>
          <w:p>
            <w:pPr>
              <w:spacing w:after="0"/>
              <w:rPr>
                <w:sz w:val="1"/>
                <w:szCs w:val="1"/>
                <w:color w:val="auto"/>
              </w:rPr>
            </w:pPr>
          </w:p>
        </w:tc>
      </w:tr>
      <w:tr>
        <w:trPr>
          <w:trHeight w:val="138"/>
        </w:trPr>
        <w:tc>
          <w:tcPr>
            <w:tcW w:w="7640" w:type="dxa"/>
            <w:vAlign w:val="bottom"/>
          </w:tcPr>
          <w:p>
            <w:pPr>
              <w:spacing w:after="0" w:line="138" w:lineRule="exact"/>
              <w:rPr>
                <w:sz w:val="20"/>
                <w:szCs w:val="20"/>
                <w:color w:val="auto"/>
              </w:rPr>
            </w:pPr>
            <w:r>
              <w:rPr>
                <w:rFonts w:ascii="Times New Roman" w:cs="Times New Roman" w:eastAsia="Times New Roman" w:hAnsi="Times New Roman"/>
                <w:sz w:val="14"/>
                <w:szCs w:val="14"/>
                <w:color w:val="auto"/>
              </w:rPr>
              <w:t>Real estate development (includes $128,549 at December 31, 2025 and $124,136 at December 31, 2024, attributable to Centennial</w:t>
            </w: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7640" w:type="dxa"/>
            <w:vAlign w:val="bottom"/>
          </w:tcPr>
          <w:p>
            <w:pPr>
              <w:spacing w:after="0"/>
              <w:rPr>
                <w:sz w:val="20"/>
                <w:szCs w:val="20"/>
                <w:color w:val="auto"/>
              </w:rPr>
            </w:pPr>
            <w:r>
              <w:rPr>
                <w:rFonts w:ascii="Times New Roman" w:cs="Times New Roman" w:eastAsia="Times New Roman" w:hAnsi="Times New Roman"/>
                <w:sz w:val="14"/>
                <w:szCs w:val="14"/>
                <w:color w:val="auto"/>
              </w:rPr>
              <w:t>Founders, LLC, Note 16)</w:t>
            </w:r>
          </w:p>
        </w:tc>
        <w:tc>
          <w:tcPr>
            <w:tcW w:w="1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356,567</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377,905</w:t>
            </w:r>
          </w:p>
        </w:tc>
        <w:tc>
          <w:tcPr>
            <w:tcW w:w="0" w:type="dxa"/>
            <w:vAlign w:val="bottom"/>
          </w:tcPr>
          <w:p>
            <w:pPr>
              <w:spacing w:after="0"/>
              <w:rPr>
                <w:sz w:val="1"/>
                <w:szCs w:val="1"/>
                <w:color w:val="auto"/>
              </w:rPr>
            </w:pPr>
          </w:p>
        </w:tc>
      </w:tr>
      <w:tr>
        <w:trPr>
          <w:trHeight w:val="181"/>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59,311</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56,387</w:t>
            </w:r>
          </w:p>
        </w:tc>
        <w:tc>
          <w:tcPr>
            <w:tcW w:w="0" w:type="dxa"/>
            <w:vAlign w:val="bottom"/>
          </w:tcPr>
          <w:p>
            <w:pPr>
              <w:spacing w:after="0"/>
              <w:rPr>
                <w:sz w:val="1"/>
                <w:szCs w:val="1"/>
                <w:color w:val="auto"/>
              </w:rPr>
            </w:pPr>
          </w:p>
        </w:tc>
      </w:tr>
      <w:tr>
        <w:trPr>
          <w:trHeight w:val="180"/>
        </w:trPr>
        <w:tc>
          <w:tcPr>
            <w:tcW w:w="7640" w:type="dxa"/>
            <w:vAlign w:val="bottom"/>
          </w:tcPr>
          <w:p>
            <w:pPr>
              <w:spacing w:after="0"/>
              <w:rPr>
                <w:sz w:val="20"/>
                <w:szCs w:val="20"/>
                <w:color w:val="auto"/>
              </w:rPr>
            </w:pPr>
            <w:r>
              <w:rPr>
                <w:rFonts w:ascii="Times New Roman" w:cs="Times New Roman" w:eastAsia="Times New Roman" w:hAnsi="Times New Roman"/>
                <w:sz w:val="14"/>
                <w:szCs w:val="14"/>
                <w:color w:val="auto"/>
              </w:rPr>
              <w:t>Investments in unconsolidated joint ventures</w:t>
            </w:r>
          </w:p>
        </w:tc>
        <w:tc>
          <w:tcPr>
            <w:tcW w:w="1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29,986</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28,980</w:t>
            </w:r>
          </w:p>
        </w:tc>
        <w:tc>
          <w:tcPr>
            <w:tcW w:w="0" w:type="dxa"/>
            <w:vAlign w:val="bottom"/>
          </w:tcPr>
          <w:p>
            <w:pPr>
              <w:spacing w:after="0"/>
              <w:rPr>
                <w:sz w:val="1"/>
                <w:szCs w:val="1"/>
                <w:color w:val="auto"/>
              </w:rPr>
            </w:pPr>
          </w:p>
        </w:tc>
      </w:tr>
      <w:tr>
        <w:trPr>
          <w:trHeight w:val="180"/>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investment in water assets</w:t>
            </w:r>
          </w:p>
        </w:tc>
        <w:tc>
          <w:tcPr>
            <w:tcW w:w="1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62,593</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55,091</w:t>
            </w:r>
          </w:p>
        </w:tc>
        <w:tc>
          <w:tcPr>
            <w:tcW w:w="0" w:type="dxa"/>
            <w:vAlign w:val="bottom"/>
          </w:tcPr>
          <w:p>
            <w:pPr>
              <w:spacing w:after="0"/>
              <w:rPr>
                <w:sz w:val="1"/>
                <w:szCs w:val="1"/>
                <w:color w:val="auto"/>
              </w:rPr>
            </w:pPr>
          </w:p>
        </w:tc>
      </w:tr>
      <w:tr>
        <w:trPr>
          <w:trHeight w:val="180"/>
        </w:trPr>
        <w:tc>
          <w:tcPr>
            <w:tcW w:w="7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1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3,573</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3,980</w:t>
            </w:r>
          </w:p>
        </w:tc>
        <w:tc>
          <w:tcPr>
            <w:tcW w:w="0" w:type="dxa"/>
            <w:vAlign w:val="bottom"/>
          </w:tcPr>
          <w:p>
            <w:pPr>
              <w:spacing w:after="0"/>
              <w:rPr>
                <w:sz w:val="1"/>
                <w:szCs w:val="1"/>
                <w:color w:val="auto"/>
              </w:rPr>
            </w:pPr>
          </w:p>
        </w:tc>
      </w:tr>
      <w:tr>
        <w:trPr>
          <w:trHeight w:val="196"/>
        </w:trPr>
        <w:tc>
          <w:tcPr>
            <w:tcW w:w="7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1120" w:type="dxa"/>
            <w:vAlign w:val="bottom"/>
            <w:tcBorders>
              <w:bottom w:val="single" w:sz="8" w:color="auto"/>
            </w:tcBorders>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630,469</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607,998</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LIABILITIES AND EQUITY</w:t>
            </w: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764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1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Trade accounts payable</w:t>
            </w:r>
          </w:p>
        </w:tc>
        <w:tc>
          <w:tcPr>
            <w:tcW w:w="1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5,240</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9,085</w:t>
            </w:r>
          </w:p>
        </w:tc>
        <w:tc>
          <w:tcPr>
            <w:tcW w:w="0" w:type="dxa"/>
            <w:vAlign w:val="bottom"/>
          </w:tcPr>
          <w:p>
            <w:pPr>
              <w:spacing w:after="0"/>
              <w:rPr>
                <w:sz w:val="1"/>
                <w:szCs w:val="1"/>
                <w:color w:val="auto"/>
              </w:rPr>
            </w:pPr>
          </w:p>
        </w:tc>
      </w:tr>
      <w:tr>
        <w:trPr>
          <w:trHeight w:val="180"/>
        </w:trPr>
        <w:tc>
          <w:tcPr>
            <w:tcW w:w="76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Accrued liabilities and other</w:t>
            </w:r>
          </w:p>
        </w:tc>
        <w:tc>
          <w:tcPr>
            <w:tcW w:w="1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2,188</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5,549</w:t>
            </w:r>
          </w:p>
        </w:tc>
        <w:tc>
          <w:tcPr>
            <w:tcW w:w="0" w:type="dxa"/>
            <w:vAlign w:val="bottom"/>
          </w:tcPr>
          <w:p>
            <w:pPr>
              <w:spacing w:after="0"/>
              <w:rPr>
                <w:sz w:val="1"/>
                <w:szCs w:val="1"/>
                <w:color w:val="auto"/>
              </w:rPr>
            </w:pPr>
          </w:p>
        </w:tc>
      </w:tr>
      <w:tr>
        <w:trPr>
          <w:trHeight w:val="180"/>
        </w:trPr>
        <w:tc>
          <w:tcPr>
            <w:tcW w:w="764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4"/>
                <w:szCs w:val="14"/>
                <w:color w:val="auto"/>
              </w:rPr>
              <w:t>Deferred income</w:t>
            </w:r>
          </w:p>
        </w:tc>
        <w:tc>
          <w:tcPr>
            <w:tcW w:w="1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2,062</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2,162</w:t>
            </w:r>
          </w:p>
        </w:tc>
        <w:tc>
          <w:tcPr>
            <w:tcW w:w="0" w:type="dxa"/>
            <w:vAlign w:val="bottom"/>
          </w:tcPr>
          <w:p>
            <w:pPr>
              <w:spacing w:after="0"/>
              <w:rPr>
                <w:sz w:val="1"/>
                <w:szCs w:val="1"/>
                <w:color w:val="auto"/>
              </w:rPr>
            </w:pPr>
          </w:p>
        </w:tc>
      </w:tr>
      <w:tr>
        <w:trPr>
          <w:trHeight w:val="171"/>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9,490</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16,796</w:t>
            </w:r>
          </w:p>
        </w:tc>
        <w:tc>
          <w:tcPr>
            <w:tcW w:w="0" w:type="dxa"/>
            <w:vAlign w:val="bottom"/>
          </w:tcPr>
          <w:p>
            <w:pPr>
              <w:spacing w:after="0"/>
              <w:rPr>
                <w:sz w:val="1"/>
                <w:szCs w:val="1"/>
                <w:color w:val="auto"/>
              </w:rPr>
            </w:pPr>
          </w:p>
        </w:tc>
      </w:tr>
      <w:tr>
        <w:trPr>
          <w:trHeight w:val="180"/>
        </w:trPr>
        <w:tc>
          <w:tcPr>
            <w:tcW w:w="7640" w:type="dxa"/>
            <w:vAlign w:val="bottom"/>
          </w:tcPr>
          <w:p>
            <w:pPr>
              <w:spacing w:after="0"/>
              <w:rPr>
                <w:sz w:val="20"/>
                <w:szCs w:val="20"/>
                <w:color w:val="auto"/>
              </w:rPr>
            </w:pPr>
            <w:r>
              <w:rPr>
                <w:rFonts w:ascii="Times New Roman" w:cs="Times New Roman" w:eastAsia="Times New Roman" w:hAnsi="Times New Roman"/>
                <w:sz w:val="14"/>
                <w:szCs w:val="14"/>
                <w:color w:val="auto"/>
              </w:rPr>
              <w:t>Revolving line of credit</w:t>
            </w:r>
          </w:p>
        </w:tc>
        <w:tc>
          <w:tcPr>
            <w:tcW w:w="1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93,942</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66,942</w:t>
            </w:r>
          </w:p>
        </w:tc>
        <w:tc>
          <w:tcPr>
            <w:tcW w:w="0" w:type="dxa"/>
            <w:vAlign w:val="bottom"/>
          </w:tcPr>
          <w:p>
            <w:pPr>
              <w:spacing w:after="0"/>
              <w:rPr>
                <w:sz w:val="1"/>
                <w:szCs w:val="1"/>
                <w:color w:val="auto"/>
              </w:rPr>
            </w:pPr>
          </w:p>
        </w:tc>
      </w:tr>
      <w:tr>
        <w:trPr>
          <w:trHeight w:val="180"/>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Long-term deferred gains</w:t>
            </w:r>
          </w:p>
        </w:tc>
        <w:tc>
          <w:tcPr>
            <w:tcW w:w="1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10,935</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11,447</w:t>
            </w:r>
          </w:p>
        </w:tc>
        <w:tc>
          <w:tcPr>
            <w:tcW w:w="0" w:type="dxa"/>
            <w:vAlign w:val="bottom"/>
          </w:tcPr>
          <w:p>
            <w:pPr>
              <w:spacing w:after="0"/>
              <w:rPr>
                <w:sz w:val="1"/>
                <w:szCs w:val="1"/>
                <w:color w:val="auto"/>
              </w:rPr>
            </w:pPr>
          </w:p>
        </w:tc>
      </w:tr>
      <w:tr>
        <w:trPr>
          <w:trHeight w:val="180"/>
        </w:trPr>
        <w:tc>
          <w:tcPr>
            <w:tcW w:w="7640" w:type="dxa"/>
            <w:vAlign w:val="bottom"/>
          </w:tcPr>
          <w:p>
            <w:pPr>
              <w:spacing w:after="0"/>
              <w:rPr>
                <w:sz w:val="20"/>
                <w:szCs w:val="20"/>
                <w:color w:val="auto"/>
              </w:rPr>
            </w:pPr>
            <w:r>
              <w:rPr>
                <w:rFonts w:ascii="Times New Roman" w:cs="Times New Roman" w:eastAsia="Times New Roman" w:hAnsi="Times New Roman"/>
                <w:sz w:val="14"/>
                <w:szCs w:val="14"/>
                <w:color w:val="auto"/>
              </w:rPr>
              <w:t>Deferred tax liability</w:t>
            </w:r>
          </w:p>
        </w:tc>
        <w:tc>
          <w:tcPr>
            <w:tcW w:w="1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9,849</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9,059</w:t>
            </w:r>
          </w:p>
        </w:tc>
        <w:tc>
          <w:tcPr>
            <w:tcW w:w="0" w:type="dxa"/>
            <w:vAlign w:val="bottom"/>
          </w:tcPr>
          <w:p>
            <w:pPr>
              <w:spacing w:after="0"/>
              <w:rPr>
                <w:sz w:val="1"/>
                <w:szCs w:val="1"/>
                <w:color w:val="auto"/>
              </w:rPr>
            </w:pPr>
          </w:p>
        </w:tc>
      </w:tr>
      <w:tr>
        <w:trPr>
          <w:trHeight w:val="180"/>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1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15,697</w:t>
            </w:r>
          </w:p>
        </w:tc>
        <w:tc>
          <w:tcPr>
            <w:tcW w:w="1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14,798</w:t>
            </w:r>
          </w:p>
        </w:tc>
        <w:tc>
          <w:tcPr>
            <w:tcW w:w="0" w:type="dxa"/>
            <w:vAlign w:val="bottom"/>
          </w:tcPr>
          <w:p>
            <w:pPr>
              <w:spacing w:after="0"/>
              <w:rPr>
                <w:sz w:val="1"/>
                <w:szCs w:val="1"/>
                <w:color w:val="auto"/>
              </w:rPr>
            </w:pPr>
          </w:p>
        </w:tc>
      </w:tr>
      <w:tr>
        <w:trPr>
          <w:trHeight w:val="171"/>
        </w:trPr>
        <w:tc>
          <w:tcPr>
            <w:tcW w:w="76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Total liabilities</w:t>
            </w:r>
          </w:p>
        </w:tc>
        <w:tc>
          <w:tcPr>
            <w:tcW w:w="1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139,913</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119,042</w:t>
            </w:r>
          </w:p>
        </w:tc>
        <w:tc>
          <w:tcPr>
            <w:tcW w:w="0" w:type="dxa"/>
            <w:vAlign w:val="bottom"/>
          </w:tcPr>
          <w:p>
            <w:pPr>
              <w:spacing w:after="0"/>
              <w:rPr>
                <w:sz w:val="1"/>
                <w:szCs w:val="1"/>
                <w:color w:val="auto"/>
              </w:rPr>
            </w:pPr>
          </w:p>
        </w:tc>
      </w:tr>
      <w:tr>
        <w:trPr>
          <w:trHeight w:val="180"/>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1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40" w:type="dxa"/>
            <w:vAlign w:val="bottom"/>
          </w:tcPr>
          <w:p>
            <w:pPr>
              <w:spacing w:after="0"/>
              <w:rPr>
                <w:sz w:val="20"/>
                <w:szCs w:val="20"/>
                <w:color w:val="auto"/>
              </w:rPr>
            </w:pPr>
            <w:r>
              <w:rPr>
                <w:rFonts w:ascii="Times New Roman" w:cs="Times New Roman" w:eastAsia="Times New Roman" w:hAnsi="Times New Roman"/>
                <w:sz w:val="14"/>
                <w:szCs w:val="14"/>
                <w:color w:val="auto"/>
              </w:rPr>
              <w:t>Equity:</w:t>
            </w:r>
          </w:p>
        </w:tc>
        <w:tc>
          <w:tcPr>
            <w:tcW w:w="1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Tejon Ranch Co. stockholders’ equity</w:t>
            </w:r>
          </w:p>
        </w:tc>
        <w:tc>
          <w:tcPr>
            <w:tcW w:w="1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Common stock, $0.50 par value per share:</w:t>
            </w:r>
          </w:p>
        </w:tc>
        <w:tc>
          <w:tcPr>
            <w:tcW w:w="1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Authorized shares - 50,000,000</w:t>
            </w:r>
          </w:p>
        </w:tc>
        <w:tc>
          <w:tcPr>
            <w:tcW w:w="1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Issued and outstanding shares - 26,916,837 at December 31, 2025 and 26,822,768 at December 31, 2024</w:t>
            </w:r>
          </w:p>
        </w:tc>
        <w:tc>
          <w:tcPr>
            <w:tcW w:w="1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13,460</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13,412</w:t>
            </w:r>
          </w:p>
        </w:tc>
        <w:tc>
          <w:tcPr>
            <w:tcW w:w="0" w:type="dxa"/>
            <w:vAlign w:val="bottom"/>
          </w:tcPr>
          <w:p>
            <w:pPr>
              <w:spacing w:after="0"/>
              <w:rPr>
                <w:sz w:val="1"/>
                <w:szCs w:val="1"/>
                <w:color w:val="auto"/>
              </w:rPr>
            </w:pPr>
          </w:p>
        </w:tc>
      </w:tr>
      <w:tr>
        <w:trPr>
          <w:trHeight w:val="180"/>
        </w:trPr>
        <w:tc>
          <w:tcPr>
            <w:tcW w:w="76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350,242</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348,497</w:t>
            </w:r>
          </w:p>
        </w:tc>
        <w:tc>
          <w:tcPr>
            <w:tcW w:w="0" w:type="dxa"/>
            <w:vAlign w:val="bottom"/>
          </w:tcPr>
          <w:p>
            <w:pPr>
              <w:spacing w:after="0"/>
              <w:rPr>
                <w:sz w:val="1"/>
                <w:szCs w:val="1"/>
                <w:color w:val="auto"/>
              </w:rPr>
            </w:pPr>
          </w:p>
        </w:tc>
      </w:tr>
      <w:tr>
        <w:trPr>
          <w:trHeight w:val="180"/>
        </w:trPr>
        <w:tc>
          <w:tcPr>
            <w:tcW w:w="76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Accumulated other comprehensive (loss) income</w:t>
            </w:r>
          </w:p>
        </w:tc>
        <w:tc>
          <w:tcPr>
            <w:tcW w:w="1120" w:type="dxa"/>
            <w:vAlign w:val="bottom"/>
          </w:tcPr>
          <w:p>
            <w:pPr>
              <w:spacing w:after="0"/>
              <w:rPr>
                <w:sz w:val="15"/>
                <w:szCs w:val="15"/>
                <w:color w:val="auto"/>
              </w:rPr>
            </w:pPr>
          </w:p>
        </w:tc>
        <w:tc>
          <w:tcPr>
            <w:tcW w:w="6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180"/>
        </w:trPr>
        <w:tc>
          <w:tcPr>
            <w:tcW w:w="76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Retained earnings</w:t>
            </w:r>
          </w:p>
        </w:tc>
        <w:tc>
          <w:tcPr>
            <w:tcW w:w="1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111,673</w:t>
            </w:r>
          </w:p>
        </w:tc>
        <w:tc>
          <w:tcPr>
            <w:tcW w:w="1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111,598</w:t>
            </w:r>
          </w:p>
        </w:tc>
        <w:tc>
          <w:tcPr>
            <w:tcW w:w="0" w:type="dxa"/>
            <w:vAlign w:val="bottom"/>
          </w:tcPr>
          <w:p>
            <w:pPr>
              <w:spacing w:after="0"/>
              <w:rPr>
                <w:sz w:val="1"/>
                <w:szCs w:val="1"/>
                <w:color w:val="auto"/>
              </w:rPr>
            </w:pPr>
          </w:p>
        </w:tc>
      </w:tr>
      <w:tr>
        <w:trPr>
          <w:trHeight w:val="171"/>
        </w:trPr>
        <w:tc>
          <w:tcPr>
            <w:tcW w:w="76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Tejon Ranch Co. stockholders’ equity</w:t>
            </w:r>
          </w:p>
        </w:tc>
        <w:tc>
          <w:tcPr>
            <w:tcW w:w="1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475,198</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473,594</w:t>
            </w:r>
          </w:p>
        </w:tc>
        <w:tc>
          <w:tcPr>
            <w:tcW w:w="0" w:type="dxa"/>
            <w:vAlign w:val="bottom"/>
          </w:tcPr>
          <w:p>
            <w:pPr>
              <w:spacing w:after="0"/>
              <w:rPr>
                <w:sz w:val="1"/>
                <w:szCs w:val="1"/>
                <w:color w:val="auto"/>
              </w:rPr>
            </w:pPr>
          </w:p>
        </w:tc>
      </w:tr>
      <w:tr>
        <w:trPr>
          <w:trHeight w:val="180"/>
        </w:trPr>
        <w:tc>
          <w:tcPr>
            <w:tcW w:w="7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Non-controlling interest</w:t>
            </w:r>
          </w:p>
        </w:tc>
        <w:tc>
          <w:tcPr>
            <w:tcW w:w="1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15,358</w:t>
            </w:r>
          </w:p>
        </w:tc>
        <w:tc>
          <w:tcPr>
            <w:tcW w:w="1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15,362</w:t>
            </w:r>
          </w:p>
        </w:tc>
        <w:tc>
          <w:tcPr>
            <w:tcW w:w="0" w:type="dxa"/>
            <w:vAlign w:val="bottom"/>
          </w:tcPr>
          <w:p>
            <w:pPr>
              <w:spacing w:after="0"/>
              <w:rPr>
                <w:sz w:val="1"/>
                <w:szCs w:val="1"/>
                <w:color w:val="auto"/>
              </w:rPr>
            </w:pPr>
          </w:p>
        </w:tc>
      </w:tr>
      <w:tr>
        <w:trPr>
          <w:trHeight w:val="171"/>
        </w:trPr>
        <w:tc>
          <w:tcPr>
            <w:tcW w:w="7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Total equity</w:t>
            </w:r>
          </w:p>
        </w:tc>
        <w:tc>
          <w:tcPr>
            <w:tcW w:w="1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490,556</w:t>
            </w: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488,956</w:t>
            </w:r>
          </w:p>
        </w:tc>
        <w:tc>
          <w:tcPr>
            <w:tcW w:w="0" w:type="dxa"/>
            <w:vAlign w:val="bottom"/>
          </w:tcPr>
          <w:p>
            <w:pPr>
              <w:spacing w:after="0"/>
              <w:rPr>
                <w:sz w:val="1"/>
                <w:szCs w:val="1"/>
                <w:color w:val="auto"/>
              </w:rPr>
            </w:pPr>
          </w:p>
        </w:tc>
      </w:tr>
      <w:tr>
        <w:trPr>
          <w:trHeight w:val="196"/>
        </w:trPr>
        <w:tc>
          <w:tcPr>
            <w:tcW w:w="7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LIABILITIES AND EQUITY</w:t>
            </w:r>
          </w:p>
        </w:tc>
        <w:tc>
          <w:tcPr>
            <w:tcW w:w="1120" w:type="dxa"/>
            <w:vAlign w:val="bottom"/>
            <w:tcBorders>
              <w:bottom w:val="single" w:sz="8" w:color="auto"/>
            </w:tcBorders>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630,469</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607,998</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See accompanying notes.</w:t>
      </w: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728" w:right="31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4"/>
          <w:szCs w:val="14"/>
          <w:b w:val="1"/>
          <w:bCs w:val="1"/>
          <w:color w:val="auto"/>
        </w:rPr>
        <w:t>TEJON RANCH CO.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in thousands, except per share amounts)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Year Ended December 31</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5"/>
        </w:trPr>
        <w:tc>
          <w:tcPr>
            <w:tcW w:w="7100" w:type="dxa"/>
            <w:vAlign w:val="bottom"/>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7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160"/>
        </w:trPr>
        <w:tc>
          <w:tcPr>
            <w:tcW w:w="7100" w:type="dxa"/>
            <w:vAlign w:val="bottom"/>
            <w:vMerge w:val="continue"/>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7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Real estate - commercial/industrial</w:t>
            </w:r>
          </w:p>
        </w:tc>
        <w:tc>
          <w:tcPr>
            <w:tcW w:w="840" w:type="dxa"/>
            <w:vAlign w:val="bottom"/>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15,006</w:t>
            </w:r>
          </w:p>
        </w:tc>
        <w:tc>
          <w:tcPr>
            <w:tcW w:w="400" w:type="dxa"/>
            <w:vAlign w:val="bottom"/>
            <w:gridSpan w:val="2"/>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12,552</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11,758</w:t>
            </w:r>
          </w:p>
        </w:tc>
        <w:tc>
          <w:tcPr>
            <w:tcW w:w="0" w:type="dxa"/>
            <w:vAlign w:val="bottom"/>
          </w:tcPr>
          <w:p>
            <w:pPr>
              <w:spacing w:after="0"/>
              <w:rPr>
                <w:sz w:val="1"/>
                <w:szCs w:val="1"/>
                <w:color w:val="auto"/>
              </w:rPr>
            </w:pPr>
          </w:p>
        </w:tc>
      </w:tr>
      <w:tr>
        <w:trPr>
          <w:trHeight w:val="180"/>
        </w:trPr>
        <w:tc>
          <w:tcPr>
            <w:tcW w:w="7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Multifamily</w:t>
            </w:r>
          </w:p>
        </w:tc>
        <w:tc>
          <w:tcPr>
            <w:tcW w:w="8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Mineral resources</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9,636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10,214</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14,524</w:t>
            </w:r>
          </w:p>
        </w:tc>
        <w:tc>
          <w:tcPr>
            <w:tcW w:w="0" w:type="dxa"/>
            <w:vAlign w:val="bottom"/>
          </w:tcPr>
          <w:p>
            <w:pPr>
              <w:spacing w:after="0"/>
              <w:rPr>
                <w:sz w:val="1"/>
                <w:szCs w:val="1"/>
                <w:color w:val="auto"/>
              </w:rPr>
            </w:pPr>
          </w:p>
        </w:tc>
      </w:tr>
      <w:tr>
        <w:trPr>
          <w:trHeight w:val="180"/>
        </w:trPr>
        <w:tc>
          <w:tcPr>
            <w:tcW w:w="7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Farming</w:t>
            </w:r>
          </w:p>
        </w:tc>
        <w:tc>
          <w:tcPr>
            <w:tcW w:w="8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18,738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13,925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13,950</w:t>
            </w:r>
          </w:p>
        </w:tc>
        <w:tc>
          <w:tcPr>
            <w:tcW w:w="0" w:type="dxa"/>
            <w:vAlign w:val="bottom"/>
          </w:tcPr>
          <w:p>
            <w:pPr>
              <w:spacing w:after="0"/>
              <w:rPr>
                <w:sz w:val="1"/>
                <w:szCs w:val="1"/>
                <w:color w:val="auto"/>
              </w:rPr>
            </w:pPr>
          </w:p>
        </w:tc>
      </w:tr>
      <w:tr>
        <w:trPr>
          <w:trHeight w:val="180"/>
        </w:trPr>
        <w:tc>
          <w:tcPr>
            <w:tcW w:w="7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Ranch operations</w:t>
            </w:r>
          </w:p>
        </w:tc>
        <w:tc>
          <w:tcPr>
            <w:tcW w:w="84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5,479</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5,195</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4,507</w:t>
            </w:r>
          </w:p>
        </w:tc>
        <w:tc>
          <w:tcPr>
            <w:tcW w:w="0" w:type="dxa"/>
            <w:vAlign w:val="bottom"/>
          </w:tcPr>
          <w:p>
            <w:pPr>
              <w:spacing w:after="0"/>
              <w:rPr>
                <w:sz w:val="1"/>
                <w:szCs w:val="1"/>
                <w:color w:val="auto"/>
              </w:rPr>
            </w:pPr>
          </w:p>
        </w:tc>
      </w:tr>
      <w:tr>
        <w:trPr>
          <w:trHeight w:val="171"/>
        </w:trPr>
        <w:tc>
          <w:tcPr>
            <w:tcW w:w="7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revenues</w:t>
            </w:r>
          </w:p>
        </w:tc>
        <w:tc>
          <w:tcPr>
            <w:tcW w:w="8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49,591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41,886</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44,739</w:t>
            </w:r>
          </w:p>
        </w:tc>
        <w:tc>
          <w:tcPr>
            <w:tcW w:w="0" w:type="dxa"/>
            <w:vAlign w:val="bottom"/>
          </w:tcPr>
          <w:p>
            <w:pPr>
              <w:spacing w:after="0"/>
              <w:rPr>
                <w:sz w:val="1"/>
                <w:szCs w:val="1"/>
                <w:color w:val="auto"/>
              </w:rPr>
            </w:pPr>
          </w:p>
        </w:tc>
      </w:tr>
      <w:tr>
        <w:trPr>
          <w:trHeight w:val="18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Costs and expenses:</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Real estate - commercial/industrial</w:t>
            </w:r>
          </w:p>
        </w:tc>
        <w:tc>
          <w:tcPr>
            <w:tcW w:w="8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7,910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8,053</w:t>
            </w:r>
          </w:p>
        </w:tc>
        <w:tc>
          <w:tcPr>
            <w:tcW w:w="0" w:type="dxa"/>
            <w:vAlign w:val="bottom"/>
          </w:tcPr>
          <w:p>
            <w:pPr>
              <w:spacing w:after="0"/>
              <w:rPr>
                <w:sz w:val="1"/>
                <w:szCs w:val="1"/>
                <w:color w:val="auto"/>
              </w:rPr>
            </w:pPr>
          </w:p>
        </w:tc>
      </w:tr>
      <w:tr>
        <w:trPr>
          <w:trHeight w:val="180"/>
        </w:trPr>
        <w:tc>
          <w:tcPr>
            <w:tcW w:w="7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Multifamily</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Real estate - resort/residential</w:t>
            </w:r>
          </w:p>
        </w:tc>
        <w:tc>
          <w:tcPr>
            <w:tcW w:w="8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1,528</w:t>
            </w:r>
          </w:p>
        </w:tc>
        <w:tc>
          <w:tcPr>
            <w:tcW w:w="0" w:type="dxa"/>
            <w:vAlign w:val="bottom"/>
          </w:tcPr>
          <w:p>
            <w:pPr>
              <w:spacing w:after="0"/>
              <w:rPr>
                <w:sz w:val="1"/>
                <w:szCs w:val="1"/>
                <w:color w:val="auto"/>
              </w:rPr>
            </w:pPr>
          </w:p>
        </w:tc>
      </w:tr>
      <w:tr>
        <w:trPr>
          <w:trHeight w:val="180"/>
        </w:trPr>
        <w:tc>
          <w:tcPr>
            <w:tcW w:w="7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Mineral resources</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7,052</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8,685</w:t>
            </w:r>
          </w:p>
        </w:tc>
        <w:tc>
          <w:tcPr>
            <w:tcW w:w="0" w:type="dxa"/>
            <w:vAlign w:val="bottom"/>
          </w:tcPr>
          <w:p>
            <w:pPr>
              <w:spacing w:after="0"/>
              <w:rPr>
                <w:sz w:val="1"/>
                <w:szCs w:val="1"/>
                <w:color w:val="auto"/>
              </w:rPr>
            </w:pPr>
          </w:p>
        </w:tc>
      </w:tr>
      <w:tr>
        <w:trPr>
          <w:trHeight w:val="180"/>
        </w:trPr>
        <w:tc>
          <w:tcPr>
            <w:tcW w:w="7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Farming</w:t>
            </w:r>
          </w:p>
        </w:tc>
        <w:tc>
          <w:tcPr>
            <w:tcW w:w="8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18,850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17,551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15,257</w:t>
            </w:r>
          </w:p>
        </w:tc>
        <w:tc>
          <w:tcPr>
            <w:tcW w:w="0" w:type="dxa"/>
            <w:vAlign w:val="bottom"/>
          </w:tcPr>
          <w:p>
            <w:pPr>
              <w:spacing w:after="0"/>
              <w:rPr>
                <w:sz w:val="1"/>
                <w:szCs w:val="1"/>
                <w:color w:val="auto"/>
              </w:rPr>
            </w:pPr>
          </w:p>
        </w:tc>
      </w:tr>
      <w:tr>
        <w:trPr>
          <w:trHeight w:val="180"/>
        </w:trPr>
        <w:tc>
          <w:tcPr>
            <w:tcW w:w="7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Ranch operations</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4,864</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5,043</w:t>
            </w:r>
          </w:p>
        </w:tc>
        <w:tc>
          <w:tcPr>
            <w:tcW w:w="0" w:type="dxa"/>
            <w:vAlign w:val="bottom"/>
          </w:tcPr>
          <w:p>
            <w:pPr>
              <w:spacing w:after="0"/>
              <w:rPr>
                <w:sz w:val="1"/>
                <w:szCs w:val="1"/>
                <w:color w:val="auto"/>
              </w:rPr>
            </w:pPr>
          </w:p>
        </w:tc>
      </w:tr>
      <w:tr>
        <w:trPr>
          <w:trHeight w:val="180"/>
        </w:trPr>
        <w:tc>
          <w:tcPr>
            <w:tcW w:w="71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Corporate expenses</w:t>
            </w:r>
          </w:p>
        </w:tc>
        <w:tc>
          <w:tcPr>
            <w:tcW w:w="8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14,068</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11,092</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9,872</w:t>
            </w:r>
          </w:p>
        </w:tc>
        <w:tc>
          <w:tcPr>
            <w:tcW w:w="0" w:type="dxa"/>
            <w:vAlign w:val="bottom"/>
          </w:tcPr>
          <w:p>
            <w:pPr>
              <w:spacing w:after="0"/>
              <w:rPr>
                <w:sz w:val="1"/>
                <w:szCs w:val="1"/>
                <w:color w:val="auto"/>
              </w:rPr>
            </w:pPr>
          </w:p>
        </w:tc>
      </w:tr>
      <w:tr>
        <w:trPr>
          <w:trHeight w:val="171"/>
        </w:trPr>
        <w:tc>
          <w:tcPr>
            <w:tcW w:w="7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expenses</w:t>
            </w:r>
          </w:p>
        </w:tc>
        <w:tc>
          <w:tcPr>
            <w:tcW w:w="84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57,544</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51,084</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48,438</w:t>
            </w:r>
          </w:p>
        </w:tc>
        <w:tc>
          <w:tcPr>
            <w:tcW w:w="0" w:type="dxa"/>
            <w:vAlign w:val="bottom"/>
          </w:tcPr>
          <w:p>
            <w:pPr>
              <w:spacing w:after="0"/>
              <w:rPr>
                <w:sz w:val="1"/>
                <w:szCs w:val="1"/>
                <w:color w:val="auto"/>
              </w:rPr>
            </w:pPr>
          </w:p>
        </w:tc>
      </w:tr>
      <w:tr>
        <w:trPr>
          <w:trHeight w:val="171"/>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loss</w:t>
            </w:r>
          </w:p>
        </w:tc>
        <w:tc>
          <w:tcPr>
            <w:tcW w:w="8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(7,953)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(9,198)</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(3,699)</w:t>
            </w:r>
          </w:p>
        </w:tc>
        <w:tc>
          <w:tcPr>
            <w:tcW w:w="0" w:type="dxa"/>
            <w:vAlign w:val="bottom"/>
          </w:tcPr>
          <w:p>
            <w:pPr>
              <w:spacing w:after="0"/>
              <w:rPr>
                <w:sz w:val="1"/>
                <w:szCs w:val="1"/>
                <w:color w:val="auto"/>
              </w:rPr>
            </w:pPr>
          </w:p>
        </w:tc>
      </w:tr>
      <w:tr>
        <w:trPr>
          <w:trHeight w:val="18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Investment income</w:t>
            </w:r>
          </w:p>
        </w:tc>
        <w:tc>
          <w:tcPr>
            <w:tcW w:w="8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2,273</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2,557</w:t>
            </w:r>
          </w:p>
        </w:tc>
        <w:tc>
          <w:tcPr>
            <w:tcW w:w="0" w:type="dxa"/>
            <w:vAlign w:val="bottom"/>
          </w:tcPr>
          <w:p>
            <w:pPr>
              <w:spacing w:after="0"/>
              <w:rPr>
                <w:sz w:val="1"/>
                <w:szCs w:val="1"/>
                <w:color w:val="auto"/>
              </w:rPr>
            </w:pPr>
          </w:p>
        </w:tc>
      </w:tr>
      <w:tr>
        <w:trPr>
          <w:trHeight w:val="180"/>
        </w:trPr>
        <w:tc>
          <w:tcPr>
            <w:tcW w:w="7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loss, net</w:t>
            </w:r>
          </w:p>
        </w:tc>
        <w:tc>
          <w:tcPr>
            <w:tcW w:w="84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r>
        <w:trPr>
          <w:trHeight w:val="171"/>
        </w:trPr>
        <w:tc>
          <w:tcPr>
            <w:tcW w:w="71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Total other income, net</w:t>
            </w:r>
          </w:p>
        </w:tc>
        <w:tc>
          <w:tcPr>
            <w:tcW w:w="8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1,981</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2,419</w:t>
            </w:r>
          </w:p>
        </w:tc>
        <w:tc>
          <w:tcPr>
            <w:tcW w:w="0" w:type="dxa"/>
            <w:vAlign w:val="bottom"/>
          </w:tcPr>
          <w:p>
            <w:pPr>
              <w:spacing w:after="0"/>
              <w:rPr>
                <w:sz w:val="1"/>
                <w:szCs w:val="1"/>
                <w:color w:val="auto"/>
              </w:rPr>
            </w:pPr>
          </w:p>
        </w:tc>
      </w:tr>
      <w:tr>
        <w:trPr>
          <w:trHeight w:val="17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from operations before equity in earnings of unconsolidated joint ventures and income tax expense</w:t>
            </w:r>
          </w:p>
        </w:tc>
        <w:tc>
          <w:tcPr>
            <w:tcW w:w="8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(7,217)</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(1,280)</w:t>
            </w:r>
          </w:p>
        </w:tc>
        <w:tc>
          <w:tcPr>
            <w:tcW w:w="0" w:type="dxa"/>
            <w:vAlign w:val="bottom"/>
          </w:tcPr>
          <w:p>
            <w:pPr>
              <w:spacing w:after="0"/>
              <w:rPr>
                <w:sz w:val="1"/>
                <w:szCs w:val="1"/>
                <w:color w:val="auto"/>
              </w:rPr>
            </w:pPr>
          </w:p>
        </w:tc>
      </w:tr>
      <w:tr>
        <w:trPr>
          <w:trHeight w:val="180"/>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Equity in earnings of unconsolidated joint ventures, net</w:t>
            </w:r>
          </w:p>
        </w:tc>
        <w:tc>
          <w:tcPr>
            <w:tcW w:w="8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8,362</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10,881</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6,868</w:t>
            </w:r>
          </w:p>
        </w:tc>
        <w:tc>
          <w:tcPr>
            <w:tcW w:w="0" w:type="dxa"/>
            <w:vAlign w:val="bottom"/>
          </w:tcPr>
          <w:p>
            <w:pPr>
              <w:spacing w:after="0"/>
              <w:rPr>
                <w:sz w:val="1"/>
                <w:szCs w:val="1"/>
                <w:color w:val="auto"/>
              </w:rPr>
            </w:pPr>
          </w:p>
        </w:tc>
      </w:tr>
      <w:tr>
        <w:trPr>
          <w:trHeight w:val="17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8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1,159</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3,664</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5,588</w:t>
            </w:r>
          </w:p>
        </w:tc>
        <w:tc>
          <w:tcPr>
            <w:tcW w:w="0" w:type="dxa"/>
            <w:vAlign w:val="bottom"/>
          </w:tcPr>
          <w:p>
            <w:pPr>
              <w:spacing w:after="0"/>
              <w:rPr>
                <w:sz w:val="1"/>
                <w:szCs w:val="1"/>
                <w:color w:val="auto"/>
              </w:rPr>
            </w:pPr>
          </w:p>
        </w:tc>
      </w:tr>
      <w:tr>
        <w:trPr>
          <w:trHeight w:val="180"/>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8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1,088</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976</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2,323</w:t>
            </w:r>
          </w:p>
        </w:tc>
        <w:tc>
          <w:tcPr>
            <w:tcW w:w="0" w:type="dxa"/>
            <w:vAlign w:val="bottom"/>
          </w:tcPr>
          <w:p>
            <w:pPr>
              <w:spacing w:after="0"/>
              <w:rPr>
                <w:sz w:val="1"/>
                <w:szCs w:val="1"/>
                <w:color w:val="auto"/>
              </w:rPr>
            </w:pPr>
          </w:p>
        </w:tc>
      </w:tr>
      <w:tr>
        <w:trPr>
          <w:trHeight w:val="17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2,688</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3,265</w:t>
            </w:r>
          </w:p>
        </w:tc>
        <w:tc>
          <w:tcPr>
            <w:tcW w:w="0" w:type="dxa"/>
            <w:vAlign w:val="bottom"/>
          </w:tcPr>
          <w:p>
            <w:pPr>
              <w:spacing w:after="0"/>
              <w:rPr>
                <w:sz w:val="1"/>
                <w:szCs w:val="1"/>
                <w:color w:val="auto"/>
              </w:rPr>
            </w:pPr>
          </w:p>
        </w:tc>
      </w:tr>
      <w:tr>
        <w:trPr>
          <w:trHeight w:val="180"/>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loss attributable to non-controlling interest</w:t>
            </w:r>
          </w:p>
        </w:tc>
        <w:tc>
          <w:tcPr>
            <w:tcW w:w="8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attributable to common stockholders</w:t>
            </w:r>
          </w:p>
        </w:tc>
        <w:tc>
          <w:tcPr>
            <w:tcW w:w="840" w:type="dxa"/>
            <w:vAlign w:val="bottom"/>
            <w:tcBorders>
              <w:bottom w:val="single" w:sz="8" w:color="auto"/>
            </w:tcBorders>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2,690</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3,265</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Net income per share attributable to common stockholders, basic</w:t>
            </w:r>
          </w:p>
        </w:tc>
        <w:tc>
          <w:tcPr>
            <w:tcW w:w="8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gridSpan w:val="2"/>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100" w:type="dxa"/>
            <w:vAlign w:val="bottom"/>
            <w:tcBorders>
              <w:top w:val="single" w:sz="8" w:color="CCEEFF"/>
            </w:tcBorders>
            <w:vMerge w:val="continue"/>
          </w:tcPr>
          <w:p>
            <w:pPr>
              <w:spacing w:after="0"/>
              <w:rPr>
                <w:sz w:val="12"/>
                <w:szCs w:val="12"/>
                <w:color w:val="auto"/>
              </w:rPr>
            </w:pPr>
          </w:p>
        </w:tc>
        <w:tc>
          <w:tcPr>
            <w:tcW w:w="840" w:type="dxa"/>
            <w:vAlign w:val="bottom"/>
            <w:tcBorders>
              <w:top w:val="single" w:sz="8" w:color="auto"/>
              <w:bottom w:val="single" w:sz="8" w:color="auto"/>
            </w:tcBorders>
          </w:tcPr>
          <w:p>
            <w:pPr>
              <w:jc w:val="right"/>
              <w:ind w:right="68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4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0.10</w:t>
            </w:r>
          </w:p>
        </w:tc>
        <w:tc>
          <w:tcPr>
            <w:tcW w:w="8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29"/>
              <w:spacing w:after="0" w:line="143"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0.12</w:t>
            </w:r>
          </w:p>
        </w:tc>
        <w:tc>
          <w:tcPr>
            <w:tcW w:w="0" w:type="dxa"/>
            <w:vAlign w:val="bottom"/>
          </w:tcPr>
          <w:p>
            <w:pPr>
              <w:spacing w:after="0"/>
              <w:rPr>
                <w:sz w:val="1"/>
                <w:szCs w:val="1"/>
                <w:color w:val="auto"/>
              </w:rPr>
            </w:pP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per share attributable to common stockholders, diluted</w:t>
            </w:r>
          </w:p>
        </w:tc>
        <w:tc>
          <w:tcPr>
            <w:tcW w:w="840" w:type="dxa"/>
            <w:vAlign w:val="bottom"/>
            <w:tcBorders>
              <w:bottom w:val="single" w:sz="8" w:color="auto"/>
            </w:tcBorders>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20" w:top="727" w:right="339" w:bottom="1440" w:gutter="0" w:footer="0" w:header="0"/>
        </w:sectPr>
      </w:pPr>
    </w:p>
    <w:bookmarkStart w:id="79" w:name="page80"/>
    <w:bookmarkEnd w:id="7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Net income</w:t>
      </w:r>
    </w:p>
    <w:p>
      <w:pPr>
        <w:spacing w:after="0" w:line="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Other comprehensive (loss) income:</w:t>
      </w:r>
    </w:p>
    <w:p>
      <w:pPr>
        <w:spacing w:after="0" w:line="23" w:lineRule="exact"/>
        <w:rPr>
          <w:sz w:val="20"/>
          <w:szCs w:val="20"/>
          <w:color w:val="auto"/>
        </w:rPr>
      </w:pPr>
    </w:p>
    <w:p>
      <w:pPr>
        <w:ind w:left="280"/>
        <w:spacing w:after="0" w:line="268" w:lineRule="auto"/>
        <w:rPr>
          <w:sz w:val="20"/>
          <w:szCs w:val="20"/>
          <w:color w:val="auto"/>
        </w:rPr>
      </w:pPr>
      <w:r>
        <w:rPr>
          <w:rFonts w:ascii="Times New Roman" w:cs="Times New Roman" w:eastAsia="Times New Roman" w:hAnsi="Times New Roman"/>
          <w:sz w:val="14"/>
          <w:szCs w:val="14"/>
          <w:color w:val="auto"/>
        </w:rPr>
        <w:t>Unrealized gain on available-for-sale securities Benefit plan adjustments</w:t>
      </w:r>
    </w:p>
    <w:p>
      <w:pPr>
        <w:spacing w:after="0" w:line="1" w:lineRule="exact"/>
        <w:rPr>
          <w:sz w:val="20"/>
          <w:szCs w:val="20"/>
          <w:color w:val="auto"/>
        </w:rPr>
      </w:pPr>
    </w:p>
    <w:p>
      <w:pPr>
        <w:ind w:left="280" w:right="740"/>
        <w:spacing w:after="0" w:line="282" w:lineRule="auto"/>
        <w:rPr>
          <w:sz w:val="20"/>
          <w:szCs w:val="20"/>
          <w:color w:val="auto"/>
        </w:rPr>
      </w:pPr>
      <w:r>
        <w:rPr>
          <w:rFonts w:ascii="Times New Roman" w:cs="Times New Roman" w:eastAsia="Times New Roman" w:hAnsi="Times New Roman"/>
          <w:sz w:val="14"/>
          <w:szCs w:val="14"/>
          <w:color w:val="auto"/>
        </w:rPr>
        <w:t>SERP liability adjustments Unrealized interest rate swap gain</w:t>
      </w:r>
    </w:p>
    <w:p>
      <w:pPr>
        <w:spacing w:after="0" w:line="20" w:lineRule="exact"/>
        <w:rPr>
          <w:sz w:val="20"/>
          <w:szCs w:val="20"/>
          <w:color w:val="auto"/>
        </w:rPr>
      </w:pPr>
      <w:r>
        <w:rPr>
          <w:sz w:val="20"/>
          <w:szCs w:val="20"/>
          <w:color w:val="auto"/>
        </w:rPr>
        <w:br w:type="column"/>
      </w:r>
    </w:p>
    <w:p>
      <w:pPr>
        <w:jc w:val="center"/>
        <w:ind w:right="3240"/>
        <w:spacing w:after="0" w:line="282" w:lineRule="auto"/>
        <w:rPr>
          <w:sz w:val="20"/>
          <w:szCs w:val="20"/>
          <w:color w:val="auto"/>
        </w:rPr>
      </w:pPr>
      <w:r>
        <w:rPr>
          <w:rFonts w:ascii="Times New Roman" w:cs="Times New Roman" w:eastAsia="Times New Roman" w:hAnsi="Times New Roman"/>
          <w:sz w:val="14"/>
          <w:szCs w:val="14"/>
          <w:b w:val="1"/>
          <w:bCs w:val="1"/>
          <w:color w:val="auto"/>
        </w:rPr>
        <w:t xml:space="preserve">TEJON RANCH CO. AND SUBSIDIARIES CONSOLIDATED STATEMENTS OF COMPREHENSIVE (LOSS) INCOME </w:t>
      </w:r>
      <w:r>
        <w:rPr>
          <w:rFonts w:ascii="Times New Roman" w:cs="Times New Roman" w:eastAsia="Times New Roman" w:hAnsi="Times New Roman"/>
          <w:sz w:val="14"/>
          <w:szCs w:val="14"/>
          <w:color w:val="auto"/>
        </w:rPr>
        <w:t>(In thousands)</w:t>
      </w:r>
    </w:p>
    <w:p>
      <w:pPr>
        <w:spacing w:after="0" w:line="23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4"/>
          <w:szCs w:val="14"/>
          <w:color w:val="auto"/>
        </w:rPr>
        <w:t>Year Ended December 31</w:t>
      </w:r>
    </w:p>
    <w:p>
      <w:pPr>
        <w:spacing w:after="0" w:line="23" w:lineRule="exact"/>
        <w:rPr>
          <w:sz w:val="20"/>
          <w:szCs w:val="20"/>
          <w:color w:val="auto"/>
        </w:rPr>
      </w:pPr>
    </w:p>
    <w:tbl>
      <w:tblPr>
        <w:tblLayout w:type="fixed"/>
        <w:tblInd w:w="3880" w:type="dxa"/>
        <w:tblCellMar>
          <w:top w:w="0" w:type="dxa"/>
          <w:left w:w="0" w:type="dxa"/>
          <w:bottom w:w="0" w:type="dxa"/>
          <w:right w:w="0" w:type="dxa"/>
        </w:tblCellMar>
      </w:tblPr>
      <w:tr>
        <w:trPr>
          <w:trHeight w:val="171"/>
        </w:trPr>
        <w:tc>
          <w:tcPr>
            <w:tcW w:w="9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2025</w:t>
            </w:r>
          </w:p>
        </w:tc>
        <w:tc>
          <w:tcPr>
            <w:tcW w:w="4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46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rPr>
              <w:t>2023</w:t>
            </w:r>
          </w:p>
        </w:tc>
      </w:tr>
      <w:tr>
        <w:trPr>
          <w:trHeight w:val="175"/>
        </w:trPr>
        <w:tc>
          <w:tcPr>
            <w:tcW w:w="900" w:type="dxa"/>
            <w:vAlign w:val="bottom"/>
          </w:tcPr>
          <w:p>
            <w:pPr>
              <w:jc w:val="right"/>
              <w:ind w:right="72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5"/>
                <w:szCs w:val="15"/>
                <w:color w:val="auto"/>
              </w:rPr>
            </w:pPr>
          </w:p>
        </w:tc>
        <w:tc>
          <w:tcPr>
            <w:tcW w:w="860" w:type="dxa"/>
            <w:vAlign w:val="bottom"/>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2,688</w:t>
            </w:r>
          </w:p>
        </w:tc>
        <w:tc>
          <w:tcPr>
            <w:tcW w:w="80" w:type="dxa"/>
            <w:vAlign w:val="bottom"/>
          </w:tcPr>
          <w:p>
            <w:pPr>
              <w:spacing w:after="0"/>
              <w:rPr>
                <w:sz w:val="15"/>
                <w:szCs w:val="15"/>
                <w:color w:val="auto"/>
              </w:rPr>
            </w:pP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3,265</w:t>
            </w:r>
          </w:p>
        </w:tc>
      </w:tr>
      <w:tr>
        <w:trPr>
          <w:trHeight w:val="353"/>
        </w:trPr>
        <w:tc>
          <w:tcPr>
            <w:tcW w:w="9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w:t>
            </w:r>
          </w:p>
        </w:tc>
      </w:tr>
      <w:tr>
        <w:trPr>
          <w:trHeight w:val="180"/>
        </w:trPr>
        <w:tc>
          <w:tcPr>
            <w:tcW w:w="9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w:t>
            </w:r>
          </w:p>
        </w:tc>
      </w:tr>
      <w:tr>
        <w:trPr>
          <w:trHeight w:val="180"/>
        </w:trPr>
        <w:tc>
          <w:tcPr>
            <w:tcW w:w="9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r>
      <w:tr>
        <w:trPr>
          <w:trHeight w:val="182"/>
        </w:trPr>
        <w:tc>
          <w:tcPr>
            <w:tcW w:w="900" w:type="dxa"/>
            <w:vAlign w:val="bottom"/>
          </w:tcPr>
          <w:p>
            <w:pPr>
              <w:spacing w:after="0"/>
              <w:rPr>
                <w:sz w:val="15"/>
                <w:szCs w:val="15"/>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5"/>
                <w:szCs w:val="15"/>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-2066290</wp:posOffset>
            </wp:positionH>
            <wp:positionV relativeFrom="paragraph">
              <wp:posOffset>-692150</wp:posOffset>
            </wp:positionV>
            <wp:extent cx="7161530" cy="1212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0">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-2066290</wp:posOffset>
            </wp:positionH>
            <wp:positionV relativeFrom="paragraph">
              <wp:posOffset>-455930</wp:posOffset>
            </wp:positionV>
            <wp:extent cx="7161530" cy="1143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1">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-2066290</wp:posOffset>
            </wp:positionH>
            <wp:positionV relativeFrom="paragraph">
              <wp:posOffset>-227330</wp:posOffset>
            </wp:positionV>
            <wp:extent cx="7161530" cy="1143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2">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940" w:space="320"/>
            <w:col w:w="8020"/>
          </w:cols>
          <w:pgMar w:left="300" w:top="727" w:right="319" w:bottom="1440" w:gutter="0" w:footer="0" w:header="0"/>
        </w:sectPr>
      </w:pPr>
    </w:p>
    <w:tbl>
      <w:tblPr>
        <w:tblLayout w:type="fixed"/>
        <w:tblInd w:w="0" w:type="dxa"/>
        <w:tblCellMar>
          <w:top w:w="0" w:type="dxa"/>
          <w:left w:w="0" w:type="dxa"/>
          <w:bottom w:w="0" w:type="dxa"/>
          <w:right w:w="0" w:type="dxa"/>
        </w:tblCellMar>
      </w:tblPr>
      <w:tr>
        <w:trPr>
          <w:trHeight w:val="154"/>
        </w:trPr>
        <w:tc>
          <w:tcPr>
            <w:tcW w:w="7140" w:type="dxa"/>
            <w:vAlign w:val="bottom"/>
            <w:tcBorders>
              <w:top w:val="single" w:sz="8" w:color="CCEEFF"/>
            </w:tcBorders>
            <w:shd w:val="clear" w:color="auto" w:fill="CCEEFF"/>
          </w:tcPr>
          <w:p>
            <w:pPr>
              <w:ind w:left="280"/>
              <w:spacing w:after="0" w:line="154" w:lineRule="exact"/>
              <w:rPr>
                <w:sz w:val="20"/>
                <w:szCs w:val="20"/>
                <w:color w:val="auto"/>
              </w:rPr>
            </w:pPr>
            <w:r>
              <w:rPr>
                <w:rFonts w:ascii="Times New Roman" w:cs="Times New Roman" w:eastAsia="Times New Roman" w:hAnsi="Times New Roman"/>
                <w:sz w:val="14"/>
                <w:szCs w:val="14"/>
                <w:color w:val="auto"/>
              </w:rPr>
              <w:t>Other comprehensive (loss) income before taxes</w:t>
            </w:r>
          </w:p>
        </w:tc>
        <w:tc>
          <w:tcPr>
            <w:tcW w:w="54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(367)</w:t>
            </w:r>
          </w:p>
        </w:tc>
        <w:tc>
          <w:tcPr>
            <w:tcW w:w="10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358</w:t>
            </w:r>
          </w:p>
        </w:tc>
        <w:tc>
          <w:tcPr>
            <w:tcW w:w="8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2,578</w:t>
            </w:r>
          </w:p>
        </w:tc>
      </w:tr>
      <w:tr>
        <w:trPr>
          <w:trHeight w:val="180"/>
        </w:trPr>
        <w:tc>
          <w:tcPr>
            <w:tcW w:w="714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4"/>
                <w:szCs w:val="14"/>
                <w:color w:val="auto"/>
              </w:rPr>
              <w:t>Benefit (provision) for income taxes related to other comprehensive (loss) income items</w:t>
            </w:r>
          </w:p>
        </w:tc>
        <w:tc>
          <w:tcPr>
            <w:tcW w:w="5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(721)</w:t>
            </w:r>
          </w:p>
        </w:tc>
      </w:tr>
      <w:tr>
        <w:trPr>
          <w:trHeight w:val="171"/>
        </w:trPr>
        <w:tc>
          <w:tcPr>
            <w:tcW w:w="71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comprehensive (loss) income</w:t>
            </w:r>
          </w:p>
        </w:tc>
        <w:tc>
          <w:tcPr>
            <w:tcW w:w="5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8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1,857</w:t>
            </w:r>
          </w:p>
        </w:tc>
      </w:tr>
      <w:tr>
        <w:trPr>
          <w:trHeight w:val="171"/>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(loss) income</w:t>
            </w:r>
          </w:p>
        </w:tc>
        <w:tc>
          <w:tcPr>
            <w:tcW w:w="5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2,946</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5,122</w:t>
            </w:r>
          </w:p>
        </w:tc>
      </w:tr>
      <w:tr>
        <w:trPr>
          <w:trHeight w:val="18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loss attributable to non-controlling interests</w:t>
            </w:r>
          </w:p>
        </w:tc>
        <w:tc>
          <w:tcPr>
            <w:tcW w:w="5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(loss) income attributable to common stockholders</w:t>
            </w:r>
          </w:p>
        </w:tc>
        <w:tc>
          <w:tcPr>
            <w:tcW w:w="54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tcPr>
          <w:p>
            <w:pPr>
              <w:spacing w:after="0"/>
              <w:rPr>
                <w:sz w:val="14"/>
                <w:szCs w:val="14"/>
                <w:color w:val="auto"/>
              </w:rPr>
            </w:pPr>
          </w:p>
        </w:tc>
        <w:tc>
          <w:tcPr>
            <w:tcW w:w="5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2,948</w:t>
            </w:r>
          </w:p>
        </w:tc>
        <w:tc>
          <w:tcPr>
            <w:tcW w:w="80" w:type="dxa"/>
            <w:vAlign w:val="bottom"/>
          </w:tcPr>
          <w:p>
            <w:pPr>
              <w:spacing w:after="0"/>
              <w:rPr>
                <w:sz w:val="14"/>
                <w:szCs w:val="14"/>
                <w:color w:val="auto"/>
              </w:rPr>
            </w:pPr>
          </w:p>
        </w:tc>
        <w:tc>
          <w:tcPr>
            <w:tcW w:w="52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5,122</w:t>
            </w:r>
          </w:p>
        </w:tc>
      </w:tr>
      <w:tr>
        <w:trPr>
          <w:trHeight w:val="20"/>
        </w:trPr>
        <w:tc>
          <w:tcPr>
            <w:tcW w:w="7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See accompanying notes.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type w:val="continuous"/>
        </w:sectPr>
      </w:pPr>
    </w:p>
    <w:bookmarkStart w:id="80" w:name="page81"/>
    <w:bookmarkEnd w:id="80"/>
    <w:p>
      <w:pPr>
        <w:jc w:val="center"/>
        <w:spacing w:after="0"/>
        <w:rPr>
          <w:sz w:val="20"/>
          <w:szCs w:val="20"/>
          <w:color w:val="auto"/>
        </w:rPr>
      </w:pPr>
      <w:r>
        <w:rPr>
          <w:rFonts w:ascii="Times New Roman" w:cs="Times New Roman" w:eastAsia="Times New Roman" w:hAnsi="Times New Roman"/>
          <w:sz w:val="14"/>
          <w:szCs w:val="14"/>
          <w:b w:val="1"/>
          <w:bCs w:val="1"/>
          <w:color w:val="auto"/>
        </w:rPr>
        <w:t>TEJON RANCH CO.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shares outstanding)</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80" w:type="dxa"/>
            <w:vAlign w:val="bottom"/>
          </w:tcPr>
          <w:p>
            <w:pPr>
              <w:spacing w:after="0"/>
              <w:rPr>
                <w:sz w:val="12"/>
                <w:szCs w:val="12"/>
                <w:color w:val="auto"/>
              </w:rPr>
            </w:pPr>
          </w:p>
        </w:tc>
        <w:tc>
          <w:tcPr>
            <w:tcW w:w="10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color w:val="auto"/>
                <w:w w:val="99"/>
              </w:rPr>
              <w:t>Common</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color w:val="auto"/>
                <w:w w:val="97"/>
              </w:rPr>
              <w:t>Additional</w:t>
            </w:r>
          </w:p>
        </w:tc>
        <w:tc>
          <w:tcPr>
            <w:tcW w:w="100" w:type="dxa"/>
            <w:vAlign w:val="bottom"/>
          </w:tcPr>
          <w:p>
            <w:pPr>
              <w:spacing w:after="0"/>
              <w:rPr>
                <w:sz w:val="12"/>
                <w:szCs w:val="12"/>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w w:val="98"/>
              </w:rPr>
              <w:t>Accumulated</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color w:val="auto"/>
                <w:w w:val="94"/>
              </w:rPr>
              <w:t>Total</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388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color w:val="auto"/>
                <w:w w:val="99"/>
              </w:rPr>
              <w:t>Common</w:t>
            </w:r>
          </w:p>
        </w:tc>
        <w:tc>
          <w:tcPr>
            <w:tcW w:w="10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center"/>
              <w:ind w:right="160"/>
              <w:spacing w:after="0" w:line="128" w:lineRule="exact"/>
              <w:rPr>
                <w:sz w:val="20"/>
                <w:szCs w:val="20"/>
                <w:color w:val="auto"/>
              </w:rPr>
            </w:pPr>
            <w:r>
              <w:rPr>
                <w:rFonts w:ascii="Times New Roman" w:cs="Times New Roman" w:eastAsia="Times New Roman" w:hAnsi="Times New Roman"/>
                <w:sz w:val="13"/>
                <w:szCs w:val="13"/>
                <w:color w:val="auto"/>
              </w:rPr>
              <w:t>Other</w:t>
            </w:r>
          </w:p>
        </w:tc>
        <w:tc>
          <w:tcPr>
            <w:tcW w:w="100" w:type="dxa"/>
            <w:vAlign w:val="bottom"/>
          </w:tcPr>
          <w:p>
            <w:pPr>
              <w:spacing w:after="0"/>
              <w:rPr>
                <w:sz w:val="11"/>
                <w:szCs w:val="11"/>
                <w:color w:val="auto"/>
              </w:rPr>
            </w:pPr>
          </w:p>
        </w:tc>
        <w:tc>
          <w:tcPr>
            <w:tcW w:w="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Retained</w:t>
            </w:r>
          </w:p>
        </w:tc>
        <w:tc>
          <w:tcPr>
            <w:tcW w:w="1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color w:val="auto"/>
                <w:w w:val="97"/>
              </w:rPr>
              <w:t>Non-controlling</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880" w:type="dxa"/>
            <w:vAlign w:val="bottom"/>
          </w:tcPr>
          <w:p>
            <w:pPr>
              <w:spacing w:after="0"/>
              <w:rPr>
                <w:sz w:val="11"/>
                <w:szCs w:val="11"/>
                <w:color w:val="auto"/>
              </w:rPr>
            </w:pPr>
          </w:p>
        </w:tc>
        <w:tc>
          <w:tcPr>
            <w:tcW w:w="1000" w:type="dxa"/>
            <w:vAlign w:val="bottom"/>
            <w:gridSpan w:val="2"/>
          </w:tcPr>
          <w:p>
            <w:pPr>
              <w:jc w:val="center"/>
              <w:ind w:right="60"/>
              <w:spacing w:after="0" w:line="128" w:lineRule="exact"/>
              <w:rPr>
                <w:sz w:val="20"/>
                <w:szCs w:val="20"/>
                <w:color w:val="auto"/>
              </w:rPr>
            </w:pPr>
            <w:r>
              <w:rPr>
                <w:rFonts w:ascii="Times New Roman" w:cs="Times New Roman" w:eastAsia="Times New Roman" w:hAnsi="Times New Roman"/>
                <w:sz w:val="13"/>
                <w:szCs w:val="13"/>
                <w:color w:val="auto"/>
                <w:w w:val="97"/>
              </w:rPr>
              <w:t>Stock Shares</w:t>
            </w:r>
          </w:p>
        </w:tc>
        <w:tc>
          <w:tcPr>
            <w:tcW w:w="8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160"/>
              <w:spacing w:after="0" w:line="128" w:lineRule="exact"/>
              <w:rPr>
                <w:sz w:val="20"/>
                <w:szCs w:val="20"/>
                <w:color w:val="auto"/>
              </w:rPr>
            </w:pPr>
            <w:r>
              <w:rPr>
                <w:rFonts w:ascii="Times New Roman" w:cs="Times New Roman" w:eastAsia="Times New Roman" w:hAnsi="Times New Roman"/>
                <w:sz w:val="13"/>
                <w:szCs w:val="13"/>
                <w:color w:val="auto"/>
                <w:w w:val="99"/>
              </w:rPr>
              <w:t>Paid-In</w:t>
            </w:r>
          </w:p>
        </w:tc>
        <w:tc>
          <w:tcPr>
            <w:tcW w:w="100" w:type="dxa"/>
            <w:vAlign w:val="bottom"/>
          </w:tcPr>
          <w:p>
            <w:pPr>
              <w:spacing w:after="0"/>
              <w:rPr>
                <w:sz w:val="11"/>
                <w:szCs w:val="11"/>
                <w:color w:val="auto"/>
              </w:rPr>
            </w:pPr>
          </w:p>
        </w:tc>
        <w:tc>
          <w:tcPr>
            <w:tcW w:w="980" w:type="dxa"/>
            <w:vAlign w:val="bottom"/>
            <w:gridSpan w:val="2"/>
          </w:tcPr>
          <w:p>
            <w:pPr>
              <w:jc w:val="center"/>
              <w:ind w:right="140"/>
              <w:spacing w:after="0" w:line="128" w:lineRule="exact"/>
              <w:rPr>
                <w:sz w:val="20"/>
                <w:szCs w:val="20"/>
                <w:color w:val="auto"/>
              </w:rPr>
            </w:pPr>
            <w:r>
              <w:rPr>
                <w:rFonts w:ascii="Times New Roman" w:cs="Times New Roman" w:eastAsia="Times New Roman" w:hAnsi="Times New Roman"/>
                <w:sz w:val="13"/>
                <w:szCs w:val="13"/>
                <w:color w:val="auto"/>
                <w:w w:val="97"/>
              </w:rPr>
              <w:t>Comprehensive</w:t>
            </w: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180"/>
              <w:spacing w:after="0" w:line="128" w:lineRule="exact"/>
              <w:rPr>
                <w:sz w:val="20"/>
                <w:szCs w:val="20"/>
                <w:color w:val="auto"/>
              </w:rPr>
            </w:pPr>
            <w:r>
              <w:rPr>
                <w:rFonts w:ascii="Times New Roman" w:cs="Times New Roman" w:eastAsia="Times New Roman" w:hAnsi="Times New Roman"/>
                <w:sz w:val="13"/>
                <w:szCs w:val="13"/>
                <w:color w:val="auto"/>
                <w:w w:val="99"/>
              </w:rPr>
              <w:t>Stockholders'</w:t>
            </w:r>
          </w:p>
        </w:tc>
        <w:tc>
          <w:tcPr>
            <w:tcW w:w="1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jc w:val="right"/>
              <w:ind w:right="30"/>
              <w:spacing w:after="0"/>
              <w:rPr>
                <w:sz w:val="20"/>
                <w:szCs w:val="20"/>
                <w:color w:val="auto"/>
              </w:rPr>
            </w:pPr>
            <w:r>
              <w:rPr>
                <w:rFonts w:ascii="Times New Roman" w:cs="Times New Roman" w:eastAsia="Times New Roman" w:hAnsi="Times New Roman"/>
                <w:sz w:val="13"/>
                <w:szCs w:val="13"/>
                <w:color w:val="auto"/>
                <w:w w:val="97"/>
              </w:rPr>
              <w:t>Total Equity</w:t>
            </w:r>
          </w:p>
        </w:tc>
        <w:tc>
          <w:tcPr>
            <w:tcW w:w="0" w:type="dxa"/>
            <w:vAlign w:val="bottom"/>
          </w:tcPr>
          <w:p>
            <w:pPr>
              <w:spacing w:after="0"/>
              <w:rPr>
                <w:sz w:val="1"/>
                <w:szCs w:val="1"/>
                <w:color w:val="auto"/>
              </w:rPr>
            </w:pPr>
          </w:p>
        </w:tc>
      </w:tr>
      <w:tr>
        <w:trPr>
          <w:trHeight w:val="168"/>
        </w:trPr>
        <w:tc>
          <w:tcPr>
            <w:tcW w:w="3880" w:type="dxa"/>
            <w:vAlign w:val="bottom"/>
          </w:tcPr>
          <w:p>
            <w:pPr>
              <w:spacing w:after="0"/>
              <w:rPr>
                <w:sz w:val="14"/>
                <w:szCs w:val="14"/>
                <w:color w:val="auto"/>
              </w:rPr>
            </w:pPr>
          </w:p>
        </w:tc>
        <w:tc>
          <w:tcPr>
            <w:tcW w:w="10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w w:val="97"/>
              </w:rPr>
              <w:t>Outstanding</w:t>
            </w:r>
          </w:p>
        </w:tc>
        <w:tc>
          <w:tcPr>
            <w:tcW w:w="80" w:type="dxa"/>
            <w:vAlign w:val="bottom"/>
          </w:tcPr>
          <w:p>
            <w:pPr>
              <w:spacing w:after="0"/>
              <w:rPr>
                <w:sz w:val="14"/>
                <w:szCs w:val="14"/>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w w:val="94"/>
              </w:rPr>
              <w:t>Stock</w:t>
            </w:r>
          </w:p>
        </w:tc>
        <w:tc>
          <w:tcPr>
            <w:tcW w:w="100" w:type="dxa"/>
            <w:vAlign w:val="bottom"/>
          </w:tcPr>
          <w:p>
            <w:pPr>
              <w:spacing w:after="0"/>
              <w:rPr>
                <w:sz w:val="14"/>
                <w:szCs w:val="14"/>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rPr>
              <w:t>Capital</w:t>
            </w:r>
          </w:p>
        </w:tc>
        <w:tc>
          <w:tcPr>
            <w:tcW w:w="10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w w:val="98"/>
              </w:rPr>
              <w:t>(Loss) Income</w:t>
            </w:r>
          </w:p>
        </w:tc>
        <w:tc>
          <w:tcPr>
            <w:tcW w:w="10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Earnings</w:t>
            </w:r>
          </w:p>
        </w:tc>
        <w:tc>
          <w:tcPr>
            <w:tcW w:w="10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color w:val="auto"/>
                <w:w w:val="97"/>
              </w:rPr>
              <w:t>Equity</w:t>
            </w:r>
          </w:p>
        </w:tc>
        <w:tc>
          <w:tcPr>
            <w:tcW w:w="10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color w:val="auto"/>
              </w:rPr>
              <w:t>Interest</w:t>
            </w:r>
          </w:p>
        </w:tc>
        <w:tc>
          <w:tcPr>
            <w:tcW w:w="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2022</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26,541,553</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13,271</w:t>
            </w: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345,344</w:t>
            </w: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(2,028)</w:t>
            </w: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105,643</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462,230</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15,364</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477,594</w:t>
            </w:r>
          </w:p>
        </w:tc>
        <w:tc>
          <w:tcPr>
            <w:tcW w:w="0" w:type="dxa"/>
            <w:vAlign w:val="bottom"/>
          </w:tcPr>
          <w:p>
            <w:pPr>
              <w:spacing w:after="0"/>
              <w:rPr>
                <w:sz w:val="1"/>
                <w:szCs w:val="1"/>
                <w:color w:val="auto"/>
              </w:rPr>
            </w:pPr>
          </w:p>
        </w:tc>
      </w:tr>
      <w:tr>
        <w:trPr>
          <w:trHeight w:val="180"/>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3,265</w:t>
            </w:r>
          </w:p>
        </w:tc>
        <w:tc>
          <w:tcPr>
            <w:tcW w:w="0" w:type="dxa"/>
            <w:vAlign w:val="bottom"/>
          </w:tcPr>
          <w:p>
            <w:pPr>
              <w:spacing w:after="0"/>
              <w:rPr>
                <w:sz w:val="1"/>
                <w:szCs w:val="1"/>
                <w:color w:val="auto"/>
              </w:rPr>
            </w:pPr>
          </w:p>
        </w:tc>
      </w:tr>
      <w:tr>
        <w:trPr>
          <w:trHeight w:val="18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1,857</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1,857</w:t>
            </w:r>
          </w:p>
        </w:tc>
        <w:tc>
          <w:tcPr>
            <w:tcW w:w="0" w:type="dxa"/>
            <w:vAlign w:val="bottom"/>
          </w:tcPr>
          <w:p>
            <w:pPr>
              <w:spacing w:after="0"/>
              <w:rPr>
                <w:sz w:val="1"/>
                <w:szCs w:val="1"/>
                <w:color w:val="auto"/>
              </w:rPr>
            </w:pPr>
          </w:p>
        </w:tc>
      </w:tr>
      <w:tr>
        <w:trPr>
          <w:trHeight w:val="180"/>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stock issuance</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446,969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compensation</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3,734</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3,734</w:t>
            </w:r>
          </w:p>
        </w:tc>
        <w:tc>
          <w:tcPr>
            <w:tcW w:w="0" w:type="dxa"/>
            <w:vAlign w:val="bottom"/>
          </w:tcPr>
          <w:p>
            <w:pPr>
              <w:spacing w:after="0"/>
              <w:rPr>
                <w:sz w:val="1"/>
                <w:szCs w:val="1"/>
                <w:color w:val="auto"/>
              </w:rPr>
            </w:pPr>
          </w:p>
        </w:tc>
      </w:tr>
      <w:tr>
        <w:trPr>
          <w:trHeight w:val="180"/>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withheld for taxes and tax benefit of vested shares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(217,977)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(3,353)</w:t>
            </w:r>
          </w:p>
        </w:tc>
        <w:tc>
          <w:tcPr>
            <w:tcW w:w="0" w:type="dxa"/>
            <w:vAlign w:val="bottom"/>
          </w:tcPr>
          <w:p>
            <w:pPr>
              <w:spacing w:after="0"/>
              <w:rPr>
                <w:sz w:val="1"/>
                <w:szCs w:val="1"/>
                <w:color w:val="auto"/>
              </w:rPr>
            </w:pPr>
          </w:p>
        </w:tc>
      </w:tr>
      <w:tr>
        <w:trPr>
          <w:trHeight w:val="171"/>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26,770,545</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13,386</w:t>
            </w: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345,609</w:t>
            </w: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108,908</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467,732</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15,364</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483,096</w:t>
            </w:r>
          </w:p>
        </w:tc>
        <w:tc>
          <w:tcPr>
            <w:tcW w:w="0" w:type="dxa"/>
            <w:vAlign w:val="bottom"/>
          </w:tcPr>
          <w:p>
            <w:pPr>
              <w:spacing w:after="0"/>
              <w:rPr>
                <w:sz w:val="1"/>
                <w:szCs w:val="1"/>
                <w:color w:val="auto"/>
              </w:rPr>
            </w:pPr>
          </w:p>
        </w:tc>
      </w:tr>
      <w:tr>
        <w:trPr>
          <w:trHeight w:val="180"/>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2,688</w:t>
            </w:r>
          </w:p>
        </w:tc>
        <w:tc>
          <w:tcPr>
            <w:tcW w:w="0" w:type="dxa"/>
            <w:vAlign w:val="bottom"/>
          </w:tcPr>
          <w:p>
            <w:pPr>
              <w:spacing w:after="0"/>
              <w:rPr>
                <w:sz w:val="1"/>
                <w:szCs w:val="1"/>
                <w:color w:val="auto"/>
              </w:rPr>
            </w:pPr>
          </w:p>
        </w:tc>
      </w:tr>
      <w:tr>
        <w:trPr>
          <w:trHeight w:val="18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0" w:type="dxa"/>
            <w:vAlign w:val="bottom"/>
          </w:tcPr>
          <w:p>
            <w:pPr>
              <w:spacing w:after="0"/>
              <w:rPr>
                <w:sz w:val="1"/>
                <w:szCs w:val="1"/>
                <w:color w:val="auto"/>
              </w:rPr>
            </w:pPr>
          </w:p>
        </w:tc>
      </w:tr>
      <w:tr>
        <w:trPr>
          <w:trHeight w:val="180"/>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stock issuance</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70,678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compensation</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3,120</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3,120</w:t>
            </w:r>
          </w:p>
        </w:tc>
        <w:tc>
          <w:tcPr>
            <w:tcW w:w="0" w:type="dxa"/>
            <w:vAlign w:val="bottom"/>
          </w:tcPr>
          <w:p>
            <w:pPr>
              <w:spacing w:after="0"/>
              <w:rPr>
                <w:sz w:val="1"/>
                <w:szCs w:val="1"/>
                <w:color w:val="auto"/>
              </w:rPr>
            </w:pPr>
          </w:p>
        </w:tc>
      </w:tr>
      <w:tr>
        <w:trPr>
          <w:trHeight w:val="180"/>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withheld for taxes and tax benefit of vested shares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(18,455)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0" w:type="dxa"/>
            <w:vAlign w:val="bottom"/>
          </w:tcPr>
          <w:p>
            <w:pPr>
              <w:spacing w:after="0"/>
              <w:rPr>
                <w:sz w:val="1"/>
                <w:szCs w:val="1"/>
                <w:color w:val="auto"/>
              </w:rPr>
            </w:pPr>
          </w:p>
        </w:tc>
      </w:tr>
      <w:tr>
        <w:trPr>
          <w:trHeight w:val="171"/>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2024</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26,822,768</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13,412</w:t>
            </w: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348,497</w:t>
            </w: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111,598</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473,594</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15,362</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488,956</w:t>
            </w:r>
          </w:p>
        </w:tc>
        <w:tc>
          <w:tcPr>
            <w:tcW w:w="0" w:type="dxa"/>
            <w:vAlign w:val="bottom"/>
          </w:tcPr>
          <w:p>
            <w:pPr>
              <w:spacing w:after="0"/>
              <w:rPr>
                <w:sz w:val="1"/>
                <w:szCs w:val="1"/>
                <w:color w:val="auto"/>
              </w:rPr>
            </w:pPr>
          </w:p>
        </w:tc>
      </w:tr>
      <w:tr>
        <w:trPr>
          <w:trHeight w:val="180"/>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18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0" w:type="dxa"/>
            <w:vAlign w:val="bottom"/>
          </w:tcPr>
          <w:p>
            <w:pPr>
              <w:spacing w:after="0"/>
              <w:rPr>
                <w:sz w:val="1"/>
                <w:szCs w:val="1"/>
                <w:color w:val="auto"/>
              </w:rPr>
            </w:pPr>
          </w:p>
        </w:tc>
      </w:tr>
      <w:tr>
        <w:trPr>
          <w:trHeight w:val="180"/>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stock issuance</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130,519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compensation</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2,362</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2,362</w:t>
            </w:r>
          </w:p>
        </w:tc>
        <w:tc>
          <w:tcPr>
            <w:tcW w:w="0" w:type="dxa"/>
            <w:vAlign w:val="bottom"/>
          </w:tcPr>
          <w:p>
            <w:pPr>
              <w:spacing w:after="0"/>
              <w:rPr>
                <w:sz w:val="1"/>
                <w:szCs w:val="1"/>
                <w:color w:val="auto"/>
              </w:rPr>
            </w:pPr>
          </w:p>
        </w:tc>
      </w:tr>
      <w:tr>
        <w:trPr>
          <w:trHeight w:val="180"/>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withheld for taxes and tax benefit of vested shares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(36,450)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w:t>
            </w:r>
          </w:p>
        </w:tc>
        <w:tc>
          <w:tcPr>
            <w:tcW w:w="0" w:type="dxa"/>
            <w:vAlign w:val="bottom"/>
          </w:tcPr>
          <w:p>
            <w:pPr>
              <w:spacing w:after="0"/>
              <w:rPr>
                <w:sz w:val="1"/>
                <w:szCs w:val="1"/>
                <w:color w:val="auto"/>
              </w:rPr>
            </w:pPr>
          </w:p>
        </w:tc>
      </w:tr>
      <w:tr>
        <w:trPr>
          <w:trHeight w:val="196"/>
        </w:trPr>
        <w:tc>
          <w:tcPr>
            <w:tcW w:w="3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2025</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26,916,837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13,460</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350,242</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111,673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475,198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15,358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490,556</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See accompanying notes.</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4"/>
          <w:szCs w:val="14"/>
          <w:b w:val="1"/>
          <w:bCs w:val="1"/>
          <w:color w:val="auto"/>
        </w:rPr>
        <w:t>TEJON RANCH CO.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6"/>
          </w:tcPr>
          <w:p>
            <w:pPr>
              <w:jc w:val="right"/>
              <w:ind w:right="129"/>
              <w:spacing w:after="0"/>
              <w:rPr>
                <w:sz w:val="20"/>
                <w:szCs w:val="20"/>
                <w:color w:val="auto"/>
              </w:rPr>
            </w:pPr>
            <w:r>
              <w:rPr>
                <w:rFonts w:ascii="Times New Roman" w:cs="Times New Roman" w:eastAsia="Times New Roman" w:hAnsi="Times New Roman"/>
                <w:sz w:val="13"/>
                <w:szCs w:val="13"/>
                <w:color w:val="auto"/>
              </w:rPr>
              <w:t>Twelve Months Ended December 31,</w:t>
            </w: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1840" w:type="dxa"/>
            <w:vAlign w:val="bottom"/>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2025</w:t>
            </w:r>
          </w:p>
        </w:tc>
        <w:tc>
          <w:tcPr>
            <w:tcW w:w="5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3"/>
                <w:szCs w:val="13"/>
                <w:color w:val="auto"/>
              </w:rPr>
              <w:t>2024</w:t>
            </w: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3"/>
                <w:szCs w:val="13"/>
                <w:color w:val="auto"/>
              </w:rPr>
              <w:t>2023</w:t>
            </w:r>
          </w:p>
        </w:tc>
        <w:tc>
          <w:tcPr>
            <w:tcW w:w="0" w:type="dxa"/>
            <w:vAlign w:val="bottom"/>
          </w:tcPr>
          <w:p>
            <w:pPr>
              <w:spacing w:after="0"/>
              <w:rPr>
                <w:sz w:val="1"/>
                <w:szCs w:val="1"/>
                <w:color w:val="auto"/>
              </w:rPr>
            </w:pPr>
          </w:p>
        </w:tc>
      </w:tr>
      <w:tr>
        <w:trPr>
          <w:trHeight w:val="162"/>
        </w:trPr>
        <w:tc>
          <w:tcPr>
            <w:tcW w:w="5160" w:type="dxa"/>
            <w:vAlign w:val="bottom"/>
            <w:vMerge w:val="continue"/>
          </w:tcPr>
          <w:p>
            <w:pPr>
              <w:spacing w:after="0"/>
              <w:rPr>
                <w:sz w:val="14"/>
                <w:szCs w:val="14"/>
                <w:color w:val="auto"/>
              </w:rPr>
            </w:pPr>
          </w:p>
        </w:tc>
        <w:tc>
          <w:tcPr>
            <w:tcW w:w="1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2680" w:type="dxa"/>
            <w:vAlign w:val="bottom"/>
            <w:gridSpan w:val="2"/>
            <w:shd w:val="clear" w:color="auto" w:fill="CCEEFF"/>
          </w:tcPr>
          <w:p>
            <w:pPr>
              <w:jc w:val="right"/>
              <w:ind w:right="693"/>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3,265</w:t>
            </w:r>
          </w:p>
        </w:tc>
        <w:tc>
          <w:tcPr>
            <w:tcW w:w="0" w:type="dxa"/>
            <w:vAlign w:val="bottom"/>
          </w:tcPr>
          <w:p>
            <w:pPr>
              <w:spacing w:after="0"/>
              <w:rPr>
                <w:sz w:val="1"/>
                <w:szCs w:val="1"/>
                <w:color w:val="auto"/>
              </w:rPr>
            </w:pPr>
          </w:p>
        </w:tc>
      </w:tr>
      <w:tr>
        <w:trPr>
          <w:trHeight w:val="180"/>
        </w:trPr>
        <w:tc>
          <w:tcPr>
            <w:tcW w:w="5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1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8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4,806</w:t>
            </w:r>
          </w:p>
        </w:tc>
        <w:tc>
          <w:tcPr>
            <w:tcW w:w="0" w:type="dxa"/>
            <w:vAlign w:val="bottom"/>
          </w:tcPr>
          <w:p>
            <w:pPr>
              <w:spacing w:after="0"/>
              <w:rPr>
                <w:sz w:val="1"/>
                <w:szCs w:val="1"/>
                <w:color w:val="auto"/>
              </w:rPr>
            </w:pPr>
          </w:p>
        </w:tc>
      </w:tr>
      <w:tr>
        <w:trPr>
          <w:trHeight w:val="180"/>
        </w:trPr>
        <w:tc>
          <w:tcPr>
            <w:tcW w:w="51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Amortization of discount on marketable securities</w:t>
            </w:r>
          </w:p>
        </w:tc>
        <w:tc>
          <w:tcPr>
            <w:tcW w:w="1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w:t>
            </w:r>
          </w:p>
        </w:tc>
        <w:tc>
          <w:tcPr>
            <w:tcW w:w="0" w:type="dxa"/>
            <w:vAlign w:val="bottom"/>
          </w:tcPr>
          <w:p>
            <w:pPr>
              <w:spacing w:after="0"/>
              <w:rPr>
                <w:sz w:val="1"/>
                <w:szCs w:val="1"/>
                <w:color w:val="auto"/>
              </w:rPr>
            </w:pPr>
          </w:p>
        </w:tc>
      </w:tr>
      <w:tr>
        <w:trPr>
          <w:trHeight w:val="180"/>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Equity in earnings of unconsolidated joint ventures, net</w:t>
            </w:r>
          </w:p>
        </w:tc>
        <w:tc>
          <w:tcPr>
            <w:tcW w:w="18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(10,881)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(6,868)</w:t>
            </w:r>
          </w:p>
        </w:tc>
        <w:tc>
          <w:tcPr>
            <w:tcW w:w="0" w:type="dxa"/>
            <w:vAlign w:val="bottom"/>
          </w:tcPr>
          <w:p>
            <w:pPr>
              <w:spacing w:after="0"/>
              <w:rPr>
                <w:sz w:val="1"/>
                <w:szCs w:val="1"/>
                <w:color w:val="auto"/>
              </w:rPr>
            </w:pPr>
          </w:p>
        </w:tc>
      </w:tr>
      <w:tr>
        <w:trPr>
          <w:trHeight w:val="180"/>
        </w:trPr>
        <w:tc>
          <w:tcPr>
            <w:tcW w:w="51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Non-cash retirement plan expense</w:t>
            </w:r>
          </w:p>
        </w:tc>
        <w:tc>
          <w:tcPr>
            <w:tcW w:w="1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0" w:type="dxa"/>
            <w:vAlign w:val="bottom"/>
          </w:tcPr>
          <w:p>
            <w:pPr>
              <w:spacing w:after="0"/>
              <w:rPr>
                <w:sz w:val="1"/>
                <w:szCs w:val="1"/>
                <w:color w:val="auto"/>
              </w:rPr>
            </w:pPr>
          </w:p>
        </w:tc>
      </w:tr>
      <w:tr>
        <w:trPr>
          <w:trHeight w:val="180"/>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(Gain) loss on sale of real estate/assets</w:t>
            </w:r>
          </w:p>
        </w:tc>
        <w:tc>
          <w:tcPr>
            <w:tcW w:w="18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80"/>
        </w:trPr>
        <w:tc>
          <w:tcPr>
            <w:tcW w:w="5160" w:type="dxa"/>
            <w:vAlign w:val="bottom"/>
          </w:tcPr>
          <w:p>
            <w:pPr>
              <w:ind w:left="360"/>
              <w:spacing w:after="0" w:line="181" w:lineRule="exact"/>
              <w:rPr>
                <w:sz w:val="20"/>
                <w:szCs w:val="20"/>
                <w:color w:val="auto"/>
              </w:rPr>
            </w:pPr>
            <w:r>
              <w:rPr>
                <w:rFonts w:ascii="Times New Roman" w:cs="Times New Roman" w:eastAsia="Times New Roman" w:hAnsi="Times New Roman"/>
                <w:sz w:val="14"/>
                <w:szCs w:val="14"/>
                <w:color w:val="auto"/>
              </w:rPr>
              <w:t>Profit from water sale</w:t>
            </w:r>
            <w:r>
              <w:rPr>
                <w:rFonts w:ascii="Times New Roman" w:cs="Times New Roman" w:eastAsia="Times New Roman" w:hAnsi="Times New Roman"/>
                <w:sz w:val="18"/>
                <w:szCs w:val="18"/>
                <w:color w:val="auto"/>
                <w:vertAlign w:val="superscript"/>
              </w:rPr>
              <w:t>1</w:t>
            </w:r>
          </w:p>
        </w:tc>
        <w:tc>
          <w:tcPr>
            <w:tcW w:w="1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0" w:type="dxa"/>
            <w:vAlign w:val="bottom"/>
          </w:tcPr>
          <w:p>
            <w:pPr>
              <w:spacing w:after="0"/>
              <w:rPr>
                <w:sz w:val="1"/>
                <w:szCs w:val="1"/>
                <w:color w:val="auto"/>
              </w:rPr>
            </w:pPr>
          </w:p>
        </w:tc>
      </w:tr>
      <w:tr>
        <w:trPr>
          <w:trHeight w:val="180"/>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Profit from land sales</w:t>
            </w:r>
          </w:p>
        </w:tc>
        <w:tc>
          <w:tcPr>
            <w:tcW w:w="18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1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Deferred income taxes</w:t>
            </w:r>
          </w:p>
        </w:tc>
        <w:tc>
          <w:tcPr>
            <w:tcW w:w="1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1,121</w:t>
            </w:r>
          </w:p>
        </w:tc>
        <w:tc>
          <w:tcPr>
            <w:tcW w:w="0" w:type="dxa"/>
            <w:vAlign w:val="bottom"/>
          </w:tcPr>
          <w:p>
            <w:pPr>
              <w:spacing w:after="0"/>
              <w:rPr>
                <w:sz w:val="1"/>
                <w:szCs w:val="1"/>
                <w:color w:val="auto"/>
              </w:rPr>
            </w:pPr>
          </w:p>
        </w:tc>
      </w:tr>
      <w:tr>
        <w:trPr>
          <w:trHeight w:val="180"/>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Stock compensation expense</w:t>
            </w:r>
          </w:p>
        </w:tc>
        <w:tc>
          <w:tcPr>
            <w:tcW w:w="18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3,252</w:t>
            </w:r>
          </w:p>
        </w:tc>
        <w:tc>
          <w:tcPr>
            <w:tcW w:w="0" w:type="dxa"/>
            <w:vAlign w:val="bottom"/>
          </w:tcPr>
          <w:p>
            <w:pPr>
              <w:spacing w:after="0"/>
              <w:rPr>
                <w:sz w:val="1"/>
                <w:szCs w:val="1"/>
                <w:color w:val="auto"/>
              </w:rPr>
            </w:pPr>
          </w:p>
        </w:tc>
      </w:tr>
      <w:tr>
        <w:trPr>
          <w:trHeight w:val="180"/>
        </w:trPr>
        <w:tc>
          <w:tcPr>
            <w:tcW w:w="51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Excess tax benefit of stock-based compensation</w:t>
            </w:r>
          </w:p>
        </w:tc>
        <w:tc>
          <w:tcPr>
            <w:tcW w:w="1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0" w:type="dxa"/>
            <w:vAlign w:val="bottom"/>
          </w:tcPr>
          <w:p>
            <w:pPr>
              <w:spacing w:after="0"/>
              <w:rPr>
                <w:sz w:val="1"/>
                <w:szCs w:val="1"/>
                <w:color w:val="auto"/>
              </w:rPr>
            </w:pPr>
          </w:p>
        </w:tc>
      </w:tr>
      <w:tr>
        <w:trPr>
          <w:trHeight w:val="180"/>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Abandonment expense</w:t>
            </w:r>
          </w:p>
        </w:tc>
        <w:tc>
          <w:tcPr>
            <w:tcW w:w="18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0" w:type="dxa"/>
            <w:vAlign w:val="bottom"/>
          </w:tcPr>
          <w:p>
            <w:pPr>
              <w:spacing w:after="0"/>
              <w:rPr>
                <w:sz w:val="1"/>
                <w:szCs w:val="1"/>
                <w:color w:val="auto"/>
              </w:rPr>
            </w:pPr>
          </w:p>
        </w:tc>
      </w:tr>
      <w:tr>
        <w:trPr>
          <w:trHeight w:val="180"/>
        </w:trPr>
        <w:tc>
          <w:tcPr>
            <w:tcW w:w="51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Inventory write down</w:t>
            </w:r>
          </w:p>
        </w:tc>
        <w:tc>
          <w:tcPr>
            <w:tcW w:w="1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0" w:type="dxa"/>
            <w:vAlign w:val="bottom"/>
          </w:tcPr>
          <w:p>
            <w:pPr>
              <w:spacing w:after="0"/>
              <w:rPr>
                <w:sz w:val="1"/>
                <w:szCs w:val="1"/>
                <w:color w:val="auto"/>
              </w:rPr>
            </w:pPr>
          </w:p>
        </w:tc>
      </w:tr>
      <w:tr>
        <w:trPr>
          <w:trHeight w:val="180"/>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Distribution of earnings from unconsolidated joint ventures</w:t>
            </w:r>
          </w:p>
        </w:tc>
        <w:tc>
          <w:tcPr>
            <w:tcW w:w="18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9,563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13,511</w:t>
            </w:r>
          </w:p>
        </w:tc>
        <w:tc>
          <w:tcPr>
            <w:tcW w:w="0" w:type="dxa"/>
            <w:vAlign w:val="bottom"/>
          </w:tcPr>
          <w:p>
            <w:pPr>
              <w:spacing w:after="0"/>
              <w:rPr>
                <w:sz w:val="1"/>
                <w:szCs w:val="1"/>
                <w:color w:val="auto"/>
              </w:rPr>
            </w:pPr>
          </w:p>
        </w:tc>
      </w:tr>
      <w:tr>
        <w:trPr>
          <w:trHeight w:val="180"/>
        </w:trPr>
        <w:tc>
          <w:tcPr>
            <w:tcW w:w="5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Receivables, inventories, prepaids and other assets, net</w:t>
            </w:r>
          </w:p>
        </w:tc>
        <w:tc>
          <w:tcPr>
            <w:tcW w:w="18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(4,476)</w:t>
            </w:r>
          </w:p>
        </w:tc>
        <w:tc>
          <w:tcPr>
            <w:tcW w:w="0" w:type="dxa"/>
            <w:vAlign w:val="bottom"/>
          </w:tcPr>
          <w:p>
            <w:pPr>
              <w:spacing w:after="0"/>
              <w:rPr>
                <w:sz w:val="1"/>
                <w:szCs w:val="1"/>
                <w:color w:val="auto"/>
              </w:rPr>
            </w:pPr>
          </w:p>
        </w:tc>
      </w:tr>
      <w:tr>
        <w:trPr>
          <w:trHeight w:val="180"/>
        </w:trPr>
        <w:tc>
          <w:tcPr>
            <w:tcW w:w="51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Current liabilities, net</w:t>
            </w:r>
          </w:p>
        </w:tc>
        <w:tc>
          <w:tcPr>
            <w:tcW w:w="184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(5,073)</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2,948</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0" w:type="dxa"/>
            <w:vAlign w:val="bottom"/>
          </w:tcPr>
          <w:p>
            <w:pPr>
              <w:spacing w:after="0"/>
              <w:rPr>
                <w:sz w:val="1"/>
                <w:szCs w:val="1"/>
                <w:color w:val="auto"/>
              </w:rPr>
            </w:pPr>
          </w:p>
        </w:tc>
      </w:tr>
      <w:tr>
        <w:trPr>
          <w:trHeight w:val="171"/>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8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14,314</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13,655</w:t>
            </w:r>
          </w:p>
        </w:tc>
        <w:tc>
          <w:tcPr>
            <w:tcW w:w="0" w:type="dxa"/>
            <w:vAlign w:val="bottom"/>
          </w:tcPr>
          <w:p>
            <w:pPr>
              <w:spacing w:after="0"/>
              <w:rPr>
                <w:sz w:val="1"/>
                <w:szCs w:val="1"/>
                <w:color w:val="auto"/>
              </w:rPr>
            </w:pPr>
          </w:p>
        </w:tc>
      </w:tr>
      <w:tr>
        <w:trPr>
          <w:trHeight w:val="180"/>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1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Maturities and sales of marketable securities</w:t>
            </w:r>
          </w:p>
        </w:tc>
        <w:tc>
          <w:tcPr>
            <w:tcW w:w="18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31,637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92,605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134,083</w:t>
            </w:r>
          </w:p>
        </w:tc>
        <w:tc>
          <w:tcPr>
            <w:tcW w:w="0" w:type="dxa"/>
            <w:vAlign w:val="bottom"/>
          </w:tcPr>
          <w:p>
            <w:pPr>
              <w:spacing w:after="0"/>
              <w:rPr>
                <w:sz w:val="1"/>
                <w:szCs w:val="1"/>
                <w:color w:val="auto"/>
              </w:rPr>
            </w:pPr>
          </w:p>
        </w:tc>
      </w:tr>
      <w:tr>
        <w:trPr>
          <w:trHeight w:val="180"/>
        </w:trPr>
        <w:tc>
          <w:tcPr>
            <w:tcW w:w="5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Purchase of marketable securities</w:t>
            </w:r>
          </w:p>
        </w:tc>
        <w:tc>
          <w:tcPr>
            <w:tcW w:w="1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(32,387)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(73,995)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(132,317)</w:t>
            </w:r>
          </w:p>
        </w:tc>
        <w:tc>
          <w:tcPr>
            <w:tcW w:w="0" w:type="dxa"/>
            <w:vAlign w:val="bottom"/>
          </w:tcPr>
          <w:p>
            <w:pPr>
              <w:spacing w:after="0"/>
              <w:rPr>
                <w:sz w:val="1"/>
                <w:szCs w:val="1"/>
                <w:color w:val="auto"/>
              </w:rPr>
            </w:pPr>
          </w:p>
        </w:tc>
      </w:tr>
      <w:tr>
        <w:trPr>
          <w:trHeight w:val="180"/>
        </w:trPr>
        <w:tc>
          <w:tcPr>
            <w:tcW w:w="516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4"/>
                <w:szCs w:val="14"/>
                <w:color w:val="auto"/>
              </w:rPr>
              <w:t>Real estate development expenditures</w:t>
            </w:r>
            <w:r>
              <w:rPr>
                <w:rFonts w:ascii="Times New Roman" w:cs="Times New Roman" w:eastAsia="Times New Roman" w:hAnsi="Times New Roman"/>
                <w:sz w:val="18"/>
                <w:szCs w:val="18"/>
                <w:color w:val="auto"/>
                <w:vertAlign w:val="superscript"/>
              </w:rPr>
              <w:t>3</w:t>
            </w:r>
          </w:p>
        </w:tc>
        <w:tc>
          <w:tcPr>
            <w:tcW w:w="18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(7,888)</w:t>
            </w:r>
          </w:p>
        </w:tc>
        <w:tc>
          <w:tcPr>
            <w:tcW w:w="0" w:type="dxa"/>
            <w:vAlign w:val="bottom"/>
          </w:tcPr>
          <w:p>
            <w:pPr>
              <w:spacing w:after="0"/>
              <w:rPr>
                <w:sz w:val="1"/>
                <w:szCs w:val="1"/>
                <w:color w:val="auto"/>
              </w:rPr>
            </w:pPr>
          </w:p>
        </w:tc>
      </w:tr>
      <w:tr>
        <w:trPr>
          <w:trHeight w:val="180"/>
        </w:trPr>
        <w:tc>
          <w:tcPr>
            <w:tcW w:w="5160" w:type="dxa"/>
            <w:vAlign w:val="bottom"/>
          </w:tcPr>
          <w:p>
            <w:pPr>
              <w:ind w:left="120"/>
              <w:spacing w:after="0" w:line="181" w:lineRule="exact"/>
              <w:rPr>
                <w:sz w:val="20"/>
                <w:szCs w:val="20"/>
                <w:color w:val="auto"/>
              </w:rPr>
            </w:pPr>
            <w:r>
              <w:rPr>
                <w:rFonts w:ascii="Times New Roman" w:cs="Times New Roman" w:eastAsia="Times New Roman" w:hAnsi="Times New Roman"/>
                <w:sz w:val="14"/>
                <w:szCs w:val="14"/>
                <w:color w:val="auto"/>
              </w:rPr>
              <w:t>Real estate expenditures - to be held for lease</w:t>
            </w:r>
            <w:r>
              <w:rPr>
                <w:rFonts w:ascii="Times New Roman" w:cs="Times New Roman" w:eastAsia="Times New Roman" w:hAnsi="Times New Roman"/>
                <w:sz w:val="18"/>
                <w:szCs w:val="18"/>
                <w:color w:val="auto"/>
                <w:vertAlign w:val="superscript"/>
              </w:rPr>
              <w:t>3</w:t>
            </w:r>
          </w:p>
        </w:tc>
        <w:tc>
          <w:tcPr>
            <w:tcW w:w="1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(46,560)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(43,018)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(7,815)</w:t>
            </w:r>
          </w:p>
        </w:tc>
        <w:tc>
          <w:tcPr>
            <w:tcW w:w="0" w:type="dxa"/>
            <w:vAlign w:val="bottom"/>
          </w:tcPr>
          <w:p>
            <w:pPr>
              <w:spacing w:after="0"/>
              <w:rPr>
                <w:sz w:val="1"/>
                <w:szCs w:val="1"/>
                <w:color w:val="auto"/>
              </w:rPr>
            </w:pPr>
          </w:p>
        </w:tc>
      </w:tr>
      <w:tr>
        <w:trPr>
          <w:trHeight w:val="180"/>
        </w:trPr>
        <w:tc>
          <w:tcPr>
            <w:tcW w:w="516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4"/>
                <w:szCs w:val="14"/>
                <w:color w:val="auto"/>
              </w:rPr>
              <w:t>Property and equipment expenditures</w:t>
            </w:r>
            <w:r>
              <w:rPr>
                <w:rFonts w:ascii="Times New Roman" w:cs="Times New Roman" w:eastAsia="Times New Roman" w:hAnsi="Times New Roman"/>
                <w:sz w:val="18"/>
                <w:szCs w:val="18"/>
                <w:color w:val="auto"/>
                <w:vertAlign w:val="superscript"/>
              </w:rPr>
              <w:t>3</w:t>
            </w:r>
          </w:p>
        </w:tc>
        <w:tc>
          <w:tcPr>
            <w:tcW w:w="18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(5,625)</w:t>
            </w:r>
          </w:p>
        </w:tc>
        <w:tc>
          <w:tcPr>
            <w:tcW w:w="0" w:type="dxa"/>
            <w:vAlign w:val="bottom"/>
          </w:tcPr>
          <w:p>
            <w:pPr>
              <w:spacing w:after="0"/>
              <w:rPr>
                <w:sz w:val="1"/>
                <w:szCs w:val="1"/>
                <w:color w:val="auto"/>
              </w:rPr>
            </w:pPr>
          </w:p>
        </w:tc>
      </w:tr>
      <w:tr>
        <w:trPr>
          <w:trHeight w:val="180"/>
        </w:trPr>
        <w:tc>
          <w:tcPr>
            <w:tcW w:w="5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Reimbursement proceeds from Community Facilities District</w:t>
            </w:r>
          </w:p>
        </w:tc>
        <w:tc>
          <w:tcPr>
            <w:tcW w:w="1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9,409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15,745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sale of real estate/assets</w:t>
            </w:r>
          </w:p>
        </w:tc>
        <w:tc>
          <w:tcPr>
            <w:tcW w:w="18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80"/>
        </w:trPr>
        <w:tc>
          <w:tcPr>
            <w:tcW w:w="5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Proceeds from sale of land</w:t>
            </w:r>
          </w:p>
        </w:tc>
        <w:tc>
          <w:tcPr>
            <w:tcW w:w="1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0"/>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Investment in unconsolidated joint ventures</w:t>
            </w:r>
          </w:p>
        </w:tc>
        <w:tc>
          <w:tcPr>
            <w:tcW w:w="18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w:t>
            </w:r>
          </w:p>
        </w:tc>
        <w:tc>
          <w:tcPr>
            <w:tcW w:w="0" w:type="dxa"/>
            <w:vAlign w:val="bottom"/>
          </w:tcPr>
          <w:p>
            <w:pPr>
              <w:spacing w:after="0"/>
              <w:rPr>
                <w:sz w:val="1"/>
                <w:szCs w:val="1"/>
                <w:color w:val="auto"/>
              </w:rPr>
            </w:pPr>
          </w:p>
        </w:tc>
      </w:tr>
      <w:tr>
        <w:trPr>
          <w:trHeight w:val="180"/>
        </w:trPr>
        <w:tc>
          <w:tcPr>
            <w:tcW w:w="5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Distribution of equity from unconsolidated joint ventures</w:t>
            </w:r>
          </w:p>
        </w:tc>
        <w:tc>
          <w:tcPr>
            <w:tcW w:w="1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10,978</w:t>
            </w:r>
          </w:p>
        </w:tc>
        <w:tc>
          <w:tcPr>
            <w:tcW w:w="0" w:type="dxa"/>
            <w:vAlign w:val="bottom"/>
          </w:tcPr>
          <w:p>
            <w:pPr>
              <w:spacing w:after="0"/>
              <w:rPr>
                <w:sz w:val="1"/>
                <w:szCs w:val="1"/>
                <w:color w:val="auto"/>
              </w:rPr>
            </w:pPr>
          </w:p>
        </w:tc>
      </w:tr>
      <w:tr>
        <w:trPr>
          <w:trHeight w:val="180"/>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Investments in long-term water assets</w:t>
            </w:r>
          </w:p>
        </w:tc>
        <w:tc>
          <w:tcPr>
            <w:tcW w:w="18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(6,034)</w:t>
            </w:r>
          </w:p>
        </w:tc>
        <w:tc>
          <w:tcPr>
            <w:tcW w:w="0" w:type="dxa"/>
            <w:vAlign w:val="bottom"/>
          </w:tcPr>
          <w:p>
            <w:pPr>
              <w:spacing w:after="0"/>
              <w:rPr>
                <w:sz w:val="1"/>
                <w:szCs w:val="1"/>
                <w:color w:val="auto"/>
              </w:rPr>
            </w:pPr>
          </w:p>
        </w:tc>
      </w:tr>
      <w:tr>
        <w:trPr>
          <w:trHeight w:val="180"/>
        </w:trPr>
        <w:tc>
          <w:tcPr>
            <w:tcW w:w="5160" w:type="dxa"/>
            <w:vAlign w:val="bottom"/>
          </w:tcPr>
          <w:p>
            <w:pPr>
              <w:ind w:left="120"/>
              <w:spacing w:after="0" w:line="181" w:lineRule="exact"/>
              <w:rPr>
                <w:sz w:val="20"/>
                <w:szCs w:val="20"/>
                <w:color w:val="auto"/>
              </w:rPr>
            </w:pPr>
            <w:r>
              <w:rPr>
                <w:rFonts w:ascii="Times New Roman" w:cs="Times New Roman" w:eastAsia="Times New Roman" w:hAnsi="Times New Roman"/>
                <w:sz w:val="14"/>
                <w:szCs w:val="14"/>
                <w:color w:val="auto"/>
              </w:rPr>
              <w:t>Proceeds from water sales</w:t>
            </w:r>
            <w:r>
              <w:rPr>
                <w:rFonts w:ascii="Times New Roman" w:cs="Times New Roman" w:eastAsia="Times New Roman" w:hAnsi="Times New Roman"/>
                <w:sz w:val="18"/>
                <w:szCs w:val="18"/>
                <w:color w:val="auto"/>
                <w:vertAlign w:val="superscript"/>
              </w:rPr>
              <w:t>1</w:t>
            </w:r>
          </w:p>
        </w:tc>
        <w:tc>
          <w:tcPr>
            <w:tcW w:w="1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1,324</w:t>
            </w:r>
          </w:p>
        </w:tc>
        <w:tc>
          <w:tcPr>
            <w:tcW w:w="0" w:type="dxa"/>
            <w:vAlign w:val="bottom"/>
          </w:tcPr>
          <w:p>
            <w:pPr>
              <w:spacing w:after="0"/>
              <w:rPr>
                <w:sz w:val="1"/>
                <w:szCs w:val="1"/>
                <w:color w:val="auto"/>
              </w:rPr>
            </w:pPr>
          </w:p>
        </w:tc>
      </w:tr>
      <w:tr>
        <w:trPr>
          <w:trHeight w:val="180"/>
        </w:trPr>
        <w:tc>
          <w:tcPr>
            <w:tcW w:w="516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4"/>
                <w:szCs w:val="14"/>
                <w:color w:val="auto"/>
              </w:rPr>
              <w:t>Interest rate swap settlement</w:t>
            </w:r>
            <w:r>
              <w:rPr>
                <w:rFonts w:ascii="Times New Roman" w:cs="Times New Roman" w:eastAsia="Times New Roman" w:hAnsi="Times New Roman"/>
                <w:sz w:val="18"/>
                <w:szCs w:val="18"/>
                <w:color w:val="auto"/>
                <w:vertAlign w:val="superscript"/>
              </w:rPr>
              <w:t>2</w:t>
            </w:r>
          </w:p>
        </w:tc>
        <w:tc>
          <w:tcPr>
            <w:tcW w:w="18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3,715</w:t>
            </w:r>
          </w:p>
        </w:tc>
        <w:tc>
          <w:tcPr>
            <w:tcW w:w="0" w:type="dxa"/>
            <w:vAlign w:val="bottom"/>
          </w:tcPr>
          <w:p>
            <w:pPr>
              <w:spacing w:after="0"/>
              <w:rPr>
                <w:sz w:val="1"/>
                <w:szCs w:val="1"/>
                <w:color w:val="auto"/>
              </w:rPr>
            </w:pPr>
          </w:p>
        </w:tc>
      </w:tr>
      <w:tr>
        <w:trPr>
          <w:trHeight w:val="171"/>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84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(62,306)</w:t>
            </w: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(25,748)</w:t>
            </w: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(14,002)</w:t>
            </w:r>
          </w:p>
        </w:tc>
        <w:tc>
          <w:tcPr>
            <w:tcW w:w="0" w:type="dxa"/>
            <w:vAlign w:val="bottom"/>
          </w:tcPr>
          <w:p>
            <w:pPr>
              <w:spacing w:after="0"/>
              <w:rPr>
                <w:sz w:val="1"/>
                <w:szCs w:val="1"/>
                <w:color w:val="auto"/>
              </w:rPr>
            </w:pPr>
          </w:p>
        </w:tc>
      </w:tr>
      <w:tr>
        <w:trPr>
          <w:trHeight w:val="18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18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Borrowings on line of credit</w:t>
            </w:r>
          </w:p>
        </w:tc>
        <w:tc>
          <w:tcPr>
            <w:tcW w:w="1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27,000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47,942</w:t>
            </w:r>
          </w:p>
        </w:tc>
        <w:tc>
          <w:tcPr>
            <w:tcW w:w="0" w:type="dxa"/>
            <w:vAlign w:val="bottom"/>
          </w:tcPr>
          <w:p>
            <w:pPr>
              <w:spacing w:after="0"/>
              <w:rPr>
                <w:sz w:val="1"/>
                <w:szCs w:val="1"/>
                <w:color w:val="auto"/>
              </w:rPr>
            </w:pPr>
          </w:p>
        </w:tc>
      </w:tr>
      <w:tr>
        <w:trPr>
          <w:trHeight w:val="180"/>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Repayments of long-term debt</w:t>
            </w:r>
          </w:p>
        </w:tc>
        <w:tc>
          <w:tcPr>
            <w:tcW w:w="18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(50,357)</w:t>
            </w:r>
          </w:p>
        </w:tc>
        <w:tc>
          <w:tcPr>
            <w:tcW w:w="0" w:type="dxa"/>
            <w:vAlign w:val="bottom"/>
          </w:tcPr>
          <w:p>
            <w:pPr>
              <w:spacing w:after="0"/>
              <w:rPr>
                <w:sz w:val="1"/>
                <w:szCs w:val="1"/>
                <w:color w:val="auto"/>
              </w:rPr>
            </w:pPr>
          </w:p>
        </w:tc>
      </w:tr>
      <w:tr>
        <w:trPr>
          <w:trHeight w:val="180"/>
        </w:trPr>
        <w:tc>
          <w:tcPr>
            <w:tcW w:w="5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Deferred financing costs</w:t>
            </w:r>
          </w:p>
        </w:tc>
        <w:tc>
          <w:tcPr>
            <w:tcW w:w="1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(1,097)</w:t>
            </w:r>
          </w:p>
        </w:tc>
        <w:tc>
          <w:tcPr>
            <w:tcW w:w="0" w:type="dxa"/>
            <w:vAlign w:val="bottom"/>
          </w:tcPr>
          <w:p>
            <w:pPr>
              <w:spacing w:after="0"/>
              <w:rPr>
                <w:sz w:val="1"/>
                <w:szCs w:val="1"/>
                <w:color w:val="auto"/>
              </w:rPr>
            </w:pPr>
          </w:p>
        </w:tc>
      </w:tr>
      <w:tr>
        <w:trPr>
          <w:trHeight w:val="180"/>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Taxes on vested stock grants</w:t>
            </w:r>
          </w:p>
        </w:tc>
        <w:tc>
          <w:tcPr>
            <w:tcW w:w="184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(3,353)</w:t>
            </w:r>
          </w:p>
        </w:tc>
        <w:tc>
          <w:tcPr>
            <w:tcW w:w="0" w:type="dxa"/>
            <w:vAlign w:val="bottom"/>
          </w:tcPr>
          <w:p>
            <w:pPr>
              <w:spacing w:after="0"/>
              <w:rPr>
                <w:sz w:val="1"/>
                <w:szCs w:val="1"/>
                <w:color w:val="auto"/>
              </w:rPr>
            </w:pPr>
          </w:p>
        </w:tc>
      </w:tr>
      <w:tr>
        <w:trPr>
          <w:trHeight w:val="171"/>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1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26,431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18,794</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(6,865)</w:t>
            </w:r>
          </w:p>
        </w:tc>
        <w:tc>
          <w:tcPr>
            <w:tcW w:w="0" w:type="dxa"/>
            <w:vAlign w:val="bottom"/>
          </w:tcPr>
          <w:p>
            <w:pPr>
              <w:spacing w:after="0"/>
              <w:rPr>
                <w:sz w:val="1"/>
                <w:szCs w:val="1"/>
                <w:color w:val="auto"/>
              </w:rPr>
            </w:pPr>
          </w:p>
        </w:tc>
      </w:tr>
      <w:tr>
        <w:trPr>
          <w:trHeight w:val="18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(Decrease) increase in cash, cash equivalents, and restricted cash</w:t>
            </w:r>
          </w:p>
        </w:tc>
        <w:tc>
          <w:tcPr>
            <w:tcW w:w="18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(29,743)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(7,212)</w:t>
            </w:r>
          </w:p>
        </w:tc>
        <w:tc>
          <w:tcPr>
            <w:tcW w:w="0" w:type="dxa"/>
            <w:vAlign w:val="bottom"/>
          </w:tcPr>
          <w:p>
            <w:pPr>
              <w:spacing w:after="0"/>
              <w:rPr>
                <w:sz w:val="1"/>
                <w:szCs w:val="1"/>
                <w:color w:val="auto"/>
              </w:rPr>
            </w:pPr>
          </w:p>
        </w:tc>
      </w:tr>
      <w:tr>
        <w:trPr>
          <w:trHeight w:val="180"/>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year</w:t>
            </w:r>
          </w:p>
        </w:tc>
        <w:tc>
          <w:tcPr>
            <w:tcW w:w="184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39,767</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32,407</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39,619</w:t>
            </w:r>
          </w:p>
        </w:tc>
        <w:tc>
          <w:tcPr>
            <w:tcW w:w="0" w:type="dxa"/>
            <w:vAlign w:val="bottom"/>
          </w:tcPr>
          <w:p>
            <w:pPr>
              <w:spacing w:after="0"/>
              <w:rPr>
                <w:sz w:val="1"/>
                <w:szCs w:val="1"/>
                <w:color w:val="auto"/>
              </w:rPr>
            </w:pPr>
          </w:p>
        </w:tc>
      </w:tr>
      <w:tr>
        <w:trPr>
          <w:trHeight w:val="196"/>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end of year</w:t>
            </w:r>
          </w:p>
        </w:tc>
        <w:tc>
          <w:tcPr>
            <w:tcW w:w="18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693"/>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10,024</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39,767</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32,407</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CCEEFF"/>
            </w:tcBorders>
            <w:vMerge w:val="restart"/>
          </w:tcPr>
          <w:p>
            <w:pPr>
              <w:jc w:val="right"/>
              <w:ind w:right="1209"/>
              <w:spacing w:after="0"/>
              <w:rPr>
                <w:sz w:val="20"/>
                <w:szCs w:val="20"/>
                <w:color w:val="auto"/>
              </w:rPr>
            </w:pPr>
            <w:r>
              <w:rPr>
                <w:rFonts w:ascii="Times New Roman" w:cs="Times New Roman" w:eastAsia="Times New Roman" w:hAnsi="Times New Roman"/>
                <w:sz w:val="14"/>
                <w:szCs w:val="14"/>
                <w:color w:val="auto"/>
              </w:rPr>
              <w:t>82</w:t>
            </w: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5160" w:type="dxa"/>
            <w:vAlign w:val="bottom"/>
          </w:tcPr>
          <w:p>
            <w:pPr>
              <w:spacing w:after="0"/>
              <w:rPr>
                <w:sz w:val="24"/>
                <w:szCs w:val="24"/>
                <w:color w:val="auto"/>
              </w:rPr>
            </w:pPr>
          </w:p>
        </w:tc>
        <w:tc>
          <w:tcPr>
            <w:tcW w:w="184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5160" w:type="dxa"/>
            <w:vAlign w:val="bottom"/>
            <w:tcBorders>
              <w:bottom w:val="single" w:sz="8" w:color="9A9A9A"/>
            </w:tcBorders>
          </w:tcPr>
          <w:p>
            <w:pPr>
              <w:spacing w:after="0"/>
              <w:rPr>
                <w:sz w:val="7"/>
                <w:szCs w:val="7"/>
                <w:color w:val="auto"/>
              </w:rPr>
            </w:pPr>
          </w:p>
        </w:tc>
        <w:tc>
          <w:tcPr>
            <w:tcW w:w="18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68"/>
        </w:trPr>
        <w:tc>
          <w:tcPr>
            <w:tcW w:w="74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6"/>
          </w:tcPr>
          <w:p>
            <w:pPr>
              <w:jc w:val="right"/>
              <w:ind w:right="49"/>
              <w:spacing w:after="0"/>
              <w:rPr>
                <w:sz w:val="20"/>
                <w:szCs w:val="20"/>
                <w:color w:val="auto"/>
              </w:rPr>
            </w:pPr>
            <w:r>
              <w:rPr>
                <w:rFonts w:ascii="Times New Roman" w:cs="Times New Roman" w:eastAsia="Times New Roman" w:hAnsi="Times New Roman"/>
                <w:sz w:val="13"/>
                <w:szCs w:val="13"/>
                <w:color w:val="auto"/>
              </w:rPr>
              <w:t>Twelve Months Ended December 31,</w:t>
            </w: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7460" w:type="dxa"/>
            <w:vAlign w:val="bottom"/>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2025</w:t>
            </w:r>
          </w:p>
        </w:tc>
        <w:tc>
          <w:tcPr>
            <w:tcW w:w="4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3"/>
                <w:szCs w:val="13"/>
                <w:color w:val="auto"/>
              </w:rPr>
              <w:t>2024</w:t>
            </w:r>
          </w:p>
        </w:tc>
        <w:tc>
          <w:tcPr>
            <w:tcW w:w="1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3"/>
                <w:szCs w:val="13"/>
                <w:color w:val="auto"/>
              </w:rPr>
              <w:t>2023</w:t>
            </w:r>
          </w:p>
        </w:tc>
        <w:tc>
          <w:tcPr>
            <w:tcW w:w="0" w:type="dxa"/>
            <w:vAlign w:val="bottom"/>
          </w:tcPr>
          <w:p>
            <w:pPr>
              <w:spacing w:after="0"/>
              <w:rPr>
                <w:sz w:val="1"/>
                <w:szCs w:val="1"/>
                <w:color w:val="auto"/>
              </w:rPr>
            </w:pPr>
          </w:p>
        </w:tc>
      </w:tr>
      <w:tr>
        <w:trPr>
          <w:trHeight w:val="88"/>
        </w:trPr>
        <w:tc>
          <w:tcPr>
            <w:tcW w:w="74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to amounts on consolidated balance sheets:</w:t>
            </w:r>
          </w:p>
        </w:tc>
        <w:tc>
          <w:tcPr>
            <w:tcW w:w="7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720" w:type="dxa"/>
            <w:vAlign w:val="bottom"/>
          </w:tcPr>
          <w:p>
            <w:pPr>
              <w:jc w:val="right"/>
              <w:ind w:right="571"/>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9,524</w:t>
            </w:r>
          </w:p>
        </w:tc>
        <w:tc>
          <w:tcPr>
            <w:tcW w:w="140" w:type="dxa"/>
            <w:vAlign w:val="bottom"/>
          </w:tcPr>
          <w:p>
            <w:pPr>
              <w:spacing w:after="0"/>
              <w:rPr>
                <w:sz w:val="15"/>
                <w:szCs w:val="15"/>
                <w:color w:val="auto"/>
              </w:rPr>
            </w:pP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39,267</w:t>
            </w:r>
          </w:p>
        </w:tc>
        <w:tc>
          <w:tcPr>
            <w:tcW w:w="16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31,907</w:t>
            </w:r>
          </w:p>
        </w:tc>
        <w:tc>
          <w:tcPr>
            <w:tcW w:w="0" w:type="dxa"/>
            <w:vAlign w:val="bottom"/>
          </w:tcPr>
          <w:p>
            <w:pPr>
              <w:spacing w:after="0"/>
              <w:rPr>
                <w:sz w:val="1"/>
                <w:szCs w:val="1"/>
                <w:color w:val="auto"/>
              </w:rPr>
            </w:pPr>
          </w:p>
        </w:tc>
      </w:tr>
      <w:tr>
        <w:trPr>
          <w:trHeight w:val="18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cash (recorded in other assets)</w:t>
            </w:r>
          </w:p>
        </w:tc>
        <w:tc>
          <w:tcPr>
            <w:tcW w:w="72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6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171"/>
        </w:trPr>
        <w:tc>
          <w:tcPr>
            <w:tcW w:w="7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cash, cash equivalents, and restricted cash</w:t>
            </w:r>
          </w:p>
        </w:tc>
        <w:tc>
          <w:tcPr>
            <w:tcW w:w="7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10,024</w:t>
            </w:r>
          </w:p>
        </w:tc>
        <w:tc>
          <w:tcPr>
            <w:tcW w:w="140" w:type="dxa"/>
            <w:vAlign w:val="bottom"/>
          </w:tcPr>
          <w:p>
            <w:pPr>
              <w:spacing w:after="0"/>
              <w:rPr>
                <w:sz w:val="14"/>
                <w:szCs w:val="14"/>
                <w:color w:val="auto"/>
              </w:rPr>
            </w:pPr>
          </w:p>
        </w:tc>
        <w:tc>
          <w:tcPr>
            <w:tcW w:w="2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39,767</w:t>
            </w:r>
          </w:p>
        </w:tc>
        <w:tc>
          <w:tcPr>
            <w:tcW w:w="16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32,407</w:t>
            </w:r>
          </w:p>
        </w:tc>
        <w:tc>
          <w:tcPr>
            <w:tcW w:w="0" w:type="dxa"/>
            <w:vAlign w:val="bottom"/>
          </w:tcPr>
          <w:p>
            <w:pPr>
              <w:spacing w:after="0"/>
              <w:rPr>
                <w:sz w:val="1"/>
                <w:szCs w:val="1"/>
                <w:color w:val="auto"/>
              </w:rPr>
            </w:pPr>
          </w:p>
        </w:tc>
      </w:tr>
      <w:tr>
        <w:trPr>
          <w:trHeight w:val="20"/>
        </w:trPr>
        <w:tc>
          <w:tcPr>
            <w:tcW w:w="7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activities</w:t>
            </w: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7460" w:type="dxa"/>
            <w:vAlign w:val="bottom"/>
            <w:vMerge w:val="continue"/>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746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Accrued capital and water expenditures included in current liabilities</w:t>
            </w:r>
          </w:p>
        </w:tc>
        <w:tc>
          <w:tcPr>
            <w:tcW w:w="720" w:type="dxa"/>
            <w:vAlign w:val="bottom"/>
            <w:tcBorders>
              <w:bottom w:val="single" w:sz="8" w:color="auto"/>
            </w:tcBorders>
            <w:shd w:val="clear" w:color="auto" w:fill="CCEEFF"/>
          </w:tcPr>
          <w:p>
            <w:pPr>
              <w:jc w:val="right"/>
              <w:ind w:right="571"/>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1,867</w:t>
            </w:r>
          </w:p>
        </w:tc>
        <w:tc>
          <w:tcPr>
            <w:tcW w:w="1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09"/>
              <w:spacing w:after="0" w:line="15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5,290</w:t>
            </w:r>
          </w:p>
        </w:tc>
        <w:tc>
          <w:tcPr>
            <w:tcW w:w="1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69"/>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2,091</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p>
      <w:pPr>
        <w:ind w:left="80" w:right="140" w:hanging="63"/>
        <w:spacing w:after="0" w:line="232" w:lineRule="auto"/>
        <w:rPr>
          <w:sz w:val="20"/>
          <w:szCs w:val="20"/>
          <w:color w:val="auto"/>
        </w:rPr>
      </w:pPr>
      <w:r>
        <w:rPr>
          <w:rFonts w:ascii="Times New Roman" w:cs="Times New Roman" w:eastAsia="Times New Roman" w:hAnsi="Times New Roman"/>
          <w:sz w:val="15"/>
          <w:szCs w:val="15"/>
          <w:color w:val="auto"/>
          <w:vertAlign w:val="superscript"/>
        </w:rPr>
        <w:t>1</w:t>
      </w:r>
      <w:r>
        <w:rPr>
          <w:rFonts w:ascii="Times New Roman" w:cs="Times New Roman" w:eastAsia="Times New Roman" w:hAnsi="Times New Roman"/>
          <w:sz w:val="12"/>
          <w:szCs w:val="12"/>
          <w:color w:val="auto"/>
        </w:rPr>
        <w:t>In determining the classification of cash inflows and outflows related to water asset activity, the Company’s practices are supported by ASC 230-10-45-22, which provides that “Certain cash receipts and payments have aspects of more than one class of cash flows…. If so, the appropriate classification shall depend on the activity that is likely to be the predominant source of cash flows for the item.” Also, at the 2006 American</w:t>
      </w:r>
    </w:p>
    <w:p>
      <w:pPr>
        <w:ind w:left="80" w:right="100"/>
        <w:spacing w:after="0" w:line="234" w:lineRule="auto"/>
        <w:rPr>
          <w:sz w:val="20"/>
          <w:szCs w:val="20"/>
          <w:color w:val="auto"/>
        </w:rPr>
      </w:pPr>
      <w:r>
        <w:rPr>
          <w:rFonts w:ascii="Times New Roman" w:cs="Times New Roman" w:eastAsia="Times New Roman" w:hAnsi="Times New Roman"/>
          <w:sz w:val="13"/>
          <w:szCs w:val="13"/>
          <w:color w:val="auto"/>
        </w:rPr>
        <w:t>Institution of Certified Public Accountants Conference on Current SEC and PCAOB Developments, the SEC staff discussed that an entity should be consistent in how it classifies cash outflows and inflows related to an asset’s purchase and sale and noted that when cash flow classification is unclear, registrants must use judgment and analysis that considers the nature of the activity and the predominant source of cash flow for these items.</w:t>
      </w:r>
    </w:p>
    <w:p>
      <w:pPr>
        <w:spacing w:after="0" w:line="175" w:lineRule="exact"/>
        <w:rPr>
          <w:sz w:val="20"/>
          <w:szCs w:val="20"/>
          <w:color w:val="auto"/>
        </w:rPr>
      </w:pPr>
    </w:p>
    <w:p>
      <w:pPr>
        <w:ind w:left="80" w:right="100"/>
        <w:spacing w:after="0" w:line="236" w:lineRule="auto"/>
        <w:rPr>
          <w:sz w:val="20"/>
          <w:szCs w:val="20"/>
          <w:color w:val="auto"/>
        </w:rPr>
      </w:pPr>
      <w:r>
        <w:rPr>
          <w:rFonts w:ascii="Times New Roman" w:cs="Times New Roman" w:eastAsia="Times New Roman" w:hAnsi="Times New Roman"/>
          <w:sz w:val="13"/>
          <w:szCs w:val="13"/>
          <w:color w:val="auto"/>
        </w:rPr>
        <w:t>Given the nature of our water assets and the aforementioned authoritative guidance, the Company estimates the appropriate classification of water assets purchased based on the timing of the sale of the water. Water purchased in prior periods that was classified as investing was sold for $1.32 million in 2023. The profit of $0.5 million in 2023 related to the water purchased in prior periods is being deducted from operating activities for the respective period. The Company has and will continue to apply this methodology to water asset transactions that meet this fact pattern.</w:t>
      </w:r>
    </w:p>
    <w:p>
      <w:pPr>
        <w:spacing w:after="0" w:line="217" w:lineRule="exact"/>
        <w:rPr>
          <w:sz w:val="20"/>
          <w:szCs w:val="20"/>
          <w:color w:val="auto"/>
        </w:rPr>
      </w:pPr>
    </w:p>
    <w:p>
      <w:pPr>
        <w:ind w:left="80" w:right="40" w:hanging="63"/>
        <w:spacing w:after="0" w:line="210" w:lineRule="auto"/>
        <w:rPr>
          <w:sz w:val="20"/>
          <w:szCs w:val="20"/>
          <w:color w:val="auto"/>
        </w:rPr>
      </w:pPr>
      <w:r>
        <w:rPr>
          <w:rFonts w:ascii="Times New Roman" w:cs="Times New Roman" w:eastAsia="Times New Roman" w:hAnsi="Times New Roman"/>
          <w:sz w:val="16"/>
          <w:szCs w:val="16"/>
          <w:color w:val="auto"/>
          <w:vertAlign w:val="superscript"/>
        </w:rPr>
        <w:t>2</w:t>
      </w:r>
      <w:r>
        <w:rPr>
          <w:rFonts w:ascii="Times New Roman" w:cs="Times New Roman" w:eastAsia="Times New Roman" w:hAnsi="Times New Roman"/>
          <w:sz w:val="13"/>
          <w:szCs w:val="13"/>
          <w:color w:val="auto"/>
        </w:rPr>
        <w:t>The Company had an interest rate swap agreement with Bank of America, N.A. to reduce its exposure to fluctuations in the floating interest rate tied to SOFR under the term note. The hedging relationship qualified as an effective cash flow hedge and was recorded at fair value. On October 23, 2023, the Company terminated the interest rate swap, and received a $3,715,000 cash termination fee from Bank of America, N.A.</w:t>
      </w:r>
    </w:p>
    <w:p>
      <w:pPr>
        <w:spacing w:after="0" w:line="5" w:lineRule="exact"/>
        <w:rPr>
          <w:sz w:val="20"/>
          <w:szCs w:val="20"/>
          <w:color w:val="auto"/>
        </w:rPr>
      </w:pPr>
    </w:p>
    <w:p>
      <w:pPr>
        <w:ind w:left="80" w:right="260" w:hanging="63"/>
        <w:spacing w:after="0" w:line="208" w:lineRule="auto"/>
        <w:rPr>
          <w:sz w:val="20"/>
          <w:szCs w:val="20"/>
          <w:color w:val="auto"/>
        </w:rPr>
      </w:pPr>
      <w:r>
        <w:rPr>
          <w:rFonts w:ascii="Times New Roman" w:cs="Times New Roman" w:eastAsia="Times New Roman" w:hAnsi="Times New Roman"/>
          <w:sz w:val="16"/>
          <w:szCs w:val="16"/>
          <w:color w:val="auto"/>
          <w:vertAlign w:val="superscript"/>
        </w:rPr>
        <w:t>3</w:t>
      </w:r>
      <w:r>
        <w:rPr>
          <w:rFonts w:ascii="Times New Roman" w:cs="Times New Roman" w:eastAsia="Times New Roman" w:hAnsi="Times New Roman"/>
          <w:sz w:val="13"/>
          <w:szCs w:val="13"/>
          <w:color w:val="auto"/>
        </w:rPr>
        <w:t>Prior year amounts have been reclassified to conform to the current year presentation. Amounts previously presented as “Real estate and equipment expenditures” are now presented separately as “Real estate development expenditures,” “Real estate expenditures – to be held for lease,” and “Property and equipment expenditures.” These reclassifications had no impact on total net cash used in investing activities or the net change in cash and cash equivalents.</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See accompanying notes.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2" w:right="319" w:bottom="1440" w:gutter="0" w:footer="0" w:header="0"/>
        </w:sectPr>
      </w:pPr>
    </w:p>
    <w:bookmarkStart w:id="83" w:name="page84"/>
    <w:bookmarkEnd w:id="8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Tejon Ranch Co.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December 31, 2025</w:t>
      </w:r>
    </w:p>
    <w:p>
      <w:pPr>
        <w:spacing w:after="0" w:line="316"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1.</w:t>
        <w:tab/>
        <w:t>SUMMARY OF SIGNIFICANT ACCOUNTING POLICIES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Company</w:t>
      </w:r>
    </w:p>
    <w:p>
      <w:pPr>
        <w:spacing w:after="0" w:line="74"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Tejon Ranch Co. (the Company or Tejon) is a diversified real estate development and agribusiness company committed to responsibly using its land and resources to meet the housing, employment, and lifestyle needs of Californians. Current operations consist of land planning and entitlement, land development, commercial land sales and leasing, leasing of land for mineral royalties, water asset management and sales, grazing leases, and farming. Beginning in 2025, the Company will also initiate residential leasing from multifamily developments as part of its long-term growth strategy.</w:t>
      </w:r>
    </w:p>
    <w:p>
      <w:pPr>
        <w:spacing w:after="0" w:line="40"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These activities are performed through reporting segments that reflect the manner in which management organizes the business and evaluates performance. Prior to 2025, the Company operated through five reporting segments:</w:t>
      </w:r>
    </w:p>
    <w:p>
      <w:pPr>
        <w:spacing w:after="0" w:line="29" w:lineRule="exact"/>
        <w:rPr>
          <w:sz w:val="20"/>
          <w:szCs w:val="20"/>
          <w:color w:val="auto"/>
        </w:rPr>
      </w:pPr>
    </w:p>
    <w:p>
      <w:pPr>
        <w:ind w:left="760" w:hanging="246"/>
        <w:spacing w:after="0"/>
        <w:tabs>
          <w:tab w:leader="none" w:pos="7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 Estate - Commercial/Industrial</w:t>
      </w:r>
    </w:p>
    <w:p>
      <w:pPr>
        <w:spacing w:after="0" w:line="72"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 Estate - Resort/Residential</w:t>
      </w:r>
    </w:p>
    <w:p>
      <w:pPr>
        <w:spacing w:after="0" w:line="8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Mineral Resources</w:t>
      </w:r>
    </w:p>
    <w:p>
      <w:pPr>
        <w:spacing w:after="0" w:line="8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Farming</w:t>
      </w:r>
    </w:p>
    <w:p>
      <w:pPr>
        <w:spacing w:after="0" w:line="72"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Ranch Operations</w:t>
      </w:r>
    </w:p>
    <w:p>
      <w:pPr>
        <w:spacing w:after="0" w:line="8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Beginning in the fourth quarter of 2025, upon the commencement of multifamily leasing operations, the Company determined that Multifamily met the criteria to be presented as a separate reportable segment due to the significance of its operations and the manner in which the chief operating decision maker evaluates segment performance and allocates resources. Accordingly, the Company operates through six reporting segments in 2025 and prior years' segment activity related to the Multifamily has been recast, where applicable.</w:t>
      </w:r>
    </w:p>
    <w:p>
      <w:pPr>
        <w:spacing w:after="0" w:line="40"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Tejon's prime asset is approximately 270,000 acres of contiguous, largely undeveloped land that, at its most southerly border, is 60 miles north of downtown Los Angeles and, at its most northerly border, is 15 miles east of Bakersfield. The Company creates value by securing entitlements for its land, facilitating infrastructure development, strategic land planning, monetization of land through development and sales, and conservation, in order to maximize the highest and best use for its land.</w:t>
      </w:r>
    </w:p>
    <w:p>
      <w:pPr>
        <w:spacing w:after="0" w:line="9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Company is involved in nine joint ventures that own, develop, and operate real estate properties. The Company enters into joint ventures as a means to facilitate the development of portions of its land. The Company is also actively engaged in land planning, land entitlement, and conservation projects.</w:t>
      </w:r>
    </w:p>
    <w:p>
      <w:pPr>
        <w:spacing w:after="0" w:line="18" w:lineRule="exact"/>
        <w:rPr>
          <w:sz w:val="20"/>
          <w:szCs w:val="20"/>
          <w:color w:val="auto"/>
        </w:rPr>
      </w:pPr>
    </w:p>
    <w:p>
      <w:pPr>
        <w:ind w:right="440"/>
        <w:spacing w:after="0" w:line="287" w:lineRule="auto"/>
        <w:rPr>
          <w:sz w:val="20"/>
          <w:szCs w:val="20"/>
          <w:color w:val="auto"/>
        </w:rPr>
      </w:pPr>
      <w:r>
        <w:rPr>
          <w:rFonts w:ascii="Times New Roman" w:cs="Times New Roman" w:eastAsia="Times New Roman" w:hAnsi="Times New Roman"/>
          <w:sz w:val="14"/>
          <w:szCs w:val="14"/>
          <w:color w:val="auto"/>
        </w:rPr>
        <w:t>Any references to the number of acres, number of buildings, square footage, number of leases, occupancy, and any amounts derived from these values in the notes to the consolidated financial statements are unaudited.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Principles of Consolidation</w:t>
      </w:r>
    </w:p>
    <w:p>
      <w:pPr>
        <w:spacing w:after="0" w:line="138" w:lineRule="exact"/>
        <w:rPr>
          <w:sz w:val="20"/>
          <w:szCs w:val="20"/>
          <w:color w:val="auto"/>
        </w:rPr>
      </w:pPr>
    </w:p>
    <w:p>
      <w:pPr>
        <w:ind w:right="640"/>
        <w:spacing w:after="0" w:line="287" w:lineRule="auto"/>
        <w:rPr>
          <w:sz w:val="20"/>
          <w:szCs w:val="20"/>
          <w:color w:val="auto"/>
        </w:rPr>
      </w:pPr>
      <w:r>
        <w:rPr>
          <w:rFonts w:ascii="Times New Roman" w:cs="Times New Roman" w:eastAsia="Times New Roman" w:hAnsi="Times New Roman"/>
          <w:sz w:val="14"/>
          <w:szCs w:val="14"/>
          <w:color w:val="auto"/>
        </w:rPr>
        <w:t>The consolidated financial statements include the accounts of the Company, and the accounts of all subsidiaries and investments in which a controlling interest is held by the Company. All intercompany transactions have been eliminated in consolidation. The Company has evaluated subsequent events through the date of issuance of the consolidated financial statements.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Equivalents</w:t>
      </w:r>
    </w:p>
    <w:p>
      <w:pPr>
        <w:spacing w:after="0" w:line="138"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The Company considers all highly liquid investments with maturities of three months or less when purchased to be cash equivalents. The carrying amount for cash equivalents approximates fair value.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Marketable Securities</w:t>
      </w:r>
    </w:p>
    <w:p>
      <w:pPr>
        <w:spacing w:after="0" w:line="13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The Company considers those investments not qualifying as cash equivalents, but which are readily marketable, to be marketable securities. The Company's investment portfolio is comprised of fixed income debt securities, which are classified as current assets on the consolidated balance sheets. The Company classifies all marketable securities as available-for-sale. These are stated at fair value with the unrealized gains (losses), net of tax, reported as a component of accumulated other comprehensive income (loss) in the consolidated statements of changes in equity.</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18"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color w:val="auto"/>
        </w:rPr>
        <w:t>Investments in Unconsolidated Joint Ventures</w:t>
      </w:r>
    </w:p>
    <w:p>
      <w:pPr>
        <w:spacing w:after="0" w:line="13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For joint ventures that the Company does not control, but over which it exercises significant influence, the Company uses the equity method of accounting. The Company's judgment with regard to its level of influence or control of an entity involves consideration of various factors, including the form of its ownership interest; its representation in the entity's governance; its ability to participate in policy-making decisions; and the rights of other investors to participate in the decision-making process, to replace the Company as manager, and/or to liquidate the venture. These ventures are recorded at cost and adjusted for equity in earnings (losses), contributions and distributions. Any difference between the carrying amount of these investments on the Company’s balance sheet and the underlying equity in net assets on the joint venture’s balance sheet is adjusted as the related underlying assets are depreciated, amortized, or sold. When the Company contributes land to a joint venture, it records the investment in the venture at fair value, regardless of whether the other investors in the venture contribute cash or property.</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joint ventures generally allocate income and loss from an unconsolidated joint venture based on the venture's distribution priorities, which may be different from its stated ownership percentage.</w:t>
      </w:r>
    </w:p>
    <w:p>
      <w:pPr>
        <w:spacing w:after="0" w:line="20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4"/>
          <w:szCs w:val="14"/>
          <w:color w:val="auto"/>
        </w:rPr>
        <w:t>The Company evaluates the recoverability of its investments in unconsolidated joint ventures in accordance with accounting standards for equity investments by first reviewing each investment for any indicators of impairment. If indicators are present, the Company estimates the fair value of the investment. If the carrying value of the investment is greater than the estimated fair value, management makes an assessment of whether the impairment is “temporary” or “other-than-temporary.” In making this assessment, management considers the following: (1) the length of time and the extent to which fair value has been less than cost, (2) the financial condition and near-term prospects of the entity, and (3) the Company’s intent and ability to retain its interest long enough for a recovery in market value. If management concludes that the impairment is "other than temporary," the Company reduces the investment to its estimated fair value.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Fair Values of Financial Instruments</w:t>
      </w:r>
    </w:p>
    <w:p>
      <w:pPr>
        <w:spacing w:after="0" w:line="138"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4"/>
          <w:szCs w:val="14"/>
          <w:color w:val="auto"/>
        </w:rPr>
        <w:t>The Company follows the Financial Accounting Standards Board's authoritative guidance for fair value measurements of certain financial instruments. The guidance defines fair value, establishes a framework for measuring fair value and expands disclosures about fair value measurements. Fair value is defined as the exchange (exit) price that would be received for an asset or paid to transfer a liability in the principal or most advantageous market for the asset or liability in an orderly transaction between market participants on the measurement date. This guidance establishes a three-level hierarchy for fair value measurements based upon the inputs to the valuation of an asset or liability. Observable inputs are those which can be easily seen by market participants, while unobservable inputs are generally developed internally, utilizing management’s estimates and assumptions:</w:t>
      </w:r>
    </w:p>
    <w:p>
      <w:pPr>
        <w:spacing w:after="0" w:line="101" w:lineRule="exact"/>
        <w:rPr>
          <w:sz w:val="20"/>
          <w:szCs w:val="20"/>
          <w:color w:val="auto"/>
        </w:rPr>
      </w:pPr>
    </w:p>
    <w:p>
      <w:pPr>
        <w:ind w:left="520" w:hanging="260"/>
        <w:spacing w:after="0"/>
        <w:tabs>
          <w:tab w:leader="none" w:pos="5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1 – Valuation is based on quoted prices in active markets for identical assets and liabilities.</w:t>
      </w:r>
    </w:p>
    <w:p>
      <w:pPr>
        <w:spacing w:after="0" w:line="136" w:lineRule="exact"/>
        <w:rPr>
          <w:rFonts w:ascii="Times New Roman" w:cs="Times New Roman" w:eastAsia="Times New Roman" w:hAnsi="Times New Roman"/>
          <w:sz w:val="14"/>
          <w:szCs w:val="14"/>
          <w:color w:val="auto"/>
        </w:rPr>
      </w:pPr>
    </w:p>
    <w:p>
      <w:pPr>
        <w:ind w:left="520" w:right="100" w:hanging="260"/>
        <w:spacing w:after="0" w:line="287" w:lineRule="auto"/>
        <w:tabs>
          <w:tab w:leader="none" w:pos="516"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2 – Valuation is determined from quoted prices for similar assets and liabilities in active markets, quoted prices for identical or similar instruments in markets that are not active, or by model-based techniques in which all significant inputs are observable in the market.</w:t>
      </w:r>
    </w:p>
    <w:p>
      <w:pPr>
        <w:spacing w:after="0" w:line="81" w:lineRule="exact"/>
        <w:rPr>
          <w:rFonts w:ascii="Times New Roman" w:cs="Times New Roman" w:eastAsia="Times New Roman" w:hAnsi="Times New Roman"/>
          <w:sz w:val="14"/>
          <w:szCs w:val="14"/>
          <w:color w:val="auto"/>
        </w:rPr>
      </w:pPr>
    </w:p>
    <w:p>
      <w:pPr>
        <w:ind w:left="520" w:right="260" w:hanging="260"/>
        <w:spacing w:after="0" w:line="287" w:lineRule="auto"/>
        <w:tabs>
          <w:tab w:leader="none" w:pos="516"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3 – Valuation is derived from model-based techniques in which at least one significant input is unobservable and based on the Company's own estimates about the assumptions that market participants would use to value the asset or liability.</w:t>
      </w:r>
    </w:p>
    <w:p>
      <w:pPr>
        <w:spacing w:after="0" w:line="82" w:lineRule="exact"/>
        <w:rPr>
          <w:sz w:val="20"/>
          <w:szCs w:val="20"/>
          <w:color w:val="auto"/>
        </w:rPr>
      </w:pPr>
    </w:p>
    <w:p>
      <w:pPr>
        <w:ind w:right="440"/>
        <w:spacing w:after="0" w:line="270" w:lineRule="auto"/>
        <w:rPr>
          <w:sz w:val="20"/>
          <w:szCs w:val="20"/>
          <w:color w:val="auto"/>
        </w:rPr>
      </w:pPr>
      <w:r>
        <w:rPr>
          <w:rFonts w:ascii="Times New Roman" w:cs="Times New Roman" w:eastAsia="Times New Roman" w:hAnsi="Times New Roman"/>
          <w:sz w:val="14"/>
          <w:szCs w:val="14"/>
          <w:color w:val="auto"/>
        </w:rPr>
        <w:t>When available, the Company uses quoted market prices in active markets to determine fair value. The Company considers the principal market and nonperformance risk associated with counterparties when determining the fair value measurement. Fair value measurements are used on a recurring basis for marketable securities, investments within the pension plan and hedging instruments, if any.</w:t>
      </w:r>
    </w:p>
    <w:p>
      <w:pPr>
        <w:spacing w:after="0" w:line="93"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The carrying values of cash and cash equivalents, restricted cash, receivables, accounts payable, accrued expenses, and other short-term liabilities approximate their fair value. Additionally, the fair value of the RCL approximates fair value considering factors such as the interest rate being variable and the estimated credit spread available in the market at the balance sheet date being comparable to the terms at origination.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color w:val="auto"/>
        </w:rPr>
        <w:t>Interest Rate Swap Agreements</w:t>
      </w:r>
    </w:p>
    <w:p>
      <w:pPr>
        <w:spacing w:after="0" w:line="138" w:lineRule="exact"/>
        <w:rPr>
          <w:sz w:val="20"/>
          <w:szCs w:val="20"/>
          <w:color w:val="auto"/>
        </w:rPr>
      </w:pPr>
    </w:p>
    <w:p>
      <w:pPr>
        <w:ind w:right="340"/>
        <w:spacing w:after="0" w:line="264" w:lineRule="auto"/>
        <w:rPr>
          <w:sz w:val="20"/>
          <w:szCs w:val="20"/>
          <w:color w:val="auto"/>
        </w:rPr>
      </w:pPr>
      <w:r>
        <w:rPr>
          <w:rFonts w:ascii="Times New Roman" w:cs="Times New Roman" w:eastAsia="Times New Roman" w:hAnsi="Times New Roman"/>
          <w:sz w:val="14"/>
          <w:szCs w:val="14"/>
          <w:color w:val="auto"/>
        </w:rPr>
        <w:t>On June 30, 2022, the Company entered into a variable rate term note, or New Term Note, with Bank of America, N.A. and on the same day, the Company entered into a new interest rate swap agreement to reduce its exposure to fluctuations in the floating interest rate tied to SOFR under the New Term Note. The hedging relationship qualified as an effective cash flow hedge and was recorded at fair value. On October 23, 2023, the Company terminated its interest rate swap agreement with Bank of America, N.A., and received a $3,715,000 cash termination fee from Bank of America, N.A.</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believes it is prudent at times to limit the variability of floating-rate interest payments and in the past has entered into interest rate swaps to manage those fluctuations.</w:t>
      </w:r>
    </w:p>
    <w:p>
      <w:pPr>
        <w:spacing w:after="0" w:line="13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4"/>
          <w:szCs w:val="14"/>
          <w:color w:val="auto"/>
        </w:rPr>
        <w:t>The Company recognizes interest rate swap agreements as either an asset or liability on the balance sheet at fair value. The accounting for changes in fair value (i.e., gains or losses) of a derivative instrument depends on whether it has been designated and qualifies as part of a hedging relationship and, further, on the type of hedging relationship. For those derivative instruments that are designated and qualify as hedging instruments, a company must designate the hedging instrument, based on the hedged exposure, as a fair value hedge, a cash flow hedge, or a hedge of a net investment in a foreign operation. The interest rate swap agreement was considered a cash flow hedge because it was designed to match the terms of the term loan with Bank of America, N.A., as a hedge of the exposure to variability in expected future cash flows. Hedge accounting generally provides for the matching of the timing of gain or loss recognition on the hedging instrument with the recognition of the changes in the earnings effect of the hedged transactions in a cash flow hedge. This interest rate swap agreement was evaluated based on whether it is deemed highly effective in reducing exposure to variable interest rates. The Company formally documents all relationships between interest rate swap agreements and hedged items, including the method for evaluating effectiveness and the risk strategy. The Company makes an assessment at the inception of each interest rate swap agreement and on a quarterly basis to determine whether these instruments are highly effective in offsetting changes in cash flows associated with the hedged items. If swaps qualify as highly effective, the changes in the fair values of the derivatives used as hedges would be reflected in accumulated other comprehensive income, or AOCI. Amounts classified in AOCI will be reclassified into earnings in the period during which the hedged transactions affect earnings. If swaps do not qualify as highly effective, the changes in fair values of derivatives used as hedges would be reflected in earnings.</w:t>
      </w:r>
    </w:p>
    <w:p>
      <w:pPr>
        <w:spacing w:after="0" w:line="106"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4"/>
          <w:szCs w:val="14"/>
          <w:color w:val="auto"/>
        </w:rPr>
        <w:t>The fair value of each interest rate swap agreement is determined using widely accepted valuation techniques, including discounted cash flow analyses on the expected cash flows of each derivative. These analyses reflect the contractual terms of the derivatives, including the period to maturity, and use observable market-based inputs, including interest rate curves and implied volatilities (also referred to as “significant other observable inputs”). The fair value of interest rate swap agreements is determined using the market standard methodology of netting the discounted future fixed cash payments and the discounted expected variable cash receipts. The variable cash receipts are based on an expectation of future interest rates (forward curves) derived from observable market interest rate curves. The fair value calculation also includes an amount for risk of non-performance using “significant unobservable inputs,” such as estimates of current credit spreads to evaluate the likelihood of default, which the Company has determined to be insignificant to the overall fair value of its interest rate swap agreement.</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Variable Interest Entity</w:t>
      </w:r>
    </w:p>
    <w:p>
      <w:pPr>
        <w:spacing w:after="0" w:line="13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A VIE is broadly defined as an entity where either: (i) the equity investment at risk is insufficient to finance that entity’s activities without additional subordinated financial support, (ii) substantially all of an entity’s activities either involve or are conducted on behalf of an investor that has disproportionately few voting rights, or (iii) the equity investors as a group lack any of the following: (a) the power through voting or similar rights to direct the activities of an entity that most significantly impact the entity’s economic performance, (b) the obligation to absorb the expected losses of an entity, or (c) the right to receive the expected residual returns of an entity. Criterion (iii) above is generally applied to limited partnerships and similarly structured entities by assessing whether a simple majority of the limited partners hold substantive rights to participate in the significant decisions of the entity or have the ability to remove the decision maker or liquidate the entity without cause. If neither of those criteria are met, the entity is a VIE.</w:t>
      </w:r>
    </w:p>
    <w:p>
      <w:pPr>
        <w:spacing w:after="0" w:line="10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The Company evaluates all of its interests in VIEs for consolidation. When the Company's interests are determined to be variable interests, the Company assesses whether the Company is deemed to be the primary beneficiary of the VIE. The primary beneficiary of a VIE is required to consolidate the VIE. A primary beneficiary is defined as the party that has both (i) the power to direct the activities of the VIE that most significantly impact its economic performance, and (ii) the obligation to absorb losses and the right to receive benefits from the VIE, which could potentially be significant. The Company considers its variable interests as well as any variable interests of related parties in making this determination. Where both of these factors are present, the Company is deemed to be the primary beneficiary and consolidates the VIE. Where either one of these factors is not present, the Company is not the primary beneficiary and does not consolidate the VIE.</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86" w:name="page87"/>
    <w:bookmarkEnd w:id="86"/>
    <w:p>
      <w:pPr>
        <w:ind w:right="200"/>
        <w:spacing w:after="0" w:line="264" w:lineRule="auto"/>
        <w:rPr>
          <w:sz w:val="20"/>
          <w:szCs w:val="20"/>
          <w:color w:val="auto"/>
        </w:rPr>
      </w:pPr>
      <w:r>
        <w:rPr>
          <w:rFonts w:ascii="Times New Roman" w:cs="Times New Roman" w:eastAsia="Times New Roman" w:hAnsi="Times New Roman"/>
          <w:sz w:val="14"/>
          <w:szCs w:val="14"/>
          <w:color w:val="auto"/>
        </w:rPr>
        <w:t>To assess whether the Company has the power to direct the activities of a VIE that most significantly impact the VIE’s economic performance, the Company considers all facts and circumstances, including its role in establishing the VIE and its ongoing rights and responsibilities. This assessment includes first, identifying the activities that most significantly impact the VIE’s economic performance; and second, identifying which party, if any, has power over those activities. In general, the parties that make the most significant decisions affecting the VIE or have the right to unilaterally remove those decision makers are deemed to have the power to direct the activities of a VIE.</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To assess whether the Company has the obligation to absorb losses of the VIE or the right to receive benefits from the VIE that could potentially be significant to the VIE, the Company considers all economic interests, including debt and equity investments, servicing fees, and other arrangements deemed to be variable interests in the VIE. This assessment requires that the Company apply judgment in determining whether these interests, in the aggregate, are considered potentially significant to the VIE. Factors considered in assessing significance include: the design of the VIE, including its capitalization structure; subordination of interests; payment priority; relative share of interests held across various classes within the VIE’s capital structure; and the reasons why the interests are held by the Company.</w:t>
      </w:r>
    </w:p>
    <w:p>
      <w:pPr>
        <w:spacing w:after="0" w:line="101" w:lineRule="exact"/>
        <w:rPr>
          <w:sz w:val="20"/>
          <w:szCs w:val="20"/>
          <w:color w:val="auto"/>
        </w:rPr>
      </w:pPr>
    </w:p>
    <w:p>
      <w:pPr>
        <w:ind w:right="620"/>
        <w:spacing w:after="0" w:line="287" w:lineRule="auto"/>
        <w:rPr>
          <w:sz w:val="20"/>
          <w:szCs w:val="20"/>
          <w:color w:val="auto"/>
        </w:rPr>
      </w:pPr>
      <w:r>
        <w:rPr>
          <w:rFonts w:ascii="Times New Roman" w:cs="Times New Roman" w:eastAsia="Times New Roman" w:hAnsi="Times New Roman"/>
          <w:sz w:val="14"/>
          <w:szCs w:val="14"/>
          <w:color w:val="auto"/>
        </w:rPr>
        <w:t>As of December 31, 2025 and 2024, the Company had two VIEs. One was consolidated in the financial statements while the other was not. See Note 16 (Investment in Unconsolidated and Consolidated Joint Ventures) to the Notes to Consolidated Financial Statements for further discussion.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Credit Risk</w:t>
      </w:r>
    </w:p>
    <w:p>
      <w:pPr>
        <w:spacing w:after="0" w:line="13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Company grants credit in the course of operations to co-ops, wineries, nut marketing companies, and lessees of the Company’s facilities. The Company performs periodic credit evaluations of its customers’ financial condition and generally does not require collateral.</w:t>
      </w:r>
    </w:p>
    <w:p>
      <w:pPr>
        <w:spacing w:after="0" w:line="82"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The Company assesses the risk of loss on accounts receivable and adjusts the allowance for doubtful accounts based on this risk assessment. The Company does so by applying historical loss rates to our accounts receivable aging schedule to estimate expected credit losses. The Company further adjusted expected credit losses for specifically identified and forecasted credit losses. Accounts are written off when they are deemed to be no longer collectible.</w:t>
      </w:r>
    </w:p>
    <w:p>
      <w:pPr>
        <w:spacing w:after="0" w:line="93"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4"/>
          <w:szCs w:val="14"/>
          <w:color w:val="auto"/>
        </w:rPr>
        <w:t>During the years ended December 31, 2025, 2024, and 2023, the PEF power plant lease generated approximately 9%, 11%, and 11% of total revenues, respectively. The Company had no other customers accounting for 5% or more of total revenues from operations.</w:t>
      </w:r>
    </w:p>
    <w:p>
      <w:pPr>
        <w:spacing w:after="0" w:line="82"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The Company maintains its cash and cash equivalents in federally insured financial institutions. The account balances at these institutions periodically exceed FDIC insurance coverage and, as a result, there is a concentration of credit risk related to amounts on deposit in excess of FDIC insurance coverage. The Company believes that the risk is not significant.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Farm Inventories</w:t>
      </w:r>
    </w:p>
    <w:p>
      <w:pPr>
        <w:spacing w:after="0" w:line="13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Costs of bringing crops to harvest are inventoried when incurred. Such costs are expensed when the crops are sold. Expenses are computed and recognized on an average cost per pound or per ton basis, as appropriate. Costs incurred during the current year related to the next year’s crop are inventoried and carried in inventory until the matching crop is harvested and sold. Farm inventories held for sale are valued at the lower of cost (first-in, first-out method) or market.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Property and Equipment</w:t>
      </w:r>
    </w:p>
    <w:p>
      <w:pPr>
        <w:spacing w:after="0" w:line="138"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4"/>
          <w:szCs w:val="14"/>
          <w:color w:val="auto"/>
        </w:rPr>
        <w:t>Property and equipment are stated on the basis of cost, except for land acquired upon organization in 1936, which is stated on the basis carried by the Company’s predecessor. Depreciation is computed using the straight-line method over the estimated useful lives of the various assets. The Company's property and equipment and their respective estimated useful lives are as follows:</w:t>
      </w: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29" w:right="35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184"/>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140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Useful Life</w:t>
            </w:r>
          </w:p>
        </w:tc>
        <w:tc>
          <w:tcPr>
            <w:tcW w:w="300" w:type="dxa"/>
            <w:vAlign w:val="bottom"/>
          </w:tcPr>
          <w:p>
            <w:pPr>
              <w:spacing w:after="0"/>
              <w:rPr>
                <w:sz w:val="16"/>
                <w:szCs w:val="16"/>
                <w:color w:val="auto"/>
              </w:rPr>
            </w:pPr>
          </w:p>
        </w:tc>
        <w:tc>
          <w:tcPr>
            <w:tcW w:w="19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December 31, 2025</w:t>
            </w:r>
          </w:p>
        </w:tc>
        <w:tc>
          <w:tcPr>
            <w:tcW w:w="300" w:type="dxa"/>
            <w:vAlign w:val="bottom"/>
          </w:tcPr>
          <w:p>
            <w:pPr>
              <w:spacing w:after="0"/>
              <w:rPr>
                <w:sz w:val="16"/>
                <w:szCs w:val="16"/>
                <w:color w:val="auto"/>
              </w:rPr>
            </w:pPr>
          </w:p>
        </w:tc>
        <w:tc>
          <w:tcPr>
            <w:tcW w:w="182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December 31, 2024</w:t>
            </w:r>
          </w:p>
        </w:tc>
      </w:tr>
      <w:tr>
        <w:trPr>
          <w:trHeight w:val="171"/>
        </w:trPr>
        <w:tc>
          <w:tcPr>
            <w:tcW w:w="5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Vineyards and orchards</w:t>
            </w: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w:t>
            </w: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77,323</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72,042</w:t>
            </w:r>
          </w:p>
        </w:tc>
      </w:tr>
      <w:tr>
        <w:trPr>
          <w:trHeight w:val="180"/>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Machinery, furniture, fixtures and other equipment</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3 - 10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22,333</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22,545</w:t>
            </w:r>
          </w:p>
        </w:tc>
      </w:tr>
      <w:tr>
        <w:trPr>
          <w:trHeight w:val="18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Buildings and improvements</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10 - 27.5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9,604</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9,463</w:t>
            </w:r>
          </w:p>
        </w:tc>
      </w:tr>
      <w:tr>
        <w:trPr>
          <w:trHeight w:val="180"/>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Land and land improvements</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8,022</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8,016</w:t>
            </w:r>
          </w:p>
        </w:tc>
      </w:tr>
      <w:tr>
        <w:trPr>
          <w:trHeight w:val="18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Development in process</w:t>
            </w: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5,359</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5,208</w:t>
            </w:r>
          </w:p>
        </w:tc>
      </w:tr>
      <w:tr>
        <w:trPr>
          <w:trHeight w:val="171"/>
        </w:trPr>
        <w:tc>
          <w:tcPr>
            <w:tcW w:w="55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122,641</w:t>
            </w:r>
          </w:p>
        </w:tc>
        <w:tc>
          <w:tcPr>
            <w:tcW w:w="80" w:type="dxa"/>
            <w:vAlign w:val="bottom"/>
          </w:tcPr>
          <w:p>
            <w:pPr>
              <w:spacing w:after="0"/>
              <w:rPr>
                <w:sz w:val="14"/>
                <w:szCs w:val="14"/>
                <w:color w:val="auto"/>
              </w:rPr>
            </w:pP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117,274</w:t>
            </w:r>
          </w:p>
        </w:tc>
      </w:tr>
      <w:tr>
        <w:trPr>
          <w:trHeight w:val="18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(63,330)</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(60,887)</w:t>
            </w:r>
          </w:p>
        </w:tc>
      </w:tr>
      <w:tr>
        <w:trPr>
          <w:trHeight w:val="171"/>
        </w:trPr>
        <w:tc>
          <w:tcPr>
            <w:tcW w:w="55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59,311</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56,387</w:t>
            </w:r>
          </w:p>
        </w:tc>
      </w:tr>
      <w:tr>
        <w:trPr>
          <w:trHeight w:val="20"/>
        </w:trPr>
        <w:tc>
          <w:tcPr>
            <w:tcW w:w="55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Long-Term Water Assets</w:t>
      </w:r>
    </w:p>
    <w:p>
      <w:pPr>
        <w:spacing w:after="0" w:line="13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Long-term purchased water contracts are in place with the Tulare Lake Basin Water Storage District and the Dudley-Ridge Water Storage District. These contracts provide the Company with the right to receive water over the term of the contracts that expire in 2035. The Company also purchased a contract that allows and requires it to purchase 6,693 acre-feet of water each year from the Nickel Family LLC. The initial term of this contract runs through 2044. The purchase price of these contracts is being amortized under the straight-line basis over their contractual lives. Water contracts with the Wheeler Ridge Maricopa Water Storage District and the Tejon-Castac Water District are also in place, but were entered into with each district at inception and not purchased later from third parties, and therefore do not have a related financial value on the books of the Company. As a result, there is no amortization expense related to these contracts.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Vineyards and Orchards</w:t>
      </w:r>
    </w:p>
    <w:p>
      <w:pPr>
        <w:spacing w:after="0" w:line="138" w:lineRule="exact"/>
        <w:rPr>
          <w:sz w:val="20"/>
          <w:szCs w:val="20"/>
          <w:color w:val="auto"/>
        </w:rPr>
      </w:pPr>
    </w:p>
    <w:p>
      <w:pPr>
        <w:jc w:val="both"/>
        <w:ind w:right="100"/>
        <w:spacing w:after="0" w:line="270" w:lineRule="auto"/>
        <w:rPr>
          <w:sz w:val="20"/>
          <w:szCs w:val="20"/>
          <w:color w:val="auto"/>
        </w:rPr>
      </w:pPr>
      <w:r>
        <w:rPr>
          <w:rFonts w:ascii="Times New Roman" w:cs="Times New Roman" w:eastAsia="Times New Roman" w:hAnsi="Times New Roman"/>
          <w:sz w:val="14"/>
          <w:szCs w:val="14"/>
          <w:color w:val="auto"/>
        </w:rPr>
        <w:t>Costs of planting and developing vineyards and orchards are capitalized until the crops become commercially productive. Interest costs and depreciation of irrigation systems and trellis installations during the development stage are also capitalized. Revenues from crops earned during the development stage are netted against development costs. Depreciation commences when the crops become commercially productive.</w:t>
      </w:r>
    </w:p>
    <w:p>
      <w:pPr>
        <w:spacing w:after="0" w:line="93"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4"/>
          <w:szCs w:val="14"/>
          <w:color w:val="auto"/>
        </w:rPr>
        <w:t>At the time farm crops are harvested, contracted, and delivered to buyers and revenues can be estimated, revenues are recognized and any related inventoried costs are expensed, which traditionally occurs during the third and fourth quarters of each year. It is not unusual for portions of the Company's almond or pistachio crop to be sold in the year following the harvest. Orchard (almond and pistachio) revenues are based upon the contract settlement price or estimated selling price, whereas vineyard revenues are typically recognized at the contracted selling price. Estimated prices for orchard crops are based upon the quoted estimate of what the final market price will be by marketers and handlers of the orchard crops. These market price estimates are updated through the crop payment cycle as new information is received as to the final settlement price for the crop sold. These estimates are adjusted to actual upon receipt of final payment for the crop. This method of recognizing revenues on the sale of orchard crops is a standard practice within the agribusiness community. Adjustments for differences between estimates and actual revenues received are recorded during the period in which such amounts become known. The net effect of these adjustments decreased pistachio revenues by $10,000 in 2025, while they increased pistachio revenues by $1,836,000 in 2024, and had no impact on pistachio revenues in 2023. There were no pricing adjustments associated with the Company's almonds.</w:t>
      </w:r>
    </w:p>
    <w:p>
      <w:pPr>
        <w:spacing w:after="0" w:line="106"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The Almond Board of California has the authority to require producers of almonds to withhold a portion of their annual production from the marketplace through a marketing order approved by the Secretary of Agriculture. At December 31, 2025, 2024, and 2023, no such withholding was mandated.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Common Stock Options and Grants</w:t>
      </w:r>
    </w:p>
    <w:p>
      <w:pPr>
        <w:spacing w:after="0" w:line="138"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4"/>
          <w:szCs w:val="14"/>
          <w:color w:val="auto"/>
        </w:rPr>
        <w:t>The Company accounts for stock incentive plans using the fair value method of accounting. The estimated fair value of the restricted stock grants and restricted stock units are expensed over the expected vesting period. For performance-based grants the Company makes estimates of the probable number of shares that will actually be granted based upon estimated ranges of success in meeting defined performance measures. An estimate for share forfeitures, based on historical forfeitures, are recorded on all grants. Periodically, the Company updates its estimates and reflects any changes to the estimate in the consolidated statements of operations.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Long-Lived Assets</w:t>
      </w:r>
    </w:p>
    <w:p>
      <w:pPr>
        <w:spacing w:after="0" w:line="13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On a quarterly basis, the Company reviews current activities and changes in the business conditions of all of its operating properties prior to and subsequent to the end of each quarter to determine the existence of any triggering events requiring an impairment analysis. If triggering events are identified, the Company reviews an estimate of the future undiscounted cash flows for the properties, including, if necessary, a probability-weighted approach if multiple outcomes are under consideration.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63" w:right="339" w:bottom="1440" w:gutter="0" w:footer="0" w:header="0"/>
        </w:sectPr>
      </w:pPr>
    </w:p>
    <w:bookmarkStart w:id="88" w:name="page89"/>
    <w:bookmarkEnd w:id="88"/>
    <w:p>
      <w:pPr>
        <w:spacing w:after="0" w:line="257" w:lineRule="auto"/>
        <w:rPr>
          <w:sz w:val="20"/>
          <w:szCs w:val="20"/>
          <w:color w:val="auto"/>
        </w:rPr>
      </w:pPr>
      <w:r>
        <w:rPr>
          <w:rFonts w:ascii="Times New Roman" w:cs="Times New Roman" w:eastAsia="Times New Roman" w:hAnsi="Times New Roman"/>
          <w:sz w:val="14"/>
          <w:szCs w:val="14"/>
          <w:color w:val="auto"/>
        </w:rPr>
        <w:t>Long-lived assets to be held and used, including rental properties, construction in progress, or CIP, real estate held for development and intangibles, are individually evaluated for impairment when conditions exist that may indicate that the carrying amount of a long-lived asset may not be recoverable. The carrying amount of a long-lived asset to be held and used is not recoverable if it exceeds the sum of the undiscounted cash flows expected to result from the use and eventual disposition of the asset. Impairment indicators or triggering events for long-lived assets to be held and used, including rental properties, CIP, real estate held for development, and intangibles, are assessed by project and include significant fluctuations in estimated net operating income, occupancy changes, significant near-term lease expirations, current and historical operating and/or cash flow losses, rental rates, and other market factors. The Company assesses the expected undiscounted cash flows based upon numerous factors, including, but not limited to, available market information, current and historical operating results, known trends, current market/economic conditions that may affect the property, and assumptions about the use of the asset, including, if necessary, a probability-weighted approach if multiple outcomes are under consideration. Upon determination that an impairment has occurred, a write-down is recognized to reduce the carrying amount to its estimated fair value.</w:t>
      </w:r>
    </w:p>
    <w:p>
      <w:pPr>
        <w:spacing w:after="0" w:line="10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Indicators of impairment for real estate development may include events or changes in circumstances affecting the Company’s strategic plan for the real estate development, the entitlement process, government regulation, litigation, geographical demand for new housing, and market conditions related to pricing of new homes and development costs. When events or changes in circumstances exist that result in an indicator of impairment, the Company evaluates the real estate development for impairment by comparing future undiscounted cash flows expected to be generated over the life of the real estate development to the respective carrying amount. If the carrying amount of the real estate development exceeds future undiscounted cash flows, an analysis is performed to determine the fair value of the asset.</w:t>
      </w:r>
    </w:p>
    <w:p>
      <w:pPr>
        <w:spacing w:after="0" w:line="101" w:lineRule="exact"/>
        <w:rPr>
          <w:sz w:val="20"/>
          <w:szCs w:val="20"/>
          <w:color w:val="auto"/>
        </w:rPr>
      </w:pPr>
    </w:p>
    <w:p>
      <w:pPr>
        <w:ind w:right="2460"/>
        <w:spacing w:after="0" w:line="533" w:lineRule="auto"/>
        <w:rPr>
          <w:sz w:val="20"/>
          <w:szCs w:val="20"/>
          <w:color w:val="auto"/>
        </w:rPr>
      </w:pPr>
      <w:r>
        <w:rPr>
          <w:rFonts w:ascii="Times New Roman" w:cs="Times New Roman" w:eastAsia="Times New Roman" w:hAnsi="Times New Roman"/>
          <w:sz w:val="14"/>
          <w:szCs w:val="14"/>
          <w:color w:val="auto"/>
        </w:rPr>
        <w:t xml:space="preserve">In addition, the Company accounts for long-lived assets to be disposed of at the lower of their carrying amounts or fair value less selling and disposal costs. As of December 31, 2025, management of the Company believes that none of its long-lived assets were impaired. </w:t>
      </w:r>
      <w:r>
        <w:rPr>
          <w:rFonts w:ascii="Times New Roman" w:cs="Times New Roman" w:eastAsia="Times New Roman" w:hAnsi="Times New Roman"/>
          <w:sz w:val="14"/>
          <w:szCs w:val="14"/>
          <w:b w:val="1"/>
          <w:bCs w:val="1"/>
          <w:color w:val="auto"/>
        </w:rPr>
        <w:t>Revenue Recognition</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The Company’s revenue is primarily derived from royalty revenue from mineral leases, sales of farm crops, sales of water, and land sales. The Company recognizes revenue by following the five-step model under ASC 606 to achieve the core principle that an entity recognizes revenue to depict the transfer of goods or services to customers at an amount that reflects the consideration to which the entity expects to be entitled in exchange for those goods or services. The five-step model requires that the Company (i) identifies the contract with the customer, (ii) identifies the performance obligations in the contract, (iii) determines the transaction price, including variable consideration to the extent that it is probable that a significant future reversal will not occur, (iv) allocates the transaction price to the respective performance obligations in the contract, and (v) recognize revenue when (or as) the Company satisfies the performance obligation.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Sales of Real Estate</w:t>
      </w:r>
    </w:p>
    <w:p>
      <w:pPr>
        <w:spacing w:after="0" w:line="138"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The Company allocates the transaction price, on land sales with multiple performance obligations, to the performance obligations in proportion to their standalone selling prices (i.e., on a relative standalone selling price basis) and not total costs.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Sales of Easements</w:t>
      </w:r>
    </w:p>
    <w:p>
      <w:pPr>
        <w:spacing w:after="0" w:line="138"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From time to time the Company sells easements over its land, and the easements are either in the form of rights of access granted for such things as utility corridors or are in the form of conservation easements that generally require the Company to divest its rights to commercially develop a portion of its land, but do not result in a change in ownership of the land or restrict the Company from continuing other revenue generating activities on the land. The Company recognizes easement sales revenue by following the five-step model under ASC 606.</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Allocation of Costs Related to Land Sales and Leases</w:t>
      </w:r>
    </w:p>
    <w:p>
      <w:pPr>
        <w:spacing w:after="0" w:line="13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When the Company sells land within one of its real estate developments and has not completed all infrastructure development related to the total project, the Company estimates, at the time of sale, future costs of the development to determine the appropriate costs of sales for the sold land and the timing of recognition of the sale. In the calculation of cost of sales or allocations to leased land, the Company uses estimates and forecasts to determine total costs at completion of the development project. These estimates of final development costs can change as conditions in the market change and costs of construction change.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57"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color w:val="auto"/>
        </w:rPr>
        <w:t>Royalty Income</w:t>
      </w:r>
    </w:p>
    <w:p>
      <w:pPr>
        <w:spacing w:after="0" w:line="138"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Royalty revenues are contractually defined as to the percentage of royalty and are tied to production and market prices. The Company’s royalty arrangements generally require payment on a monthly basis with the payment based on the previous month's activity. The Company accrues monthly royalty revenues based upon estimates and adjusts to actual as the Company receives payments.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Rental Income</w:t>
      </w:r>
    </w:p>
    <w:p>
      <w:pPr>
        <w:spacing w:after="0" w:line="13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Rental income from leases is recognized on a straight-line basis over the respective lease terms. For each lease, the amount by which the straight-line rent recognized exceeds the amount contractually due under the lease is classified as deferred rent in prepaid expenses and other current assets in the accompanying consolidated balance sheets. Furthermore, for each lease, amounts paid by the tenant in excess of the straight-line rent recognized is classified as deferred income in the accompanying consolidated balance sheets. The Company commences recognition of rental income at the date the property is ready for its intended use, and the tenant takes possession of, or controls the physical use of, the property.</w:t>
      </w:r>
    </w:p>
    <w:p>
      <w:pPr>
        <w:spacing w:after="0" w:line="9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During the term of each lease, the Company monitors the credit quality of its tenants by (i) reviewing the credit rating of tenants that are rated by a nationally recognized credit rating agency, (ii) reviewing financial statements of the tenants that are publicly available or that are required to be delivered to the Company pursuant to the applicable lease, (iii) monitoring news reports regarding its tenants and their respective businesses, and (iv) monitoring the timeliness of lease payments. For operating leases in which collectability of rental income is not considered probable, rental income is recognized on a cash basis and allowances are taken for those balances that we have reason to believe may be uncollectible in the period it is determined not to be probable of collection. All multifamily leases are classified as operating leases under ASC 842 and generally have initial lease terms of one year.</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Environmental Expenditures</w:t>
      </w:r>
    </w:p>
    <w:p>
      <w:pPr>
        <w:spacing w:after="0" w:line="138"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Environmental expenditures that relate to current operations are expensed or capitalized as appropriate. Expenditures that relate to an existing condition caused by past operations and which do not contribute to current or future revenue generation are expensed. Liabilities are recorded when environmental assessments and/or remedial efforts are probable, and the costs can be reasonably estimated. Generally, the timing of these accruals coincides with the completion of a feasibility study or the Company’s commitment to a formal plan of action. No liabilities for environmental costs have been recorded at December 31, 2025 and 2024.</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 of Estimates</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preparation of the Company’s consolidated financial statements in accordance with GAAP requires management to make estimates and assumptions that affect the reported amounts of assets and liabilities and disclosure of contingent assets and liabilities at the financial statement dates and the reported amounts of revenue and expenses during the reporting period. Due to uncertainties inherent in the estimation process, it is reasonably possible that actual results could differ from these estimates.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New Accounting Pronouncements Adopted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Income Taxes</w:t>
      </w:r>
    </w:p>
    <w:p>
      <w:pPr>
        <w:spacing w:after="0" w:line="117" w:lineRule="exact"/>
        <w:rPr>
          <w:sz w:val="20"/>
          <w:szCs w:val="20"/>
          <w:color w:val="auto"/>
        </w:rPr>
      </w:pPr>
    </w:p>
    <w:p>
      <w:pPr>
        <w:jc w:val="both"/>
        <w:ind w:right="100"/>
        <w:spacing w:after="0" w:line="264" w:lineRule="auto"/>
        <w:rPr>
          <w:sz w:val="20"/>
          <w:szCs w:val="20"/>
          <w:color w:val="auto"/>
        </w:rPr>
      </w:pPr>
      <w:r>
        <w:rPr>
          <w:rFonts w:ascii="Times New Roman" w:cs="Times New Roman" w:eastAsia="Times New Roman" w:hAnsi="Times New Roman"/>
          <w:sz w:val="14"/>
          <w:szCs w:val="14"/>
          <w:color w:val="auto"/>
        </w:rPr>
        <w:t>In December 2023, the FASB issued ASU No. 2023-09, "Income Taxes (Topic740) - Improvements to Income Tax Disclosures". This ASU requires public business entities to disclose a tabular rate reconciliation of both percentages and reporting currency amounts on an annual basis. The ASU also requires disclosure of information on the amount of income taxes paid disaggregated by federal, state and foreign taxes. The Company adopted this ASU for the Company's annual report on Form 10-K beginning with the year ending December 31, 2025 and for subsequent quarterly and annual reports. The retrospective adoption resulted in the additional disclosures mentioned above. See Note 11 of the Notes to Consolidated Financial Statements for further detail.</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New Accounting Pronouncements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Expense Disaggregation Disclosures</w:t>
      </w:r>
    </w:p>
    <w:p>
      <w:pPr>
        <w:spacing w:after="0" w:line="8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4"/>
          <w:szCs w:val="14"/>
          <w:color w:val="auto"/>
        </w:rPr>
        <w:t>In November 2024, the FASB issued ASU No. 2024-03, "Income Statement - Reporting Comprehensive Income - Expense Disaggregation Disclosures (Subtopic 220-40)". This ASU requires public business entities to disclose specified information about certain costs and expenses, including the amounts of purchases of inventory, employee compensation, depreciation, intangible asset amortization and depreciation, depletion and amortization recognized as part of oil- and gas-producing activities included in each relevant expense caption. The ASU also requires disclosure of a qualitative description of the amounts remaining in relevant expense captions that are not separately disaggregated quantitatively. This ASU is effective for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90" w:name="page91"/>
    <w:bookmarkEnd w:id="90"/>
    <w:p>
      <w:pPr>
        <w:ind w:right="340"/>
        <w:spacing w:after="0" w:line="271" w:lineRule="auto"/>
        <w:rPr>
          <w:sz w:val="20"/>
          <w:szCs w:val="20"/>
          <w:color w:val="auto"/>
        </w:rPr>
      </w:pPr>
      <w:r>
        <w:rPr>
          <w:rFonts w:ascii="Times New Roman" w:cs="Times New Roman" w:eastAsia="Times New Roman" w:hAnsi="Times New Roman"/>
          <w:sz w:val="14"/>
          <w:szCs w:val="14"/>
          <w:color w:val="auto"/>
        </w:rPr>
        <w:t>annual reporting periods beginning after December 15, 2026. The Company is currently evaluating the impact the adoption of this standard will have on its consolidated financial statements and related disclosures.</w:t>
      </w:r>
    </w:p>
    <w:p>
      <w:pPr>
        <w:spacing w:after="0" w:line="80"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2.</w:t>
        <w:tab/>
        <w:t>EQUITY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Earnings Per Share (EPS)</w:t>
      </w:r>
    </w:p>
    <w:p>
      <w:pPr>
        <w:spacing w:after="0" w:line="138"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4"/>
          <w:szCs w:val="14"/>
          <w:color w:val="auto"/>
        </w:rPr>
        <w:t>Basic net income per share attributable to common stockholders is based upon the weighted-average number of shares of common stock outstanding during the year. Diluted net income per share attributable to common stockholders is based upon the weighted-average number of shares of common stock outstanding and the weighted-average number of shares outstanding assuming the issuance of common stock upon exercise of stock options, warrants to purchase common stock, and the vesting of restricted stock grants per ASC 260, “Earnings Per Share.”</w:t>
      </w:r>
    </w:p>
    <w:p>
      <w:pPr>
        <w:spacing w:after="0" w:line="199"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5220" w:type="dxa"/>
            <w:vAlign w:val="bottom"/>
          </w:tcPr>
          <w:p>
            <w:pPr>
              <w:spacing w:after="0"/>
              <w:rPr>
                <w:sz w:val="16"/>
                <w:szCs w:val="16"/>
                <w:color w:val="auto"/>
              </w:rPr>
            </w:pPr>
          </w:p>
        </w:tc>
        <w:tc>
          <w:tcPr>
            <w:tcW w:w="3880" w:type="dxa"/>
            <w:vAlign w:val="bottom"/>
            <w:tcBorders>
              <w:bottom w:val="single" w:sz="8" w:color="auto"/>
            </w:tcBorders>
            <w:gridSpan w:val="5"/>
          </w:tcPr>
          <w:p>
            <w:pPr>
              <w:ind w:left="1520"/>
              <w:spacing w:after="0"/>
              <w:rPr>
                <w:sz w:val="20"/>
                <w:szCs w:val="20"/>
                <w:color w:val="auto"/>
              </w:rPr>
            </w:pPr>
            <w:r>
              <w:rPr>
                <w:rFonts w:ascii="Times New Roman" w:cs="Times New Roman" w:eastAsia="Times New Roman" w:hAnsi="Times New Roman"/>
                <w:sz w:val="14"/>
                <w:szCs w:val="14"/>
                <w:color w:val="auto"/>
              </w:rPr>
              <w:t>Twelve Months Ended December 31,</w:t>
            </w: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5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Weighted average number of shares outstanding:</w:t>
            </w:r>
          </w:p>
        </w:tc>
        <w:tc>
          <w:tcPr>
            <w:tcW w:w="160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Pr>
          <w:p>
            <w:pPr>
              <w:spacing w:after="0"/>
              <w:rPr>
                <w:sz w:val="14"/>
                <w:szCs w:val="14"/>
                <w:color w:val="auto"/>
              </w:rPr>
            </w:pPr>
          </w:p>
        </w:tc>
        <w:tc>
          <w:tcPr>
            <w:tcW w:w="164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789"/>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160"/>
        </w:trPr>
        <w:tc>
          <w:tcPr>
            <w:tcW w:w="5220" w:type="dxa"/>
            <w:vAlign w:val="bottom"/>
            <w:vMerge w:val="continue"/>
          </w:tcPr>
          <w:p>
            <w:pPr>
              <w:spacing w:after="0"/>
              <w:rPr>
                <w:sz w:val="13"/>
                <w:szCs w:val="13"/>
                <w:color w:val="auto"/>
              </w:rPr>
            </w:pPr>
          </w:p>
        </w:tc>
        <w:tc>
          <w:tcPr>
            <w:tcW w:w="1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5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Common stock</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26,883,379</w:t>
            </w: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26,806,173</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26,706,824</w:t>
            </w:r>
          </w:p>
        </w:tc>
        <w:tc>
          <w:tcPr>
            <w:tcW w:w="0" w:type="dxa"/>
            <w:vAlign w:val="bottom"/>
          </w:tcPr>
          <w:p>
            <w:pPr>
              <w:spacing w:after="0"/>
              <w:rPr>
                <w:sz w:val="1"/>
                <w:szCs w:val="1"/>
                <w:color w:val="auto"/>
              </w:rPr>
            </w:pPr>
          </w:p>
        </w:tc>
      </w:tr>
      <w:tr>
        <w:trPr>
          <w:trHeight w:val="180"/>
        </w:trPr>
        <w:tc>
          <w:tcPr>
            <w:tcW w:w="52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Common stock equivalents: stock options, grants</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65,899</w:t>
            </w:r>
          </w:p>
        </w:tc>
        <w:tc>
          <w:tcPr>
            <w:tcW w:w="80" w:type="dxa"/>
            <w:vAlign w:val="bottom"/>
            <w:tcBorders>
              <w:bottom w:val="single" w:sz="8" w:color="CCEEFF"/>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17,233</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9"/>
                <w:szCs w:val="19"/>
                <w:color w:val="auto"/>
                <w:vertAlign w:val="superscript"/>
              </w:rPr>
              <w:t>1</w:t>
            </w:r>
          </w:p>
        </w:tc>
        <w:tc>
          <w:tcPr>
            <w:tcW w:w="0" w:type="dxa"/>
            <w:vAlign w:val="bottom"/>
          </w:tcPr>
          <w:p>
            <w:pPr>
              <w:spacing w:after="0"/>
              <w:rPr>
                <w:sz w:val="1"/>
                <w:szCs w:val="1"/>
                <w:color w:val="auto"/>
              </w:rPr>
            </w:pPr>
          </w:p>
        </w:tc>
      </w:tr>
      <w:tr>
        <w:trPr>
          <w:trHeight w:val="196"/>
        </w:trPr>
        <w:tc>
          <w:tcPr>
            <w:tcW w:w="52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Diluted shares outstanding</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26,949,278</w:t>
            </w:r>
          </w:p>
        </w:tc>
        <w:tc>
          <w:tcPr>
            <w:tcW w:w="8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26,823,406</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26,706,824</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twelve-months ended December 31, 2023, 5,351 shares of restricted stock were excluded from the calculation of dilutive net income per share as the shares were anti-dilutive.</w:t>
      </w:r>
    </w:p>
    <w:p>
      <w:pPr>
        <w:spacing w:after="0" w:line="134" w:lineRule="exact"/>
        <w:rPr>
          <w:sz w:val="20"/>
          <w:szCs w:val="20"/>
          <w:color w:val="auto"/>
        </w:rPr>
      </w:pPr>
    </w:p>
    <w:p>
      <w:pPr>
        <w:ind w:left="280" w:hanging="275"/>
        <w:spacing w:after="0"/>
        <w:tabs>
          <w:tab w:leader="none" w:pos="280" w:val="left"/>
        </w:tabs>
        <w:numPr>
          <w:ilvl w:val="0"/>
          <w:numId w:val="4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MARKETABLE SECURITIES</w:t>
      </w:r>
    </w:p>
    <w:p>
      <w:pPr>
        <w:spacing w:after="0" w:line="13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ASC 320 “Investments – Debt and Equity Securities” requires that an enterprise classify all debt securities as either held-to-maturity, trading or available-for-sale. The Company has elected to classify its securities as available-for-sale and therefore is required to adjust securities to fair value at each reporting date. All costs and both realized and unrealized gains and losses on securities are determined on a specific identification basis. The following is a summary of available-for-sale securities at December 31: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2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10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960" w:type="dxa"/>
            <w:vAlign w:val="bottom"/>
          </w:tcPr>
          <w:p>
            <w:pPr>
              <w:spacing w:after="0"/>
              <w:rPr>
                <w:sz w:val="11"/>
                <w:szCs w:val="11"/>
                <w:color w:val="auto"/>
              </w:rPr>
            </w:pPr>
          </w:p>
        </w:tc>
        <w:tc>
          <w:tcPr>
            <w:tcW w:w="2160" w:type="dxa"/>
            <w:vAlign w:val="bottom"/>
          </w:tcPr>
          <w:p>
            <w:pPr>
              <w:jc w:val="center"/>
              <w:ind w:left="709"/>
              <w:spacing w:after="0" w:line="129" w:lineRule="exact"/>
              <w:rPr>
                <w:sz w:val="20"/>
                <w:szCs w:val="20"/>
                <w:color w:val="auto"/>
              </w:rPr>
            </w:pPr>
            <w:r>
              <w:rPr>
                <w:rFonts w:ascii="Times New Roman" w:cs="Times New Roman" w:eastAsia="Times New Roman" w:hAnsi="Times New Roman"/>
                <w:sz w:val="14"/>
                <w:szCs w:val="14"/>
                <w:color w:val="auto"/>
                <w:w w:val="97"/>
              </w:rPr>
              <w:t>Fair Value</w:t>
            </w: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center"/>
              <w:ind w:right="69"/>
              <w:spacing w:after="0" w:line="129" w:lineRule="exact"/>
              <w:rPr>
                <w:sz w:val="20"/>
                <w:szCs w:val="20"/>
                <w:color w:val="auto"/>
              </w:rPr>
            </w:pPr>
            <w:r>
              <w:rPr>
                <w:rFonts w:ascii="Times New Roman" w:cs="Times New Roman" w:eastAsia="Times New Roman" w:hAnsi="Times New Roman"/>
                <w:sz w:val="14"/>
                <w:szCs w:val="14"/>
                <w:color w:val="auto"/>
              </w:rPr>
              <w:t>Estimated Fair</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center"/>
              <w:ind w:right="49"/>
              <w:spacing w:after="0" w:line="129" w:lineRule="exact"/>
              <w:rPr>
                <w:sz w:val="20"/>
                <w:szCs w:val="20"/>
                <w:color w:val="auto"/>
              </w:rPr>
            </w:pPr>
            <w:r>
              <w:rPr>
                <w:rFonts w:ascii="Times New Roman" w:cs="Times New Roman" w:eastAsia="Times New Roman" w:hAnsi="Times New Roman"/>
                <w:sz w:val="14"/>
                <w:szCs w:val="14"/>
                <w:color w:val="auto"/>
                <w:w w:val="99"/>
              </w:rPr>
              <w:t>Estimated Fair</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Marketable Securities:</w:t>
            </w:r>
          </w:p>
        </w:tc>
        <w:tc>
          <w:tcPr>
            <w:tcW w:w="2440" w:type="dxa"/>
            <w:vAlign w:val="bottom"/>
            <w:gridSpan w:val="2"/>
          </w:tcPr>
          <w:p>
            <w:pPr>
              <w:jc w:val="center"/>
              <w:ind w:left="429"/>
              <w:spacing w:after="0"/>
              <w:rPr>
                <w:sz w:val="20"/>
                <w:szCs w:val="20"/>
                <w:color w:val="auto"/>
              </w:rPr>
            </w:pPr>
            <w:r>
              <w:rPr>
                <w:rFonts w:ascii="Times New Roman" w:cs="Times New Roman" w:eastAsia="Times New Roman" w:hAnsi="Times New Roman"/>
                <w:sz w:val="14"/>
                <w:szCs w:val="14"/>
                <w:color w:val="auto"/>
              </w:rPr>
              <w:t>Hierarchy</w:t>
            </w:r>
          </w:p>
        </w:tc>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Cost</w:t>
            </w: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5"/>
              </w:rPr>
              <w:t>Value</w:t>
            </w:r>
          </w:p>
        </w:tc>
        <w:tc>
          <w:tcPr>
            <w:tcW w:w="280" w:type="dxa"/>
            <w:vAlign w:val="bottom"/>
          </w:tcPr>
          <w:p>
            <w:pPr>
              <w:spacing w:after="0"/>
              <w:rPr>
                <w:sz w:val="16"/>
                <w:szCs w:val="16"/>
                <w:color w:val="auto"/>
              </w:rPr>
            </w:pP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Cost</w:t>
            </w:r>
          </w:p>
        </w:tc>
        <w:tc>
          <w:tcPr>
            <w:tcW w:w="14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Value</w:t>
            </w:r>
          </w:p>
        </w:tc>
        <w:tc>
          <w:tcPr>
            <w:tcW w:w="0" w:type="dxa"/>
            <w:vAlign w:val="bottom"/>
          </w:tcPr>
          <w:p>
            <w:pPr>
              <w:spacing w:after="0"/>
              <w:rPr>
                <w:sz w:val="1"/>
                <w:szCs w:val="1"/>
                <w:color w:val="auto"/>
              </w:rPr>
            </w:pPr>
          </w:p>
        </w:tc>
      </w:tr>
      <w:tr>
        <w:trPr>
          <w:trHeight w:val="161"/>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Certificates of deposit</w:t>
            </w:r>
          </w:p>
        </w:tc>
        <w:tc>
          <w:tcPr>
            <w:tcW w:w="216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with unrecognized gains</w:t>
            </w:r>
          </w:p>
        </w:tc>
        <w:tc>
          <w:tcPr>
            <w:tcW w:w="216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9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Total Certificates of deposit</w:t>
            </w:r>
          </w:p>
        </w:tc>
        <w:tc>
          <w:tcPr>
            <w:tcW w:w="2160" w:type="dxa"/>
            <w:vAlign w:val="bottom"/>
            <w:tcBorders>
              <w:bottom w:val="single" w:sz="8" w:color="CCEEFF"/>
            </w:tcBorders>
          </w:tcPr>
          <w:p>
            <w:pPr>
              <w:jc w:val="center"/>
              <w:ind w:left="709"/>
              <w:spacing w:after="0"/>
              <w:rPr>
                <w:sz w:val="20"/>
                <w:szCs w:val="20"/>
                <w:color w:val="auto"/>
              </w:rPr>
            </w:pPr>
            <w:r>
              <w:rPr>
                <w:rFonts w:ascii="Times New Roman" w:cs="Times New Roman" w:eastAsia="Times New Roman" w:hAnsi="Times New Roman"/>
                <w:sz w:val="14"/>
                <w:szCs w:val="14"/>
                <w:color w:val="auto"/>
                <w:w w:val="98"/>
              </w:rPr>
              <w:t>Level 1</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921</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923</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U.S. Treasury and agency notes</w:t>
            </w:r>
          </w:p>
        </w:tc>
        <w:tc>
          <w:tcPr>
            <w:tcW w:w="2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with unrecognized losses for less than 12 months</w:t>
            </w:r>
          </w:p>
        </w:tc>
        <w:tc>
          <w:tcPr>
            <w:tcW w:w="2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with unrecognized gains</w:t>
            </w:r>
          </w:p>
        </w:tc>
        <w:tc>
          <w:tcPr>
            <w:tcW w:w="216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12,731</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12,745</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7,573</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9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Total U.S. Treasury and agency notes</w:t>
            </w:r>
          </w:p>
        </w:tc>
        <w:tc>
          <w:tcPr>
            <w:tcW w:w="2160" w:type="dxa"/>
            <w:vAlign w:val="bottom"/>
            <w:tcBorders>
              <w:bottom w:val="single" w:sz="8" w:color="CCEEFF"/>
            </w:tcBorders>
          </w:tcPr>
          <w:p>
            <w:pPr>
              <w:jc w:val="center"/>
              <w:ind w:left="709"/>
              <w:spacing w:after="0"/>
              <w:rPr>
                <w:sz w:val="20"/>
                <w:szCs w:val="20"/>
                <w:color w:val="auto"/>
              </w:rPr>
            </w:pPr>
            <w:r>
              <w:rPr>
                <w:rFonts w:ascii="Times New Roman" w:cs="Times New Roman" w:eastAsia="Times New Roman" w:hAnsi="Times New Roman"/>
                <w:sz w:val="14"/>
                <w:szCs w:val="14"/>
                <w:color w:val="auto"/>
                <w:w w:val="98"/>
              </w:rPr>
              <w:t>Level 2</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13,731</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13,744</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13,688</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13,692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 notes</w:t>
            </w:r>
          </w:p>
        </w:tc>
        <w:tc>
          <w:tcPr>
            <w:tcW w:w="2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with unrecognized gains</w:t>
            </w:r>
          </w:p>
        </w:tc>
        <w:tc>
          <w:tcPr>
            <w:tcW w:w="2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96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Corporate notes</w:t>
            </w:r>
          </w:p>
        </w:tc>
        <w:tc>
          <w:tcPr>
            <w:tcW w:w="2160" w:type="dxa"/>
            <w:vAlign w:val="bottom"/>
            <w:tcBorders>
              <w:top w:val="single" w:sz="8" w:color="CCEEFF"/>
            </w:tcBorders>
            <w:shd w:val="clear" w:color="auto" w:fill="CCEEFF"/>
          </w:tcPr>
          <w:p>
            <w:pPr>
              <w:jc w:val="center"/>
              <w:ind w:left="709"/>
              <w:spacing w:after="0"/>
              <w:rPr>
                <w:sz w:val="20"/>
                <w:szCs w:val="20"/>
                <w:color w:val="auto"/>
              </w:rPr>
            </w:pPr>
            <w:r>
              <w:rPr>
                <w:rFonts w:ascii="Times New Roman" w:cs="Times New Roman" w:eastAsia="Times New Roman" w:hAnsi="Times New Roman"/>
                <w:sz w:val="14"/>
                <w:szCs w:val="14"/>
                <w:color w:val="auto"/>
                <w:w w:val="98"/>
              </w:rPr>
              <w:t>Level 2</w:t>
            </w: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Municipal notes</w:t>
            </w:r>
          </w:p>
        </w:tc>
        <w:tc>
          <w:tcPr>
            <w:tcW w:w="2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with unrecognized losses for less than 12 months</w:t>
            </w:r>
          </w:p>
        </w:tc>
        <w:tc>
          <w:tcPr>
            <w:tcW w:w="2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with unrecognized losses</w:t>
            </w:r>
          </w:p>
        </w:tc>
        <w:tc>
          <w:tcPr>
            <w:tcW w:w="2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96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Municipal notes</w:t>
            </w:r>
          </w:p>
        </w:tc>
        <w:tc>
          <w:tcPr>
            <w:tcW w:w="2160" w:type="dxa"/>
            <w:vAlign w:val="bottom"/>
            <w:tcBorders>
              <w:top w:val="single" w:sz="8" w:color="CCEEFF"/>
            </w:tcBorders>
            <w:shd w:val="clear" w:color="auto" w:fill="CCEEFF"/>
          </w:tcPr>
          <w:p>
            <w:pPr>
              <w:jc w:val="center"/>
              <w:ind w:left="709"/>
              <w:spacing w:after="0"/>
              <w:rPr>
                <w:sz w:val="20"/>
                <w:szCs w:val="20"/>
                <w:color w:val="auto"/>
              </w:rPr>
            </w:pPr>
            <w:r>
              <w:rPr>
                <w:rFonts w:ascii="Times New Roman" w:cs="Times New Roman" w:eastAsia="Times New Roman" w:hAnsi="Times New Roman"/>
                <w:sz w:val="14"/>
                <w:szCs w:val="14"/>
                <w:color w:val="auto"/>
                <w:w w:val="98"/>
              </w:rPr>
              <w:t>Level 2</w:t>
            </w: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960" w:type="dxa"/>
            <w:vAlign w:val="bottom"/>
            <w:tcBorders>
              <w:bottom w:val="single" w:sz="8" w:color="CCEEFF"/>
            </w:tcBorders>
          </w:tcPr>
          <w:p>
            <w:pPr>
              <w:spacing w:after="0"/>
              <w:rPr>
                <w:sz w:val="15"/>
                <w:szCs w:val="15"/>
                <w:color w:val="auto"/>
              </w:rPr>
            </w:pPr>
          </w:p>
        </w:tc>
        <w:tc>
          <w:tcPr>
            <w:tcW w:w="21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96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15,356</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15,370</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14,437</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14,441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bottom w:val="single" w:sz="8" w:color="CCEEFF"/>
            </w:tcBorders>
            <w:vMerge w:val="restart"/>
          </w:tcPr>
          <w:p>
            <w:pPr>
              <w:jc w:val="right"/>
              <w:ind w:right="329"/>
              <w:spacing w:after="0"/>
              <w:rPr>
                <w:sz w:val="20"/>
                <w:szCs w:val="20"/>
                <w:color w:val="auto"/>
              </w:rPr>
            </w:pPr>
            <w:r>
              <w:rPr>
                <w:rFonts w:ascii="Times New Roman" w:cs="Times New Roman" w:eastAsia="Times New Roman" w:hAnsi="Times New Roman"/>
                <w:sz w:val="14"/>
                <w:szCs w:val="14"/>
                <w:color w:val="auto"/>
              </w:rPr>
              <w:t>91</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5"/>
        </w:trPr>
        <w:tc>
          <w:tcPr>
            <w:tcW w:w="396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960" w:type="dxa"/>
            <w:vAlign w:val="bottom"/>
            <w:tcBorders>
              <w:bottom w:val="single" w:sz="8" w:color="9A9A9A"/>
            </w:tcBorders>
          </w:tcPr>
          <w:p>
            <w:pPr>
              <w:spacing w:after="0"/>
              <w:rPr>
                <w:sz w:val="7"/>
                <w:szCs w:val="7"/>
                <w:color w:val="auto"/>
              </w:rPr>
            </w:pPr>
          </w:p>
        </w:tc>
        <w:tc>
          <w:tcPr>
            <w:tcW w:w="21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91" w:name="page92"/>
    <w:bookmarkEnd w:id="91"/>
    <w:p>
      <w:pPr>
        <w:spacing w:after="0" w:line="270" w:lineRule="auto"/>
        <w:rPr>
          <w:sz w:val="20"/>
          <w:szCs w:val="20"/>
          <w:color w:val="auto"/>
        </w:rPr>
      </w:pPr>
      <w:r>
        <w:rPr>
          <w:rFonts w:ascii="Times New Roman" w:cs="Times New Roman" w:eastAsia="Times New Roman" w:hAnsi="Times New Roman"/>
          <w:sz w:val="14"/>
          <w:szCs w:val="14"/>
          <w:color w:val="auto"/>
        </w:rPr>
        <w:t>The Company uses an allowance approach when recognizing credit loss for available-for-sale debt securities, measured as the difference between the security's amortized cost basis and the amount expected to be collected over the security's lifetime. Under this approach, at each reporting date, the Company records impairment related to credit losses through earnings offset with an allowance for credit losses, or ACL. As of December 31, 2025, the Company has not recorded any credit losses.</w:t>
      </w:r>
    </w:p>
    <w:p>
      <w:pPr>
        <w:spacing w:after="0" w:line="30" w:lineRule="exact"/>
        <w:rPr>
          <w:sz w:val="20"/>
          <w:szCs w:val="20"/>
          <w:color w:val="auto"/>
        </w:rPr>
      </w:pPr>
    </w:p>
    <w:p>
      <w:pPr>
        <w:ind w:right="340"/>
        <w:spacing w:after="0" w:line="270" w:lineRule="auto"/>
        <w:rPr>
          <w:sz w:val="20"/>
          <w:szCs w:val="20"/>
          <w:color w:val="auto"/>
        </w:rPr>
      </w:pPr>
      <w:r>
        <w:rPr>
          <w:rFonts w:ascii="Times New Roman" w:cs="Times New Roman" w:eastAsia="Times New Roman" w:hAnsi="Times New Roman"/>
          <w:sz w:val="14"/>
          <w:szCs w:val="14"/>
          <w:color w:val="auto"/>
        </w:rPr>
        <w:t>At December 31, 2025, the fair market value of investment securities was $14,000 above the cost basis of securities. The Company’s gross unrealized holding losses equal $1,000. As of December 31, 2025, the adjustment to accumulated other comprehensive loss in consolidated equity for the temporary change in the value of securities reflects an increase in the market value of available-for-sale securities of $10,000.</w:t>
      </w:r>
    </w:p>
    <w:p>
      <w:pPr>
        <w:spacing w:after="0" w:line="40"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Company elected to exclude applicable accrued interest from both the fair value and the amortized cost basis of the available-for-sale debt securities and separately present the accrued interest receivable balance per ASC Topic 326-30-50-3A. The accrued interest receivables balance totaled $132,000 as of December 31, 2025 and $171,000 as of December 31, 2024, and was included within the Prepaid expenses and other current assets line item of the Consolidated Balance Sheets. The Company elected not to measure an allowance for credit losses on accrued interest receivable, as an allowance on possible uncollectible accrued interest is not warranted.</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U.S. Treasury and agency notes</w:t>
      </w:r>
    </w:p>
    <w:p>
      <w:pPr>
        <w:spacing w:after="0" w:line="72"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The unrealized losses on the Company's investments in U.S. Treasury and agency notes at December 31, 2025 were caused by relative changes in interest rates since the time of purchase. The contractual cash flows for these securities are guaranteed by U.S. government agencies. The unrealized losses on these debt security holdings are a function of changes in investment spreads and interest rate movements and not changes in credit quality. As of December 31, 2025, the Company did not intend to sell these securities and it is not more-likely-than-not that the Company would be required to sell these securities before recovery of their cost basis. Therefore, these investments did not require an ACL as of December 31, 2025.</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summarize the maturities, at par, of marketable securities by year ($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December 31, 2025</w:t>
            </w:r>
          </w:p>
        </w:tc>
        <w:tc>
          <w:tcPr>
            <w:tcW w:w="24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rPr>
              <w:t>2026</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rPr>
              <w:t>2027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rPr>
              <w:t>Total</w:t>
            </w:r>
          </w:p>
        </w:tc>
      </w:tr>
      <w:tr>
        <w:trPr>
          <w:trHeight w:val="171"/>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Certificates of deposit</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w:t>
            </w:r>
          </w:p>
        </w:tc>
      </w:tr>
      <w:tr>
        <w:trPr>
          <w:trHeight w:val="180"/>
        </w:trPr>
        <w:tc>
          <w:tcPr>
            <w:tcW w:w="6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Treasury and agency notes</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13,750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13,750</w:t>
            </w:r>
          </w:p>
        </w:tc>
      </w:tr>
      <w:tr>
        <w:trPr>
          <w:trHeight w:val="180"/>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notes</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w:t>
            </w:r>
          </w:p>
        </w:tc>
      </w:tr>
      <w:tr>
        <w:trPr>
          <w:trHeight w:val="180"/>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Municipal notes</w:t>
            </w:r>
          </w:p>
        </w:tc>
        <w:tc>
          <w:tcPr>
            <w:tcW w:w="24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510</w:t>
            </w:r>
          </w:p>
        </w:tc>
      </w:tr>
      <w:tr>
        <w:trPr>
          <w:trHeight w:val="196"/>
        </w:trPr>
        <w:tc>
          <w:tcPr>
            <w:tcW w:w="65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14,616</w:t>
            </w: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15,372</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365"/>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December 31, 2024</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2026</w:t>
            </w: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rPr>
              <w:t>2027</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rPr>
              <w:t>Total</w:t>
            </w:r>
          </w:p>
        </w:tc>
      </w:tr>
      <w:tr>
        <w:trPr>
          <w:trHeight w:val="171"/>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Certificates of deposit</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w:t>
            </w:r>
          </w:p>
        </w:tc>
      </w:tr>
      <w:tr>
        <w:trPr>
          <w:trHeight w:val="180"/>
        </w:trPr>
        <w:tc>
          <w:tcPr>
            <w:tcW w:w="6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Treasury and agency notes</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12,015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13,752</w:t>
            </w:r>
          </w:p>
        </w:tc>
      </w:tr>
      <w:tr>
        <w:trPr>
          <w:trHeight w:val="180"/>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Municipal notes</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r>
      <w:tr>
        <w:trPr>
          <w:trHeight w:val="171"/>
        </w:trPr>
        <w:tc>
          <w:tcPr>
            <w:tcW w:w="65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12,763</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40" w:type="dxa"/>
            <w:vAlign w:val="bottom"/>
            <w:tcBorders>
              <w:top w:val="single" w:sz="8" w:color="auto"/>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737</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14,500</w:t>
            </w:r>
          </w:p>
        </w:tc>
      </w:tr>
      <w:tr>
        <w:trPr>
          <w:trHeight w:val="20"/>
        </w:trPr>
        <w:tc>
          <w:tcPr>
            <w:tcW w:w="6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investments in corporate notes are with companies that have an investment grade rating from Standard &amp; Poor’s.</w:t>
      </w:r>
    </w:p>
    <w:p>
      <w:pPr>
        <w:spacing w:after="0" w:line="134" w:lineRule="exact"/>
        <w:rPr>
          <w:sz w:val="20"/>
          <w:szCs w:val="20"/>
          <w:color w:val="auto"/>
        </w:rPr>
      </w:pPr>
    </w:p>
    <w:p>
      <w:pPr>
        <w:ind w:left="280" w:hanging="275"/>
        <w:spacing w:after="0"/>
        <w:tabs>
          <w:tab w:leader="none" w:pos="280" w:val="left"/>
        </w:tabs>
        <w:numPr>
          <w:ilvl w:val="0"/>
          <w:numId w:val="5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INVENTORIES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Inventories consisted of the following at December 31:</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4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color w:val="auto"/>
              </w:rPr>
              <w:t>2024</w:t>
            </w:r>
          </w:p>
        </w:tc>
      </w:tr>
      <w:tr>
        <w:trPr>
          <w:trHeight w:val="171"/>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Farming inventories</w:t>
            </w:r>
          </w:p>
        </w:tc>
        <w:tc>
          <w:tcPr>
            <w:tcW w:w="46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3,193</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3,744</w:t>
            </w:r>
          </w:p>
        </w:tc>
      </w:tr>
      <w:tr>
        <w:trPr>
          <w:trHeight w:val="180"/>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4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w:t>
            </w:r>
          </w:p>
        </w:tc>
      </w:tr>
      <w:tr>
        <w:trPr>
          <w:trHeight w:val="196"/>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46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3,347</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3,972</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Farming inventories consist of costs incurred during the current year related to next year’s crop along with unsold current year crop and farming chemicals.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92" w:name="page93"/>
    <w:bookmarkEnd w:id="92"/>
    <w:p>
      <w:pPr>
        <w:ind w:left="280" w:hanging="275"/>
        <w:spacing w:after="0"/>
        <w:tabs>
          <w:tab w:leader="none" w:pos="280" w:val="left"/>
        </w:tabs>
        <w:numPr>
          <w:ilvl w:val="0"/>
          <w:numId w:val="5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REAL ESTATE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Real estate consisted of the following as of December 31:</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color w:val="auto"/>
              </w:rPr>
              <w:t>2024</w:t>
            </w:r>
          </w:p>
        </w:tc>
      </w:tr>
      <w:tr>
        <w:trPr>
          <w:trHeight w:val="161"/>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Real estate development</w:t>
            </w:r>
          </w:p>
        </w:tc>
        <w:tc>
          <w:tcPr>
            <w:tcW w:w="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80"/>
        </w:trPr>
        <w:tc>
          <w:tcPr>
            <w:tcW w:w="7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Mountain Village</w:t>
            </w: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161,388</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158,348</w:t>
            </w:r>
          </w:p>
        </w:tc>
      </w:tr>
      <w:tr>
        <w:trPr>
          <w:trHeight w:val="180"/>
        </w:trPr>
        <w:tc>
          <w:tcPr>
            <w:tcW w:w="7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Centennial</w:t>
            </w:r>
          </w:p>
        </w:tc>
        <w:tc>
          <w:tcPr>
            <w:tcW w:w="4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128,549</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124,136</w:t>
            </w:r>
          </w:p>
        </w:tc>
      </w:tr>
      <w:tr>
        <w:trPr>
          <w:trHeight w:val="180"/>
        </w:trPr>
        <w:tc>
          <w:tcPr>
            <w:tcW w:w="7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Grapevine</w:t>
            </w: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45,801</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42,456</w:t>
            </w:r>
          </w:p>
        </w:tc>
      </w:tr>
      <w:tr>
        <w:trPr>
          <w:trHeight w:val="180"/>
        </w:trPr>
        <w:tc>
          <w:tcPr>
            <w:tcW w:w="7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Tejon Ranch Commerce Center</w:t>
            </w:r>
          </w:p>
        </w:tc>
        <w:tc>
          <w:tcPr>
            <w:tcW w:w="4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0"/>
        </w:trPr>
        <w:tc>
          <w:tcPr>
            <w:tcW w:w="7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Commercial</w:t>
            </w: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20,829</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23,724</w:t>
            </w:r>
          </w:p>
        </w:tc>
      </w:tr>
      <w:tr>
        <w:trPr>
          <w:trHeight w:val="180"/>
        </w:trPr>
        <w:tc>
          <w:tcPr>
            <w:tcW w:w="74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 Multifamily</w:t>
            </w:r>
          </w:p>
        </w:tc>
        <w:tc>
          <w:tcPr>
            <w:tcW w:w="440" w:type="dxa"/>
            <w:vAlign w:val="bottom"/>
          </w:tcPr>
          <w:p>
            <w:pPr>
              <w:spacing w:after="0"/>
              <w:rPr>
                <w:sz w:val="15"/>
                <w:szCs w:val="15"/>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29,241</w:t>
            </w:r>
          </w:p>
        </w:tc>
      </w:tr>
      <w:tr>
        <w:trPr>
          <w:trHeight w:val="171"/>
        </w:trPr>
        <w:tc>
          <w:tcPr>
            <w:tcW w:w="74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Tejon Ranch Commerce Center</w:t>
            </w:r>
          </w:p>
        </w:tc>
        <w:tc>
          <w:tcPr>
            <w:tcW w:w="440" w:type="dxa"/>
            <w:vAlign w:val="bottom"/>
            <w:tcBorders>
              <w:top w:val="single" w:sz="8" w:color="auto"/>
              <w:bottom w:val="single" w:sz="8" w:color="auto"/>
            </w:tcBorders>
            <w:shd w:val="clear" w:color="auto" w:fill="CCEEFF"/>
          </w:tcPr>
          <w:p>
            <w:pPr>
              <w:spacing w:after="0"/>
              <w:rPr>
                <w:sz w:val="14"/>
                <w:szCs w:val="14"/>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20,829</w:t>
            </w:r>
          </w:p>
        </w:tc>
        <w:tc>
          <w:tcPr>
            <w:tcW w:w="1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spacing w:after="0"/>
              <w:rPr>
                <w:sz w:val="14"/>
                <w:szCs w:val="14"/>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52,965</w:t>
            </w:r>
          </w:p>
        </w:tc>
      </w:tr>
      <w:tr>
        <w:trPr>
          <w:trHeight w:val="171"/>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 estate development</w:t>
            </w: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356,567</w:t>
            </w:r>
          </w:p>
        </w:tc>
        <w:tc>
          <w:tcPr>
            <w:tcW w:w="100" w:type="dxa"/>
            <w:vAlign w:val="bottom"/>
          </w:tcPr>
          <w:p>
            <w:pPr>
              <w:spacing w:after="0"/>
              <w:rPr>
                <w:sz w:val="14"/>
                <w:szCs w:val="14"/>
                <w:color w:val="auto"/>
              </w:rPr>
            </w:pP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377,905</w:t>
            </w:r>
          </w:p>
        </w:tc>
      </w:tr>
      <w:tr>
        <w:trPr>
          <w:trHeight w:val="20"/>
        </w:trPr>
        <w:tc>
          <w:tcPr>
            <w:tcW w:w="74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63"/>
        </w:trPr>
        <w:tc>
          <w:tcPr>
            <w:tcW w:w="74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180"/>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Real estate and improvements - held for lease, net</w:t>
            </w:r>
          </w:p>
        </w:tc>
        <w:tc>
          <w:tcPr>
            <w:tcW w:w="4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0"/>
        </w:trPr>
        <w:tc>
          <w:tcPr>
            <w:tcW w:w="7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Tejon Ranch Commerce Center</w:t>
            </w: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180"/>
        </w:trPr>
        <w:tc>
          <w:tcPr>
            <w:tcW w:w="74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 Commercial</w:t>
            </w:r>
          </w:p>
        </w:tc>
        <w:tc>
          <w:tcPr>
            <w:tcW w:w="4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20,644</w:t>
            </w:r>
          </w:p>
        </w:tc>
        <w:tc>
          <w:tcPr>
            <w:tcW w:w="100" w:type="dxa"/>
            <w:vAlign w:val="bottom"/>
          </w:tcPr>
          <w:p>
            <w:pPr>
              <w:spacing w:after="0"/>
              <w:rPr>
                <w:sz w:val="15"/>
                <w:szCs w:val="15"/>
                <w:color w:val="auto"/>
              </w:rPr>
            </w:pPr>
          </w:p>
        </w:tc>
        <w:tc>
          <w:tcPr>
            <w:tcW w:w="4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20,596</w:t>
            </w:r>
          </w:p>
        </w:tc>
      </w:tr>
      <w:tr>
        <w:trPr>
          <w:trHeight w:val="180"/>
        </w:trPr>
        <w:tc>
          <w:tcPr>
            <w:tcW w:w="7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 Multifamily</w:t>
            </w:r>
          </w:p>
        </w:tc>
        <w:tc>
          <w:tcPr>
            <w:tcW w:w="44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64,170</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 estate and improvements - held for lease, gross</w:t>
            </w:r>
          </w:p>
        </w:tc>
        <w:tc>
          <w:tcPr>
            <w:tcW w:w="4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84,814</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20,596</w:t>
            </w:r>
          </w:p>
        </w:tc>
      </w:tr>
      <w:tr>
        <w:trPr>
          <w:trHeight w:val="180"/>
        </w:trPr>
        <w:tc>
          <w:tcPr>
            <w:tcW w:w="7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180"/>
        </w:trPr>
        <w:tc>
          <w:tcPr>
            <w:tcW w:w="74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 Commercial</w:t>
            </w:r>
          </w:p>
        </w:tc>
        <w:tc>
          <w:tcPr>
            <w:tcW w:w="4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(4,677)</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(4,343)</w:t>
            </w:r>
          </w:p>
        </w:tc>
      </w:tr>
      <w:tr>
        <w:trPr>
          <w:trHeight w:val="180"/>
        </w:trPr>
        <w:tc>
          <w:tcPr>
            <w:tcW w:w="7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 Multifamily</w:t>
            </w:r>
          </w:p>
        </w:tc>
        <w:tc>
          <w:tcPr>
            <w:tcW w:w="44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 estate and improvements - held for lease, net</w:t>
            </w: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79,177</w:t>
            </w:r>
          </w:p>
        </w:tc>
        <w:tc>
          <w:tcPr>
            <w:tcW w:w="100" w:type="dxa"/>
            <w:vAlign w:val="bottom"/>
          </w:tcPr>
          <w:p>
            <w:pPr>
              <w:spacing w:after="0"/>
              <w:rPr>
                <w:sz w:val="14"/>
                <w:szCs w:val="14"/>
                <w:color w:val="auto"/>
              </w:rPr>
            </w:pP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16,253</w:t>
            </w:r>
          </w:p>
        </w:tc>
      </w:tr>
      <w:tr>
        <w:trPr>
          <w:trHeight w:val="20"/>
        </w:trPr>
        <w:tc>
          <w:tcPr>
            <w:tcW w:w="74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The Terra Vista multifamily property was completed in phases during 2025, with three buildings delivered in May, three buildings delivered in July, and the final building delivered in October. As each phase was completed, the related assets were placed in service and reclassified from real estate development to real estate and improvements held for lease.</w:t>
      </w:r>
    </w:p>
    <w:p>
      <w:pPr>
        <w:spacing w:after="0" w:line="80" w:lineRule="exact"/>
        <w:rPr>
          <w:sz w:val="20"/>
          <w:szCs w:val="20"/>
          <w:color w:val="auto"/>
        </w:rPr>
      </w:pPr>
    </w:p>
    <w:p>
      <w:pPr>
        <w:ind w:left="280" w:hanging="275"/>
        <w:spacing w:after="0"/>
        <w:tabs>
          <w:tab w:leader="none" w:pos="280" w:val="left"/>
        </w:tabs>
        <w:numPr>
          <w:ilvl w:val="0"/>
          <w:numId w:val="5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LONG-TERM WATER ASSETS</w:t>
      </w:r>
    </w:p>
    <w:p>
      <w:pPr>
        <w:spacing w:after="0" w:line="138"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Long-term water assets consist of water and water purchase contracts held for future use or sale. The water is held at cost, which includes the price paid for the water and the cost to pump and deliver the water from the California aqueduct into the water bank. Water is currently held in a water bank on Company land in southern Kern County and by TCWD in Kern Water Banks.</w:t>
      </w:r>
    </w:p>
    <w:p>
      <w:pPr>
        <w:spacing w:after="0" w:line="82"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4"/>
          <w:szCs w:val="14"/>
          <w:color w:val="auto"/>
        </w:rPr>
        <w:t>The Company has secured SWP water purchase contracts from the Tulare Lake Basin Water Storage District and the Dudley-Ridge Water District, totaling 3,444 acre-feet of SWP water annually, subject to SWP allocations. These contracts extend through 2035 and have been transferred to AVEK for the Company's use in the Antelope Valley. In 2013, the Company acquired a contract to purchase water that obligates the Company to purchase 6,693 acre-feet of water each year from the Nickel Family, LLC, or Nickel, a California limited liability company that is located in Kern County.</w:t>
      </w:r>
    </w:p>
    <w:p>
      <w:pPr>
        <w:spacing w:after="0" w:line="98"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The initial term of the water purchase agreement with Nickel runs to 2044 and includes a Company option to extend the contract for an additional 35 years. The purchase cost of water in 2025 was $986 per acre-foot. The purchase cost is subject to annual cost increases based on the greater of the consumer price index or 3%.</w:t>
      </w:r>
    </w:p>
    <w:p>
      <w:pPr>
        <w:spacing w:after="0" w:line="82"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4"/>
          <w:szCs w:val="14"/>
          <w:color w:val="auto"/>
        </w:rPr>
        <w:t>The water purchased above will ultimately be used in the development of the Company’s land for commercial/industrial real estate development, resort/residential real estate development, and farming. Interim uses may include the sale of portions of this water to third party users on an annual basis until this water is fully allocated to Company uses, as just described.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Water revenues and cost of sales were as follows for the years ended December 31:</w:t>
      </w: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12" w:right="359" w:bottom="1440" w:gutter="0" w:footer="0" w:header="0"/>
        </w:sectPr>
      </w:pPr>
    </w:p>
    <w:bookmarkStart w:id="93" w:name="page94"/>
    <w:bookmarkEnd w:id="93"/>
    <w:tbl>
      <w:tblPr>
        <w:tblLayout w:type="fixed"/>
        <w:tblInd w:w="20" w:type="dxa"/>
        <w:tblCellMar>
          <w:top w:w="0" w:type="dxa"/>
          <w:left w:w="0" w:type="dxa"/>
          <w:bottom w:w="0" w:type="dxa"/>
          <w:right w:w="0" w:type="dxa"/>
        </w:tblCellMar>
      </w:tblPr>
      <w:tr>
        <w:trPr>
          <w:trHeight w:val="184"/>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128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2025</w:t>
            </w:r>
          </w:p>
        </w:tc>
        <w:tc>
          <w:tcPr>
            <w:tcW w:w="5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2024</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color w:val="auto"/>
              </w:rPr>
              <w:t>2023</w:t>
            </w:r>
          </w:p>
        </w:tc>
      </w:tr>
      <w:tr>
        <w:trPr>
          <w:trHeight w:val="54"/>
        </w:trPr>
        <w:tc>
          <w:tcPr>
            <w:tcW w:w="54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40" w:type="dxa"/>
            <w:vAlign w:val="bottom"/>
          </w:tcPr>
          <w:p>
            <w:pPr>
              <w:spacing w:after="0"/>
              <w:rPr>
                <w:sz w:val="4"/>
                <w:szCs w:val="4"/>
                <w:color w:val="auto"/>
              </w:rPr>
            </w:pPr>
          </w:p>
        </w:tc>
      </w:tr>
      <w:tr>
        <w:trPr>
          <w:trHeight w:val="18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Acre-Feet Sold</w:t>
            </w:r>
          </w:p>
        </w:tc>
        <w:tc>
          <w:tcPr>
            <w:tcW w:w="12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3,177</w:t>
            </w: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5,145</w:t>
            </w:r>
          </w:p>
        </w:tc>
      </w:tr>
      <w:tr>
        <w:trPr>
          <w:trHeight w:val="74"/>
        </w:trPr>
        <w:tc>
          <w:tcPr>
            <w:tcW w:w="54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40" w:type="dxa"/>
            <w:vAlign w:val="bottom"/>
          </w:tcPr>
          <w:p>
            <w:pPr>
              <w:spacing w:after="0"/>
              <w:rPr>
                <w:sz w:val="6"/>
                <w:szCs w:val="6"/>
                <w:color w:val="auto"/>
              </w:rPr>
            </w:pPr>
          </w:p>
        </w:tc>
      </w:tr>
      <w:tr>
        <w:trPr>
          <w:trHeight w:val="18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1280" w:type="dxa"/>
            <w:vAlign w:val="bottom"/>
            <w:shd w:val="clear" w:color="auto" w:fill="CCEEFF"/>
          </w:tcPr>
          <w:p>
            <w:pPr>
              <w:jc w:val="right"/>
              <w:ind w:right="112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4,312</w:t>
            </w: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112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4,383</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8,033</w:t>
            </w:r>
          </w:p>
        </w:tc>
      </w:tr>
      <w:tr>
        <w:trPr>
          <w:trHeight w:val="180"/>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12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3,431</w:t>
            </w:r>
          </w:p>
        </w:tc>
        <w:tc>
          <w:tcPr>
            <w:tcW w:w="8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3,555</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5,220</w:t>
            </w:r>
          </w:p>
        </w:tc>
      </w:tr>
      <w:tr>
        <w:trPr>
          <w:trHeight w:val="196"/>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Profit</w:t>
            </w:r>
          </w:p>
        </w:tc>
        <w:tc>
          <w:tcPr>
            <w:tcW w:w="1280" w:type="dxa"/>
            <w:vAlign w:val="bottom"/>
            <w:tcBorders>
              <w:bottom w:val="single" w:sz="8" w:color="auto"/>
            </w:tcBorders>
            <w:shd w:val="clear" w:color="auto" w:fill="CCEEFF"/>
          </w:tcPr>
          <w:p>
            <w:pPr>
              <w:jc w:val="right"/>
              <w:ind w:right="112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w:t>
            </w:r>
          </w:p>
        </w:tc>
        <w:tc>
          <w:tcPr>
            <w:tcW w:w="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112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2,813</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Costs assigned to water assets held for future use were as follows ($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424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000" w:type="dxa"/>
            <w:vAlign w:val="bottom"/>
            <w:tcBorders>
              <w:bottom w:val="single" w:sz="8" w:color="auto"/>
            </w:tcBorders>
            <w:gridSpan w:val="3"/>
          </w:tcPr>
          <w:p>
            <w:pPr>
              <w:jc w:val="right"/>
              <w:ind w:right="89"/>
              <w:spacing w:after="0"/>
              <w:rPr>
                <w:sz w:val="20"/>
                <w:szCs w:val="20"/>
                <w:color w:val="auto"/>
              </w:rPr>
            </w:pPr>
            <w:r>
              <w:rPr>
                <w:rFonts w:ascii="Times New Roman" w:cs="Times New Roman" w:eastAsia="Times New Roman" w:hAnsi="Times New Roman"/>
                <w:sz w:val="14"/>
                <w:szCs w:val="14"/>
                <w:color w:val="auto"/>
              </w:rPr>
              <w:t>December 31, 2025</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4"/>
                <w:szCs w:val="14"/>
                <w:color w:val="auto"/>
                <w:w w:val="99"/>
              </w:rPr>
              <w:t>December 31, 2024</w:t>
            </w:r>
          </w:p>
        </w:tc>
        <w:tc>
          <w:tcPr>
            <w:tcW w:w="5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0" w:type="dxa"/>
            <w:vAlign w:val="bottom"/>
            <w:tcBorders>
              <w:right w:val="single" w:sz="8" w:color="CCEEFF"/>
            </w:tcBorders>
          </w:tcPr>
          <w:p>
            <w:pPr>
              <w:spacing w:after="0"/>
              <w:rPr>
                <w:sz w:val="14"/>
                <w:szCs w:val="14"/>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Banked water and water for future delivery</w:t>
            </w:r>
          </w:p>
        </w:tc>
        <w:tc>
          <w:tcPr>
            <w:tcW w:w="9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80" w:type="dxa"/>
            <w:vAlign w:val="bottom"/>
            <w:shd w:val="clear" w:color="auto" w:fill="CCEEFF"/>
          </w:tcPr>
          <w:p>
            <w:pPr>
              <w:jc w:val="right"/>
              <w:ind w:right="1529"/>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44,681</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80" w:type="dxa"/>
            <w:vAlign w:val="bottom"/>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color w:val="auto"/>
                <w:w w:val="98"/>
              </w:rPr>
              <w:t>36,048</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4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Transferable water</w:t>
            </w:r>
          </w:p>
        </w:tc>
        <w:tc>
          <w:tcPr>
            <w:tcW w:w="90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Borders>
              <w:right w:val="single" w:sz="8" w:color="CCEEFF"/>
            </w:tcBorders>
          </w:tcPr>
          <w:p>
            <w:pPr>
              <w:spacing w:after="0"/>
              <w:rPr>
                <w:sz w:val="14"/>
                <w:szCs w:val="14"/>
                <w:color w:val="auto"/>
              </w:rPr>
            </w:pPr>
          </w:p>
        </w:tc>
        <w:tc>
          <w:tcPr>
            <w:tcW w:w="42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water held for future use at cost</w:t>
            </w:r>
          </w:p>
        </w:tc>
        <w:tc>
          <w:tcPr>
            <w:tcW w:w="9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680" w:type="dxa"/>
            <w:vAlign w:val="bottom"/>
            <w:tcBorders>
              <w:bottom w:val="single" w:sz="8" w:color="auto"/>
            </w:tcBorders>
            <w:shd w:val="clear" w:color="auto" w:fill="CCEEFF"/>
          </w:tcPr>
          <w:p>
            <w:pPr>
              <w:jc w:val="right"/>
              <w:ind w:right="1529"/>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44,947</w:t>
            </w: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color w:val="auto"/>
                <w:w w:val="98"/>
              </w:rPr>
              <w:t>36,083</w:t>
            </w:r>
          </w:p>
        </w:tc>
        <w:tc>
          <w:tcPr>
            <w:tcW w:w="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Borders>
              <w:right w:val="single" w:sz="8" w:color="CCEEFF"/>
            </w:tcBorders>
          </w:tcPr>
          <w:p>
            <w:pPr>
              <w:spacing w:after="0" w:line="20" w:lineRule="exact"/>
              <w:rPr>
                <w:sz w:val="1"/>
                <w:szCs w:val="1"/>
                <w:color w:val="auto"/>
              </w:rPr>
            </w:pPr>
          </w:p>
        </w:tc>
        <w:tc>
          <w:tcPr>
            <w:tcW w:w="424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Intangible Water Assets</w:t>
            </w: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428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56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The Company's carrying amounts of its purchased water contracts were as follows ($ in thousands):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3"/>
        </w:trPr>
        <w:tc>
          <w:tcPr>
            <w:tcW w:w="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60" w:type="dxa"/>
            <w:vAlign w:val="bottom"/>
            <w:gridSpan w:val="6"/>
          </w:tcPr>
          <w:p>
            <w:pPr>
              <w:ind w:left="280"/>
              <w:spacing w:after="0"/>
              <w:rPr>
                <w:sz w:val="20"/>
                <w:szCs w:val="20"/>
                <w:color w:val="auto"/>
              </w:rPr>
            </w:pPr>
            <w:r>
              <w:rPr>
                <w:rFonts w:ascii="Times New Roman" w:cs="Times New Roman" w:eastAsia="Times New Roman" w:hAnsi="Times New Roman"/>
                <w:sz w:val="14"/>
                <w:szCs w:val="14"/>
                <w:color w:val="auto"/>
              </w:rPr>
              <w:t>December 31, 2025</w:t>
            </w: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gridSpan w:val="4"/>
          </w:tcPr>
          <w:p>
            <w:pPr>
              <w:jc w:val="right"/>
              <w:ind w:right="489"/>
              <w:spacing w:after="0"/>
              <w:rPr>
                <w:sz w:val="20"/>
                <w:szCs w:val="20"/>
                <w:color w:val="auto"/>
              </w:rPr>
            </w:pPr>
            <w:r>
              <w:rPr>
                <w:rFonts w:ascii="Times New Roman" w:cs="Times New Roman" w:eastAsia="Times New Roman" w:hAnsi="Times New Roman"/>
                <w:sz w:val="14"/>
                <w:szCs w:val="14"/>
                <w:color w:val="auto"/>
              </w:rPr>
              <w:t>December 31, 2024</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4240" w:type="dxa"/>
            <w:vAlign w:val="bottom"/>
            <w:tcBorders>
              <w:bottom w:val="single" w:sz="8" w:color="CCEEFF"/>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Costs</w:t>
            </w:r>
          </w:p>
        </w:tc>
        <w:tc>
          <w:tcPr>
            <w:tcW w:w="50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820" w:type="dxa"/>
            <w:vAlign w:val="bottom"/>
            <w:tcBorders>
              <w:top w:val="single" w:sz="8" w:color="auto"/>
              <w:bottom w:val="single" w:sz="8" w:color="auto"/>
            </w:tcBorders>
            <w:gridSpan w:val="2"/>
          </w:tcPr>
          <w:p>
            <w:pPr>
              <w:jc w:val="right"/>
              <w:ind w:right="169"/>
              <w:spacing w:after="0"/>
              <w:rPr>
                <w:sz w:val="20"/>
                <w:szCs w:val="20"/>
                <w:color w:val="auto"/>
              </w:rPr>
            </w:pPr>
            <w:r>
              <w:rPr>
                <w:rFonts w:ascii="Times New Roman" w:cs="Times New Roman" w:eastAsia="Times New Roman" w:hAnsi="Times New Roman"/>
                <w:sz w:val="14"/>
                <w:szCs w:val="14"/>
                <w:color w:val="auto"/>
              </w:rPr>
              <w:t>Accumulated Depreciation</w:t>
            </w:r>
          </w:p>
        </w:tc>
        <w:tc>
          <w:tcPr>
            <w:tcW w:w="8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gridSpan w:val="3"/>
          </w:tcPr>
          <w:p>
            <w:pPr>
              <w:jc w:val="right"/>
              <w:ind w:right="549"/>
              <w:spacing w:after="0"/>
              <w:rPr>
                <w:sz w:val="20"/>
                <w:szCs w:val="20"/>
                <w:color w:val="auto"/>
              </w:rPr>
            </w:pPr>
            <w:r>
              <w:rPr>
                <w:rFonts w:ascii="Times New Roman" w:cs="Times New Roman" w:eastAsia="Times New Roman" w:hAnsi="Times New Roman"/>
                <w:sz w:val="14"/>
                <w:szCs w:val="14"/>
                <w:color w:val="auto"/>
              </w:rPr>
              <w:t>Costs</w:t>
            </w:r>
          </w:p>
        </w:tc>
        <w:tc>
          <w:tcPr>
            <w:tcW w:w="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1660" w:type="dxa"/>
            <w:vAlign w:val="bottom"/>
            <w:tcBorders>
              <w:top w:val="single" w:sz="8" w:color="auto"/>
              <w:bottom w:val="single" w:sz="8" w:color="auto"/>
            </w:tcBorders>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Accumulated Depreciation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424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Dudley-Ridge water purchase contract</w:t>
            </w:r>
            <w:r>
              <w:rPr>
                <w:rFonts w:ascii="Times New Roman" w:cs="Times New Roman" w:eastAsia="Times New Roman" w:hAnsi="Times New Roman"/>
                <w:sz w:val="18"/>
                <w:szCs w:val="18"/>
                <w:color w:val="auto"/>
                <w:vertAlign w:val="superscript"/>
              </w:rPr>
              <w:t>*</w:t>
            </w:r>
          </w:p>
        </w:tc>
        <w:tc>
          <w:tcPr>
            <w:tcW w:w="900" w:type="dxa"/>
            <w:vAlign w:val="bottom"/>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11,581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(7,237)</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11,581</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color w:val="auto"/>
              </w:rPr>
              <w:t>(6,755)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424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Nickel water purchase contract</w:t>
            </w:r>
            <w:r>
              <w:rPr>
                <w:rFonts w:ascii="Times New Roman" w:cs="Times New Roman" w:eastAsia="Times New Roman" w:hAnsi="Times New Roman"/>
                <w:sz w:val="18"/>
                <w:szCs w:val="18"/>
                <w:color w:val="auto"/>
                <w:vertAlign w:val="superscript"/>
              </w:rPr>
              <w:t>*</w:t>
            </w:r>
          </w:p>
        </w:tc>
        <w:tc>
          <w:tcPr>
            <w:tcW w:w="9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18,740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(7,817)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18,740</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rPr>
              <w:t>(7,175)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42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Tulare Lake Basin water purchase contract</w:t>
            </w:r>
            <w:r>
              <w:rPr>
                <w:rFonts w:ascii="Times New Roman" w:cs="Times New Roman" w:eastAsia="Times New Roman" w:hAnsi="Times New Roman"/>
                <w:sz w:val="18"/>
                <w:szCs w:val="18"/>
                <w:color w:val="auto"/>
                <w:vertAlign w:val="superscript"/>
              </w:rPr>
              <w:t>*</w:t>
            </w:r>
          </w:p>
        </w:tc>
        <w:tc>
          <w:tcPr>
            <w:tcW w:w="9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6,479</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(4,100)</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6,479</w:t>
            </w: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color w:val="auto"/>
              </w:rPr>
              <w:t>(3,862)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424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36,800</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(19,154)</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36,800</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(17,792)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4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cost of purchased water contracts</w:t>
            </w:r>
          </w:p>
        </w:tc>
        <w:tc>
          <w:tcPr>
            <w:tcW w:w="9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17,646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19,008</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4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Total cost of water held for future use</w:t>
            </w:r>
          </w:p>
        </w:tc>
        <w:tc>
          <w:tcPr>
            <w:tcW w:w="9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44,947</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6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36,083</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6"/>
                <w:szCs w:val="16"/>
                <w:color w:val="auto"/>
              </w:rPr>
            </w:pPr>
          </w:p>
        </w:tc>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investments in water assets</w:t>
            </w:r>
          </w:p>
        </w:tc>
        <w:tc>
          <w:tcPr>
            <w:tcW w:w="900" w:type="dxa"/>
            <w:vAlign w:val="bottom"/>
            <w:tcBorders>
              <w:bottom w:val="single" w:sz="8" w:color="auto"/>
            </w:tcBorders>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62,593</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55,091</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240" w:type="dxa"/>
            <w:vAlign w:val="bottom"/>
            <w:tcBorders>
              <w:top w:val="single" w:sz="8" w:color="CCEEFF"/>
              <w:bottom w:val="single" w:sz="8" w:color="CCEEFF"/>
            </w:tcBorders>
            <w:vMerge w:val="restart"/>
          </w:tcPr>
          <w:p>
            <w:pPr>
              <w:ind w:left="20"/>
              <w:spacing w:after="0" w:line="147" w:lineRule="exact"/>
              <w:rPr>
                <w:sz w:val="20"/>
                <w:szCs w:val="20"/>
                <w:color w:val="auto"/>
              </w:rPr>
            </w:pPr>
            <w:r>
              <w:rPr>
                <w:rFonts w:ascii="Times New Roman" w:cs="Times New Roman" w:eastAsia="Times New Roman" w:hAnsi="Times New Roman"/>
                <w:sz w:val="13"/>
                <w:szCs w:val="13"/>
                <w:color w:val="auto"/>
              </w:rPr>
              <w:t>*All water purchase contracts were acquired from third parties.</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40" w:type="dxa"/>
            <w:vAlign w:val="bottom"/>
          </w:tcPr>
          <w:p>
            <w:pPr>
              <w:spacing w:after="0"/>
              <w:rPr>
                <w:sz w:val="9"/>
                <w:szCs w:val="9"/>
                <w:color w:val="auto"/>
              </w:rPr>
            </w:pPr>
          </w:p>
        </w:tc>
        <w:tc>
          <w:tcPr>
            <w:tcW w:w="424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Water contracts with WRMWSD and TCWD are also in place but were entered into with each district at inception of the contract and not purchased later from third parties, and do not have a related financial value on the books of the Company. Therefore, there is no amortization expense related to these contracts. Total water resources, including both recurring and one-time usage are: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(in acre feet)</w:t>
            </w:r>
          </w:p>
        </w:tc>
        <w:tc>
          <w:tcPr>
            <w:tcW w:w="2740" w:type="dxa"/>
            <w:vAlign w:val="bottom"/>
          </w:tcPr>
          <w:p>
            <w:pPr>
              <w:spacing w:after="0"/>
              <w:rPr>
                <w:sz w:val="16"/>
                <w:szCs w:val="16"/>
                <w:color w:val="auto"/>
              </w:rPr>
            </w:pPr>
          </w:p>
        </w:tc>
        <w:tc>
          <w:tcPr>
            <w:tcW w:w="204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December 31, 2025</w:t>
            </w:r>
          </w:p>
        </w:tc>
        <w:tc>
          <w:tcPr>
            <w:tcW w:w="198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December 31, 2024</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Water held for future use:</w:t>
            </w:r>
          </w:p>
        </w:tc>
        <w:tc>
          <w:tcPr>
            <w:tcW w:w="2740" w:type="dxa"/>
            <w:vAlign w:val="bottom"/>
          </w:tcPr>
          <w:p>
            <w:pPr>
              <w:spacing w:after="0"/>
              <w:rPr>
                <w:sz w:val="13"/>
                <w:szCs w:val="13"/>
                <w:color w:val="auto"/>
              </w:rPr>
            </w:pPr>
          </w:p>
        </w:tc>
        <w:tc>
          <w:tcPr>
            <w:tcW w:w="19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9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TCWD - Banked water owned by the Company</w:t>
            </w:r>
          </w:p>
        </w:tc>
        <w:tc>
          <w:tcPr>
            <w:tcW w:w="4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65,199</w:t>
            </w:r>
          </w:p>
        </w:tc>
        <w:tc>
          <w:tcPr>
            <w:tcW w:w="80" w:type="dxa"/>
            <w:vAlign w:val="bottom"/>
            <w:shd w:val="clear" w:color="auto" w:fill="CCEEFF"/>
          </w:tcPr>
          <w:p>
            <w:pPr>
              <w:spacing w:after="0"/>
              <w:rPr>
                <w:sz w:val="15"/>
                <w:szCs w:val="15"/>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60,936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Company water bank</w:t>
            </w:r>
          </w:p>
        </w:tc>
        <w:tc>
          <w:tcPr>
            <w:tcW w:w="4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54,728</w:t>
            </w:r>
          </w:p>
        </w:tc>
        <w:tc>
          <w:tcPr>
            <w:tcW w:w="8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54,728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Transferable water</w:t>
            </w:r>
          </w:p>
        </w:tc>
        <w:tc>
          <w:tcPr>
            <w:tcW w:w="4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80" w:type="dxa"/>
            <w:vAlign w:val="bottom"/>
            <w:shd w:val="clear" w:color="auto" w:fill="CCEEFF"/>
          </w:tcPr>
          <w:p>
            <w:pPr>
              <w:spacing w:after="0"/>
              <w:rPr>
                <w:sz w:val="15"/>
                <w:szCs w:val="15"/>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Recharged water</w:t>
            </w:r>
          </w:p>
        </w:tc>
        <w:tc>
          <w:tcPr>
            <w:tcW w:w="4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6,797</w:t>
            </w:r>
          </w:p>
        </w:tc>
        <w:tc>
          <w:tcPr>
            <w:tcW w:w="8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0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water held for future use</w:t>
            </w:r>
          </w:p>
        </w:tc>
        <w:tc>
          <w:tcPr>
            <w:tcW w:w="2740" w:type="dxa"/>
            <w:vAlign w:val="bottom"/>
            <w:tcBorders>
              <w:top w:val="single" w:sz="8" w:color="CCEEFF"/>
            </w:tcBorders>
            <w:shd w:val="clear" w:color="auto" w:fill="CCEEFF"/>
          </w:tcPr>
          <w:p>
            <w:pPr>
              <w:spacing w:after="0"/>
              <w:rPr>
                <w:sz w:val="14"/>
                <w:szCs w:val="14"/>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126,989</w:t>
            </w:r>
          </w:p>
        </w:tc>
        <w:tc>
          <w:tcPr>
            <w:tcW w:w="80" w:type="dxa"/>
            <w:vAlign w:val="bottom"/>
            <w:tcBorders>
              <w:top w:val="single" w:sz="8" w:color="CCEEFF"/>
            </w:tcBorders>
            <w:shd w:val="clear" w:color="auto" w:fill="CCEEFF"/>
          </w:tcPr>
          <w:p>
            <w:pPr>
              <w:spacing w:after="0"/>
              <w:rPr>
                <w:sz w:val="14"/>
                <w:szCs w:val="14"/>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122,966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Water purchase contracts:</w:t>
            </w:r>
          </w:p>
        </w:tc>
        <w:tc>
          <w:tcPr>
            <w:tcW w:w="27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Water Contracts (Dudley-Ridge, Nickel and Tulare)</w:t>
            </w:r>
          </w:p>
        </w:tc>
        <w:tc>
          <w:tcPr>
            <w:tcW w:w="4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10,137</w:t>
            </w:r>
          </w:p>
        </w:tc>
        <w:tc>
          <w:tcPr>
            <w:tcW w:w="80" w:type="dxa"/>
            <w:vAlign w:val="bottom"/>
            <w:shd w:val="clear" w:color="auto" w:fill="CCEEFF"/>
          </w:tcPr>
          <w:p>
            <w:pPr>
              <w:spacing w:after="0"/>
              <w:rPr>
                <w:sz w:val="15"/>
                <w:szCs w:val="15"/>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10,137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WRMWSD - Contracts with Company</w:t>
            </w:r>
          </w:p>
        </w:tc>
        <w:tc>
          <w:tcPr>
            <w:tcW w:w="4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15,547</w:t>
            </w:r>
          </w:p>
        </w:tc>
        <w:tc>
          <w:tcPr>
            <w:tcW w:w="8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15,547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TCWD - Contracts with Company</w:t>
            </w:r>
          </w:p>
        </w:tc>
        <w:tc>
          <w:tcPr>
            <w:tcW w:w="4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5,749</w:t>
            </w:r>
          </w:p>
        </w:tc>
        <w:tc>
          <w:tcPr>
            <w:tcW w:w="80" w:type="dxa"/>
            <w:vAlign w:val="bottom"/>
            <w:shd w:val="clear" w:color="auto" w:fill="CCEEFF"/>
          </w:tcPr>
          <w:p>
            <w:pPr>
              <w:spacing w:after="0"/>
              <w:rPr>
                <w:sz w:val="15"/>
                <w:szCs w:val="15"/>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Total water purchase contracts</w:t>
            </w:r>
          </w:p>
        </w:tc>
        <w:tc>
          <w:tcPr>
            <w:tcW w:w="2740" w:type="dxa"/>
            <w:vAlign w:val="bottom"/>
            <w:tcBorders>
              <w:bottom w:val="single" w:sz="8" w:color="CCEEFF"/>
            </w:tcBorders>
          </w:tcPr>
          <w:p>
            <w:pPr>
              <w:spacing w:after="0"/>
              <w:rPr>
                <w:sz w:val="14"/>
                <w:szCs w:val="14"/>
                <w:color w:val="auto"/>
              </w:rPr>
            </w:pPr>
          </w:p>
        </w:tc>
        <w:tc>
          <w:tcPr>
            <w:tcW w:w="1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31,433</w:t>
            </w:r>
          </w:p>
        </w:tc>
        <w:tc>
          <w:tcPr>
            <w:tcW w:w="80" w:type="dxa"/>
            <w:vAlign w:val="bottom"/>
            <w:tcBorders>
              <w:bottom w:val="single" w:sz="8" w:color="CCEEFF"/>
            </w:tcBorders>
          </w:tcPr>
          <w:p>
            <w:pPr>
              <w:spacing w:after="0"/>
              <w:rPr>
                <w:sz w:val="14"/>
                <w:szCs w:val="14"/>
                <w:color w:val="auto"/>
              </w:rPr>
            </w:pPr>
          </w:p>
        </w:tc>
        <w:tc>
          <w:tcPr>
            <w:tcW w:w="1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31,433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6"/>
                <w:szCs w:val="16"/>
                <w:color w:val="auto"/>
              </w:rPr>
            </w:pPr>
          </w:p>
        </w:tc>
        <w:tc>
          <w:tcPr>
            <w:tcW w:w="4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water held for future use and purchased water contracts</w:t>
            </w:r>
          </w:p>
        </w:tc>
        <w:tc>
          <w:tcPr>
            <w:tcW w:w="2740" w:type="dxa"/>
            <w:vAlign w:val="bottom"/>
            <w:tcBorders>
              <w:bottom w:val="single" w:sz="8" w:color="CCEEFF"/>
            </w:tcBorders>
            <w:shd w:val="clear" w:color="auto" w:fill="CCEEFF"/>
          </w:tcPr>
          <w:p>
            <w:pPr>
              <w:spacing w:after="0"/>
              <w:rPr>
                <w:sz w:val="16"/>
                <w:szCs w:val="16"/>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158,422</w:t>
            </w:r>
          </w:p>
        </w:tc>
        <w:tc>
          <w:tcPr>
            <w:tcW w:w="80" w:type="dxa"/>
            <w:vAlign w:val="bottom"/>
            <w:tcBorders>
              <w:bottom w:val="single" w:sz="8" w:color="CCEEFF"/>
            </w:tcBorders>
            <w:shd w:val="clear" w:color="auto" w:fill="CCEEFF"/>
          </w:tcPr>
          <w:p>
            <w:pPr>
              <w:spacing w:after="0"/>
              <w:rPr>
                <w:sz w:val="16"/>
                <w:szCs w:val="16"/>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154,399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bottom w:val="single" w:sz="8" w:color="CCEEFF"/>
            </w:tcBorders>
            <w:vMerge w:val="restart"/>
          </w:tcPr>
          <w:p>
            <w:pPr>
              <w:jc w:val="right"/>
              <w:ind w:right="1469"/>
              <w:spacing w:after="0"/>
              <w:rPr>
                <w:sz w:val="20"/>
                <w:szCs w:val="20"/>
                <w:color w:val="auto"/>
              </w:rPr>
            </w:pPr>
            <w:r>
              <w:rPr>
                <w:rFonts w:ascii="Times New Roman" w:cs="Times New Roman" w:eastAsia="Times New Roman" w:hAnsi="Times New Roman"/>
                <w:sz w:val="14"/>
                <w:szCs w:val="14"/>
                <w:color w:val="auto"/>
              </w:rPr>
              <w:t>94</w:t>
            </w: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0"/>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1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4500" w:type="dxa"/>
            <w:vAlign w:val="bottom"/>
            <w:tcBorders>
              <w:bottom w:val="single" w:sz="8" w:color="9A9A9A"/>
            </w:tcBorders>
          </w:tcPr>
          <w:p>
            <w:pPr>
              <w:spacing w:after="0"/>
              <w:rPr>
                <w:sz w:val="7"/>
                <w:szCs w:val="7"/>
                <w:color w:val="auto"/>
              </w:rPr>
            </w:pPr>
          </w:p>
        </w:tc>
        <w:tc>
          <w:tcPr>
            <w:tcW w:w="2740" w:type="dxa"/>
            <w:vAlign w:val="bottom"/>
            <w:tcBorders>
              <w:bottom w:val="single" w:sz="8" w:color="9A9A9A"/>
            </w:tcBorders>
          </w:tcPr>
          <w:p>
            <w:pPr>
              <w:spacing w:after="0"/>
              <w:rPr>
                <w:sz w:val="7"/>
                <w:szCs w:val="7"/>
                <w:color w:val="auto"/>
              </w:rPr>
            </w:pPr>
          </w:p>
        </w:tc>
        <w:tc>
          <w:tcPr>
            <w:tcW w:w="19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9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63" w:right="31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86"/>
        </w:trPr>
        <w:tc>
          <w:tcPr>
            <w:tcW w:w="7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7.  ACCRUED LIABILITIES AND OTHER CURRENT LIABILITIES</w:t>
            </w:r>
          </w:p>
        </w:tc>
        <w:tc>
          <w:tcPr>
            <w:tcW w:w="4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7100" w:type="dxa"/>
            <w:vAlign w:val="bottom"/>
          </w:tcPr>
          <w:p>
            <w:pPr>
              <w:spacing w:after="0"/>
              <w:rPr>
                <w:sz w:val="20"/>
                <w:szCs w:val="20"/>
                <w:color w:val="auto"/>
              </w:rPr>
            </w:pPr>
            <w:r>
              <w:rPr>
                <w:rFonts w:ascii="Times New Roman" w:cs="Times New Roman" w:eastAsia="Times New Roman" w:hAnsi="Times New Roman"/>
                <w:sz w:val="14"/>
                <w:szCs w:val="14"/>
                <w:color w:val="auto"/>
              </w:rPr>
              <w:t>Accrued liabilities and other current liabilities consisted of the following as of December 31:</w:t>
            </w:r>
          </w:p>
        </w:tc>
        <w:tc>
          <w:tcPr>
            <w:tcW w:w="4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4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color w:val="auto"/>
              </w:rPr>
              <w:t>2025</w:t>
            </w:r>
          </w:p>
        </w:tc>
        <w:tc>
          <w:tcPr>
            <w:tcW w:w="4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color w:val="auto"/>
              </w:rPr>
              <w:t>2024</w:t>
            </w: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vacation</w:t>
            </w: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4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707</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paid personal leave</w:t>
            </w:r>
          </w:p>
        </w:tc>
        <w:tc>
          <w:tcPr>
            <w:tcW w:w="4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480" w:type="dxa"/>
            <w:vAlign w:val="bottom"/>
          </w:tcPr>
          <w:p>
            <w:pPr>
              <w:spacing w:after="0"/>
              <w:rPr>
                <w:sz w:val="15"/>
                <w:szCs w:val="15"/>
                <w:color w:val="auto"/>
              </w:rPr>
            </w:pPr>
          </w:p>
        </w:tc>
        <w:tc>
          <w:tcPr>
            <w:tcW w:w="15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295</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bonus</w:t>
            </w:r>
          </w:p>
        </w:tc>
        <w:tc>
          <w:tcPr>
            <w:tcW w:w="46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w:t>
            </w:r>
          </w:p>
        </w:tc>
        <w:tc>
          <w:tcPr>
            <w:tcW w:w="480" w:type="dxa"/>
            <w:vAlign w:val="bottom"/>
            <w:shd w:val="clear" w:color="auto" w:fill="CCEEFF"/>
          </w:tcPr>
          <w:p>
            <w:pPr>
              <w:spacing w:after="0"/>
              <w:rPr>
                <w:sz w:val="15"/>
                <w:szCs w:val="15"/>
                <w:color w:val="auto"/>
              </w:rPr>
            </w:pPr>
          </w:p>
        </w:tc>
        <w:tc>
          <w:tcPr>
            <w:tcW w:w="15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2,425</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7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Accrued stock compensation expense</w:t>
            </w:r>
          </w:p>
        </w:tc>
        <w:tc>
          <w:tcPr>
            <w:tcW w:w="460" w:type="dxa"/>
            <w:vAlign w:val="bottom"/>
          </w:tcPr>
          <w:p>
            <w:pPr>
              <w:spacing w:after="0"/>
              <w:rPr>
                <w:sz w:val="10"/>
                <w:szCs w:val="10"/>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0"/>
                <w:szCs w:val="10"/>
                <w:color w:val="auto"/>
              </w:rPr>
            </w:pPr>
          </w:p>
        </w:tc>
        <w:tc>
          <w:tcPr>
            <w:tcW w:w="154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1,831</w:t>
            </w:r>
          </w:p>
        </w:tc>
        <w:tc>
          <w:tcPr>
            <w:tcW w:w="1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w:t>
            </w:r>
          </w:p>
        </w:tc>
        <w:tc>
          <w:tcPr>
            <w:tcW w:w="0" w:type="dxa"/>
            <w:vAlign w:val="bottom"/>
          </w:tcPr>
          <w:p>
            <w:pPr>
              <w:spacing w:after="0"/>
              <w:rPr>
                <w:sz w:val="1"/>
                <w:szCs w:val="1"/>
                <w:color w:val="auto"/>
              </w:rPr>
            </w:pPr>
          </w:p>
        </w:tc>
      </w:tr>
      <w:tr>
        <w:trPr>
          <w:trHeight w:val="61"/>
        </w:trPr>
        <w:tc>
          <w:tcPr>
            <w:tcW w:w="71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46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48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291</w:t>
            </w:r>
          </w:p>
        </w:tc>
        <w:tc>
          <w:tcPr>
            <w:tcW w:w="18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4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2,188</w:t>
            </w:r>
          </w:p>
        </w:tc>
        <w:tc>
          <w:tcPr>
            <w:tcW w:w="48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5,549</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4503420</wp:posOffset>
            </wp:positionH>
            <wp:positionV relativeFrom="paragraph">
              <wp:posOffset>-1905</wp:posOffset>
            </wp:positionV>
            <wp:extent cx="2627630"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1">
                      <a:extLst>
                        <a:ext uri="{28A0092B-C50C-407E-A947-70E740481C1C}"/>
                      </a:extLst>
                    </a:blip>
                    <a:srcRect/>
                    <a:stretch>
                      <a:fillRect/>
                    </a:stretch>
                  </pic:blipFill>
                  <pic:spPr bwMode="auto">
                    <a:xfrm>
                      <a:off x="0" y="0"/>
                      <a:ext cx="2627630" cy="6985"/>
                    </a:xfrm>
                    <a:prstGeom prst="rect">
                      <a:avLst/>
                    </a:prstGeom>
                    <a:noFill/>
                  </pic:spPr>
                </pic:pic>
              </a:graphicData>
            </a:graphic>
          </wp:anchor>
        </w:drawing>
      </w:r>
    </w:p>
    <w:p>
      <w:pPr>
        <w:ind w:left="80" w:hanging="61"/>
        <w:spacing w:after="0" w:line="219" w:lineRule="auto"/>
        <w:tabs>
          <w:tab w:leader="none" w:pos="80" w:val="left"/>
        </w:tabs>
        <w:numPr>
          <w:ilvl w:val="0"/>
          <w:numId w:val="53"/>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Cash settled awards classified as liabilities. See Note 10 of the Notes to Consolidated Financial Statements for further detail.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7127875" cy="1009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2">
                      <a:extLst>
                        <a:ext uri="{28A0092B-C50C-407E-A947-70E740481C1C}"/>
                      </a:extLst>
                    </a:blip>
                    <a:srcRect/>
                    <a:stretch>
                      <a:fillRect/>
                    </a:stretch>
                  </pic:blipFill>
                  <pic:spPr bwMode="auto">
                    <a:xfrm>
                      <a:off x="0" y="0"/>
                      <a:ext cx="7127875" cy="100965"/>
                    </a:xfrm>
                    <a:prstGeom prst="rect">
                      <a:avLst/>
                    </a:prstGeom>
                    <a:noFill/>
                  </pic:spPr>
                </pic:pic>
              </a:graphicData>
            </a:graphic>
          </wp:anchor>
        </w:drawing>
      </w:r>
    </w:p>
    <w:p>
      <w:pPr>
        <w:spacing w:after="0" w:line="365" w:lineRule="exact"/>
        <w:rPr>
          <w:sz w:val="20"/>
          <w:szCs w:val="20"/>
          <w:color w:val="auto"/>
        </w:rPr>
      </w:pPr>
    </w:p>
    <w:p>
      <w:pPr>
        <w:ind w:left="280" w:hanging="275"/>
        <w:spacing w:after="0"/>
        <w:tabs>
          <w:tab w:leader="none" w:pos="280" w:val="left"/>
        </w:tabs>
        <w:numPr>
          <w:ilvl w:val="0"/>
          <w:numId w:val="5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LINE OF CREDIT AND LONG-TERM DEBT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Debt consisted of revolving line of credit balance of $93,942,000 as of December 31, 2025, and $66,942,000 as of December 31, 2024.</w:t>
      </w:r>
    </w:p>
    <w:p>
      <w:pPr>
        <w:spacing w:after="0" w:line="136"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On November 17, 2023, the Company entered into a Credit Agreement with AgWest Farm Credit, PCA and certain other lenders. The Revolving Credit Facility provides TRC an RCL in the amount of $160,000,000. The RCL requires interest only payments and has a maturity date of January 1, 2029. As of December 31, 2025, the outstanding balance under the RCL was $93,942,000, and the interest rate was one-month term SOFR plus a margin of 2.25% for an effective rate of 6.15%, before patronage. The Company received patronage credit from the participating lenders of 116 basis points in both of 2025 and 2024.</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Funds from the RCL in November 2023 were used to pay off and close out the existing Bank of America, N.A. Term Note and Revolving Line of Credit Note. The amount of this pay off was</w:t>
      </w:r>
    </w:p>
    <w:p>
      <w:pPr>
        <w:spacing w:after="0" w:line="2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4"/>
          <w:szCs w:val="14"/>
          <w:color w:val="auto"/>
        </w:rPr>
        <w:t>$47,078,564 plus accrued interest and fees on the Bank of America Term Note. The Company evaluated the debt exchange under Accounting Standards Codification (ASC) 470 and determined that the exchange should be treated as a debt extinguishment.</w:t>
      </w:r>
    </w:p>
    <w:p>
      <w:pPr>
        <w:spacing w:after="0" w:line="94" w:lineRule="exact"/>
        <w:rPr>
          <w:sz w:val="20"/>
          <w:szCs w:val="20"/>
          <w:color w:val="auto"/>
        </w:rPr>
      </w:pPr>
    </w:p>
    <w:p>
      <w:pPr>
        <w:ind w:left="280" w:hanging="275"/>
        <w:spacing w:after="0"/>
        <w:tabs>
          <w:tab w:leader="none" w:pos="280" w:val="left"/>
        </w:tabs>
        <w:numPr>
          <w:ilvl w:val="0"/>
          <w:numId w:val="5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OTHER LIABILITIES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liabilities consist of the following as of December 31:</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5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889"/>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869"/>
              <w:spacing w:after="0"/>
              <w:rPr>
                <w:sz w:val="20"/>
                <w:szCs w:val="20"/>
                <w:color w:val="auto"/>
              </w:rPr>
            </w:pPr>
            <w:r>
              <w:rPr>
                <w:rFonts w:ascii="Times New Roman" w:cs="Times New Roman" w:eastAsia="Times New Roman" w:hAnsi="Times New Roman"/>
                <w:sz w:val="14"/>
                <w:szCs w:val="14"/>
                <w:color w:val="auto"/>
              </w:rPr>
              <w:t>2024</w:t>
            </w:r>
          </w:p>
        </w:tc>
      </w:tr>
      <w:tr>
        <w:trPr>
          <w:trHeight w:val="171"/>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executive retirement plan liability (See Note 14)</w:t>
            </w:r>
          </w:p>
        </w:tc>
        <w:tc>
          <w:tcPr>
            <w:tcW w:w="52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5,743</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5,720</w:t>
            </w:r>
          </w:p>
        </w:tc>
      </w:tr>
      <w:tr>
        <w:trPr>
          <w:trHeight w:val="180"/>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Excess joint venture distributions and other (See Note 16)</w:t>
            </w:r>
          </w:p>
        </w:tc>
        <w:tc>
          <w:tcPr>
            <w:tcW w:w="5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9,954</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9,078</w:t>
            </w:r>
          </w:p>
        </w:tc>
      </w:tr>
      <w:tr>
        <w:trPr>
          <w:trHeight w:val="171"/>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15,697</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14,798</w:t>
            </w:r>
          </w:p>
        </w:tc>
      </w:tr>
    </w:tbl>
    <w:p>
      <w:pPr>
        <w:spacing w:after="0" w:line="185" w:lineRule="exact"/>
        <w:rPr>
          <w:sz w:val="20"/>
          <w:szCs w:val="20"/>
          <w:color w:val="auto"/>
        </w:rPr>
      </w:pPr>
    </w:p>
    <w:p>
      <w:pPr>
        <w:ind w:left="360" w:hanging="355"/>
        <w:spacing w:after="0"/>
        <w:tabs>
          <w:tab w:leader="none" w:pos="360" w:val="left"/>
        </w:tabs>
        <w:numPr>
          <w:ilvl w:val="0"/>
          <w:numId w:val="5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STOCK COMPENSATION - RESTRICTED STOCK AND PERFORMANCE SHARE GRANTS</w:t>
      </w:r>
    </w:p>
    <w:p>
      <w:pPr>
        <w:spacing w:after="0" w:line="7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color w:val="auto"/>
        </w:rPr>
        <w:t xml:space="preserve">The Company’s stock incentive plans provide for the making of awards to employees based upon a service condition or through the achievement of performance-related objectives. The Company has issued three types of stock grant awards under these plans: restricted stock with service condition vesting; performance share grants that only vest upon the achievement of specified performance conditions, such as corporate cash flow goals or share price, or Performance Condition Grants; and performance share grants that include threshold, target, and maximum achievement levels based on the achievement of specific performance measures, or Performance Milestone Grants. Performance Condition Grants with market-based conditions are based on the achievement of a target share price. The share price used to calculate the grant date fair value for market-based awards is determined using a </w:t>
      </w:r>
      <w:r>
        <w:rPr>
          <w:rFonts w:ascii="Times New Roman" w:cs="Times New Roman" w:eastAsia="Times New Roman" w:hAnsi="Times New Roman"/>
          <w:sz w:val="14"/>
          <w:szCs w:val="14"/>
          <w:i w:val="1"/>
          <w:iCs w:val="1"/>
          <w:color w:val="auto"/>
        </w:rPr>
        <w:t>Monte Carlo</w:t>
      </w:r>
      <w:r>
        <w:rPr>
          <w:rFonts w:ascii="Times New Roman" w:cs="Times New Roman" w:eastAsia="Times New Roman" w:hAnsi="Times New Roman"/>
          <w:sz w:val="14"/>
          <w:szCs w:val="14"/>
          <w:color w:val="auto"/>
        </w:rPr>
        <w:t xml:space="preserve"> simulation. Failure to achieve the target share price will result in the forfeiture of shares. Forfeiture of share awards with service conditions or performance-based restrictions will result in a reversal of previously recognized share-based compensation expense. Forfeiture of share awards with market-based restrictions does not result in a reversal of previously recognized share-based compensation expense.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is a summary of the Company's performance share grants with performance conditions as of the year ended December 31, 2025:</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8560" w:type="dxa"/>
            <w:vAlign w:val="bottom"/>
            <w:gridSpan w:val="2"/>
          </w:tcPr>
          <w:p>
            <w:pPr>
              <w:ind w:left="1320"/>
              <w:spacing w:after="0"/>
              <w:rPr>
                <w:sz w:val="20"/>
                <w:szCs w:val="20"/>
                <w:color w:val="auto"/>
              </w:rPr>
            </w:pPr>
            <w:r>
              <w:rPr>
                <w:rFonts w:ascii="Times New Roman" w:cs="Times New Roman" w:eastAsia="Times New Roman" w:hAnsi="Times New Roman"/>
                <w:sz w:val="14"/>
                <w:szCs w:val="14"/>
                <w:color w:val="auto"/>
              </w:rPr>
              <w:t>Performance Share Grants with Performance Conditions</w:t>
            </w:r>
          </w:p>
        </w:tc>
      </w:tr>
      <w:tr>
        <w:trPr>
          <w:trHeight w:val="171"/>
        </w:trPr>
        <w:tc>
          <w:tcPr>
            <w:tcW w:w="20" w:type="dxa"/>
            <w:vAlign w:val="bottom"/>
          </w:tcPr>
          <w:p>
            <w:pPr>
              <w:spacing w:after="0"/>
              <w:rPr>
                <w:sz w:val="14"/>
                <w:szCs w:val="14"/>
                <w:color w:val="auto"/>
              </w:rPr>
            </w:pPr>
          </w:p>
        </w:tc>
        <w:tc>
          <w:tcPr>
            <w:tcW w:w="2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Target performance</w:t>
            </w:r>
          </w:p>
        </w:tc>
        <w:tc>
          <w:tcPr>
            <w:tcW w:w="8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234,260</w:t>
            </w:r>
          </w:p>
        </w:tc>
        <w:tc>
          <w:tcPr>
            <w:tcW w:w="20" w:type="dxa"/>
            <w:vAlign w:val="bottom"/>
          </w:tcPr>
          <w:p>
            <w:pPr>
              <w:spacing w:after="0"/>
              <w:rPr>
                <w:sz w:val="14"/>
                <w:szCs w:val="14"/>
                <w:color w:val="auto"/>
              </w:rPr>
            </w:pPr>
          </w:p>
        </w:tc>
      </w:tr>
      <w:tr>
        <w:trPr>
          <w:trHeight w:val="184"/>
        </w:trPr>
        <w:tc>
          <w:tcPr>
            <w:tcW w:w="20" w:type="dxa"/>
            <w:vAlign w:val="bottom"/>
          </w:tcPr>
          <w:p>
            <w:pPr>
              <w:spacing w:after="0"/>
              <w:rPr>
                <w:sz w:val="16"/>
                <w:szCs w:val="16"/>
                <w:color w:val="auto"/>
              </w:rPr>
            </w:pPr>
          </w:p>
        </w:tc>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Maximum performance</w:t>
            </w:r>
          </w:p>
        </w:tc>
        <w:tc>
          <w:tcPr>
            <w:tcW w:w="8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288,604</w:t>
            </w:r>
          </w:p>
        </w:tc>
        <w:tc>
          <w:tcPr>
            <w:tcW w:w="20" w:type="dxa"/>
            <w:vAlign w:val="bottom"/>
          </w:tcPr>
          <w:p>
            <w:pPr>
              <w:spacing w:after="0"/>
              <w:rPr>
                <w:sz w:val="16"/>
                <w:szCs w:val="16"/>
                <w:color w:val="auto"/>
              </w:rPr>
            </w:pPr>
          </w:p>
        </w:tc>
      </w:tr>
      <w:tr>
        <w:trPr>
          <w:trHeight w:val="675"/>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8540" w:type="dxa"/>
            <w:vAlign w:val="bottom"/>
          </w:tcPr>
          <w:p>
            <w:pPr>
              <w:jc w:val="right"/>
              <w:ind w:right="5469"/>
              <w:spacing w:after="0"/>
              <w:rPr>
                <w:sz w:val="20"/>
                <w:szCs w:val="20"/>
                <w:color w:val="auto"/>
              </w:rPr>
            </w:pPr>
            <w:r>
              <w:rPr>
                <w:rFonts w:ascii="Times New Roman" w:cs="Times New Roman" w:eastAsia="Times New Roman" w:hAnsi="Times New Roman"/>
                <w:sz w:val="14"/>
                <w:szCs w:val="14"/>
                <w:color w:val="auto"/>
              </w:rPr>
              <w:t>95</w:t>
            </w:r>
          </w:p>
        </w:tc>
        <w:tc>
          <w:tcPr>
            <w:tcW w:w="2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2700" w:type="dxa"/>
            <w:vAlign w:val="bottom"/>
            <w:tcBorders>
              <w:bottom w:val="single" w:sz="8" w:color="9A9A9A"/>
            </w:tcBorders>
          </w:tcPr>
          <w:p>
            <w:pPr>
              <w:spacing w:after="0"/>
              <w:rPr>
                <w:sz w:val="7"/>
                <w:szCs w:val="7"/>
                <w:color w:val="auto"/>
              </w:rPr>
            </w:pPr>
          </w:p>
        </w:tc>
        <w:tc>
          <w:tcPr>
            <w:tcW w:w="85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95" w:name="page96"/>
    <w:bookmarkEnd w:id="95"/>
    <w:p>
      <w:pPr>
        <w:ind w:right="100"/>
        <w:spacing w:after="0" w:line="287" w:lineRule="auto"/>
        <w:rPr>
          <w:sz w:val="20"/>
          <w:szCs w:val="20"/>
          <w:color w:val="auto"/>
        </w:rPr>
      </w:pPr>
      <w:r>
        <w:rPr>
          <w:rFonts w:ascii="Times New Roman" w:cs="Times New Roman" w:eastAsia="Times New Roman" w:hAnsi="Times New Roman"/>
          <w:sz w:val="14"/>
          <w:szCs w:val="14"/>
          <w:color w:val="auto"/>
        </w:rPr>
        <w:t>The following is a summary of the Company’s stock grant activity, both time and performance unit grants, assuming target achievement for outstanding performance grants for the following twelve-month periods ended: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60" w:type="dxa"/>
            <w:vAlign w:val="bottom"/>
          </w:tcPr>
          <w:p>
            <w:pPr>
              <w:spacing w:after="0"/>
              <w:rPr>
                <w:sz w:val="16"/>
                <w:szCs w:val="16"/>
                <w:color w:val="auto"/>
              </w:rPr>
            </w:pPr>
          </w:p>
        </w:tc>
        <w:tc>
          <w:tcPr>
            <w:tcW w:w="19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December 31, 2025</w:t>
            </w:r>
          </w:p>
        </w:tc>
        <w:tc>
          <w:tcPr>
            <w:tcW w:w="19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December 31, 2024</w:t>
            </w:r>
          </w:p>
        </w:tc>
        <w:tc>
          <w:tcPr>
            <w:tcW w:w="18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December 31, 2023</w:t>
            </w:r>
          </w:p>
        </w:tc>
      </w:tr>
      <w:tr>
        <w:trPr>
          <w:trHeight w:val="171"/>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Grants Outstanding Beginning of the Year at Target Achievement</w:t>
            </w:r>
          </w:p>
        </w:tc>
        <w:tc>
          <w:tcPr>
            <w:tcW w:w="1840" w:type="dxa"/>
            <w:vAlign w:val="bottom"/>
            <w:tcBorders>
              <w:top w:val="single" w:sz="8" w:color="auto"/>
            </w:tcBorders>
            <w:shd w:val="clear" w:color="auto" w:fill="CCEEFF"/>
          </w:tcPr>
          <w:p>
            <w:pPr>
              <w:ind w:left="1320"/>
              <w:spacing w:after="0"/>
              <w:rPr>
                <w:sz w:val="20"/>
                <w:szCs w:val="20"/>
                <w:color w:val="auto"/>
              </w:rPr>
            </w:pPr>
            <w:r>
              <w:rPr>
                <w:rFonts w:ascii="Times New Roman" w:cs="Times New Roman" w:eastAsia="Times New Roman" w:hAnsi="Times New Roman"/>
                <w:sz w:val="14"/>
                <w:szCs w:val="14"/>
                <w:color w:val="auto"/>
              </w:rPr>
              <w:t>312,564</w:t>
            </w:r>
          </w:p>
        </w:tc>
        <w:tc>
          <w:tcPr>
            <w:tcW w:w="10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auto"/>
            </w:tcBorders>
            <w:shd w:val="clear" w:color="auto" w:fill="CCEEFF"/>
          </w:tcPr>
          <w:p>
            <w:pPr>
              <w:jc w:val="center"/>
              <w:ind w:left="1189"/>
              <w:spacing w:after="0"/>
              <w:rPr>
                <w:sz w:val="20"/>
                <w:szCs w:val="20"/>
                <w:color w:val="auto"/>
              </w:rPr>
            </w:pPr>
            <w:r>
              <w:rPr>
                <w:rFonts w:ascii="Times New Roman" w:cs="Times New Roman" w:eastAsia="Times New Roman" w:hAnsi="Times New Roman"/>
                <w:sz w:val="14"/>
                <w:szCs w:val="14"/>
                <w:color w:val="auto"/>
              </w:rPr>
              <w:t>248,768</w:t>
            </w:r>
          </w:p>
        </w:tc>
        <w:tc>
          <w:tcPr>
            <w:tcW w:w="10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234,899</w:t>
            </w:r>
          </w:p>
        </w:tc>
      </w:tr>
      <w:tr>
        <w:trPr>
          <w:trHeight w:val="180"/>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 Stock Grants/Additional shares due to achievement in excess of target</w:t>
            </w:r>
          </w:p>
        </w:tc>
        <w:tc>
          <w:tcPr>
            <w:tcW w:w="184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170,925</w:t>
            </w:r>
          </w:p>
        </w:tc>
        <w:tc>
          <w:tcPr>
            <w:tcW w:w="100" w:type="dxa"/>
            <w:vAlign w:val="bottom"/>
          </w:tcPr>
          <w:p>
            <w:pPr>
              <w:spacing w:after="0"/>
              <w:rPr>
                <w:sz w:val="15"/>
                <w:szCs w:val="15"/>
                <w:color w:val="auto"/>
              </w:rPr>
            </w:pPr>
          </w:p>
        </w:tc>
        <w:tc>
          <w:tcPr>
            <w:tcW w:w="1840" w:type="dxa"/>
            <w:vAlign w:val="bottom"/>
          </w:tcPr>
          <w:p>
            <w:pPr>
              <w:jc w:val="center"/>
              <w:ind w:left="1189"/>
              <w:spacing w:after="0"/>
              <w:rPr>
                <w:sz w:val="20"/>
                <w:szCs w:val="20"/>
                <w:color w:val="auto"/>
              </w:rPr>
            </w:pPr>
            <w:r>
              <w:rPr>
                <w:rFonts w:ascii="Times New Roman" w:cs="Times New Roman" w:eastAsia="Times New Roman" w:hAnsi="Times New Roman"/>
                <w:sz w:val="14"/>
                <w:szCs w:val="14"/>
                <w:color w:val="auto"/>
              </w:rPr>
              <w:t>386,956</w:t>
            </w:r>
          </w:p>
        </w:tc>
        <w:tc>
          <w:tcPr>
            <w:tcW w:w="10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321,026</w:t>
            </w:r>
          </w:p>
        </w:tc>
      </w:tr>
      <w:tr>
        <w:trPr>
          <w:trHeight w:val="18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 Grants</w:t>
            </w:r>
          </w:p>
        </w:tc>
        <w:tc>
          <w:tcPr>
            <w:tcW w:w="184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4"/>
                <w:szCs w:val="14"/>
                <w:color w:val="auto"/>
              </w:rPr>
              <w:t>(25,012)</w:t>
            </w: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jc w:val="center"/>
              <w:ind w:left="1169"/>
              <w:spacing w:after="0"/>
              <w:rPr>
                <w:sz w:val="20"/>
                <w:szCs w:val="20"/>
                <w:color w:val="auto"/>
              </w:rPr>
            </w:pPr>
            <w:r>
              <w:rPr>
                <w:rFonts w:ascii="Times New Roman" w:cs="Times New Roman" w:eastAsia="Times New Roman" w:hAnsi="Times New Roman"/>
                <w:sz w:val="14"/>
                <w:szCs w:val="14"/>
                <w:color w:val="auto"/>
              </w:rPr>
              <w:t>(179,082)</w:t>
            </w: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(260,070)</w:t>
            </w:r>
          </w:p>
        </w:tc>
      </w:tr>
      <w:tr>
        <w:trPr>
          <w:trHeight w:val="180"/>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Expired/Forfeited Grants</w:t>
            </w:r>
          </w:p>
        </w:tc>
        <w:tc>
          <w:tcPr>
            <w:tcW w:w="184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4"/>
                <w:szCs w:val="14"/>
                <w:color w:val="auto"/>
              </w:rPr>
              <w:t>(93,679)</w:t>
            </w:r>
          </w:p>
        </w:tc>
        <w:tc>
          <w:tcPr>
            <w:tcW w:w="100" w:type="dxa"/>
            <w:vAlign w:val="bottom"/>
            <w:tcBorders>
              <w:bottom w:val="single" w:sz="8" w:color="CCEEFF"/>
            </w:tcBorders>
          </w:tcPr>
          <w:p>
            <w:pPr>
              <w:spacing w:after="0"/>
              <w:rPr>
                <w:sz w:val="15"/>
                <w:szCs w:val="15"/>
                <w:color w:val="auto"/>
              </w:rPr>
            </w:pPr>
          </w:p>
        </w:tc>
        <w:tc>
          <w:tcPr>
            <w:tcW w:w="1840" w:type="dxa"/>
            <w:vAlign w:val="bottom"/>
            <w:tcBorders>
              <w:bottom w:val="single" w:sz="8" w:color="auto"/>
            </w:tcBorders>
          </w:tcPr>
          <w:p>
            <w:pPr>
              <w:jc w:val="center"/>
              <w:ind w:left="1169"/>
              <w:spacing w:after="0"/>
              <w:rPr>
                <w:sz w:val="20"/>
                <w:szCs w:val="20"/>
                <w:color w:val="auto"/>
              </w:rPr>
            </w:pPr>
            <w:r>
              <w:rPr>
                <w:rFonts w:ascii="Times New Roman" w:cs="Times New Roman" w:eastAsia="Times New Roman" w:hAnsi="Times New Roman"/>
                <w:sz w:val="14"/>
                <w:szCs w:val="14"/>
                <w:color w:val="auto"/>
              </w:rPr>
              <w:t>(144,078)</w:t>
            </w:r>
          </w:p>
        </w:tc>
        <w:tc>
          <w:tcPr>
            <w:tcW w:w="100" w:type="dxa"/>
            <w:vAlign w:val="bottom"/>
            <w:tcBorders>
              <w:bottom w:val="single" w:sz="8" w:color="CCEEFF"/>
            </w:tcBorders>
          </w:tcPr>
          <w:p>
            <w:pPr>
              <w:spacing w:after="0"/>
              <w:rPr>
                <w:sz w:val="15"/>
                <w:szCs w:val="15"/>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(47,087)</w:t>
            </w:r>
          </w:p>
        </w:tc>
      </w:tr>
      <w:tr>
        <w:trPr>
          <w:trHeight w:val="196"/>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Grants Outstanding End of Period at Target Achievement</w:t>
            </w:r>
          </w:p>
        </w:tc>
        <w:tc>
          <w:tcPr>
            <w:tcW w:w="1840" w:type="dxa"/>
            <w:vAlign w:val="bottom"/>
            <w:tcBorders>
              <w:bottom w:val="single" w:sz="8" w:color="auto"/>
            </w:tcBorders>
            <w:shd w:val="clear" w:color="auto" w:fill="CCEEFF"/>
          </w:tcPr>
          <w:p>
            <w:pPr>
              <w:ind w:left="1320"/>
              <w:spacing w:after="0"/>
              <w:rPr>
                <w:sz w:val="20"/>
                <w:szCs w:val="20"/>
                <w:color w:val="auto"/>
              </w:rPr>
            </w:pPr>
            <w:r>
              <w:rPr>
                <w:rFonts w:ascii="Times New Roman" w:cs="Times New Roman" w:eastAsia="Times New Roman" w:hAnsi="Times New Roman"/>
                <w:sz w:val="14"/>
                <w:szCs w:val="14"/>
                <w:color w:val="auto"/>
              </w:rPr>
              <w:t>364,798</w:t>
            </w:r>
          </w:p>
        </w:tc>
        <w:tc>
          <w:tcPr>
            <w:tcW w:w="100" w:type="dxa"/>
            <w:vAlign w:val="bottom"/>
            <w:tcBorders>
              <w:bottom w:val="single" w:sz="8" w:color="CCEEFF"/>
            </w:tcBorders>
            <w:shd w:val="clear" w:color="auto" w:fill="CCEEFF"/>
          </w:tcPr>
          <w:p>
            <w:pPr>
              <w:spacing w:after="0"/>
              <w:rPr>
                <w:sz w:val="16"/>
                <w:szCs w:val="16"/>
                <w:color w:val="auto"/>
              </w:rPr>
            </w:pPr>
          </w:p>
        </w:tc>
        <w:tc>
          <w:tcPr>
            <w:tcW w:w="1840" w:type="dxa"/>
            <w:vAlign w:val="bottom"/>
            <w:tcBorders>
              <w:bottom w:val="single" w:sz="8" w:color="auto"/>
            </w:tcBorders>
            <w:shd w:val="clear" w:color="auto" w:fill="CCEEFF"/>
          </w:tcPr>
          <w:p>
            <w:pPr>
              <w:jc w:val="center"/>
              <w:ind w:left="1189"/>
              <w:spacing w:after="0"/>
              <w:rPr>
                <w:sz w:val="20"/>
                <w:szCs w:val="20"/>
                <w:color w:val="auto"/>
              </w:rPr>
            </w:pPr>
            <w:r>
              <w:rPr>
                <w:rFonts w:ascii="Times New Roman" w:cs="Times New Roman" w:eastAsia="Times New Roman" w:hAnsi="Times New Roman"/>
                <w:sz w:val="14"/>
                <w:szCs w:val="14"/>
                <w:color w:val="auto"/>
              </w:rPr>
              <w:t>312,564</w:t>
            </w:r>
          </w:p>
        </w:tc>
        <w:tc>
          <w:tcPr>
            <w:tcW w:w="100" w:type="dxa"/>
            <w:vAlign w:val="bottom"/>
            <w:tcBorders>
              <w:bottom w:val="single" w:sz="8" w:color="CCEEFF"/>
            </w:tcBorders>
            <w:shd w:val="clear" w:color="auto" w:fill="CCEEFF"/>
          </w:tcPr>
          <w:p>
            <w:pPr>
              <w:spacing w:after="0"/>
              <w:rPr>
                <w:sz w:val="16"/>
                <w:szCs w:val="16"/>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248,768</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is a summary of the assumptions used to determine the fair value of the Company's market-based Performance Condition Grants outstanding for the year ended December 31, 2025:</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 except for share prices)</w:t>
            </w: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181"/>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Grant date</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12/16/2023</w:t>
            </w: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03/13/2024</w:t>
            </w: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12/11/2024</w:t>
            </w: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03/06/2025</w:t>
            </w: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06/20/2025</w:t>
            </w:r>
          </w:p>
        </w:tc>
      </w:tr>
      <w:tr>
        <w:trPr>
          <w:trHeight w:val="180"/>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Vesting end</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12/31/2026</w:t>
            </w:r>
          </w:p>
        </w:tc>
        <w:tc>
          <w:tcPr>
            <w:tcW w:w="8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03/22/2027</w:t>
            </w:r>
          </w:p>
        </w:tc>
        <w:tc>
          <w:tcPr>
            <w:tcW w:w="8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12/10/2027</w:t>
            </w:r>
          </w:p>
        </w:tc>
        <w:tc>
          <w:tcPr>
            <w:tcW w:w="8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03/06/2028</w:t>
            </w:r>
          </w:p>
        </w:tc>
        <w:tc>
          <w:tcPr>
            <w:tcW w:w="8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06/20/2028</w:t>
            </w:r>
          </w:p>
        </w:tc>
      </w:tr>
      <w:tr>
        <w:trPr>
          <w:trHeight w:val="18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Target share price to achieve award</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$19.65</w:t>
            </w: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$18.93</w:t>
            </w: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$18.59</w:t>
            </w: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$18.56</w:t>
            </w: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$19.01</w:t>
            </w:r>
          </w:p>
        </w:tc>
      </w:tr>
      <w:tr>
        <w:trPr>
          <w:trHeight w:val="212"/>
        </w:trPr>
        <w:tc>
          <w:tcPr>
            <w:tcW w:w="39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18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25.91%</w:t>
            </w: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25.56%</w:t>
            </w: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26.90%</w:t>
            </w: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27.04%</w:t>
            </w: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26.82%</w:t>
            </w:r>
          </w:p>
        </w:tc>
      </w:tr>
      <w:tr>
        <w:trPr>
          <w:trHeight w:val="180"/>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4.02%</w:t>
            </w:r>
          </w:p>
        </w:tc>
        <w:tc>
          <w:tcPr>
            <w:tcW w:w="8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4.31%</w:t>
            </w:r>
          </w:p>
        </w:tc>
        <w:tc>
          <w:tcPr>
            <w:tcW w:w="8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4.01%</w:t>
            </w:r>
          </w:p>
        </w:tc>
        <w:tc>
          <w:tcPr>
            <w:tcW w:w="8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3.8%</w:t>
            </w:r>
          </w:p>
        </w:tc>
      </w:tr>
      <w:tr>
        <w:trPr>
          <w:trHeight w:val="212"/>
        </w:trPr>
        <w:tc>
          <w:tcPr>
            <w:tcW w:w="39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180"/>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Simulated Monte Carlo share price</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$19.74</w:t>
            </w:r>
          </w:p>
        </w:tc>
        <w:tc>
          <w:tcPr>
            <w:tcW w:w="8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$18.36</w:t>
            </w:r>
          </w:p>
        </w:tc>
        <w:tc>
          <w:tcPr>
            <w:tcW w:w="8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$18.55</w:t>
            </w:r>
          </w:p>
        </w:tc>
        <w:tc>
          <w:tcPr>
            <w:tcW w:w="8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$13.54</w:t>
            </w:r>
          </w:p>
        </w:tc>
        <w:tc>
          <w:tcPr>
            <w:tcW w:w="8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$18.53</w:t>
            </w:r>
          </w:p>
        </w:tc>
      </w:tr>
      <w:tr>
        <w:trPr>
          <w:trHeight w:val="18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granted</w:t>
            </w:r>
          </w:p>
        </w:tc>
        <w:tc>
          <w:tcPr>
            <w:tcW w:w="1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4,828</w:t>
            </w:r>
          </w:p>
        </w:tc>
        <w:tc>
          <w:tcPr>
            <w:tcW w:w="80" w:type="dxa"/>
            <w:vAlign w:val="bottom"/>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15,225</w:t>
            </w:r>
          </w:p>
        </w:tc>
        <w:tc>
          <w:tcPr>
            <w:tcW w:w="80" w:type="dxa"/>
            <w:vAlign w:val="bottom"/>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2,315</w:t>
            </w:r>
          </w:p>
        </w:tc>
        <w:tc>
          <w:tcPr>
            <w:tcW w:w="80" w:type="dxa"/>
            <w:vAlign w:val="bottom"/>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13,046</w:t>
            </w:r>
          </w:p>
        </w:tc>
        <w:tc>
          <w:tcPr>
            <w:tcW w:w="80" w:type="dxa"/>
            <w:vAlign w:val="bottom"/>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18,351</w:t>
            </w:r>
          </w:p>
        </w:tc>
      </w:tr>
      <w:tr>
        <w:trPr>
          <w:trHeight w:val="175"/>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fair value of award</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$95</w:t>
            </w:r>
          </w:p>
        </w:tc>
        <w:tc>
          <w:tcPr>
            <w:tcW w:w="8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$280</w:t>
            </w:r>
          </w:p>
        </w:tc>
        <w:tc>
          <w:tcPr>
            <w:tcW w:w="8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$177</w:t>
            </w:r>
          </w:p>
        </w:tc>
        <w:tc>
          <w:tcPr>
            <w:tcW w:w="8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$340</w:t>
            </w:r>
          </w:p>
        </w:tc>
      </w:tr>
    </w:tbl>
    <w:p>
      <w:pPr>
        <w:spacing w:after="0" w:line="173"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4"/>
          <w:szCs w:val="14"/>
          <w:color w:val="auto"/>
        </w:rPr>
        <w:t>The unamortized cost associated with unvested stock grants and the weighted-average period over which it is expected to be recognized as of December 31, 2025, was $1,644,000 and 17 months, respectively. The fair value of restricted stock with time-based vesting features is based upon the Company’s share price on the date of grant and is expensed over the service period. Fair value of performance grants that cliff vest based on the achievement of performance conditions is based on the share price of the Company’s stock on the day of grant and is expensed over the performance period if it is probable that the award will vest. This fair value is expensed over the service period applicable to these grants. For performance grants that contain a range of shares from zero to maximum, the Company determines, based on historical and projected results, the probability of (1) achieving the performance objective, and (2) the level of achievement. Based on this information, the Company determines the number of awards probable of vesting and expenses the grant date fair value of such awards over the service period related to these grants. Because the ultimate vesting of all performance grants is tied to the achievement of a performance condition, the Company estimates whether the performance condition will be met and over what period of time. Ultimately, the Company adjusts compensation cost according to the actual outcome of the performance condition. Under the Non-Employee Director Stock Incentive Plan, or NDSI Plan, each non-employee director, during the years presented, received his or her annual compensation in stock.</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Cash-Settled Awards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Time-Based Cash-Settled Awards</w:t>
      </w:r>
    </w:p>
    <w:p>
      <w:pPr>
        <w:spacing w:after="0" w:line="18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On March 13, 2024, the Company granted 75,117 time-based cash-settled awards to the Chief Executive Officer that vested on December 31, 2024. These awards are classified as liabilities, measured at fair value on the date of grant, and remeasured at each reporting date, based on the Company’s share price. Compensation cost is amortized on a straight-line method over the remaining vesting period.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Performance-Based Cash-Settled Awards</w:t>
      </w:r>
    </w:p>
    <w:p>
      <w:pPr>
        <w:spacing w:after="0" w:line="7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4"/>
          <w:szCs w:val="14"/>
          <w:color w:val="auto"/>
        </w:rPr>
        <w:t>On March 13, 2024, the Company granted 14,867 performance condition grants, with market-based conditions, that are cash-settled awards to the Chief Executive Officer. These awards are classified as liabilities, measured at fair value on the date of</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96" w:name="page97"/>
    <w:bookmarkEnd w:id="96"/>
    <w:p>
      <w:pPr>
        <w:ind w:right="40"/>
        <w:spacing w:after="0" w:line="234" w:lineRule="auto"/>
        <w:rPr>
          <w:sz w:val="20"/>
          <w:szCs w:val="20"/>
          <w:color w:val="auto"/>
        </w:rPr>
      </w:pPr>
      <w:r>
        <w:rPr>
          <w:rFonts w:ascii="Times New Roman" w:cs="Times New Roman" w:eastAsia="Times New Roman" w:hAnsi="Times New Roman"/>
          <w:sz w:val="14"/>
          <w:szCs w:val="14"/>
          <w:color w:val="auto"/>
        </w:rPr>
        <w:t>grant, and remeasured at each reporting date based on a Monte Carlo model. Compensation cost is recognized in proportion to the completed requisite service period through December 31, 2024. The amount of awards earned ranges between 0% and 200% of the target amount depending upon performance achieved over the performance period commencing on the grant date and ending on the last day of the Company’s 2024 fiscal year and settled in cash. The performance conditions of the award are achieved at a target share price of $17.58. As of December 31, 2024, the target price was not achieved, no awards were earned or paid, and no expense was recorded for these grants.</w:t>
      </w:r>
    </w:p>
    <w:p>
      <w:pPr>
        <w:spacing w:after="0" w:line="41"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14"/>
          <w:szCs w:val="14"/>
          <w:color w:val="auto"/>
        </w:rPr>
        <w:t>On March 13, 2024, the Company granted 120,188 performance milestone cash-settled awards to the Chief Executive Officer. These awards are classified as liabilities, measured at fair value on the date of grant, and remeasured at each reporting date, based on the Company’s share price. Compensation cost is recognized based on an estimate of the probability of achieving the performance objective at the associated level of achievement in proportion to the completed requisite service period through December 31, 2024. The amount of awards earned for each milestone is either 0% or 100% of the target amount depending upon performance achieved over the performance period commencing on the grant date and ending on the last day of the Company’s 2024 fiscal year and settled in cash. The performance conditions of the award are achieved based on established milestones. If these milestones are not met or are deemed not probable to be met during the performance period, no compensation cost is recognized, and any previously recognized compensation cost is reversed. As of December 31, 2024, one-third of the performance milestones were achieved, resulting in a payout of $637,000. Compensation expense was adjusted accordingly, and the liability recognized as of the reporting date reflects the fair value of the earned portion of the award. The remaining unearned portion of the award was not recognized as compensation cost.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Under the 2023 Stock Incentive Plan, each non-employee director, during the years presented, received all or a portion of his or her annual compensation in stock.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stock compensation costs for the Company's 1998 Stock Incentive Plan, or the Employee 1998 Plan, and NDSI Plan for the following periods: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Employee 1998 Plan ($ in thousands):</w:t>
            </w:r>
          </w:p>
        </w:tc>
        <w:tc>
          <w:tcPr>
            <w:tcW w:w="220" w:type="dxa"/>
            <w:vAlign w:val="bottom"/>
          </w:tcPr>
          <w:p>
            <w:pPr>
              <w:spacing w:after="0"/>
              <w:rPr>
                <w:sz w:val="16"/>
                <w:szCs w:val="16"/>
                <w:color w:val="auto"/>
              </w:rPr>
            </w:pPr>
          </w:p>
        </w:tc>
        <w:tc>
          <w:tcPr>
            <w:tcW w:w="1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December 31, 2025</w:t>
            </w:r>
          </w:p>
        </w:tc>
        <w:tc>
          <w:tcPr>
            <w:tcW w:w="240" w:type="dxa"/>
            <w:vAlign w:val="bottom"/>
          </w:tcPr>
          <w:p>
            <w:pPr>
              <w:spacing w:after="0"/>
              <w:rPr>
                <w:sz w:val="16"/>
                <w:szCs w:val="16"/>
                <w:color w:val="auto"/>
              </w:rPr>
            </w:pPr>
          </w:p>
        </w:tc>
        <w:tc>
          <w:tcPr>
            <w:tcW w:w="1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December 31, 2024</w:t>
            </w:r>
          </w:p>
        </w:tc>
        <w:tc>
          <w:tcPr>
            <w:tcW w:w="220" w:type="dxa"/>
            <w:vAlign w:val="bottom"/>
          </w:tcPr>
          <w:p>
            <w:pPr>
              <w:spacing w:after="0"/>
              <w:rPr>
                <w:sz w:val="16"/>
                <w:szCs w:val="16"/>
                <w:color w:val="auto"/>
              </w:rPr>
            </w:pPr>
          </w:p>
        </w:tc>
        <w:tc>
          <w:tcPr>
            <w:tcW w:w="162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December 31, 2023</w:t>
            </w:r>
          </w:p>
        </w:tc>
      </w:tr>
      <w:tr>
        <w:trPr>
          <w:trHeight w:val="171"/>
        </w:trPr>
        <w:tc>
          <w:tcPr>
            <w:tcW w:w="558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Expensed</w:t>
            </w: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3,592</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2,731</w:t>
            </w:r>
          </w:p>
        </w:tc>
      </w:tr>
      <w:tr>
        <w:trPr>
          <w:trHeight w:val="180"/>
        </w:trPr>
        <w:tc>
          <w:tcPr>
            <w:tcW w:w="55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Capitalized</w:t>
            </w:r>
          </w:p>
        </w:tc>
        <w:tc>
          <w:tcPr>
            <w:tcW w:w="2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651</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769</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482</w:t>
            </w:r>
          </w:p>
        </w:tc>
      </w:tr>
      <w:tr>
        <w:trPr>
          <w:trHeight w:val="171"/>
        </w:trPr>
        <w:tc>
          <w:tcPr>
            <w:tcW w:w="5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3,213</w:t>
            </w:r>
          </w:p>
        </w:tc>
      </w:tr>
      <w:tr>
        <w:trPr>
          <w:trHeight w:val="180"/>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NDSI Plan</w:t>
            </w:r>
          </w:p>
        </w:tc>
        <w:tc>
          <w:tcPr>
            <w:tcW w:w="2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856</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590</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521</w:t>
            </w:r>
          </w:p>
        </w:tc>
      </w:tr>
      <w:tr>
        <w:trPr>
          <w:trHeight w:val="196"/>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2,362</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4,951</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3,734</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left="360" w:hanging="355"/>
        <w:spacing w:after="0"/>
        <w:tabs>
          <w:tab w:leader="none" w:pos="360" w:val="left"/>
        </w:tabs>
        <w:numPr>
          <w:ilvl w:val="0"/>
          <w:numId w:val="5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INCOME TAXES</w:t>
      </w:r>
    </w:p>
    <w:p>
      <w:pPr>
        <w:spacing w:after="0" w:line="74"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The Company accounts for income taxes using ASC 740, “Income Taxes,” which is an asset and liability approach that requires the recognition of deferred tax assets and liabilities for the expected future tax consequences of events that have been recognized differently in the financial statements and the tax returns. The provision for income taxes consists of the following at December 31:</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4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color w:val="auto"/>
              </w:rPr>
              <w:t>2023</w:t>
            </w:r>
          </w:p>
        </w:tc>
      </w:tr>
      <w:tr>
        <w:trPr>
          <w:trHeight w:val="171"/>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provision (benefit):</w:t>
            </w: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1,088</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976</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2,323</w:t>
            </w:r>
          </w:p>
        </w:tc>
      </w:tr>
      <w:tr>
        <w:trPr>
          <w:trHeight w:val="180"/>
        </w:trPr>
        <w:tc>
          <w:tcPr>
            <w:tcW w:w="55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Federal:</w:t>
            </w:r>
          </w:p>
        </w:tc>
        <w:tc>
          <w:tcPr>
            <w:tcW w:w="4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0"/>
        </w:trPr>
        <w:tc>
          <w:tcPr>
            <w:tcW w:w="55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Current</w:t>
            </w:r>
          </w:p>
        </w:tc>
        <w:tc>
          <w:tcPr>
            <w:tcW w:w="4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1,371</w:t>
            </w:r>
          </w:p>
        </w:tc>
      </w:tr>
      <w:tr>
        <w:trPr>
          <w:trHeight w:val="180"/>
        </w:trPr>
        <w:tc>
          <w:tcPr>
            <w:tcW w:w="556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4"/>
                <w:szCs w:val="14"/>
                <w:color w:val="auto"/>
              </w:rPr>
              <w:t>Deferred</w:t>
            </w:r>
          </w:p>
        </w:tc>
        <w:tc>
          <w:tcPr>
            <w:tcW w:w="4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652</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633</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w:t>
            </w:r>
          </w:p>
        </w:tc>
      </w:tr>
      <w:tr>
        <w:trPr>
          <w:trHeight w:val="171"/>
        </w:trPr>
        <w:tc>
          <w:tcPr>
            <w:tcW w:w="55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1,724</w:t>
            </w:r>
          </w:p>
        </w:tc>
      </w:tr>
      <w:tr>
        <w:trPr>
          <w:trHeight w:val="180"/>
        </w:trPr>
        <w:tc>
          <w:tcPr>
            <w:tcW w:w="55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State:</w:t>
            </w:r>
          </w:p>
        </w:tc>
        <w:tc>
          <w:tcPr>
            <w:tcW w:w="4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0"/>
        </w:trPr>
        <w:tc>
          <w:tcPr>
            <w:tcW w:w="55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Current</w:t>
            </w:r>
          </w:p>
        </w:tc>
        <w:tc>
          <w:tcPr>
            <w:tcW w:w="4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w:t>
            </w:r>
          </w:p>
        </w:tc>
      </w:tr>
      <w:tr>
        <w:trPr>
          <w:trHeight w:val="180"/>
        </w:trPr>
        <w:tc>
          <w:tcPr>
            <w:tcW w:w="556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4"/>
                <w:szCs w:val="14"/>
                <w:color w:val="auto"/>
              </w:rPr>
              <w:t>Deferred</w:t>
            </w:r>
          </w:p>
        </w:tc>
        <w:tc>
          <w:tcPr>
            <w:tcW w:w="4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71"/>
        </w:trPr>
        <w:tc>
          <w:tcPr>
            <w:tcW w:w="556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w:t>
            </w:r>
          </w:p>
        </w:tc>
      </w:tr>
      <w:tr>
        <w:trPr>
          <w:trHeight w:val="171"/>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1,088</w:t>
            </w:r>
          </w:p>
        </w:tc>
        <w:tc>
          <w:tcPr>
            <w:tcW w:w="100" w:type="dxa"/>
            <w:vAlign w:val="bottom"/>
          </w:tcPr>
          <w:p>
            <w:pPr>
              <w:spacing w:after="0"/>
              <w:rPr>
                <w:sz w:val="14"/>
                <w:szCs w:val="14"/>
                <w:color w:val="auto"/>
              </w:rPr>
            </w:pP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976</w:t>
            </w:r>
          </w:p>
        </w:tc>
        <w:tc>
          <w:tcPr>
            <w:tcW w:w="100" w:type="dxa"/>
            <w:vAlign w:val="bottom"/>
          </w:tcPr>
          <w:p>
            <w:pPr>
              <w:spacing w:after="0"/>
              <w:rPr>
                <w:sz w:val="14"/>
                <w:szCs w:val="14"/>
                <w:color w:val="auto"/>
              </w:rPr>
            </w:pP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2,323</w:t>
            </w:r>
          </w:p>
        </w:tc>
      </w:tr>
      <w:tr>
        <w:trPr>
          <w:trHeight w:val="20"/>
        </w:trPr>
        <w:tc>
          <w:tcPr>
            <w:tcW w:w="55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650"/>
        </w:trPr>
        <w:tc>
          <w:tcPr>
            <w:tcW w:w="5560" w:type="dxa"/>
            <w:vAlign w:val="bottom"/>
          </w:tcPr>
          <w:p>
            <w:pPr>
              <w:spacing w:after="0"/>
              <w:rPr>
                <w:sz w:val="24"/>
                <w:szCs w:val="24"/>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97</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87"/>
        </w:trPr>
        <w:tc>
          <w:tcPr>
            <w:tcW w:w="556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93" w:right="319" w:bottom="1440" w:gutter="0" w:footer="0" w:header="0"/>
        </w:sectPr>
      </w:pPr>
    </w:p>
    <w:bookmarkStart w:id="97" w:name="page98"/>
    <w:bookmarkEnd w:id="97"/>
    <w:p>
      <w:pPr>
        <w:ind w:right="120"/>
        <w:spacing w:after="0" w:line="287" w:lineRule="auto"/>
        <w:rPr>
          <w:sz w:val="20"/>
          <w:szCs w:val="20"/>
          <w:color w:val="auto"/>
        </w:rPr>
      </w:pPr>
      <w:r>
        <w:rPr>
          <w:rFonts w:ascii="Times New Roman" w:cs="Times New Roman" w:eastAsia="Times New Roman" w:hAnsi="Times New Roman"/>
          <w:sz w:val="14"/>
          <w:szCs w:val="14"/>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were as follows at December 31:</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4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color w:val="auto"/>
              </w:rPr>
              <w:t>2024</w:t>
            </w:r>
          </w:p>
        </w:tc>
      </w:tr>
      <w:tr>
        <w:trPr>
          <w:trHeight w:val="161"/>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 assets:</w:t>
            </w:r>
          </w:p>
        </w:tc>
        <w:tc>
          <w:tcPr>
            <w:tcW w:w="4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80"/>
        </w:trPr>
        <w:tc>
          <w:tcPr>
            <w:tcW w:w="7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Accrued expenses</w:t>
            </w:r>
          </w:p>
        </w:tc>
        <w:tc>
          <w:tcPr>
            <w:tcW w:w="46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w:t>
            </w:r>
          </w:p>
        </w:tc>
      </w:tr>
      <w:tr>
        <w:trPr>
          <w:trHeight w:val="180"/>
        </w:trPr>
        <w:tc>
          <w:tcPr>
            <w:tcW w:w="73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Deferred revenues</w:t>
            </w:r>
          </w:p>
        </w:tc>
        <w:tc>
          <w:tcPr>
            <w:tcW w:w="4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w:t>
            </w:r>
          </w:p>
        </w:tc>
      </w:tr>
      <w:tr>
        <w:trPr>
          <w:trHeight w:val="180"/>
        </w:trPr>
        <w:tc>
          <w:tcPr>
            <w:tcW w:w="7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Capitalization of costs</w:t>
            </w:r>
          </w:p>
        </w:tc>
        <w:tc>
          <w:tcPr>
            <w:tcW w:w="46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1,099</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1,157</w:t>
            </w:r>
          </w:p>
        </w:tc>
      </w:tr>
      <w:tr>
        <w:trPr>
          <w:trHeight w:val="180"/>
        </w:trPr>
        <w:tc>
          <w:tcPr>
            <w:tcW w:w="73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Pension adjustment</w:t>
            </w:r>
          </w:p>
        </w:tc>
        <w:tc>
          <w:tcPr>
            <w:tcW w:w="4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1,797</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1,801</w:t>
            </w:r>
          </w:p>
        </w:tc>
      </w:tr>
      <w:tr>
        <w:trPr>
          <w:trHeight w:val="180"/>
        </w:trPr>
        <w:tc>
          <w:tcPr>
            <w:tcW w:w="7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Stock grant expense</w:t>
            </w:r>
          </w:p>
        </w:tc>
        <w:tc>
          <w:tcPr>
            <w:tcW w:w="46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1,183</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2,164</w:t>
            </w:r>
          </w:p>
        </w:tc>
      </w:tr>
      <w:tr>
        <w:trPr>
          <w:trHeight w:val="180"/>
        </w:trPr>
        <w:tc>
          <w:tcPr>
            <w:tcW w:w="73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State deferred taxes</w:t>
            </w:r>
          </w:p>
        </w:tc>
        <w:tc>
          <w:tcPr>
            <w:tcW w:w="4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w:t>
            </w:r>
          </w:p>
        </w:tc>
      </w:tr>
      <w:tr>
        <w:trPr>
          <w:trHeight w:val="180"/>
        </w:trPr>
        <w:tc>
          <w:tcPr>
            <w:tcW w:w="7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Book deferred gains</w:t>
            </w:r>
          </w:p>
        </w:tc>
        <w:tc>
          <w:tcPr>
            <w:tcW w:w="46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2,127</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2,127</w:t>
            </w:r>
          </w:p>
        </w:tc>
      </w:tr>
      <w:tr>
        <w:trPr>
          <w:trHeight w:val="180"/>
        </w:trPr>
        <w:tc>
          <w:tcPr>
            <w:tcW w:w="73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Joint venture allocations</w:t>
            </w:r>
          </w:p>
        </w:tc>
        <w:tc>
          <w:tcPr>
            <w:tcW w:w="4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w:t>
            </w:r>
          </w:p>
        </w:tc>
      </w:tr>
      <w:tr>
        <w:trPr>
          <w:trHeight w:val="180"/>
        </w:trPr>
        <w:tc>
          <w:tcPr>
            <w:tcW w:w="7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Provision for additional capitalized costs</w:t>
            </w:r>
          </w:p>
        </w:tc>
        <w:tc>
          <w:tcPr>
            <w:tcW w:w="46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w:t>
            </w:r>
          </w:p>
        </w:tc>
      </w:tr>
      <w:tr>
        <w:trPr>
          <w:trHeight w:val="180"/>
        </w:trPr>
        <w:tc>
          <w:tcPr>
            <w:tcW w:w="73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Interest rate swap</w:t>
            </w:r>
          </w:p>
        </w:tc>
        <w:tc>
          <w:tcPr>
            <w:tcW w:w="4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1,444</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1,444</w:t>
            </w:r>
          </w:p>
        </w:tc>
      </w:tr>
      <w:tr>
        <w:trPr>
          <w:trHeight w:val="180"/>
        </w:trPr>
        <w:tc>
          <w:tcPr>
            <w:tcW w:w="7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w:t>
            </w:r>
          </w:p>
        </w:tc>
        <w:tc>
          <w:tcPr>
            <w:tcW w:w="46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r>
      <w:tr>
        <w:trPr>
          <w:trHeight w:val="171"/>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deferred income tax assets</w:t>
            </w:r>
          </w:p>
        </w:tc>
        <w:tc>
          <w:tcPr>
            <w:tcW w:w="46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10,022</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11,201</w:t>
            </w:r>
          </w:p>
        </w:tc>
      </w:tr>
      <w:tr>
        <w:trPr>
          <w:trHeight w:val="16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 liabilities:</w:t>
            </w:r>
          </w:p>
        </w:tc>
        <w:tc>
          <w:tcPr>
            <w:tcW w:w="46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r>
      <w:tr>
        <w:trPr>
          <w:trHeight w:val="180"/>
        </w:trPr>
        <w:tc>
          <w:tcPr>
            <w:tcW w:w="73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Deferred gains</w:t>
            </w:r>
          </w:p>
        </w:tc>
        <w:tc>
          <w:tcPr>
            <w:tcW w:w="46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1,753</w:t>
            </w:r>
          </w:p>
        </w:tc>
        <w:tc>
          <w:tcPr>
            <w:tcW w:w="100" w:type="dxa"/>
            <w:vAlign w:val="bottom"/>
          </w:tcPr>
          <w:p>
            <w:pPr>
              <w:spacing w:after="0"/>
              <w:rPr>
                <w:sz w:val="15"/>
                <w:szCs w:val="15"/>
                <w:color w:val="auto"/>
              </w:rPr>
            </w:pPr>
          </w:p>
        </w:tc>
        <w:tc>
          <w:tcPr>
            <w:tcW w:w="4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1,753</w:t>
            </w:r>
          </w:p>
        </w:tc>
      </w:tr>
      <w:tr>
        <w:trPr>
          <w:trHeight w:val="180"/>
        </w:trPr>
        <w:tc>
          <w:tcPr>
            <w:tcW w:w="7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Depreciation</w:t>
            </w:r>
          </w:p>
        </w:tc>
        <w:tc>
          <w:tcPr>
            <w:tcW w:w="46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5,960</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5,447</w:t>
            </w:r>
          </w:p>
        </w:tc>
      </w:tr>
      <w:tr>
        <w:trPr>
          <w:trHeight w:val="180"/>
        </w:trPr>
        <w:tc>
          <w:tcPr>
            <w:tcW w:w="73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Cost of sales allocations</w:t>
            </w:r>
          </w:p>
        </w:tc>
        <w:tc>
          <w:tcPr>
            <w:tcW w:w="4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w:t>
            </w:r>
          </w:p>
        </w:tc>
      </w:tr>
      <w:tr>
        <w:trPr>
          <w:trHeight w:val="180"/>
        </w:trPr>
        <w:tc>
          <w:tcPr>
            <w:tcW w:w="7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Joint venture allocations</w:t>
            </w:r>
          </w:p>
        </w:tc>
        <w:tc>
          <w:tcPr>
            <w:tcW w:w="46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7,249</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7,729</w:t>
            </w:r>
          </w:p>
        </w:tc>
      </w:tr>
      <w:tr>
        <w:trPr>
          <w:trHeight w:val="180"/>
        </w:trPr>
        <w:tc>
          <w:tcPr>
            <w:tcW w:w="73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Capitalized stock compensation</w:t>
            </w:r>
          </w:p>
        </w:tc>
        <w:tc>
          <w:tcPr>
            <w:tcW w:w="4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1,626</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1,431</w:t>
            </w:r>
          </w:p>
        </w:tc>
      </w:tr>
      <w:tr>
        <w:trPr>
          <w:trHeight w:val="180"/>
        </w:trPr>
        <w:tc>
          <w:tcPr>
            <w:tcW w:w="7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Straight line rent</w:t>
            </w:r>
          </w:p>
        </w:tc>
        <w:tc>
          <w:tcPr>
            <w:tcW w:w="46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w:t>
            </w:r>
          </w:p>
        </w:tc>
      </w:tr>
      <w:tr>
        <w:trPr>
          <w:trHeight w:val="180"/>
        </w:trPr>
        <w:tc>
          <w:tcPr>
            <w:tcW w:w="73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Prepaid expenses</w:t>
            </w:r>
          </w:p>
        </w:tc>
        <w:tc>
          <w:tcPr>
            <w:tcW w:w="4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w:t>
            </w:r>
          </w:p>
        </w:tc>
      </w:tr>
      <w:tr>
        <w:trPr>
          <w:trHeight w:val="180"/>
        </w:trPr>
        <w:tc>
          <w:tcPr>
            <w:tcW w:w="7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Interest rate swap</w:t>
            </w:r>
          </w:p>
        </w:tc>
        <w:tc>
          <w:tcPr>
            <w:tcW w:w="46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1,444</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1,444</w:t>
            </w:r>
          </w:p>
        </w:tc>
      </w:tr>
      <w:tr>
        <w:trPr>
          <w:trHeight w:val="180"/>
        </w:trPr>
        <w:tc>
          <w:tcPr>
            <w:tcW w:w="73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Other</w:t>
            </w:r>
          </w:p>
        </w:tc>
        <w:tc>
          <w:tcPr>
            <w:tcW w:w="4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672</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674</w:t>
            </w:r>
          </w:p>
        </w:tc>
      </w:tr>
      <w:tr>
        <w:trPr>
          <w:trHeight w:val="171"/>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deferred income tax liabilities</w:t>
            </w:r>
          </w:p>
        </w:tc>
        <w:tc>
          <w:tcPr>
            <w:tcW w:w="46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19,871</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20,260</w:t>
            </w:r>
          </w:p>
        </w:tc>
      </w:tr>
      <w:tr>
        <w:trPr>
          <w:trHeight w:val="171"/>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deferred taxes</w:t>
            </w:r>
          </w:p>
        </w:tc>
        <w:tc>
          <w:tcPr>
            <w:tcW w:w="46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(9,849)</w:t>
            </w:r>
          </w:p>
        </w:tc>
        <w:tc>
          <w:tcPr>
            <w:tcW w:w="100" w:type="dxa"/>
            <w:vAlign w:val="bottom"/>
          </w:tcPr>
          <w:p>
            <w:pPr>
              <w:spacing w:after="0"/>
              <w:rPr>
                <w:sz w:val="14"/>
                <w:szCs w:val="14"/>
                <w:color w:val="auto"/>
              </w:rPr>
            </w:pP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(9,059)</w:t>
            </w:r>
          </w:p>
        </w:tc>
      </w:tr>
      <w:tr>
        <w:trPr>
          <w:trHeight w:val="20"/>
        </w:trPr>
        <w:tc>
          <w:tcPr>
            <w:tcW w:w="7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Due to the nature of the Company's deferred tax assets, the Company believes they will be used through operations in future years and a valuation allowance is not necessary. As of December 31, 2025, the Company had tax-effected net operating loss carryforwards of $207,000 that can be carried forward indefinitely under federal law. As of December 31, 2025, the Company had tax-effected net operating loss carryforwards of $195,000 that are generally carried forward a maximum of 20 years.</w:t>
      </w:r>
    </w:p>
    <w:p>
      <w:pPr>
        <w:spacing w:after="0" w:line="93"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The Company made $50,000 in estimated federal tax payments in 2025 and $0 in 2024. The Company made $380,000 in estimated California state tax payments in 2025 and $315,000 in 2024. The Company received tax refunds of $28,000 and $1,000 in 2025 and 2024, respectively.</w:t>
      </w:r>
    </w:p>
    <w:p>
      <w:pPr>
        <w:spacing w:after="0" w:line="82"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The Company evaluates its tax positions for all income tax items based on their technical merits to determine whether each position satisfies the “more likely than not to be sustained upon examination” test. The tax benefits are then measured as the largest amount of benefit, determined on a cumulative basis, that is “more likely than not” to be realized upon ultimate settlement. As a result of this evaluation, the Company determined there were no uncertain tax positions that required recognition and measurement for the years ended December 31, 2025 and 2024 within the scope of ASC 740, "Income Taxes." Tax years from 2022 to 2024 and 2021 to 2024 remain available for examination by the Federal and California State taxing authorities, respectively.</w:t>
      </w:r>
    </w:p>
    <w:p>
      <w:pPr>
        <w:spacing w:after="0" w:line="9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In 2025, the Company’s effective tax rate varied from the statutory federal rate primarily due to permanent differences related to Section 162(m) limitations, state taxes and excess stock compensation expense. The Section 162(m) compensation deduction limitations occurred as a result of changes in tax law arising from the 2017 Tax Cuts and Jobs Act, which first impacted the Company in 2020. A reconciliation of the provision for income taxes, with the amount computed by applying the statutory Federal income tax rate of 21% in 2025, 2024 and 2023, is as follows for the years ended December 31:</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income tax rate reconciliation was as follows at December 31:</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29" w:right="3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186"/>
        </w:trPr>
        <w:tc>
          <w:tcPr>
            <w:tcW w:w="3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9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940" w:type="dxa"/>
            <w:vAlign w:val="bottom"/>
            <w:tcBorders>
              <w:bottom w:val="single" w:sz="8" w:color="auto"/>
            </w:tcBorders>
          </w:tcPr>
          <w:p>
            <w:pPr>
              <w:spacing w:after="0"/>
              <w:rPr>
                <w:sz w:val="16"/>
                <w:szCs w:val="16"/>
                <w:color w:val="auto"/>
              </w:rPr>
            </w:pPr>
          </w:p>
        </w:tc>
      </w:tr>
      <w:tr>
        <w:trPr>
          <w:trHeight w:val="171"/>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200" w:type="dxa"/>
            <w:vAlign w:val="bottom"/>
          </w:tcPr>
          <w:p>
            <w:pPr>
              <w:spacing w:after="0"/>
              <w:rPr>
                <w:sz w:val="14"/>
                <w:szCs w:val="14"/>
                <w:color w:val="auto"/>
              </w:rPr>
            </w:pPr>
          </w:p>
        </w:tc>
        <w:tc>
          <w:tcPr>
            <w:tcW w:w="120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color w:val="auto"/>
              </w:rPr>
              <w:t>Amount</w:t>
            </w:r>
          </w:p>
        </w:tc>
        <w:tc>
          <w:tcPr>
            <w:tcW w:w="94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Tax Rate</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3"/>
          </w:tcPr>
          <w:p>
            <w:pPr>
              <w:jc w:val="right"/>
              <w:ind w:right="660"/>
              <w:spacing w:after="0"/>
              <w:rPr>
                <w:sz w:val="20"/>
                <w:szCs w:val="20"/>
                <w:color w:val="auto"/>
              </w:rPr>
            </w:pPr>
            <w:r>
              <w:rPr>
                <w:rFonts w:ascii="Times New Roman" w:cs="Times New Roman" w:eastAsia="Times New Roman" w:hAnsi="Times New Roman"/>
                <w:sz w:val="14"/>
                <w:szCs w:val="14"/>
                <w:color w:val="auto"/>
              </w:rPr>
              <w:t>Amount</w:t>
            </w:r>
          </w:p>
        </w:tc>
        <w:tc>
          <w:tcPr>
            <w:tcW w:w="96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Tax Rate</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3"/>
          </w:tcPr>
          <w:p>
            <w:pPr>
              <w:jc w:val="right"/>
              <w:ind w:right="680"/>
              <w:spacing w:after="0"/>
              <w:rPr>
                <w:sz w:val="20"/>
                <w:szCs w:val="20"/>
                <w:color w:val="auto"/>
              </w:rPr>
            </w:pPr>
            <w:r>
              <w:rPr>
                <w:rFonts w:ascii="Times New Roman" w:cs="Times New Roman" w:eastAsia="Times New Roman" w:hAnsi="Times New Roman"/>
                <w:sz w:val="14"/>
                <w:szCs w:val="14"/>
                <w:color w:val="auto"/>
              </w:rPr>
              <w:t>Amount</w:t>
            </w:r>
          </w:p>
        </w:tc>
        <w:tc>
          <w:tcPr>
            <w:tcW w:w="94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Tax Rate</w:t>
            </w:r>
          </w:p>
        </w:tc>
      </w:tr>
      <w:tr>
        <w:trPr>
          <w:trHeight w:val="171"/>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at statutory rate</w:t>
            </w: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c>
          <w:tcPr>
            <w:tcW w:w="1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w:t>
            </w: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w:t>
            </w:r>
          </w:p>
        </w:tc>
        <w:tc>
          <w:tcPr>
            <w:tcW w:w="1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r>
      <w:tr>
        <w:trPr>
          <w:trHeight w:val="180"/>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State income taxes, net of federal benefit</w:t>
            </w: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21.6 %</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7.0 %</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10.2 %</w:t>
            </w:r>
          </w:p>
        </w:tc>
      </w:tr>
      <w:tr>
        <w:trPr>
          <w:trHeight w:val="180"/>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Excess stock compensation expense (benefit)</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8.7 %</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0.2 %</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r>
      <w:tr>
        <w:trPr>
          <w:trHeight w:val="180"/>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Non-deductible compensation</w:t>
            </w: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53.6 %</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4.9 %</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1,302</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22.9 %</w:t>
            </w:r>
          </w:p>
        </w:tc>
      </w:tr>
      <w:tr>
        <w:trPr>
          <w:trHeight w:val="180"/>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Oil and mineral depletion</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80"/>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Permanent differences</w:t>
            </w: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0.4 %</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0.2 %</w:t>
            </w:r>
          </w:p>
        </w:tc>
      </w:tr>
      <w:tr>
        <w:trPr>
          <w:trHeight w:val="180"/>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4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71"/>
        </w:trPr>
        <w:tc>
          <w:tcPr>
            <w:tcW w:w="3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Tax provision</w:t>
            </w: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1,088</w:t>
            </w: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93.9 %</w:t>
            </w:r>
          </w:p>
        </w:tc>
        <w:tc>
          <w:tcPr>
            <w:tcW w:w="14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976</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26.6 %</w:t>
            </w:r>
          </w:p>
        </w:tc>
        <w:tc>
          <w:tcPr>
            <w:tcW w:w="120" w:type="dxa"/>
            <w:vAlign w:val="bottom"/>
          </w:tcPr>
          <w:p>
            <w:pPr>
              <w:spacing w:after="0"/>
              <w:rPr>
                <w:sz w:val="14"/>
                <w:szCs w:val="14"/>
                <w:color w:val="auto"/>
              </w:rPr>
            </w:pP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2,323</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41.6 %</w:t>
            </w:r>
          </w:p>
        </w:tc>
      </w:tr>
      <w:tr>
        <w:trPr>
          <w:trHeight w:val="20"/>
        </w:trPr>
        <w:tc>
          <w:tcPr>
            <w:tcW w:w="3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left="360" w:hanging="355"/>
        <w:spacing w:after="0"/>
        <w:tabs>
          <w:tab w:leader="none" w:pos="360" w:val="left"/>
        </w:tabs>
        <w:numPr>
          <w:ilvl w:val="0"/>
          <w:numId w:val="5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LEASES</w:t>
      </w:r>
    </w:p>
    <w:p>
      <w:pPr>
        <w:spacing w:after="0" w:line="7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Company is a lessor of certain property pursuant to various lease agreements having terms ranging up to 30 years. The Company generates rental income from right to use assets. The following is a summary of income from commercial rents included in commercial/industrial real estate revenues as of December 31:</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2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 in thousands)</w:t>
            </w:r>
          </w:p>
        </w:tc>
        <w:tc>
          <w:tcPr>
            <w:tcW w:w="5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1149"/>
              <w:spacing w:after="0"/>
              <w:rPr>
                <w:sz w:val="20"/>
                <w:szCs w:val="20"/>
                <w:color w:val="auto"/>
              </w:rPr>
            </w:pPr>
            <w:r>
              <w:rPr>
                <w:rFonts w:ascii="Times New Roman" w:cs="Times New Roman" w:eastAsia="Times New Roman" w:hAnsi="Times New Roman"/>
                <w:sz w:val="14"/>
                <w:szCs w:val="14"/>
                <w:color w:val="auto"/>
              </w:rPr>
              <w:t>2025</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1129"/>
              <w:spacing w:after="0"/>
              <w:rPr>
                <w:sz w:val="20"/>
                <w:szCs w:val="20"/>
                <w:color w:val="auto"/>
              </w:rPr>
            </w:pPr>
            <w:r>
              <w:rPr>
                <w:rFonts w:ascii="Times New Roman" w:cs="Times New Roman" w:eastAsia="Times New Roman" w:hAnsi="Times New Roman"/>
                <w:sz w:val="14"/>
                <w:szCs w:val="14"/>
                <w:color w:val="auto"/>
              </w:rPr>
              <w:t>2023</w:t>
            </w:r>
          </w:p>
        </w:tc>
        <w:tc>
          <w:tcPr>
            <w:tcW w:w="40" w:type="dxa"/>
            <w:vAlign w:val="bottom"/>
            <w:tcBorders>
              <w:bottom w:val="single" w:sz="8" w:color="auto"/>
            </w:tcBorders>
          </w:tcPr>
          <w:p>
            <w:pPr>
              <w:spacing w:after="0"/>
              <w:rPr>
                <w:sz w:val="16"/>
                <w:szCs w:val="16"/>
                <w:color w:val="auto"/>
              </w:rPr>
            </w:pPr>
          </w:p>
        </w:tc>
      </w:tr>
      <w:tr>
        <w:trPr>
          <w:trHeight w:val="171"/>
        </w:trPr>
        <w:tc>
          <w:tcPr>
            <w:tcW w:w="20" w:type="dxa"/>
            <w:vAlign w:val="bottom"/>
          </w:tcPr>
          <w:p>
            <w:pPr>
              <w:spacing w:after="0"/>
              <w:rPr>
                <w:sz w:val="14"/>
                <w:szCs w:val="14"/>
                <w:color w:val="auto"/>
              </w:rPr>
            </w:pPr>
          </w:p>
        </w:tc>
        <w:tc>
          <w:tcPr>
            <w:tcW w:w="1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Base rent</w:t>
            </w: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1001"/>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7,419</w:t>
            </w:r>
          </w:p>
        </w:tc>
        <w:tc>
          <w:tcPr>
            <w:tcW w:w="40" w:type="dxa"/>
            <w:vAlign w:val="bottom"/>
            <w:shd w:val="clear" w:color="auto" w:fill="CCEEFF"/>
          </w:tcPr>
          <w:p>
            <w:pPr>
              <w:spacing w:after="0"/>
              <w:rPr>
                <w:sz w:val="14"/>
                <w:szCs w:val="14"/>
                <w:color w:val="auto"/>
              </w:rPr>
            </w:pPr>
          </w:p>
        </w:tc>
      </w:tr>
      <w:tr>
        <w:trPr>
          <w:trHeight w:val="184"/>
        </w:trPr>
        <w:tc>
          <w:tcPr>
            <w:tcW w:w="20" w:type="dxa"/>
            <w:vAlign w:val="bottom"/>
          </w:tcPr>
          <w:p>
            <w:pPr>
              <w:spacing w:after="0"/>
              <w:rPr>
                <w:sz w:val="16"/>
                <w:szCs w:val="16"/>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Percentage rent</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jc w:val="right"/>
              <w:ind w:right="1001"/>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10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1,080</w:t>
            </w:r>
          </w:p>
        </w:tc>
        <w:tc>
          <w:tcPr>
            <w:tcW w:w="40" w:type="dxa"/>
            <w:vAlign w:val="bottom"/>
          </w:tcPr>
          <w:p>
            <w:pPr>
              <w:spacing w:after="0"/>
              <w:rPr>
                <w:sz w:val="16"/>
                <w:szCs w:val="16"/>
                <w:color w:val="auto"/>
              </w:rPr>
            </w:pPr>
          </w:p>
        </w:tc>
      </w:tr>
      <w:tr>
        <w:trPr>
          <w:trHeight w:val="367"/>
        </w:trPr>
        <w:tc>
          <w:tcPr>
            <w:tcW w:w="8520" w:type="dxa"/>
            <w:vAlign w:val="bottom"/>
            <w:gridSpan w:val="19"/>
          </w:tcPr>
          <w:p>
            <w:pPr>
              <w:spacing w:after="0"/>
              <w:rPr>
                <w:sz w:val="20"/>
                <w:szCs w:val="20"/>
                <w:color w:val="auto"/>
              </w:rPr>
            </w:pPr>
            <w:r>
              <w:rPr>
                <w:rFonts w:ascii="Times New Roman" w:cs="Times New Roman" w:eastAsia="Times New Roman" w:hAnsi="Times New Roman"/>
                <w:sz w:val="14"/>
                <w:szCs w:val="14"/>
                <w:color w:val="auto"/>
              </w:rPr>
              <w:t>Future minimum rental income on commercial, communication and right-of-way non-cancelable leases as of December 31, 2025 ($ in thousands):</w:t>
            </w: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0"/>
        </w:trPr>
        <w:tc>
          <w:tcPr>
            <w:tcW w:w="1260" w:type="dxa"/>
            <w:vAlign w:val="bottom"/>
            <w:gridSpan w:val="3"/>
          </w:tcPr>
          <w:p>
            <w:pPr>
              <w:jc w:val="right"/>
              <w:ind w:right="109"/>
              <w:spacing w:after="0"/>
              <w:rPr>
                <w:sz w:val="20"/>
                <w:szCs w:val="20"/>
                <w:color w:val="auto"/>
              </w:rPr>
            </w:pPr>
            <w:r>
              <w:rPr>
                <w:rFonts w:ascii="Times New Roman" w:cs="Times New Roman" w:eastAsia="Times New Roman" w:hAnsi="Times New Roman"/>
                <w:sz w:val="14"/>
                <w:szCs w:val="14"/>
                <w:color w:val="auto"/>
              </w:rPr>
              <w:t>2026</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129"/>
              <w:spacing w:after="0"/>
              <w:rPr>
                <w:sz w:val="20"/>
                <w:szCs w:val="20"/>
                <w:color w:val="auto"/>
              </w:rPr>
            </w:pPr>
            <w:r>
              <w:rPr>
                <w:rFonts w:ascii="Times New Roman" w:cs="Times New Roman" w:eastAsia="Times New Roman" w:hAnsi="Times New Roman"/>
                <w:sz w:val="14"/>
                <w:szCs w:val="14"/>
                <w:color w:val="auto"/>
              </w:rPr>
              <w:t>2027</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jc w:val="right"/>
              <w:ind w:right="689"/>
              <w:spacing w:after="0"/>
              <w:rPr>
                <w:sz w:val="20"/>
                <w:szCs w:val="20"/>
                <w:color w:val="auto"/>
              </w:rPr>
            </w:pPr>
            <w:r>
              <w:rPr>
                <w:rFonts w:ascii="Times New Roman" w:cs="Times New Roman" w:eastAsia="Times New Roman" w:hAnsi="Times New Roman"/>
                <w:sz w:val="14"/>
                <w:szCs w:val="14"/>
                <w:color w:val="auto"/>
              </w:rPr>
              <w:t>2028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jc w:val="right"/>
              <w:ind w:right="61"/>
              <w:spacing w:after="0"/>
              <w:rPr>
                <w:sz w:val="20"/>
                <w:szCs w:val="20"/>
                <w:color w:val="auto"/>
              </w:rPr>
            </w:pPr>
            <w:r>
              <w:rPr>
                <w:rFonts w:ascii="Times New Roman" w:cs="Times New Roman" w:eastAsia="Times New Roman" w:hAnsi="Times New Roman"/>
                <w:sz w:val="14"/>
                <w:szCs w:val="14"/>
                <w:color w:val="auto"/>
              </w:rPr>
              <w:t>2029</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3"/>
          </w:tcPr>
          <w:p>
            <w:pPr>
              <w:jc w:val="right"/>
              <w:ind w:right="129"/>
              <w:spacing w:after="0"/>
              <w:rPr>
                <w:sz w:val="20"/>
                <w:szCs w:val="20"/>
                <w:color w:val="auto"/>
              </w:rPr>
            </w:pPr>
            <w:r>
              <w:rPr>
                <w:rFonts w:ascii="Times New Roman" w:cs="Times New Roman" w:eastAsia="Times New Roman" w:hAnsi="Times New Roman"/>
                <w:sz w:val="14"/>
                <w:szCs w:val="14"/>
                <w:color w:val="auto"/>
              </w:rPr>
              <w:t>2030</w:t>
            </w: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Thereafter</w:t>
            </w:r>
          </w:p>
        </w:tc>
      </w:tr>
      <w:tr>
        <w:trPr>
          <w:trHeight w:val="171"/>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tcBorders>
              <w:top w:val="single" w:sz="8" w:color="auto"/>
            </w:tcBorders>
            <w:shd w:val="clear" w:color="auto" w:fill="CCEEFF"/>
          </w:tcPr>
          <w:p>
            <w:pPr>
              <w:jc w:val="right"/>
              <w:ind w:right="104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7,227</w:t>
            </w:r>
          </w:p>
        </w:tc>
        <w:tc>
          <w:tcPr>
            <w:tcW w:w="10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6,227</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5,876</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ind w:right="1001"/>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5,728</w:t>
            </w:r>
          </w:p>
        </w:tc>
        <w:tc>
          <w:tcPr>
            <w:tcW w:w="10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3,133</w:t>
            </w:r>
          </w:p>
        </w:tc>
        <w:tc>
          <w:tcPr>
            <w:tcW w:w="26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1,803</w:t>
            </w:r>
          </w:p>
        </w:tc>
        <w:tc>
          <w:tcPr>
            <w:tcW w:w="40" w:type="dxa"/>
            <w:vAlign w:val="bottom"/>
          </w:tcPr>
          <w:p>
            <w:pPr>
              <w:spacing w:after="0"/>
              <w:rPr>
                <w:sz w:val="14"/>
                <w:szCs w:val="14"/>
                <w:color w:val="auto"/>
              </w:rPr>
            </w:pPr>
          </w:p>
        </w:tc>
      </w:tr>
    </w:tbl>
    <w:p>
      <w:pPr>
        <w:spacing w:after="0" w:line="185" w:lineRule="exact"/>
        <w:rPr>
          <w:sz w:val="20"/>
          <w:szCs w:val="20"/>
          <w:color w:val="auto"/>
        </w:rPr>
      </w:pPr>
    </w:p>
    <w:p>
      <w:pPr>
        <w:ind w:right="8220" w:firstLine="5"/>
        <w:spacing w:after="0" w:line="357" w:lineRule="auto"/>
        <w:tabs>
          <w:tab w:leader="none" w:pos="354" w:val="left"/>
        </w:tabs>
        <w:numPr>
          <w:ilvl w:val="0"/>
          <w:numId w:val="5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COMMITMENTS AND CONTINGENCIES </w:t>
      </w:r>
      <w:r>
        <w:rPr>
          <w:rFonts w:ascii="Times New Roman" w:cs="Times New Roman" w:eastAsia="Times New Roman" w:hAnsi="Times New Roman"/>
          <w:sz w:val="14"/>
          <w:szCs w:val="14"/>
          <w:i w:val="1"/>
          <w:iCs w:val="1"/>
          <w:color w:val="auto"/>
        </w:rPr>
        <w:t>Water Contracts</w:t>
      </w:r>
    </w:p>
    <w:p>
      <w:pPr>
        <w:spacing w:after="0" w:line="1"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The Company has secured water contracts that are encumbered by the Company's land. These water contracts require minimum annual payments, for which $16,698,000 is expected to be paid in 2026. These water contract payments consist of SWP contracts with WRMWSD, TCWD, Tulare Lake Basin, Dudley-Ridge, and the Nickel water contract. The SWP contracts run through 2035, and the Nickel water contract runs through 2044, with an option to extend an additional 35 years. The Company's contractual obligation for future water payments was $1,614,552,000 as of December 31, 2025.</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Contracts</w:t>
      </w:r>
    </w:p>
    <w:p>
      <w:pPr>
        <w:spacing w:after="0" w:line="74"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4"/>
          <w:szCs w:val="14"/>
          <w:color w:val="auto"/>
        </w:rPr>
        <w:t>The Company terminated a consulting arrangement in 2014 related to the Grapevine at Tejon Ranch development (Grapevine) and remains obligated to pay an incentive fee upon obtaining certain regulatory approvals (Regulatory Approvals). The fee is based on the increase in the property’s fair market value over a base value, to be determined at the time Regulatory Approvals are obtained, with an additional fee measured from the property’s value five years thereafter. The final amount will be determined at those future valuation dates, and, at this time, the fees cannot be reasonably estimated.</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Community Facilities Districts</w:t>
      </w:r>
    </w:p>
    <w:p>
      <w:pPr>
        <w:spacing w:after="0" w:line="8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TRPFFA is a joint powers authority formed by Kern County and TCWD to finance public infrastructure within the Company’s Kern County developments. For the development of TRCC, TRPFFA has created two CFDs: the West CFD and the East CFD. The West CFD has placed liens on 420 acres of the Company’s land to secure payment of special taxes related to $19,540,000 of outstanding bond debt sold by TRPFFA for TRCC-West. The East CFD has placed liens on 1,931 acres of the Company’s land to secure payments of special taxes related to $95,660,000 of outstanding bond debt sold by TRPFFA for TRCC-East. At TRCC-West, the West CFD has no additional bond debt approved for issuance. At TRCC-East, the East CFD has approximately $18,605,000 of additional bond debt authorized by TRPFFA that can be sold in the future.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7" w:right="319" w:bottom="1440" w:gutter="0" w:footer="0" w:header="0"/>
        </w:sectPr>
      </w:pPr>
    </w:p>
    <w:bookmarkStart w:id="99" w:name="page100"/>
    <w:bookmarkEnd w:id="99"/>
    <w:p>
      <w:pPr>
        <w:ind w:right="20"/>
        <w:spacing w:after="0" w:line="257" w:lineRule="auto"/>
        <w:rPr>
          <w:sz w:val="20"/>
          <w:szCs w:val="20"/>
          <w:color w:val="auto"/>
        </w:rPr>
      </w:pPr>
      <w:r>
        <w:rPr>
          <w:rFonts w:ascii="Times New Roman" w:cs="Times New Roman" w:eastAsia="Times New Roman" w:hAnsi="Times New Roman"/>
          <w:sz w:val="14"/>
          <w:szCs w:val="14"/>
          <w:color w:val="auto"/>
        </w:rPr>
        <w:t>As a landowner in each CFD, the Company is obligated to pay its share of the special taxes assessed each year. The secured lands include both the TRCC-West and TRCC-East developments. Proceeds from the sale of West CFD bonds went to reimburse the Company for public infrastructure costs related to the TRCC-West development. As of December 31, 2025, there were no additional improvement funds remaining from West CFD bonds. On July 25, 2024, TRPFFA sold bonds that provide approximately $25,000,000 of improvement funds for the reimbursement of public infrastructure costs at TRCC-East. As of December 31, 2025, there are $10,440,000 of additional improvement funds remaining within the East CFD bonds for reimbursement of public infrastructure costs during future years. During fiscal 2025, the Company paid $3,791,000 in special taxes. As development continues to occur at TRCC, new owners of land and new lease tenants, through triple net leases, will bear an increasing portion of the assessed special tax. This amount could change in the future, based on the amount of bonds outstanding and the amount of taxes paid by others. The assessment of each individual property sold or leased is not determinable at this time, because it is based on the current tax rate and assessed value of the property at the time of sale or on its assessed value at the time it is leased to a third-party. Accordingly, the Company was not required to recognize an obligation on December 31, 2025.</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Centennial</w:t>
      </w:r>
    </w:p>
    <w:p>
      <w:pPr>
        <w:spacing w:after="0" w:line="8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4"/>
          <w:szCs w:val="14"/>
          <w:color w:val="auto"/>
        </w:rPr>
        <w:t>On April 30, 2019, the Los Angeles County Board of Supervisors granted final entitlement approval for the Centennial project. On May 15, 2019, Climate Resolve filed an action in Los Angeles Superior Court (the Climate Resolve Action), pursuant to CEQA and the California Planning and Zoning Law, against the County of Los Angeles and the Los Angeles County Board of Supervisors (collectively, LA County) concerning LA County’s granting of approvals for the Centennial project, including certification of the final EIR and related findings (Centennial EIR); approval of associated general plan amendments; adoption of associated zoning; adoption of the Centennial Specific Plan; approval of a subdivision map for financing purposes; and adoption of a development agreement, among other approvals (collectively, the Centennial Approvals). Separately, on May 28, 2019, the CBD and the CNPS filed an action in Los Angeles County Superior Court (the CBD/CNPS Action) against LA County; like the Climate Resolve Action, the CBD/CNPS Action also challenges the Centennial Approvals. The Company, its wholly owned subsidiary Tejon Ranchcorp, and CFL were named as real parties-in-interest in both the Climate Resolve Action and the CBD/CNPS Action.</w:t>
      </w:r>
    </w:p>
    <w:p>
      <w:pPr>
        <w:spacing w:after="0" w:line="5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4"/>
          <w:szCs w:val="14"/>
          <w:color w:val="auto"/>
        </w:rPr>
        <w:t>The Climate Resolve Action and the CBD/CNPS Action collectively alleged that LA County failed to properly follow the procedures and requirements of CEQA and the California Planning and Zoning Law. The Climate Resolve Action and the CBD/CNPS Action were deemed “related” and, while not consolidated under court rules or the rules of civil procedure, the Los Angeles Superior Court judge (Superior Court or Court) trying both cases determined during early trial management conferences to hold one set of hearings and issue one ruling on the matters as part of the adjudication. The Climate Resolve Action and CBD/CNPS Action sought to invalidate the Centennial Approvals and require LA County to revise the environmental documentation related to the Centennial project.</w:t>
      </w:r>
    </w:p>
    <w:p>
      <w:pPr>
        <w:spacing w:after="0" w:line="37"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4"/>
          <w:szCs w:val="14"/>
          <w:color w:val="auto"/>
        </w:rPr>
        <w:t>On April 5, 2021, the Court issued its decision denying the petition for writ of mandate by CBD/CNPS and granting the petition for writ of mandate filed by Climate Resolve. In granting Climate Resolve’s petition, the Court found three specific areas where the EIR for the project was lacking. The Court ruled that California’s Cap-and-Trade Program cannot be used as a compliance pathway for mitigating GHG impacts for the project and therefore further ruled that additional analysis will be required related to all feasible mitigation of GHG impacts. The Court also found that the EIR must provide additional analysis and explanation of how wildland fire risk on lands outside of the project site, posed by on-site ignition sources, is mitigated to less than significant. On April 19, 2021, CBD filed a motion for reconsideration with the Court on the denial of their petition for writ of mandate to be granted prevailing party status in its case based on the Court's conclusions in the Climate Resolve Action (“Motion for Reconsideration”).</w:t>
      </w:r>
    </w:p>
    <w:p>
      <w:pPr>
        <w:spacing w:after="0" w:line="5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On November 30, 2021, the Company, together with Ranchcorp and CFL, entered into a Settlement Agreement with Climate Resolve. Pursuant to the Settlement Agreement, the Company has agreed as stated and obligated in the Settlement Agreement: (1) to make Centennial a net zero GHG emissions project through various on-site and off-site measures including, but not limited to, installing electric vehicle chargers and establishing and funding incentive programs for the purchase of electric vehicles; (2) to fund certain on-site and off-site fire protection and prevention measures; and (3) to provide annual public reports and create an organization to monitor progress towards these commitments. The foregoing is only a summary of the material terms of the Settlement Agreement and does not purport to be a complete description of the rights and obligations of the parties thereunder and is qualified in its entirety by reference to the Settlement Agreement. In exchange, Climate Resolve filed a request for dismissal of the Climate Resolve Action with prejudice from the Court. On January 14, 2022, the Court heard CBD/CNPS' Motion for Reconsideration and issued its decision granting CBD/CNPS prevailing party status based on the Court’s conclusions in the Climate Resolve Action, which status as prevailing parties could require the Company to pay CBD/CNPS’s attorneys’ fees and other costs, which amounts could be significant.</w:t>
      </w:r>
    </w:p>
    <w:p>
      <w:pPr>
        <w:spacing w:after="0" w:line="53"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On October 26, 2022, the Court held a hearing concerning the entry of final judgment and awarding of appropriate remedies, at which time the Court agreed to: (a) hear the Company’s Motion for Reconsideration as to the successful challenges Climate Resolve prevailed upon within the Climate Resolve Action and ordered the Parties to appear on December 14, 2022 to hear the</w:t>
      </w: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04"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color w:val="auto"/>
        </w:rPr>
        <w:t>Company’s Motion for Reconsideration and (b) rule on the entry of final judgment and setting of remedies at a February 17, 2023 hearing date.</w:t>
      </w:r>
    </w:p>
    <w:p>
      <w:pPr>
        <w:spacing w:after="0" w:line="72" w:lineRule="exact"/>
        <w:rPr>
          <w:sz w:val="20"/>
          <w:szCs w:val="20"/>
          <w:color w:val="auto"/>
        </w:rPr>
      </w:pPr>
    </w:p>
    <w:p>
      <w:pPr>
        <w:jc w:val="both"/>
        <w:ind w:right="160"/>
        <w:spacing w:after="0" w:line="270" w:lineRule="auto"/>
        <w:rPr>
          <w:sz w:val="20"/>
          <w:szCs w:val="20"/>
          <w:color w:val="auto"/>
        </w:rPr>
      </w:pPr>
      <w:r>
        <w:rPr>
          <w:rFonts w:ascii="Times New Roman" w:cs="Times New Roman" w:eastAsia="Times New Roman" w:hAnsi="Times New Roman"/>
          <w:sz w:val="14"/>
          <w:szCs w:val="14"/>
          <w:color w:val="auto"/>
        </w:rPr>
        <w:t>At the December 14, 2022 hearing, the Court denied the Company’s Motion for Reconsideration. At the February 17, 2023 hearing, the Court took into submission the Parties’ legal briefs and oral arguments. On March 22, 2023, the Court decided in favor of CBD/CNPS and signed CBD/CNPS’s proposed form of judgment, which included a full rescission of the Centennial project approvals previously issued by Los Angeles County and which also concluded that CBD/CNPS were prevailing parties ("Judgment").</w:t>
      </w:r>
    </w:p>
    <w:p>
      <w:pPr>
        <w:spacing w:after="0" w:line="4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On May 26, 2023, the Company filed a Notice of Appeal with the Superior Court, thereby appealing the Judgment to the Second District of the California Court of Appeal (Court of Appeal). On June 27, 2023, CBD/CNPS cross-appealed the Judgment. The Court of Appeal held a hearing on April 3, 2025 for this matter. On June 26, 2025, the Court of Appeal issued a written decision affirming the Superior Court’s Judgment. In doing so, the Court of Appeal upheld the Superior Court determinations that (i) the CBD/CNPS Action claims related to wildlife connectivity, perennial grassland and wildflower impacts, and project alternatives were without merit, (ii) California’s Cap-and-Trade Program cannot be used as a compliance pathway for mitigating GHG impacts for the Centennial project and, therefore, further ruled that additional analysis is required related to all feasible mitigation of GHG impacts, (iii) additional analysis and explanation are required of how wildland fire risk on lands outside of the Centennial project site, posed by on-site ignition sources, is mitigated to less than significant, (iv) the Centennial Approvals be rescinded and Centennial EIR decertified pending correction of the EIR for the issues described above, and (v) CBD/CNPS were prevailing parties. The Court of Appeal also indicated that the EIR should discuss wildfire risks associated with the Project’s offsite improvements (such as offsite utility and natural gas lines).</w:t>
      </w:r>
    </w:p>
    <w:p>
      <w:pPr>
        <w:spacing w:after="0" w:line="5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color w:val="auto"/>
        </w:rPr>
        <w:t>On September 5, 2025, the Court of Appeal transferred jurisdiction of CBD/CNPS Action back to the Superior Court, which thereafter entered a writ of mandate on September 22, 2025 ordering LA County to set aside the Centennial Approvals (the “Writ”), something that was expected in light of the Court of Appeal decision summarized above. On December 2, 2025, LA County rescinded and set aside the Centennial Approvals in compliance with the Writ and, thereafter, on December 19, 2025, filed a “return to writ of mandate” with the Superior Court that described the action taken to comply with the Writ and requesting that the Superior Court discharge the Writ (the “Return to Writ”). On October 15, 2025, CBD/CNPS filed a motion for attorney's fees, the award of which is in the discretion of the trial court (the “Fee Motion”). On December 11, 2025 the Company and CBD/CNPS executed an Agreement Resolving Attorneys’ Fees (the “Fee Agreement”), which agreement resolved CBD/CNPS’s claims as prevailing parties to attorneys’ fees in the CBD/CNPS Action. As provided in the Fee Agreement, CBD/CNPS agreed to withdraw their Fee Motion in exchange for the Company paying $1,100,000 in attorneys’ fees, which payment was made before December 31, 2025.</w:t>
      </w:r>
    </w:p>
    <w:p>
      <w:pPr>
        <w:spacing w:after="0" w:line="41"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4"/>
          <w:szCs w:val="14"/>
          <w:color w:val="auto"/>
        </w:rPr>
        <w:t>The Company is in the process of working with LA County to advance the Centennial project. Following LA County’s December 2, 2025 rescission of the Centennial Approvals, the Company has begun the process to re-entitle the Centennial project (“re-entitlement”). We expect that re-entitlement will involve processing project and land use entitlements that are substantively similar to the Centennial Approvals that were approved by the LA County Board of Supervisors in April of 2019. As part of the re-entitlement, supplemental environmental analysis will be prepared and limited to addressing the deficiencies raised in the Judgment and Court of Appeal decision, and any new information legally required to be addressed. Following a public comment and review period, the LA County Regional Planning Commission would hold a hearing to make a recommendation to the LA County Board of Supervisors on the re-entitlement of the Centennial project. Thereafter, the LA County Board of Supervisors would hold a hearing to consider the supplemental environmental analysis and whether to take action to approve the re-entitlement of the Centennial project, with possible LA County Board of Supervisors action anticipated to occur by the end of 2026. Following the LA County Board of Supervisors’ action, the Company and LA County would return to the Superior Court to demonstrate compliance with and seek discharge of the Writ, and further litigation could challenge the re-entitlement.</w:t>
      </w:r>
    </w:p>
    <w:p>
      <w:pPr>
        <w:spacing w:after="0" w:line="53"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As the Company’s process to reinstate the project approvals remain pending, management has concluded that the matter does not materially impact the Company’s consolidated financial statements, including the recoverability of the related real estate development assets. Given the County’s filing of the Return to Writ, the Company considers the CBD/CNPS Action resolved.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Proceedings Incidental to Business</w:t>
      </w:r>
    </w:p>
    <w:p>
      <w:pPr>
        <w:spacing w:after="0" w:line="74"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4"/>
          <w:szCs w:val="14"/>
          <w:color w:val="auto"/>
        </w:rPr>
        <w:t>From time to time, the Company is involved in other proceedings incidental to its business, including actions relating to employee claims, real estate disputes, contractor disputes and grievance hearings before labor regulatory agencies.</w:t>
      </w:r>
    </w:p>
    <w:p>
      <w:pPr>
        <w:spacing w:after="0" w:line="29"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The outcome of these other proceedings is not predictable. However, based on current circumstances, the Company believes that the ultimate resolution of these other proceedings will not have a material adverse effect on the Company’s financial position, results of operations or cash flows, either individually or in the aggregate.</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101" w:name="page102"/>
    <w:bookmarkEnd w:id="101"/>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14.</w:t>
        <w:tab/>
        <w:t>RETIREMENT PLANS</w:t>
      </w:r>
    </w:p>
    <w:p>
      <w:pPr>
        <w:spacing w:after="0" w:line="85"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The Company sponsors a defined benefit retirement plan, or Benefit Plan, that covers eligible employees hired prior to February 1, 2007. The benefits are based on years of service and the employee’s final five-year average salary. The accounting for the defined benefit plan requires the use of assumptions and estimates in order to calculate periodic benefit cost and the value of the plan's assets and benefit obligation. These assumptions include discount rates, investment returns, and projected salary increases, amongst others. The discount rates used in valuing the plan's benefits obligations were determined with reference to high quality corporate and government bonds that are appropriately matched to the duration of the plan's obligation.</w:t>
      </w:r>
    </w:p>
    <w:p>
      <w:pPr>
        <w:spacing w:after="0" w:line="34" w:lineRule="exact"/>
        <w:rPr>
          <w:sz w:val="20"/>
          <w:szCs w:val="20"/>
          <w:color w:val="auto"/>
        </w:rPr>
      </w:pPr>
    </w:p>
    <w:p>
      <w:pPr>
        <w:ind w:right="520"/>
        <w:spacing w:after="0" w:line="287" w:lineRule="auto"/>
        <w:rPr>
          <w:sz w:val="20"/>
          <w:szCs w:val="20"/>
          <w:color w:val="auto"/>
        </w:rPr>
      </w:pPr>
      <w:r>
        <w:rPr>
          <w:rFonts w:ascii="Times New Roman" w:cs="Times New Roman" w:eastAsia="Times New Roman" w:hAnsi="Times New Roman"/>
          <w:sz w:val="14"/>
          <w:szCs w:val="14"/>
          <w:color w:val="auto"/>
        </w:rPr>
        <w:t>Contributions are intended to provide for benefits attributable to service both to date and expected to be provided in the future. The Company funds the plan in accordance with the Employee Retirement Income Security Act of 1974, or ERISA. The Company in April 2017 froze the Benefit Plan as it relates to future benefit accruals for participants.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changes in the plan's net benefit obligation and accumulated benefit information as of December 31:</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in thousands)</w:t>
            </w:r>
          </w:p>
        </w:tc>
        <w:tc>
          <w:tcPr>
            <w:tcW w:w="4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161"/>
        </w:trPr>
        <w:tc>
          <w:tcPr>
            <w:tcW w:w="7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Change in benefit obligation - Pension</w:t>
            </w:r>
          </w:p>
        </w:tc>
        <w:tc>
          <w:tcPr>
            <w:tcW w:w="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Benefit obligation at beginning of year</w:t>
            </w: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8,181</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8,768</w:t>
            </w:r>
          </w:p>
        </w:tc>
        <w:tc>
          <w:tcPr>
            <w:tcW w:w="0" w:type="dxa"/>
            <w:vAlign w:val="bottom"/>
          </w:tcPr>
          <w:p>
            <w:pPr>
              <w:spacing w:after="0"/>
              <w:rPr>
                <w:sz w:val="1"/>
                <w:szCs w:val="1"/>
                <w:color w:val="auto"/>
              </w:rPr>
            </w:pPr>
          </w:p>
        </w:tc>
      </w:tr>
      <w:tr>
        <w:trPr>
          <w:trHeight w:val="180"/>
        </w:trPr>
        <w:tc>
          <w:tcPr>
            <w:tcW w:w="7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Interest cost</w:t>
            </w:r>
          </w:p>
        </w:tc>
        <w:tc>
          <w:tcPr>
            <w:tcW w:w="4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0" w:type="dxa"/>
            <w:vAlign w:val="bottom"/>
          </w:tcPr>
          <w:p>
            <w:pPr>
              <w:spacing w:after="0"/>
              <w:rPr>
                <w:sz w:val="1"/>
                <w:szCs w:val="1"/>
                <w:color w:val="auto"/>
              </w:rPr>
            </w:pPr>
          </w:p>
        </w:tc>
      </w:tr>
      <w:tr>
        <w:trPr>
          <w:trHeight w:val="180"/>
        </w:trPr>
        <w:tc>
          <w:tcPr>
            <w:tcW w:w="7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Actuarial (gain)/loss assumption changes</w:t>
            </w:r>
          </w:p>
        </w:tc>
        <w:tc>
          <w:tcPr>
            <w:tcW w:w="4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w:t>
            </w:r>
          </w:p>
        </w:tc>
        <w:tc>
          <w:tcPr>
            <w:tcW w:w="0" w:type="dxa"/>
            <w:vAlign w:val="bottom"/>
          </w:tcPr>
          <w:p>
            <w:pPr>
              <w:spacing w:after="0"/>
              <w:rPr>
                <w:sz w:val="1"/>
                <w:szCs w:val="1"/>
                <w:color w:val="auto"/>
              </w:rPr>
            </w:pPr>
          </w:p>
        </w:tc>
      </w:tr>
      <w:tr>
        <w:trPr>
          <w:trHeight w:val="180"/>
        </w:trPr>
        <w:tc>
          <w:tcPr>
            <w:tcW w:w="74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Benefits paid</w:t>
            </w:r>
          </w:p>
        </w:tc>
        <w:tc>
          <w:tcPr>
            <w:tcW w:w="4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0" w:type="dxa"/>
            <w:vAlign w:val="bottom"/>
          </w:tcPr>
          <w:p>
            <w:pPr>
              <w:spacing w:after="0"/>
              <w:rPr>
                <w:sz w:val="1"/>
                <w:szCs w:val="1"/>
                <w:color w:val="auto"/>
              </w:rPr>
            </w:pPr>
          </w:p>
        </w:tc>
      </w:tr>
      <w:tr>
        <w:trPr>
          <w:trHeight w:val="175"/>
        </w:trPr>
        <w:tc>
          <w:tcPr>
            <w:tcW w:w="7460" w:type="dxa"/>
            <w:vAlign w:val="bottom"/>
            <w:tcBorders>
              <w:bottom w:val="single" w:sz="8" w:color="CCEEFF"/>
            </w:tcBorders>
            <w:shd w:val="clear" w:color="auto" w:fill="CCEEFF"/>
          </w:tcPr>
          <w:p>
            <w:pPr>
              <w:ind w:left="280"/>
              <w:spacing w:after="0" w:line="150" w:lineRule="exact"/>
              <w:rPr>
                <w:sz w:val="20"/>
                <w:szCs w:val="20"/>
                <w:color w:val="auto"/>
              </w:rPr>
            </w:pPr>
            <w:r>
              <w:rPr>
                <w:rFonts w:ascii="Times New Roman" w:cs="Times New Roman" w:eastAsia="Times New Roman" w:hAnsi="Times New Roman"/>
                <w:sz w:val="14"/>
                <w:szCs w:val="14"/>
                <w:color w:val="auto"/>
              </w:rPr>
              <w:t>Benefit obligation and accumulated benefit obligation at end of year</w:t>
            </w:r>
          </w:p>
        </w:tc>
        <w:tc>
          <w:tcPr>
            <w:tcW w:w="420" w:type="dxa"/>
            <w:vAlign w:val="bottom"/>
            <w:tcBorders>
              <w:bottom w:val="single" w:sz="8" w:color="auto"/>
            </w:tcBorders>
            <w:shd w:val="clear" w:color="auto" w:fill="CCEEFF"/>
          </w:tcPr>
          <w:p>
            <w:pPr>
              <w:jc w:val="right"/>
              <w:ind w:right="269"/>
              <w:spacing w:after="0" w:line="150" w:lineRule="exact"/>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8,531</w:t>
            </w:r>
          </w:p>
        </w:tc>
        <w:tc>
          <w:tcPr>
            <w:tcW w:w="1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269"/>
              <w:spacing w:after="0" w:line="150" w:lineRule="exact"/>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8,181</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 in Plan Assets</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746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7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Fair value of plan assets at beginning of year</w:t>
            </w: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8,551</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9,063</w:t>
            </w:r>
          </w:p>
        </w:tc>
        <w:tc>
          <w:tcPr>
            <w:tcW w:w="0" w:type="dxa"/>
            <w:vAlign w:val="bottom"/>
          </w:tcPr>
          <w:p>
            <w:pPr>
              <w:spacing w:after="0"/>
              <w:rPr>
                <w:sz w:val="1"/>
                <w:szCs w:val="1"/>
                <w:color w:val="auto"/>
              </w:rPr>
            </w:pPr>
          </w:p>
        </w:tc>
      </w:tr>
      <w:tr>
        <w:trPr>
          <w:trHeight w:val="180"/>
        </w:trPr>
        <w:tc>
          <w:tcPr>
            <w:tcW w:w="7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Actual return (loss) on plan assets</w:t>
            </w:r>
          </w:p>
        </w:tc>
        <w:tc>
          <w:tcPr>
            <w:tcW w:w="4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0" w:type="dxa"/>
            <w:vAlign w:val="bottom"/>
          </w:tcPr>
          <w:p>
            <w:pPr>
              <w:spacing w:after="0"/>
              <w:rPr>
                <w:sz w:val="1"/>
                <w:szCs w:val="1"/>
                <w:color w:val="auto"/>
              </w:rPr>
            </w:pPr>
          </w:p>
        </w:tc>
      </w:tr>
      <w:tr>
        <w:trPr>
          <w:trHeight w:val="180"/>
        </w:trPr>
        <w:tc>
          <w:tcPr>
            <w:tcW w:w="7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Employer contribution</w:t>
            </w:r>
          </w:p>
        </w:tc>
        <w:tc>
          <w:tcPr>
            <w:tcW w:w="42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4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Benefits/expenses paid</w:t>
            </w:r>
          </w:p>
        </w:tc>
        <w:tc>
          <w:tcPr>
            <w:tcW w:w="4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0" w:type="dxa"/>
            <w:vAlign w:val="bottom"/>
          </w:tcPr>
          <w:p>
            <w:pPr>
              <w:spacing w:after="0"/>
              <w:rPr>
                <w:sz w:val="1"/>
                <w:szCs w:val="1"/>
                <w:color w:val="auto"/>
              </w:rPr>
            </w:pPr>
          </w:p>
        </w:tc>
      </w:tr>
      <w:tr>
        <w:trPr>
          <w:trHeight w:val="171"/>
        </w:trPr>
        <w:tc>
          <w:tcPr>
            <w:tcW w:w="7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Fair value of plan assets at end of year</w:t>
            </w: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8,663</w:t>
            </w: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8,551</w:t>
            </w:r>
          </w:p>
        </w:tc>
        <w:tc>
          <w:tcPr>
            <w:tcW w:w="0" w:type="dxa"/>
            <w:vAlign w:val="bottom"/>
          </w:tcPr>
          <w:p>
            <w:pPr>
              <w:spacing w:after="0"/>
              <w:rPr>
                <w:sz w:val="1"/>
                <w:szCs w:val="1"/>
                <w:color w:val="auto"/>
              </w:rPr>
            </w:pPr>
          </w:p>
        </w:tc>
      </w:tr>
      <w:tr>
        <w:trPr>
          <w:trHeight w:val="171"/>
        </w:trPr>
        <w:tc>
          <w:tcPr>
            <w:tcW w:w="7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Funded status - asset</w:t>
            </w: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tcPr>
          <w:p>
            <w:pPr>
              <w:spacing w:after="0"/>
              <w:rPr>
                <w:sz w:val="14"/>
                <w:szCs w:val="14"/>
                <w:color w:val="auto"/>
              </w:rPr>
            </w:pP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0" w:type="dxa"/>
            <w:vAlign w:val="bottom"/>
          </w:tcPr>
          <w:p>
            <w:pPr>
              <w:spacing w:after="0"/>
              <w:rPr>
                <w:sz w:val="1"/>
                <w:szCs w:val="1"/>
                <w:color w:val="auto"/>
              </w:rPr>
            </w:pP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74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7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Amounts recorded in equity</w:t>
            </w:r>
          </w:p>
        </w:tc>
        <w:tc>
          <w:tcPr>
            <w:tcW w:w="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actuarial loss</w:t>
            </w: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2,411</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2,255</w:t>
            </w:r>
          </w:p>
        </w:tc>
        <w:tc>
          <w:tcPr>
            <w:tcW w:w="0" w:type="dxa"/>
            <w:vAlign w:val="bottom"/>
          </w:tcPr>
          <w:p>
            <w:pPr>
              <w:spacing w:after="0"/>
              <w:rPr>
                <w:sz w:val="1"/>
                <w:szCs w:val="1"/>
                <w:color w:val="auto"/>
              </w:rPr>
            </w:pPr>
          </w:p>
        </w:tc>
      </w:tr>
      <w:tr>
        <w:trPr>
          <w:trHeight w:val="171"/>
        </w:trPr>
        <w:tc>
          <w:tcPr>
            <w:tcW w:w="74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Total amount recorded</w:t>
            </w: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2,411</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2,255</w:t>
            </w:r>
          </w:p>
        </w:tc>
        <w:tc>
          <w:tcPr>
            <w:tcW w:w="0" w:type="dxa"/>
            <w:vAlign w:val="bottom"/>
          </w:tcPr>
          <w:p>
            <w:pPr>
              <w:spacing w:after="0"/>
              <w:rPr>
                <w:sz w:val="1"/>
                <w:szCs w:val="1"/>
                <w:color w:val="auto"/>
              </w:rPr>
            </w:pPr>
          </w:p>
        </w:tc>
      </w:tr>
      <w:tr>
        <w:trPr>
          <w:trHeight w:val="196"/>
        </w:trPr>
        <w:tc>
          <w:tcPr>
            <w:tcW w:w="74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Amount recorded, net of taxes</w:t>
            </w: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1,736</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1,624</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changes in plan assets and benefit obligations recognized in other comprehensive income include the following as of December 31:</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in thousands)</w:t>
            </w:r>
          </w:p>
        </w:tc>
        <w:tc>
          <w:tcPr>
            <w:tcW w:w="4420" w:type="dxa"/>
            <w:vAlign w:val="bottom"/>
            <w:gridSpan w:val="2"/>
          </w:tcPr>
          <w:p>
            <w:pPr>
              <w:jc w:val="right"/>
              <w:ind w:right="289"/>
              <w:spacing w:after="0"/>
              <w:rPr>
                <w:sz w:val="20"/>
                <w:szCs w:val="20"/>
                <w:color w:val="auto"/>
              </w:rPr>
            </w:pPr>
            <w:r>
              <w:rPr>
                <w:rFonts w:ascii="Times New Roman" w:cs="Times New Roman" w:eastAsia="Times New Roman" w:hAnsi="Times New Roman"/>
                <w:sz w:val="14"/>
                <w:szCs w:val="14"/>
                <w:color w:val="auto"/>
              </w:rPr>
              <w:t>2025</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80" w:type="dxa"/>
            <w:vAlign w:val="bottom"/>
          </w:tcPr>
          <w:p>
            <w:pPr>
              <w:jc w:val="right"/>
              <w:ind w:right="929"/>
              <w:spacing w:after="0"/>
              <w:rPr>
                <w:sz w:val="20"/>
                <w:szCs w:val="20"/>
                <w:color w:val="auto"/>
              </w:rPr>
            </w:pPr>
            <w:r>
              <w:rPr>
                <w:rFonts w:ascii="Times New Roman" w:cs="Times New Roman" w:eastAsia="Times New Roman" w:hAnsi="Times New Roman"/>
                <w:sz w:val="14"/>
                <w:szCs w:val="14"/>
                <w:color w:val="auto"/>
              </w:rPr>
              <w:t>2024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7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(gain)</w:t>
            </w:r>
          </w:p>
        </w:tc>
        <w:tc>
          <w:tcPr>
            <w:tcW w:w="2760" w:type="dxa"/>
            <w:vAlign w:val="bottom"/>
            <w:tcBorders>
              <w:top w:val="single" w:sz="8" w:color="CCEEFF"/>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jc w:val="right"/>
              <w:ind w:right="150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213</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Recognition of net actuarial loss</w:t>
            </w:r>
          </w:p>
        </w:tc>
        <w:tc>
          <w:tcPr>
            <w:tcW w:w="2760" w:type="dxa"/>
            <w:vAlign w:val="bottom"/>
            <w:tcBorders>
              <w:bottom w:val="single" w:sz="8" w:color="CCEEFF"/>
            </w:tcBorders>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changes</w:t>
            </w:r>
          </w:p>
        </w:tc>
        <w:tc>
          <w:tcPr>
            <w:tcW w:w="2760" w:type="dxa"/>
            <w:vAlign w:val="bottom"/>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Changes, net of taxes</w:t>
            </w:r>
          </w:p>
        </w:tc>
        <w:tc>
          <w:tcPr>
            <w:tcW w:w="2760" w:type="dxa"/>
            <w:vAlign w:val="bottom"/>
          </w:tcPr>
          <w:p>
            <w:pPr>
              <w:spacing w:after="0"/>
              <w:rPr>
                <w:sz w:val="14"/>
                <w:szCs w:val="14"/>
                <w:color w:val="auto"/>
              </w:rPr>
            </w:pPr>
          </w:p>
        </w:tc>
        <w:tc>
          <w:tcPr>
            <w:tcW w:w="1660" w:type="dxa"/>
            <w:vAlign w:val="bottom"/>
            <w:tcBorders>
              <w:bottom w:val="single" w:sz="8" w:color="auto"/>
            </w:tcBorders>
          </w:tcPr>
          <w:p>
            <w:pPr>
              <w:jc w:val="right"/>
              <w:ind w:right="150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gridSpan w:val="2"/>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82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The Company expects to recognize the following amounts as a component of net periodic pension costs during the next fiscal year:</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return on plan assets</w:t>
            </w:r>
          </w:p>
        </w:tc>
        <w:tc>
          <w:tcPr>
            <w:tcW w:w="276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4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cost</w:t>
            </w:r>
          </w:p>
        </w:tc>
        <w:tc>
          <w:tcPr>
            <w:tcW w:w="27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net gain/(loss)</w:t>
            </w:r>
          </w:p>
        </w:tc>
        <w:tc>
          <w:tcPr>
            <w:tcW w:w="276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4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periodic pension benefit/(cost)</w:t>
            </w:r>
          </w:p>
        </w:tc>
        <w:tc>
          <w:tcPr>
            <w:tcW w:w="27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760" w:type="dxa"/>
            <w:vAlign w:val="bottom"/>
            <w:vMerge w:val="restart"/>
          </w:tcPr>
          <w:p>
            <w:pPr>
              <w:jc w:val="right"/>
              <w:ind w:right="709"/>
              <w:spacing w:after="0"/>
              <w:rPr>
                <w:sz w:val="20"/>
                <w:szCs w:val="20"/>
                <w:color w:val="auto"/>
              </w:rPr>
            </w:pPr>
            <w:r>
              <w:rPr>
                <w:rFonts w:ascii="Times New Roman" w:cs="Times New Roman" w:eastAsia="Times New Roman" w:hAnsi="Times New Roman"/>
                <w:sz w:val="14"/>
                <w:szCs w:val="14"/>
                <w:color w:val="auto"/>
              </w:rPr>
              <w:t>102</w:t>
            </w:r>
          </w:p>
        </w:tc>
        <w:tc>
          <w:tcPr>
            <w:tcW w:w="1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1"/>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1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3760" w:type="dxa"/>
            <w:vAlign w:val="bottom"/>
            <w:tcBorders>
              <w:bottom w:val="single" w:sz="8" w:color="9A9A9A"/>
            </w:tcBorders>
          </w:tcPr>
          <w:p>
            <w:pPr>
              <w:spacing w:after="0"/>
              <w:rPr>
                <w:sz w:val="7"/>
                <w:szCs w:val="7"/>
                <w:color w:val="auto"/>
              </w:rPr>
            </w:pPr>
          </w:p>
        </w:tc>
        <w:tc>
          <w:tcPr>
            <w:tcW w:w="2760" w:type="dxa"/>
            <w:vAlign w:val="bottom"/>
            <w:tcBorders>
              <w:bottom w:val="single" w:sz="8" w:color="9A9A9A"/>
            </w:tcBorders>
          </w:tcPr>
          <w:p>
            <w:pPr>
              <w:spacing w:after="0"/>
              <w:rPr>
                <w:sz w:val="7"/>
                <w:szCs w:val="7"/>
                <w:color w:val="auto"/>
              </w:rPr>
            </w:pPr>
          </w:p>
        </w:tc>
        <w:tc>
          <w:tcPr>
            <w:tcW w:w="166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5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color w:val="auto"/>
        </w:rPr>
        <w:t>At December 31, 2025 and December 31, 2024, the Company had a long-term pension asset. For 2026, the Company is not expected to make contributions to the pension plan.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Based on actuarial estimates, it is expected that annual benefit payments from the pension trust will be as follows: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47"/>
        </w:trPr>
        <w:tc>
          <w:tcPr>
            <w:tcW w:w="7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in thousands)</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99"/>
        </w:trPr>
        <w:tc>
          <w:tcPr>
            <w:tcW w:w="7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w w:val="92"/>
              </w:rPr>
              <w:t>2026</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rPr>
              <w:t>2027</w:t>
            </w:r>
          </w:p>
        </w:tc>
        <w:tc>
          <w:tcPr>
            <w:tcW w:w="1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2028</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rPr>
              <w:t>2029</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color w:val="auto"/>
              </w:rPr>
              <w:t>2030</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Thereafter</w:t>
            </w:r>
          </w:p>
        </w:tc>
      </w:tr>
      <w:tr>
        <w:trPr>
          <w:trHeight w:val="171"/>
        </w:trPr>
        <w:tc>
          <w:tcPr>
            <w:tcW w:w="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112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3,148</w:t>
            </w:r>
          </w:p>
        </w:tc>
      </w:tr>
    </w:tbl>
    <w:p>
      <w:pPr>
        <w:spacing w:after="0" w:line="12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The Benefit Plan’s current investment policy has an investment strategy in which the primary focus is to minimize the volatility of the funding ratio. This objective will result in a prescribed asset mix between "return seeking" assets (e.g., stocks) and a bond portfolio (e.g., long duration bonds) according to a pre-determined customized investment strategy based on the Plan's Funded Status as the primary input. This path will be used as a reference point as to the mix of assets, which by design will de-emphasize the return seeking portion as funded status improves. At December 31, 2025, the investment mix was approximately 99% debt and 1% money market funds. At December 31, 2024, the investment mix was approximately 99% debt and 1% money market funds. Equity investments consist of a combination of individual equity securities plus value funds, growth funds, large cap funds and international stock funds. Debt investments consist of U.S. Treasury securities and investment grade corporate debt. The weighted-average discount rate used in determining the periodic pension cost is 5.35% in 2025 and 5.60% in 2024. The expected long-term rate of return on plan assets is 5.00% in 2025 and 5.00% in 2024. The long-term rate of return on plan assets is based on the historical returns within the plan and expectations for future returns. See the following table for fair value hierarchy by investment type at December 31: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9"/>
              </w:rPr>
              <w:t>Fair Value Hierarchy</w:t>
            </w:r>
          </w:p>
        </w:tc>
        <w:tc>
          <w:tcPr>
            <w:tcW w:w="1200" w:type="dxa"/>
            <w:vAlign w:val="bottom"/>
            <w:gridSpan w:val="3"/>
          </w:tcPr>
          <w:p>
            <w:pPr>
              <w:jc w:val="right"/>
              <w:ind w:right="69"/>
              <w:spacing w:after="0"/>
              <w:rPr>
                <w:sz w:val="20"/>
                <w:szCs w:val="20"/>
                <w:color w:val="auto"/>
              </w:rPr>
            </w:pPr>
            <w:r>
              <w:rPr>
                <w:rFonts w:ascii="Times New Roman" w:cs="Times New Roman" w:eastAsia="Times New Roman" w:hAnsi="Times New Roman"/>
                <w:sz w:val="14"/>
                <w:szCs w:val="14"/>
                <w:color w:val="auto"/>
              </w:rPr>
              <w:t>2025</w:t>
            </w: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ind w:right="569"/>
              <w:spacing w:after="0"/>
              <w:rPr>
                <w:sz w:val="20"/>
                <w:szCs w:val="20"/>
                <w:color w:val="auto"/>
              </w:rPr>
            </w:pPr>
            <w:r>
              <w:rPr>
                <w:rFonts w:ascii="Times New Roman" w:cs="Times New Roman" w:eastAsia="Times New Roman" w:hAnsi="Times New Roman"/>
                <w:sz w:val="14"/>
                <w:szCs w:val="14"/>
                <w:color w:val="auto"/>
              </w:rPr>
              <w:t>2024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6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Pension Plan Assets:</w:t>
            </w: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1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8"/>
              </w:rPr>
              <w:t>Level 1</w:t>
            </w:r>
          </w:p>
        </w:tc>
        <w:tc>
          <w:tcPr>
            <w:tcW w:w="1200" w:type="dxa"/>
            <w:vAlign w:val="bottom"/>
            <w:gridSpan w:val="3"/>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60" w:type="dxa"/>
            <w:vAlign w:val="bottom"/>
            <w:shd w:val="clear" w:color="auto" w:fill="CCEEFF"/>
          </w:tcPr>
          <w:p>
            <w:pPr>
              <w:spacing w:after="0"/>
              <w:rPr>
                <w:sz w:val="15"/>
                <w:szCs w:val="15"/>
                <w:color w:val="auto"/>
              </w:rPr>
            </w:pPr>
          </w:p>
        </w:tc>
        <w:tc>
          <w:tcPr>
            <w:tcW w:w="440" w:type="dxa"/>
            <w:vAlign w:val="bottom"/>
            <w:gridSpan w:val="3"/>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1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Collective Funds</w:t>
            </w: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50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8"/>
              </w:rPr>
              <w:t>Level 2</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8,576</w:t>
            </w: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8,464</w:t>
            </w:r>
          </w:p>
        </w:tc>
        <w:tc>
          <w:tcPr>
            <w:tcW w:w="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of plan assets</w:t>
            </w: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8,663</w:t>
            </w:r>
          </w:p>
        </w:tc>
        <w:tc>
          <w:tcPr>
            <w:tcW w:w="6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8,551</w:t>
            </w:r>
          </w:p>
        </w:tc>
        <w:tc>
          <w:tcPr>
            <w:tcW w:w="4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Total pension and retirement expense was as follows for each of the years ended December 31:</w:t>
            </w: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61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6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in thousands)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jc w:val="right"/>
              <w:ind w:right="609"/>
              <w:spacing w:after="0"/>
              <w:rPr>
                <w:sz w:val="20"/>
                <w:szCs w:val="20"/>
                <w:color w:val="auto"/>
              </w:rPr>
            </w:pPr>
            <w:r>
              <w:rPr>
                <w:rFonts w:ascii="Times New Roman" w:cs="Times New Roman" w:eastAsia="Times New Roman" w:hAnsi="Times New Roman"/>
                <w:sz w:val="14"/>
                <w:szCs w:val="14"/>
                <w:color w:val="auto"/>
              </w:rPr>
              <w:t>2025</w:t>
            </w:r>
          </w:p>
        </w:tc>
        <w:tc>
          <w:tcPr>
            <w:tcW w:w="40" w:type="dxa"/>
            <w:vAlign w:val="bottom"/>
          </w:tcPr>
          <w:p>
            <w:pPr>
              <w:spacing w:after="0"/>
              <w:rPr>
                <w:sz w:val="24"/>
                <w:szCs w:val="24"/>
                <w:color w:val="auto"/>
              </w:rPr>
            </w:pPr>
          </w:p>
        </w:tc>
        <w:tc>
          <w:tcPr>
            <w:tcW w:w="1200" w:type="dxa"/>
            <w:vAlign w:val="bottom"/>
            <w:gridSpan w:val="3"/>
          </w:tcPr>
          <w:p>
            <w:pPr>
              <w:jc w:val="right"/>
              <w:ind w:right="129"/>
              <w:spacing w:after="0"/>
              <w:rPr>
                <w:sz w:val="20"/>
                <w:szCs w:val="20"/>
                <w:color w:val="auto"/>
              </w:rPr>
            </w:pPr>
            <w:r>
              <w:rPr>
                <w:rFonts w:ascii="Times New Roman" w:cs="Times New Roman" w:eastAsia="Times New Roman" w:hAnsi="Times New Roman"/>
                <w:sz w:val="14"/>
                <w:szCs w:val="14"/>
                <w:color w:val="auto"/>
              </w:rPr>
              <w:t>2024</w:t>
            </w: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jc w:val="right"/>
              <w:ind w:right="609"/>
              <w:spacing w:after="0"/>
              <w:rPr>
                <w:sz w:val="20"/>
                <w:szCs w:val="20"/>
                <w:color w:val="auto"/>
              </w:rPr>
            </w:pPr>
            <w:r>
              <w:rPr>
                <w:rFonts w:ascii="Times New Roman" w:cs="Times New Roman" w:eastAsia="Times New Roman" w:hAnsi="Times New Roman"/>
                <w:sz w:val="14"/>
                <w:szCs w:val="14"/>
                <w:color w:val="auto"/>
              </w:rPr>
              <w:t>2023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6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components:</w:t>
            </w: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1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Interest cost</w:t>
            </w: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40" w:type="dxa"/>
            <w:vAlign w:val="bottom"/>
            <w:shd w:val="clear" w:color="auto" w:fill="CCEEFF"/>
          </w:tcPr>
          <w:p>
            <w:pPr>
              <w:spacing w:after="0"/>
              <w:rPr>
                <w:sz w:val="15"/>
                <w:szCs w:val="15"/>
                <w:color w:val="auto"/>
              </w:rPr>
            </w:pPr>
          </w:p>
        </w:tc>
        <w:tc>
          <w:tcPr>
            <w:tcW w:w="1200" w:type="dxa"/>
            <w:vAlign w:val="bottom"/>
            <w:gridSpan w:val="3"/>
            <w:shd w:val="clear" w:color="auto" w:fill="CCEEFF"/>
          </w:tcPr>
          <w:p>
            <w:pPr>
              <w:jc w:val="right"/>
              <w:ind w:right="98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60" w:type="dxa"/>
            <w:vAlign w:val="bottom"/>
            <w:shd w:val="clear" w:color="auto" w:fill="CCEEFF"/>
          </w:tcPr>
          <w:p>
            <w:pPr>
              <w:spacing w:after="0"/>
              <w:rPr>
                <w:sz w:val="15"/>
                <w:szCs w:val="15"/>
                <w:color w:val="auto"/>
              </w:rPr>
            </w:pPr>
          </w:p>
        </w:tc>
        <w:tc>
          <w:tcPr>
            <w:tcW w:w="440" w:type="dxa"/>
            <w:vAlign w:val="bottom"/>
            <w:gridSpan w:val="3"/>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Expected return on plan assets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1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amortization and deferral</w:t>
            </w:r>
          </w:p>
        </w:tc>
        <w:tc>
          <w:tcPr>
            <w:tcW w:w="6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net periodic pension (costs)/earnings</w:t>
            </w:r>
          </w:p>
        </w:tc>
        <w:tc>
          <w:tcPr>
            <w:tcW w:w="1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tcBorders>
              <w:bottom w:val="single" w:sz="8" w:color="auto"/>
            </w:tcBorders>
            <w:gridSpan w:val="2"/>
          </w:tcPr>
          <w:p>
            <w:pPr>
              <w:jc w:val="right"/>
              <w:ind w:right="98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Borders>
              <w:bottom w:val="single" w:sz="8" w:color="auto"/>
            </w:tcBorders>
            <w:gridSpan w:val="2"/>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The Company has a Supplemental Executive Retirement Plan, or SERP, to restore to executives designated by the Compensation Committee of the Board of Directors the full benefits under the pension plan that would otherwise be restricted by certain limitations now imposed under the Internal Revenue Code. The SERP is currently unfunded. The Company in April 2017 froze the SERP plan as it relates to the accrual of additional benefits.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SERP benefit information is as of December 31: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in thousands)</w:t>
            </w:r>
          </w:p>
        </w:tc>
        <w:tc>
          <w:tcPr>
            <w:tcW w:w="25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color w:val="auto"/>
              </w:rPr>
              <w:t>2024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4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Change in benefit obligation - SERP</w:t>
            </w:r>
          </w:p>
        </w:tc>
        <w:tc>
          <w:tcPr>
            <w:tcW w:w="2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8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Benefit obligation at beginning of year</w:t>
            </w:r>
          </w:p>
        </w:tc>
        <w:tc>
          <w:tcPr>
            <w:tcW w:w="3000" w:type="dxa"/>
            <w:vAlign w:val="bottom"/>
            <w:gridSpan w:val="2"/>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5,720</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Interest cost</w:t>
            </w:r>
          </w:p>
        </w:tc>
        <w:tc>
          <w:tcPr>
            <w:tcW w:w="2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Actuarial gain/assumption changes</w:t>
            </w:r>
          </w:p>
        </w:tc>
        <w:tc>
          <w:tcPr>
            <w:tcW w:w="25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Benefits paid</w:t>
            </w:r>
          </w:p>
        </w:tc>
        <w:tc>
          <w:tcPr>
            <w:tcW w:w="2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Benefit obligation and accumulated benefit obligation at end of year</w:t>
            </w:r>
          </w:p>
        </w:tc>
        <w:tc>
          <w:tcPr>
            <w:tcW w:w="256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5,743</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Funded status - liability</w:t>
            </w:r>
          </w:p>
        </w:tc>
        <w:tc>
          <w:tcPr>
            <w:tcW w:w="2560" w:type="dxa"/>
            <w:vAlign w:val="bottom"/>
          </w:tcPr>
          <w:p>
            <w:pPr>
              <w:spacing w:after="0"/>
              <w:rPr>
                <w:sz w:val="14"/>
                <w:szCs w:val="14"/>
                <w:color w:val="auto"/>
              </w:rPr>
            </w:pP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(5,743)</w:t>
            </w:r>
          </w:p>
        </w:tc>
        <w:tc>
          <w:tcPr>
            <w:tcW w:w="100" w:type="dxa"/>
            <w:vAlign w:val="bottom"/>
          </w:tcPr>
          <w:p>
            <w:pPr>
              <w:spacing w:after="0"/>
              <w:rPr>
                <w:sz w:val="14"/>
                <w:szCs w:val="14"/>
                <w:color w:val="auto"/>
              </w:rPr>
            </w:pP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(5,720)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560" w:type="dxa"/>
            <w:vAlign w:val="bottom"/>
            <w:vMerge w:val="restart"/>
          </w:tcPr>
          <w:p>
            <w:pPr>
              <w:jc w:val="right"/>
              <w:ind w:right="1569"/>
              <w:spacing w:after="0"/>
              <w:rPr>
                <w:sz w:val="20"/>
                <w:szCs w:val="20"/>
                <w:color w:val="auto"/>
              </w:rPr>
            </w:pPr>
            <w:r>
              <w:rPr>
                <w:rFonts w:ascii="Times New Roman" w:cs="Times New Roman" w:eastAsia="Times New Roman" w:hAnsi="Times New Roman"/>
                <w:sz w:val="14"/>
                <w:szCs w:val="14"/>
                <w:color w:val="auto"/>
              </w:rPr>
              <w:t>103</w:t>
            </w: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0"/>
        </w:trPr>
        <w:tc>
          <w:tcPr>
            <w:tcW w:w="484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840" w:type="dxa"/>
            <w:vAlign w:val="bottom"/>
            <w:tcBorders>
              <w:bottom w:val="single" w:sz="8" w:color="9A9A9A"/>
            </w:tcBorders>
          </w:tcPr>
          <w:p>
            <w:pPr>
              <w:spacing w:after="0"/>
              <w:rPr>
                <w:sz w:val="7"/>
                <w:szCs w:val="7"/>
                <w:color w:val="auto"/>
              </w:rPr>
            </w:pPr>
          </w:p>
        </w:tc>
        <w:tc>
          <w:tcPr>
            <w:tcW w:w="256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184"/>
        </w:trPr>
        <w:tc>
          <w:tcPr>
            <w:tcW w:w="74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in thousands)</w:t>
            </w:r>
          </w:p>
        </w:tc>
        <w:tc>
          <w:tcPr>
            <w:tcW w:w="4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color w:val="auto"/>
              </w:rPr>
              <w:t>2024</w:t>
            </w:r>
          </w:p>
        </w:tc>
      </w:tr>
      <w:tr>
        <w:trPr>
          <w:trHeight w:val="161"/>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Amounts recorded in stockholders’ equity</w:t>
            </w:r>
          </w:p>
        </w:tc>
        <w:tc>
          <w:tcPr>
            <w:tcW w:w="4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180"/>
        </w:trPr>
        <w:tc>
          <w:tcPr>
            <w:tcW w:w="7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actuarial loss</w:t>
            </w: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1,378</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1,157</w:t>
            </w:r>
          </w:p>
        </w:tc>
      </w:tr>
      <w:tr>
        <w:trPr>
          <w:trHeight w:val="171"/>
        </w:trPr>
        <w:tc>
          <w:tcPr>
            <w:tcW w:w="74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Total amount recorded</w:t>
            </w: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1,378</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1,157</w:t>
            </w:r>
          </w:p>
        </w:tc>
      </w:tr>
      <w:tr>
        <w:trPr>
          <w:trHeight w:val="196"/>
        </w:trPr>
        <w:tc>
          <w:tcPr>
            <w:tcW w:w="74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Amount recorded, net of taxes</w:t>
            </w: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992</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changes in benefit obligations recognized in other comprehensive income for 2025 and 2024 included the following components: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1"/>
                <w:szCs w:val="11"/>
                <w:color w:val="auto"/>
              </w:rPr>
              <w:t>($ in thousands)</w:t>
            </w:r>
          </w:p>
        </w:tc>
        <w:tc>
          <w:tcPr>
            <w:tcW w:w="3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13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tcPr>
          <w:p>
            <w:pPr>
              <w:jc w:val="right"/>
              <w:ind w:right="229"/>
              <w:spacing w:after="0"/>
              <w:rPr>
                <w:sz w:val="20"/>
                <w:szCs w:val="20"/>
                <w:color w:val="auto"/>
              </w:rPr>
            </w:pPr>
            <w:r>
              <w:rPr>
                <w:rFonts w:ascii="Times New Roman" w:cs="Times New Roman" w:eastAsia="Times New Roman" w:hAnsi="Times New Roman"/>
                <w:sz w:val="14"/>
                <w:szCs w:val="14"/>
                <w:color w:val="auto"/>
              </w:rPr>
              <w:t>2025</w:t>
            </w:r>
          </w:p>
        </w:tc>
        <w:tc>
          <w:tcPr>
            <w:tcW w:w="4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171"/>
        </w:trPr>
        <w:tc>
          <w:tcPr>
            <w:tcW w:w="1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(gain) loss</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spacing w:after="0"/>
              <w:rPr>
                <w:sz w:val="14"/>
                <w:szCs w:val="14"/>
                <w:color w:val="auto"/>
              </w:rPr>
            </w:pPr>
          </w:p>
        </w:tc>
        <w:tc>
          <w:tcPr>
            <w:tcW w:w="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w w:val="85"/>
              </w:rPr>
              <w:t>263</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0" w:type="dxa"/>
            <w:vAlign w:val="bottom"/>
          </w:tcPr>
          <w:p>
            <w:pPr>
              <w:spacing w:after="0"/>
              <w:rPr>
                <w:sz w:val="1"/>
                <w:szCs w:val="1"/>
                <w:color w:val="auto"/>
              </w:rPr>
            </w:pPr>
          </w:p>
        </w:tc>
      </w:tr>
      <w:tr>
        <w:trPr>
          <w:trHeight w:val="180"/>
        </w:trPr>
        <w:tc>
          <w:tcPr>
            <w:tcW w:w="192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4"/>
                <w:szCs w:val="14"/>
                <w:color w:val="auto"/>
              </w:rPr>
              <w:t>Recognition of net actuarial loss</w:t>
            </w:r>
          </w:p>
        </w:tc>
        <w:tc>
          <w:tcPr>
            <w:tcW w:w="480" w:type="dxa"/>
            <w:vAlign w:val="bottom"/>
            <w:tcBorders>
              <w:bottom w:val="single" w:sz="8" w:color="CCEEFF"/>
            </w:tcBorders>
          </w:tcPr>
          <w:p>
            <w:pPr>
              <w:spacing w:after="0"/>
              <w:rPr>
                <w:sz w:val="15"/>
                <w:szCs w:val="15"/>
                <w:color w:val="auto"/>
              </w:rPr>
            </w:pPr>
          </w:p>
        </w:tc>
        <w:tc>
          <w:tcPr>
            <w:tcW w:w="13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13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8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color w:val="auto"/>
              </w:rPr>
              <w:t>(42)</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71"/>
        </w:trPr>
        <w:tc>
          <w:tcPr>
            <w:tcW w:w="1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changes</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w w:val="85"/>
              </w:rPr>
              <w:t>221</w:t>
            </w:r>
          </w:p>
        </w:tc>
        <w:tc>
          <w:tcPr>
            <w:tcW w:w="6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tcBorders>
              <w:bottom w:val="single" w:sz="8" w:color="auto"/>
            </w:tcBorders>
            <w:gridSpan w:val="2"/>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0" w:type="dxa"/>
            <w:vAlign w:val="bottom"/>
          </w:tcPr>
          <w:p>
            <w:pPr>
              <w:spacing w:after="0"/>
              <w:rPr>
                <w:sz w:val="1"/>
                <w:szCs w:val="1"/>
                <w:color w:val="auto"/>
              </w:rPr>
            </w:pPr>
          </w:p>
        </w:tc>
      </w:tr>
      <w:tr>
        <w:trPr>
          <w:trHeight w:val="171"/>
        </w:trPr>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Changes, net of taxes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w w:val="85"/>
              </w:rPr>
              <w:t>159</w:t>
            </w:r>
          </w:p>
        </w:tc>
        <w:tc>
          <w:tcPr>
            <w:tcW w:w="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Borders>
              <w:bottom w:val="single" w:sz="8" w:color="auto"/>
            </w:tcBorders>
            <w:gridSpan w:val="2"/>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882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The Company expects to recognize the following amounts as a component of net periodic pension costs during the next fiscal year ($ in thousands):</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cost</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54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0" w:type="dxa"/>
            <w:vAlign w:val="bottom"/>
          </w:tcPr>
          <w:p>
            <w:pPr>
              <w:spacing w:after="0"/>
              <w:rPr>
                <w:sz w:val="1"/>
                <w:szCs w:val="1"/>
                <w:color w:val="auto"/>
              </w:rPr>
            </w:pPr>
          </w:p>
        </w:tc>
      </w:tr>
      <w:tr>
        <w:trPr>
          <w:trHeight w:val="180"/>
        </w:trPr>
        <w:tc>
          <w:tcPr>
            <w:tcW w:w="1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Amortization of net gain</w:t>
            </w:r>
          </w:p>
        </w:tc>
        <w:tc>
          <w:tcPr>
            <w:tcW w:w="3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13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13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8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6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196"/>
        </w:trPr>
        <w:tc>
          <w:tcPr>
            <w:tcW w:w="240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periodic pension (costs)/earnings</w:t>
            </w:r>
          </w:p>
        </w:tc>
        <w:tc>
          <w:tcPr>
            <w:tcW w:w="13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bottom w:val="single" w:sz="8" w:color="CCEEFF"/>
            </w:tcBorders>
            <w:gridSpan w:val="11"/>
            <w:vMerge w:val="restart"/>
          </w:tcPr>
          <w:p>
            <w:pPr>
              <w:spacing w:after="0"/>
              <w:rPr>
                <w:sz w:val="20"/>
                <w:szCs w:val="20"/>
                <w:color w:val="auto"/>
              </w:rPr>
            </w:pPr>
            <w:r>
              <w:rPr>
                <w:rFonts w:ascii="Times New Roman" w:cs="Times New Roman" w:eastAsia="Times New Roman" w:hAnsi="Times New Roman"/>
                <w:sz w:val="14"/>
                <w:szCs w:val="14"/>
                <w:color w:val="auto"/>
              </w:rPr>
              <w:t>Based on actuarial estimates, it is expected that annual SERP benefit payments will be as follows ($ in thousands):</w:t>
            </w:r>
          </w:p>
        </w:tc>
        <w:tc>
          <w:tcPr>
            <w:tcW w:w="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6960" w:type="dxa"/>
            <w:vAlign w:val="bottom"/>
            <w:gridSpan w:val="11"/>
            <w:vMerge w:val="continue"/>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0"/>
        </w:trPr>
        <w:tc>
          <w:tcPr>
            <w:tcW w:w="148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2026</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00" w:type="dxa"/>
            <w:vAlign w:val="bottom"/>
          </w:tcPr>
          <w:p>
            <w:pPr>
              <w:jc w:val="right"/>
              <w:ind w:right="689"/>
              <w:spacing w:after="0"/>
              <w:rPr>
                <w:sz w:val="20"/>
                <w:szCs w:val="20"/>
                <w:color w:val="auto"/>
              </w:rPr>
            </w:pPr>
            <w:r>
              <w:rPr>
                <w:rFonts w:ascii="Times New Roman" w:cs="Times New Roman" w:eastAsia="Times New Roman" w:hAnsi="Times New Roman"/>
                <w:sz w:val="14"/>
                <w:szCs w:val="14"/>
                <w:color w:val="auto"/>
              </w:rPr>
              <w:t>2027</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jc w:val="right"/>
              <w:ind w:right="689"/>
              <w:spacing w:after="0"/>
              <w:rPr>
                <w:sz w:val="20"/>
                <w:szCs w:val="20"/>
                <w:color w:val="auto"/>
              </w:rPr>
            </w:pPr>
            <w:r>
              <w:rPr>
                <w:rFonts w:ascii="Times New Roman" w:cs="Times New Roman" w:eastAsia="Times New Roman" w:hAnsi="Times New Roman"/>
                <w:sz w:val="14"/>
                <w:szCs w:val="14"/>
                <w:color w:val="auto"/>
              </w:rPr>
              <w:t>2028</w:t>
            </w:r>
          </w:p>
        </w:tc>
        <w:tc>
          <w:tcPr>
            <w:tcW w:w="100" w:type="dxa"/>
            <w:vAlign w:val="bottom"/>
          </w:tcPr>
          <w:p>
            <w:pPr>
              <w:spacing w:after="0"/>
              <w:rPr>
                <w:sz w:val="24"/>
                <w:szCs w:val="24"/>
                <w:color w:val="auto"/>
              </w:rPr>
            </w:pPr>
          </w:p>
        </w:tc>
        <w:tc>
          <w:tcPr>
            <w:tcW w:w="128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2029</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2"/>
          </w:tcPr>
          <w:p>
            <w:pPr>
              <w:jc w:val="right"/>
              <w:ind w:right="149"/>
              <w:spacing w:after="0"/>
              <w:rPr>
                <w:sz w:val="20"/>
                <w:szCs w:val="20"/>
                <w:color w:val="auto"/>
              </w:rPr>
            </w:pPr>
            <w:r>
              <w:rPr>
                <w:rFonts w:ascii="Times New Roman" w:cs="Times New Roman" w:eastAsia="Times New Roman" w:hAnsi="Times New Roman"/>
                <w:sz w:val="14"/>
                <w:szCs w:val="14"/>
                <w:color w:val="auto"/>
              </w:rPr>
              <w:t>2030</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Thereafter</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1440" w:type="dxa"/>
            <w:vAlign w:val="bottom"/>
            <w:tcBorders>
              <w:top w:val="single" w:sz="8" w:color="auto"/>
            </w:tcBorders>
            <w:shd w:val="clear" w:color="auto" w:fill="CCEEFF"/>
          </w:tcPr>
          <w:p>
            <w:pPr>
              <w:jc w:val="right"/>
              <w:ind w:right="126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10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w:t>
            </w:r>
          </w:p>
        </w:tc>
        <w:tc>
          <w:tcPr>
            <w:tcW w:w="10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10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jc w:val="right"/>
              <w:ind w:right="112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jc w:val="right"/>
              <w:ind w:right="110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w w:val="95"/>
              </w:rPr>
              <w:t>531</w:t>
            </w:r>
          </w:p>
        </w:tc>
        <w:tc>
          <w:tcPr>
            <w:tcW w:w="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2,379</w:t>
            </w:r>
          </w:p>
        </w:tc>
        <w:tc>
          <w:tcPr>
            <w:tcW w:w="0" w:type="dxa"/>
            <w:vAlign w:val="bottom"/>
          </w:tcPr>
          <w:p>
            <w:pPr>
              <w:spacing w:after="0"/>
              <w:rPr>
                <w:sz w:val="1"/>
                <w:szCs w:val="1"/>
                <w:color w:val="auto"/>
              </w:rPr>
            </w:pPr>
          </w:p>
        </w:tc>
      </w:tr>
    </w:tbl>
    <w:p>
      <w:pPr>
        <w:spacing w:after="0" w:line="12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weighted-average discount rate used in determining the actuarial present value of projected benefits obligation was 4.95% for 2025 and 5.35% for 2024. Total pension and retirement expense was as follows for each of the years ended December 31:</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in thousands)</w:t>
            </w:r>
          </w:p>
        </w:tc>
        <w:tc>
          <w:tcPr>
            <w:tcW w:w="24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rPr>
              <w:t>2023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components:</w:t>
            </w:r>
          </w:p>
        </w:tc>
        <w:tc>
          <w:tcPr>
            <w:tcW w:w="2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Interest cost</w:t>
            </w:r>
          </w:p>
        </w:tc>
        <w:tc>
          <w:tcPr>
            <w:tcW w:w="2860" w:type="dxa"/>
            <w:vAlign w:val="bottom"/>
            <w:gridSpan w:val="2"/>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6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Net amortization and other</w:t>
            </w:r>
          </w:p>
        </w:tc>
        <w:tc>
          <w:tcPr>
            <w:tcW w:w="24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net periodic pension cost</w:t>
            </w:r>
          </w:p>
        </w:tc>
        <w:tc>
          <w:tcPr>
            <w:tcW w:w="24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bottom w:val="single" w:sz="8" w:color="CCEEFF"/>
            </w:tcBorders>
            <w:vMerge w:val="restart"/>
          </w:tcPr>
          <w:p>
            <w:pPr>
              <w:jc w:val="right"/>
              <w:ind w:right="309"/>
              <w:spacing w:after="0"/>
              <w:rPr>
                <w:sz w:val="20"/>
                <w:szCs w:val="20"/>
                <w:color w:val="auto"/>
              </w:rPr>
            </w:pPr>
            <w:r>
              <w:rPr>
                <w:rFonts w:ascii="Times New Roman" w:cs="Times New Roman" w:eastAsia="Times New Roman" w:hAnsi="Times New Roman"/>
                <w:sz w:val="14"/>
                <w:szCs w:val="14"/>
                <w:color w:val="auto"/>
              </w:rPr>
              <w:t>104</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1"/>
        </w:trPr>
        <w:tc>
          <w:tcPr>
            <w:tcW w:w="366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660" w:type="dxa"/>
            <w:vAlign w:val="bottom"/>
            <w:tcBorders>
              <w:bottom w:val="single" w:sz="8" w:color="9A9A9A"/>
            </w:tcBorders>
          </w:tcPr>
          <w:p>
            <w:pPr>
              <w:spacing w:after="0"/>
              <w:rPr>
                <w:sz w:val="7"/>
                <w:szCs w:val="7"/>
                <w:color w:val="auto"/>
              </w:rPr>
            </w:pPr>
          </w:p>
        </w:tc>
        <w:tc>
          <w:tcPr>
            <w:tcW w:w="24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36" w:right="319" w:bottom="1440" w:gutter="0" w:footer="0" w:header="0"/>
        </w:sectPr>
      </w:pPr>
    </w:p>
    <w:bookmarkStart w:id="104" w:name="page105"/>
    <w:bookmarkEnd w:id="104"/>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15.</w:t>
        <w:tab/>
        <w:t>REPORTING SEGMENTS AND RELATED INFORMATION</w:t>
      </w:r>
    </w:p>
    <w:p>
      <w:pPr>
        <w:spacing w:after="0" w:line="138"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The Company currently operates six reporting segments: commercial/industrial real estate development, multifamily, resort/residential real estate development, mineral resources, farming, and ranch operations. Beginning in the fourth quarter of 2025, the Company commenced multifamily leasing operations as buildings within the Terra Vista development were completed and placed into service. The final building was delivered in October 2025. Multifamily is presented as a separate reportable segment due to the significance of its operations and the manner in which management evaluates its performance.</w:t>
      </w:r>
    </w:p>
    <w:p>
      <w:pPr>
        <w:spacing w:after="0" w:line="98"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The financial results of these segments are reviewed by the chief operating decision maker (“CODM”), who is the Company’s President and Chief Executive Officer, for purposes of evaluating segment performance and allocating resources. The CODM evaluates segment performance primarily based on GAAP operating income (loss) for each segment. Segment operating income (loss) represents revenues less direct segment operating expenses, and excludes investment income, other income (loss), corporate expenses, and income taxes. This measure is used in the Company’s annual budgeting and forecasting process and in monthly reviews of budget-to-actual variances when making decisions regarding the allocation of capital and personnel among segments. The CODM also reviews capital expenditures by segment, which represent cash expenditures for additions to long-lived assets, consistent with the information regularly provided to and reviewed by the CODM for purposes of evaluating resource allocation decisions.</w:t>
      </w:r>
    </w:p>
    <w:p>
      <w:pPr>
        <w:spacing w:after="0" w:line="103"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Certain prior-year amounts have been reclassified to conform to the significant expense categories in which the CODM receives the information. Specifically, certain costs previously included within General and administrative expenses have been reclassified to Operating costs within the segment expense presentation, and depreciation expense, which was previously included within Other expense, is now presented separately. These reclassifications had no impact on total operating expenses, operating income, net income, or earnings per share as previously reported.</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Information pertaining to operating results of the Company's reporting segments are as follows for each of the years ended December 31:</w:t>
      </w:r>
    </w:p>
    <w:p>
      <w:pPr>
        <w:spacing w:after="0" w:line="168"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color w:val="auto"/>
              </w:rPr>
              <w:t>2023</w:t>
            </w:r>
          </w:p>
        </w:tc>
      </w:tr>
      <w:tr>
        <w:trPr>
          <w:trHeight w:val="135"/>
        </w:trPr>
        <w:tc>
          <w:tcPr>
            <w:tcW w:w="600" w:type="dxa"/>
            <w:vAlign w:val="bottom"/>
            <w:tcBorders>
              <w:bottom w:val="single" w:sz="8" w:color="auto"/>
            </w:tcBorders>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w w:val="98"/>
              </w:rPr>
              <w:t>Revenues</w:t>
            </w:r>
          </w:p>
        </w:tc>
        <w:tc>
          <w:tcPr>
            <w:tcW w:w="4920" w:type="dxa"/>
            <w:vAlign w:val="bottom"/>
            <w:gridSpan w:val="2"/>
          </w:tcPr>
          <w:p>
            <w:pPr>
              <w:spacing w:after="0"/>
              <w:rPr>
                <w:sz w:val="11"/>
                <w:szCs w:val="11"/>
                <w:color w:val="auto"/>
              </w:rPr>
            </w:pPr>
          </w:p>
        </w:tc>
        <w:tc>
          <w:tcPr>
            <w:tcW w:w="4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20" w:type="dxa"/>
            <w:vAlign w:val="bottom"/>
          </w:tcPr>
          <w:p>
            <w:pPr>
              <w:spacing w:after="0"/>
              <w:rPr>
                <w:sz w:val="11"/>
                <w:szCs w:val="11"/>
                <w:color w:val="auto"/>
              </w:rPr>
            </w:pPr>
          </w:p>
        </w:tc>
      </w:tr>
      <w:tr>
        <w:trPr>
          <w:trHeight w:val="186"/>
        </w:trPr>
        <w:tc>
          <w:tcPr>
            <w:tcW w:w="552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estate—commercial/industrial</w:t>
            </w: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15,006</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12,552</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11,758</w:t>
            </w:r>
          </w:p>
        </w:tc>
      </w:tr>
      <w:tr>
        <w:trPr>
          <w:trHeight w:val="180"/>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Multifamily</w:t>
            </w:r>
          </w:p>
        </w:tc>
        <w:tc>
          <w:tcPr>
            <w:tcW w:w="4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52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Mineral resources</w:t>
            </w: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9,636</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10,214</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14,524</w:t>
            </w:r>
          </w:p>
        </w:tc>
      </w:tr>
      <w:tr>
        <w:trPr>
          <w:trHeight w:val="180"/>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Farming</w:t>
            </w:r>
          </w:p>
        </w:tc>
        <w:tc>
          <w:tcPr>
            <w:tcW w:w="4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18,738</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13,925</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13,950</w:t>
            </w:r>
          </w:p>
        </w:tc>
      </w:tr>
      <w:tr>
        <w:trPr>
          <w:trHeight w:val="180"/>
        </w:trPr>
        <w:tc>
          <w:tcPr>
            <w:tcW w:w="552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Ranch operations</w:t>
            </w:r>
          </w:p>
        </w:tc>
        <w:tc>
          <w:tcPr>
            <w:tcW w:w="44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5,479</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5,195</w:t>
            </w:r>
          </w:p>
        </w:tc>
        <w:tc>
          <w:tcPr>
            <w:tcW w:w="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4,507</w:t>
            </w:r>
          </w:p>
        </w:tc>
      </w:tr>
      <w:tr>
        <w:trPr>
          <w:trHeight w:val="150"/>
        </w:trPr>
        <w:tc>
          <w:tcPr>
            <w:tcW w:w="5520" w:type="dxa"/>
            <w:vAlign w:val="bottom"/>
            <w:gridSpan w:val="3"/>
          </w:tcPr>
          <w:p>
            <w:pPr>
              <w:ind w:left="20"/>
              <w:spacing w:after="0" w:line="150" w:lineRule="exact"/>
              <w:rPr>
                <w:sz w:val="20"/>
                <w:szCs w:val="20"/>
                <w:color w:val="auto"/>
              </w:rPr>
            </w:pPr>
            <w:r>
              <w:rPr>
                <w:rFonts w:ascii="Times New Roman" w:cs="Times New Roman" w:eastAsia="Times New Roman" w:hAnsi="Times New Roman"/>
                <w:sz w:val="14"/>
                <w:szCs w:val="14"/>
                <w:color w:val="auto"/>
              </w:rPr>
              <w:t>Segment revenues</w:t>
            </w:r>
          </w:p>
        </w:tc>
        <w:tc>
          <w:tcPr>
            <w:tcW w:w="440" w:type="dxa"/>
            <w:vAlign w:val="bottom"/>
            <w:tcBorders>
              <w:bottom w:val="single" w:sz="8" w:color="auto"/>
            </w:tcBorders>
          </w:tcPr>
          <w:p>
            <w:pPr>
              <w:jc w:val="right"/>
              <w:ind w:right="289"/>
              <w:spacing w:after="0" w:line="150" w:lineRule="exact"/>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49,591</w:t>
            </w:r>
          </w:p>
        </w:tc>
        <w:tc>
          <w:tcPr>
            <w:tcW w:w="100" w:type="dxa"/>
            <w:vAlign w:val="bottom"/>
          </w:tcPr>
          <w:p>
            <w:pPr>
              <w:spacing w:after="0"/>
              <w:rPr>
                <w:sz w:val="13"/>
                <w:szCs w:val="13"/>
                <w:color w:val="auto"/>
              </w:rPr>
            </w:pPr>
          </w:p>
        </w:tc>
        <w:tc>
          <w:tcPr>
            <w:tcW w:w="440" w:type="dxa"/>
            <w:vAlign w:val="bottom"/>
            <w:tcBorders>
              <w:bottom w:val="single" w:sz="8" w:color="auto"/>
            </w:tcBorders>
          </w:tcPr>
          <w:p>
            <w:pPr>
              <w:jc w:val="right"/>
              <w:ind w:right="289"/>
              <w:spacing w:after="0" w:line="150" w:lineRule="exact"/>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41,886</w:t>
            </w:r>
          </w:p>
        </w:tc>
        <w:tc>
          <w:tcPr>
            <w:tcW w:w="80" w:type="dxa"/>
            <w:vAlign w:val="bottom"/>
          </w:tcPr>
          <w:p>
            <w:pPr>
              <w:spacing w:after="0"/>
              <w:rPr>
                <w:sz w:val="13"/>
                <w:szCs w:val="13"/>
                <w:color w:val="auto"/>
              </w:rPr>
            </w:pPr>
          </w:p>
        </w:tc>
        <w:tc>
          <w:tcPr>
            <w:tcW w:w="440" w:type="dxa"/>
            <w:vAlign w:val="bottom"/>
            <w:tcBorders>
              <w:bottom w:val="single" w:sz="8" w:color="auto"/>
            </w:tcBorders>
          </w:tcPr>
          <w:p>
            <w:pPr>
              <w:jc w:val="right"/>
              <w:ind w:right="269"/>
              <w:spacing w:after="0" w:line="150"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44,739</w:t>
            </w:r>
          </w:p>
        </w:tc>
      </w:tr>
      <w:tr>
        <w:trPr>
          <w:trHeight w:val="20"/>
        </w:trPr>
        <w:tc>
          <w:tcPr>
            <w:tcW w:w="6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10"/>
        </w:trPr>
        <w:tc>
          <w:tcPr>
            <w:tcW w:w="5520" w:type="dxa"/>
            <w:vAlign w:val="bottom"/>
            <w:tcBorders>
              <w:left w:val="single" w:sz="8" w:color="CCEEFF"/>
            </w:tcBorders>
            <w:gridSpan w:val="3"/>
            <w:shd w:val="clear" w:color="auto" w:fill="CCEEFF"/>
          </w:tcPr>
          <w:p>
            <w:pPr>
              <w:ind w:left="20"/>
              <w:spacing w:after="0" w:line="110" w:lineRule="exact"/>
              <w:rPr>
                <w:sz w:val="20"/>
                <w:szCs w:val="20"/>
                <w:color w:val="auto"/>
              </w:rPr>
            </w:pPr>
            <w:r>
              <w:rPr>
                <w:rFonts w:ascii="Times New Roman" w:cs="Times New Roman" w:eastAsia="Times New Roman" w:hAnsi="Times New Roman"/>
                <w:sz w:val="12"/>
                <w:szCs w:val="12"/>
                <w:b w:val="1"/>
                <w:bCs w:val="1"/>
                <w:color w:val="auto"/>
              </w:rPr>
              <w:t>Segment Operating Results</w:t>
            </w:r>
          </w:p>
        </w:tc>
        <w:tc>
          <w:tcPr>
            <w:tcW w:w="44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r>
      <w:tr>
        <w:trPr>
          <w:trHeight w:val="32"/>
        </w:trPr>
        <w:tc>
          <w:tcPr>
            <w:tcW w:w="600" w:type="dxa"/>
            <w:vAlign w:val="bottom"/>
            <w:tcBorders>
              <w:left w:val="single" w:sz="8" w:color="CCEEFF"/>
            </w:tcBorders>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8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r>
        <w:trPr>
          <w:trHeight w:val="180"/>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Real estate—commercial/industrial</w:t>
            </w:r>
          </w:p>
        </w:tc>
        <w:tc>
          <w:tcPr>
            <w:tcW w:w="4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15,366</w:t>
            </w:r>
          </w:p>
        </w:tc>
        <w:tc>
          <w:tcPr>
            <w:tcW w:w="100" w:type="dxa"/>
            <w:vAlign w:val="bottom"/>
          </w:tcPr>
          <w:p>
            <w:pPr>
              <w:spacing w:after="0"/>
              <w:rPr>
                <w:sz w:val="15"/>
                <w:szCs w:val="15"/>
                <w:color w:val="auto"/>
              </w:rPr>
            </w:pPr>
          </w:p>
        </w:tc>
        <w:tc>
          <w:tcPr>
            <w:tcW w:w="4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15,523</w:t>
            </w:r>
          </w:p>
        </w:tc>
        <w:tc>
          <w:tcPr>
            <w:tcW w:w="80" w:type="dxa"/>
            <w:vAlign w:val="bottom"/>
          </w:tcPr>
          <w:p>
            <w:pPr>
              <w:spacing w:after="0"/>
              <w:rPr>
                <w:sz w:val="15"/>
                <w:szCs w:val="15"/>
                <w:color w:val="auto"/>
              </w:rPr>
            </w:pPr>
          </w:p>
        </w:tc>
        <w:tc>
          <w:tcPr>
            <w:tcW w:w="44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10,573</w:t>
            </w:r>
          </w:p>
        </w:tc>
      </w:tr>
      <w:tr>
        <w:trPr>
          <w:trHeight w:val="180"/>
        </w:trPr>
        <w:tc>
          <w:tcPr>
            <w:tcW w:w="552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Multifamily</w:t>
            </w: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(1,547)</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Real estate—resort/residential</w:t>
            </w:r>
          </w:p>
        </w:tc>
        <w:tc>
          <w:tcPr>
            <w:tcW w:w="4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(2,277)</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(2,615)</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(1,528)</w:t>
            </w:r>
          </w:p>
        </w:tc>
      </w:tr>
      <w:tr>
        <w:trPr>
          <w:trHeight w:val="180"/>
        </w:trPr>
        <w:tc>
          <w:tcPr>
            <w:tcW w:w="552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Mineral resources</w:t>
            </w: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2,829</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3,162</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5,839</w:t>
            </w:r>
          </w:p>
        </w:tc>
      </w:tr>
      <w:tr>
        <w:trPr>
          <w:trHeight w:val="180"/>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Farming</w:t>
            </w:r>
          </w:p>
        </w:tc>
        <w:tc>
          <w:tcPr>
            <w:tcW w:w="4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(3,626)</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(1,307)</w:t>
            </w:r>
          </w:p>
        </w:tc>
      </w:tr>
      <w:tr>
        <w:trPr>
          <w:trHeight w:val="180"/>
        </w:trPr>
        <w:tc>
          <w:tcPr>
            <w:tcW w:w="552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Ranch operations</w:t>
            </w:r>
          </w:p>
        </w:tc>
        <w:tc>
          <w:tcPr>
            <w:tcW w:w="44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w:t>
            </w:r>
          </w:p>
        </w:tc>
      </w:tr>
      <w:tr>
        <w:trPr>
          <w:trHeight w:val="171"/>
        </w:trPr>
        <w:tc>
          <w:tcPr>
            <w:tcW w:w="5520" w:type="dxa"/>
            <w:vAlign w:val="bottom"/>
            <w:tcBorders>
              <w:bottom w:val="single" w:sz="8" w:color="CCEEFF"/>
            </w:tcBorders>
            <w:gridSpan w:val="3"/>
          </w:tcPr>
          <w:p>
            <w:pPr>
              <w:ind w:left="120"/>
              <w:spacing w:after="0" w:line="171" w:lineRule="exact"/>
              <w:rPr>
                <w:sz w:val="20"/>
                <w:szCs w:val="20"/>
                <w:color w:val="auto"/>
              </w:rPr>
            </w:pPr>
            <w:r>
              <w:rPr>
                <w:rFonts w:ascii="Times New Roman" w:cs="Times New Roman" w:eastAsia="Times New Roman" w:hAnsi="Times New Roman"/>
                <w:sz w:val="14"/>
                <w:szCs w:val="14"/>
                <w:color w:val="auto"/>
              </w:rPr>
              <w:t xml:space="preserve">Segment operating results </w:t>
            </w:r>
            <w:r>
              <w:rPr>
                <w:rFonts w:ascii="Times New Roman" w:cs="Times New Roman" w:eastAsia="Times New Roman" w:hAnsi="Times New Roman"/>
                <w:sz w:val="18"/>
                <w:szCs w:val="18"/>
                <w:color w:val="auto"/>
                <w:vertAlign w:val="superscript"/>
              </w:rPr>
              <w:t>1</w:t>
            </w:r>
          </w:p>
        </w:tc>
        <w:tc>
          <w:tcPr>
            <w:tcW w:w="4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14,477</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12,775</w:t>
            </w:r>
          </w:p>
        </w:tc>
        <w:tc>
          <w:tcPr>
            <w:tcW w:w="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13,041</w:t>
            </w:r>
          </w:p>
        </w:tc>
      </w:tr>
      <w:tr>
        <w:trPr>
          <w:trHeight w:val="160"/>
        </w:trPr>
        <w:tc>
          <w:tcPr>
            <w:tcW w:w="552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Reconciling items:</w:t>
            </w:r>
          </w:p>
        </w:tc>
        <w:tc>
          <w:tcPr>
            <w:tcW w:w="4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r>
      <w:tr>
        <w:trPr>
          <w:trHeight w:val="180"/>
        </w:trPr>
        <w:tc>
          <w:tcPr>
            <w:tcW w:w="552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Investment income</w:t>
            </w:r>
          </w:p>
        </w:tc>
        <w:tc>
          <w:tcPr>
            <w:tcW w:w="4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914</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2,273</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2,557</w:t>
            </w:r>
          </w:p>
        </w:tc>
      </w:tr>
      <w:tr>
        <w:trPr>
          <w:trHeight w:val="180"/>
        </w:trPr>
        <w:tc>
          <w:tcPr>
            <w:tcW w:w="5520" w:type="dxa"/>
            <w:vAlign w:val="bottom"/>
            <w:tcBorders>
              <w:left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loss</w:t>
            </w: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r>
      <w:tr>
        <w:trPr>
          <w:trHeight w:val="180"/>
        </w:trPr>
        <w:tc>
          <w:tcPr>
            <w:tcW w:w="5520" w:type="dxa"/>
            <w:vAlign w:val="bottom"/>
            <w:tcBorders>
              <w:bottom w:val="single" w:sz="8" w:color="CCEEFF"/>
            </w:tcBorders>
            <w:gridSpan w:val="3"/>
          </w:tcPr>
          <w:p>
            <w:pPr>
              <w:ind w:left="100"/>
              <w:spacing w:after="0"/>
              <w:rPr>
                <w:sz w:val="20"/>
                <w:szCs w:val="20"/>
                <w:color w:val="auto"/>
              </w:rPr>
            </w:pPr>
            <w:r>
              <w:rPr>
                <w:rFonts w:ascii="Times New Roman" w:cs="Times New Roman" w:eastAsia="Times New Roman" w:hAnsi="Times New Roman"/>
                <w:sz w:val="14"/>
                <w:szCs w:val="14"/>
                <w:color w:val="auto"/>
              </w:rPr>
              <w:t>Corporate expenses</w:t>
            </w:r>
          </w:p>
        </w:tc>
        <w:tc>
          <w:tcPr>
            <w:tcW w:w="4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(14,068)</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(11,092)</w:t>
            </w:r>
          </w:p>
        </w:tc>
        <w:tc>
          <w:tcPr>
            <w:tcW w:w="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(9,872)</w:t>
            </w:r>
          </w:p>
        </w:tc>
      </w:tr>
      <w:tr>
        <w:trPr>
          <w:trHeight w:val="196"/>
        </w:trPr>
        <w:tc>
          <w:tcPr>
            <w:tcW w:w="5520" w:type="dxa"/>
            <w:vAlign w:val="bottom"/>
            <w:tcBorders>
              <w:left w:val="single" w:sz="8" w:color="CCEEFF"/>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Income from operations before income taxes</w:t>
            </w: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1,159</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3,664</w:t>
            </w: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5,588</w:t>
            </w:r>
          </w:p>
        </w:tc>
      </w:tr>
      <w:tr>
        <w:trPr>
          <w:trHeight w:val="20"/>
        </w:trPr>
        <w:tc>
          <w:tcPr>
            <w:tcW w:w="6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1" w:lineRule="exact"/>
        <w:rPr>
          <w:sz w:val="20"/>
          <w:szCs w:val="20"/>
          <w:color w:val="auto"/>
        </w:rPr>
      </w:pPr>
    </w:p>
    <w:p>
      <w:pPr>
        <w:ind w:left="80" w:hanging="61"/>
        <w:spacing w:after="0"/>
        <w:tabs>
          <w:tab w:leader="none" w:pos="80" w:val="left"/>
        </w:tabs>
        <w:numPr>
          <w:ilvl w:val="0"/>
          <w:numId w:val="60"/>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Segment operating results are comprised of revenues and equity in earnings of unconsolidated joint ventures, less segment expenses, excluding investment income, other income (loss), corporate expenses, and income taxes.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Real Estate - Commercial/Industrial</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105" w:name="page106"/>
    <w:bookmarkEnd w:id="105"/>
    <w:p>
      <w:pPr>
        <w:ind w:right="440"/>
        <w:spacing w:after="0" w:line="287" w:lineRule="auto"/>
        <w:rPr>
          <w:sz w:val="20"/>
          <w:szCs w:val="20"/>
          <w:color w:val="auto"/>
        </w:rPr>
      </w:pPr>
      <w:r>
        <w:rPr>
          <w:rFonts w:ascii="Times New Roman" w:cs="Times New Roman" w:eastAsia="Times New Roman" w:hAnsi="Times New Roman"/>
          <w:sz w:val="14"/>
          <w:szCs w:val="14"/>
          <w:color w:val="auto"/>
        </w:rPr>
        <w:t>Commercial revenue consists of land and building leases to tenants at the Company's commercial retail and industrial developments, base and percentage rents from the PEF power plant lease, communication tower rents, land sales, and payments from easement leases.</w:t>
      </w:r>
    </w:p>
    <w:p>
      <w:pPr>
        <w:spacing w:after="0" w:line="82"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In 2025, the Company sold 2.8 acres of commercial land located at TRCC East to a third party for $1,727,000 and recognized previously deferred gross margin associated with the 2022 Nestlé land sale.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2024 and 2023, the Company did not have any land sales.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revenues, expenses and operating income from this segment for each of the years ended December 31:</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 in thousands)</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rPr>
              <w:t>2023</w:t>
            </w:r>
          </w:p>
        </w:tc>
      </w:tr>
      <w:tr>
        <w:trPr>
          <w:trHeight w:val="171"/>
        </w:trPr>
        <w:tc>
          <w:tcPr>
            <w:tcW w:w="6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Commercial/industrial revenues</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15,006</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12,552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11,758</w:t>
            </w:r>
          </w:p>
        </w:tc>
      </w:tr>
      <w:tr>
        <w:trPr>
          <w:trHeight w:val="180"/>
        </w:trPr>
        <w:tc>
          <w:tcPr>
            <w:tcW w:w="69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Equity in earnings of unconsolidated joint ventures</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8,362</w:t>
            </w:r>
          </w:p>
        </w:tc>
        <w:tc>
          <w:tcPr>
            <w:tcW w:w="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10,881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6,868</w:t>
            </w:r>
          </w:p>
        </w:tc>
      </w:tr>
      <w:tr>
        <w:trPr>
          <w:trHeight w:val="171"/>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Commercial/industrial revenues and equity in earnings of unconsolidated joint ventures</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23,368</w:t>
            </w:r>
          </w:p>
        </w:tc>
        <w:tc>
          <w:tcPr>
            <w:tcW w:w="80" w:type="dxa"/>
            <w:vAlign w:val="bottom"/>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23,433</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18,626</w:t>
            </w:r>
          </w:p>
        </w:tc>
      </w:tr>
      <w:tr>
        <w:trPr>
          <w:trHeight w:val="171"/>
        </w:trPr>
        <w:tc>
          <w:tcPr>
            <w:tcW w:w="69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Cost of sales of land</w:t>
            </w: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1,862</w:t>
            </w:r>
          </w:p>
        </w:tc>
        <w:tc>
          <w:tcPr>
            <w:tcW w:w="80" w:type="dxa"/>
            <w:vAlign w:val="bottom"/>
          </w:tcPr>
          <w:p>
            <w:pPr>
              <w:spacing w:after="0"/>
              <w:rPr>
                <w:sz w:val="14"/>
                <w:szCs w:val="14"/>
                <w:color w:val="auto"/>
              </w:rPr>
            </w:pPr>
          </w:p>
        </w:tc>
        <w:tc>
          <w:tcPr>
            <w:tcW w:w="880" w:type="dxa"/>
            <w:vAlign w:val="bottom"/>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w:t>
            </w:r>
          </w:p>
        </w:tc>
      </w:tr>
      <w:tr>
        <w:trPr>
          <w:trHeight w:val="180"/>
        </w:trPr>
        <w:tc>
          <w:tcPr>
            <w:tcW w:w="6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Operating expenses</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2,451</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4,074</w:t>
            </w:r>
          </w:p>
        </w:tc>
      </w:tr>
      <w:tr>
        <w:trPr>
          <w:trHeight w:val="180"/>
        </w:trPr>
        <w:tc>
          <w:tcPr>
            <w:tcW w:w="69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3,189</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3,687</w:t>
            </w:r>
          </w:p>
        </w:tc>
      </w:tr>
      <w:tr>
        <w:trPr>
          <w:trHeight w:val="180"/>
        </w:trPr>
        <w:tc>
          <w:tcPr>
            <w:tcW w:w="6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80" w:type="dxa"/>
            <w:vAlign w:val="bottom"/>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w:t>
            </w:r>
          </w:p>
        </w:tc>
      </w:tr>
      <w:tr>
        <w:trPr>
          <w:trHeight w:val="171"/>
        </w:trPr>
        <w:tc>
          <w:tcPr>
            <w:tcW w:w="6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Commercial/industrial expenses</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8,002</w:t>
            </w:r>
          </w:p>
        </w:tc>
        <w:tc>
          <w:tcPr>
            <w:tcW w:w="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7,910</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8,053</w:t>
            </w:r>
          </w:p>
        </w:tc>
      </w:tr>
      <w:tr>
        <w:trPr>
          <w:trHeight w:val="196"/>
        </w:trPr>
        <w:tc>
          <w:tcPr>
            <w:tcW w:w="6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results from commercial/industrial and unconsolidated joint ventures</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15,366</w:t>
            </w:r>
          </w:p>
        </w:tc>
        <w:tc>
          <w:tcPr>
            <w:tcW w:w="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15,523</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10,573</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Multifamily</w:t>
      </w:r>
    </w:p>
    <w:p>
      <w:pPr>
        <w:spacing w:after="0" w:line="96"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The multifamily segment generates rents from the tenants living in the Terra Vista community. Construction of the Terra Vista development occurred in phases during 2024 and 2025, and leasing operations commenced as individual buildings were completed and placed into service. The final building was delivered in October 2025. The property is currently in the initial lease-up phase. Operating losses for 2025 primarily reflect start-up costs and depreciation and amortization associated with the newly completed development and are expected to moderate as occupancy increases.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32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summarizes revenues, expenses and operating results from this segment for the years ended December 31:</w:t>
            </w:r>
          </w:p>
        </w:tc>
        <w:tc>
          <w:tcPr>
            <w:tcW w:w="46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07"/>
        </w:trPr>
        <w:tc>
          <w:tcPr>
            <w:tcW w:w="9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500" w:type="dxa"/>
            <w:vAlign w:val="bottom"/>
          </w:tcPr>
          <w:p>
            <w:pPr>
              <w:spacing w:after="0"/>
              <w:rPr>
                <w:sz w:val="9"/>
                <w:szCs w:val="9"/>
                <w:color w:val="auto"/>
              </w:rPr>
            </w:pPr>
          </w:p>
        </w:tc>
      </w:tr>
      <w:tr>
        <w:trPr>
          <w:trHeight w:val="180"/>
        </w:trPr>
        <w:tc>
          <w:tcPr>
            <w:tcW w:w="9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46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rPr>
              <w:t>2025</w:t>
            </w:r>
          </w:p>
        </w:tc>
      </w:tr>
      <w:tr>
        <w:trPr>
          <w:trHeight w:val="171"/>
        </w:trPr>
        <w:tc>
          <w:tcPr>
            <w:tcW w:w="9320" w:type="dxa"/>
            <w:vAlign w:val="bottom"/>
            <w:tcBorders>
              <w:bottom w:val="single" w:sz="8" w:color="CCEEFF"/>
            </w:tcBorders>
          </w:tcPr>
          <w:p>
            <w:pPr>
              <w:ind w:left="20"/>
              <w:spacing w:after="0" w:line="171" w:lineRule="exact"/>
              <w:rPr>
                <w:sz w:val="20"/>
                <w:szCs w:val="20"/>
                <w:color w:val="auto"/>
              </w:rPr>
            </w:pPr>
            <w:r>
              <w:rPr>
                <w:rFonts w:ascii="Times New Roman" w:cs="Times New Roman" w:eastAsia="Times New Roman" w:hAnsi="Times New Roman"/>
                <w:sz w:val="14"/>
                <w:szCs w:val="14"/>
                <w:color w:val="auto"/>
              </w:rPr>
              <w:t>Multifamily revenues</w:t>
            </w:r>
            <w:r>
              <w:rPr>
                <w:rFonts w:ascii="Times New Roman" w:cs="Times New Roman" w:eastAsia="Times New Roman" w:hAnsi="Times New Roman"/>
                <w:sz w:val="18"/>
                <w:szCs w:val="18"/>
                <w:color w:val="auto"/>
                <w:vertAlign w:val="superscript"/>
              </w:rPr>
              <w:t>1</w:t>
            </w:r>
          </w:p>
        </w:tc>
        <w:tc>
          <w:tcPr>
            <w:tcW w:w="4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732</w:t>
            </w:r>
          </w:p>
        </w:tc>
      </w:tr>
      <w:tr>
        <w:trPr>
          <w:trHeight w:val="171"/>
        </w:trPr>
        <w:tc>
          <w:tcPr>
            <w:tcW w:w="9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Operating expenses</w:t>
            </w:r>
          </w:p>
        </w:tc>
        <w:tc>
          <w:tcPr>
            <w:tcW w:w="4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w:t>
            </w:r>
          </w:p>
        </w:tc>
      </w:tr>
      <w:tr>
        <w:trPr>
          <w:trHeight w:val="180"/>
        </w:trPr>
        <w:tc>
          <w:tcPr>
            <w:tcW w:w="9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4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w:t>
            </w:r>
          </w:p>
        </w:tc>
      </w:tr>
      <w:tr>
        <w:trPr>
          <w:trHeight w:val="180"/>
        </w:trPr>
        <w:tc>
          <w:tcPr>
            <w:tcW w:w="9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46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w:t>
            </w:r>
          </w:p>
        </w:tc>
      </w:tr>
      <w:tr>
        <w:trPr>
          <w:trHeight w:val="171"/>
        </w:trPr>
        <w:tc>
          <w:tcPr>
            <w:tcW w:w="9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Multifamily expenses</w:t>
            </w:r>
          </w:p>
        </w:tc>
        <w:tc>
          <w:tcPr>
            <w:tcW w:w="46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2,279</w:t>
            </w:r>
          </w:p>
        </w:tc>
      </w:tr>
      <w:tr>
        <w:trPr>
          <w:trHeight w:val="190"/>
        </w:trPr>
        <w:tc>
          <w:tcPr>
            <w:tcW w:w="9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loss from multifamily</w:t>
            </w:r>
          </w:p>
        </w:tc>
        <w:tc>
          <w:tcPr>
            <w:tcW w:w="4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161530" cy="134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9">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vertAlign w:val="superscript"/>
        </w:rPr>
        <w:t>1</w:t>
      </w:r>
      <w:r>
        <w:rPr>
          <w:rFonts w:ascii="Times New Roman" w:cs="Times New Roman" w:eastAsia="Times New Roman" w:hAnsi="Times New Roman"/>
          <w:sz w:val="11"/>
          <w:szCs w:val="11"/>
          <w:color w:val="auto"/>
        </w:rPr>
        <w:t>Multifamily segment had no operating activities in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5918200</wp:posOffset>
            </wp:positionH>
            <wp:positionV relativeFrom="paragraph">
              <wp:posOffset>-93980</wp:posOffset>
            </wp:positionV>
            <wp:extent cx="1246505"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0">
                      <a:extLst>
                        <a:ext uri="{28A0092B-C50C-407E-A947-70E740481C1C}"/>
                      </a:extLst>
                    </a:blip>
                    <a:srcRect/>
                    <a:stretch>
                      <a:fillRect/>
                    </a:stretch>
                  </pic:blipFill>
                  <pic:spPr bwMode="auto">
                    <a:xfrm>
                      <a:off x="0" y="0"/>
                      <a:ext cx="1246505" cy="6985"/>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Real Estate - Resort/Residential</w:t>
      </w:r>
    </w:p>
    <w:p>
      <w:pPr>
        <w:spacing w:after="0" w:line="74"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4"/>
          <w:szCs w:val="14"/>
          <w:color w:val="auto"/>
        </w:rPr>
        <w:t>The Resort/Residential real estate development segment is actively involved in pursuing land entitlement and development processes both internally and through joint ventures. The segment incurs costs and expenses related to land management activities on land held for future development, but currently generates no revenue.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expenses and operating results from this segment for each of the years ended December 31:</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82" w:right="31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184"/>
        </w:trPr>
        <w:tc>
          <w:tcPr>
            <w:tcW w:w="7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rPr>
              <w:t>2023</w:t>
            </w:r>
          </w:p>
        </w:tc>
      </w:tr>
      <w:tr>
        <w:trPr>
          <w:trHeight w:val="161"/>
        </w:trPr>
        <w:tc>
          <w:tcPr>
            <w:tcW w:w="7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Resort/residential</w:t>
            </w: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80"/>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Operating expenses</w:t>
            </w: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w:t>
            </w:r>
          </w:p>
        </w:tc>
      </w:tr>
      <w:tr>
        <w:trPr>
          <w:trHeight w:val="180"/>
        </w:trPr>
        <w:tc>
          <w:tcPr>
            <w:tcW w:w="7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w:t>
            </w:r>
          </w:p>
        </w:tc>
      </w:tr>
      <w:tr>
        <w:trPr>
          <w:trHeight w:val="180"/>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71"/>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resort/residential expenses</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2,277</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2,615</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1,528</w:t>
            </w:r>
          </w:p>
        </w:tc>
      </w:tr>
      <w:tr>
        <w:trPr>
          <w:trHeight w:val="196"/>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loss from resort/residential</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2,277</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2,615</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1,528</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Mineral Resources</w:t>
      </w:r>
    </w:p>
    <w:p>
      <w:pPr>
        <w:spacing w:after="0" w:line="138"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4"/>
          <w:szCs w:val="14"/>
          <w:color w:val="auto"/>
        </w:rPr>
        <w:t>The mineral resources segment receives oil and mineral royalties from the exploration and development companies that extract or mine the natural resources from the Company's land along with revenue from water sales. The following table summarizes revenues, expenses and operating results from this segment for each of the years ended December 31: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 in thousands)</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rPr>
              <w:t>2023</w:t>
            </w:r>
          </w:p>
        </w:tc>
      </w:tr>
      <w:tr>
        <w:trPr>
          <w:trHeight w:val="171"/>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Mineral resources revenues</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9,636</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10,214</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14,524</w:t>
            </w:r>
          </w:p>
        </w:tc>
      </w:tr>
      <w:tr>
        <w:trPr>
          <w:trHeight w:val="171"/>
        </w:trPr>
        <w:tc>
          <w:tcPr>
            <w:tcW w:w="6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Cost of sales of water</w:t>
            </w: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3,431</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5,220</w:t>
            </w:r>
          </w:p>
        </w:tc>
      </w:tr>
      <w:tr>
        <w:trPr>
          <w:trHeight w:val="180"/>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Operating expenses</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1,307</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1,338</w:t>
            </w:r>
          </w:p>
        </w:tc>
      </w:tr>
      <w:tr>
        <w:trPr>
          <w:trHeight w:val="180"/>
        </w:trPr>
        <w:tc>
          <w:tcPr>
            <w:tcW w:w="6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w:t>
            </w:r>
          </w:p>
        </w:tc>
      </w:tr>
      <w:tr>
        <w:trPr>
          <w:trHeight w:val="180"/>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1,374</w:t>
            </w:r>
          </w:p>
        </w:tc>
      </w:tr>
      <w:tr>
        <w:trPr>
          <w:trHeight w:val="171"/>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Mineral resources expenses</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6,807</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7,052</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8,685</w:t>
            </w:r>
          </w:p>
        </w:tc>
      </w:tr>
      <w:tr>
        <w:trPr>
          <w:trHeight w:val="196"/>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results from mineral resources</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2,829</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3,162</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5,839</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Farming</w:t>
      </w:r>
    </w:p>
    <w:p>
      <w:pPr>
        <w:spacing w:after="0" w:line="64"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The farming segment produces revenues from the sale of wine grapes, almonds, pistachios and hay. The following table summarizes revenues, expenses and operating results from this segment for each of the years ended December 31: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30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rPr>
              <w:t>2023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Farming revenues</w:t>
            </w:r>
          </w:p>
        </w:tc>
        <w:tc>
          <w:tcPr>
            <w:tcW w:w="302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18,738</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13,925</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13,950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Cost of sales</w:t>
            </w:r>
          </w:p>
        </w:tc>
        <w:tc>
          <w:tcPr>
            <w:tcW w:w="3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13,532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11,832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12,125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Fixed water obligations</w:t>
            </w:r>
          </w:p>
        </w:tc>
        <w:tc>
          <w:tcPr>
            <w:tcW w:w="30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3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0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2,413</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2,319</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1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Farming expenses</w:t>
            </w:r>
          </w:p>
        </w:tc>
        <w:tc>
          <w:tcPr>
            <w:tcW w:w="30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18,850</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17,551</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15,257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results from farming</w:t>
            </w:r>
          </w:p>
        </w:tc>
        <w:tc>
          <w:tcPr>
            <w:tcW w:w="30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(3,626)</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bottom w:val="single" w:sz="8" w:color="CCEEFF"/>
            </w:tcBorders>
            <w:vMerge w:val="restart"/>
          </w:tcPr>
          <w:p>
            <w:pPr>
              <w:jc w:val="right"/>
              <w:ind w:right="1309"/>
              <w:spacing w:after="0"/>
              <w:rPr>
                <w:sz w:val="20"/>
                <w:szCs w:val="20"/>
                <w:color w:val="auto"/>
              </w:rPr>
            </w:pPr>
            <w:r>
              <w:rPr>
                <w:rFonts w:ascii="Times New Roman" w:cs="Times New Roman" w:eastAsia="Times New Roman" w:hAnsi="Times New Roman"/>
                <w:sz w:val="14"/>
                <w:szCs w:val="14"/>
                <w:color w:val="auto"/>
              </w:rPr>
              <w:t>107</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1"/>
        </w:trPr>
        <w:tc>
          <w:tcPr>
            <w:tcW w:w="412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120" w:type="dxa"/>
            <w:vAlign w:val="bottom"/>
            <w:tcBorders>
              <w:bottom w:val="single" w:sz="8" w:color="9A9A9A"/>
            </w:tcBorders>
          </w:tcPr>
          <w:p>
            <w:pPr>
              <w:spacing w:after="0"/>
              <w:rPr>
                <w:sz w:val="7"/>
                <w:szCs w:val="7"/>
                <w:color w:val="auto"/>
              </w:rPr>
            </w:pPr>
          </w:p>
        </w:tc>
        <w:tc>
          <w:tcPr>
            <w:tcW w:w="30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89" w:right="31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color w:val="auto"/>
        </w:rPr>
        <w:t>The improvement in 2025 operating results compared to 2024 was primarily driven by higher crop revenues and lower fixed water obligations.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Ranch Operations</w:t>
      </w:r>
    </w:p>
    <w:p>
      <w:pPr>
        <w:spacing w:after="0" w:line="2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4"/>
          <w:szCs w:val="14"/>
          <w:color w:val="auto"/>
        </w:rPr>
        <w:t>Ranch operations consists of game management revenues and ancillary land uses, such as grazing leases and filming. The following table summarizes revenues, expenses and operating results from this segment for each of the years ended December 31:</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rPr>
              <w:t>2023</w:t>
            </w:r>
          </w:p>
        </w:tc>
      </w:tr>
      <w:tr>
        <w:trPr>
          <w:trHeight w:val="171"/>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Ranch operations revenues</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5,479</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5,195</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4,507</w:t>
            </w:r>
          </w:p>
        </w:tc>
      </w:tr>
      <w:tr>
        <w:trPr>
          <w:trHeight w:val="171"/>
        </w:trPr>
        <w:tc>
          <w:tcPr>
            <w:tcW w:w="7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expenses</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4,095</w:t>
            </w:r>
          </w:p>
        </w:tc>
      </w:tr>
      <w:tr>
        <w:trPr>
          <w:trHeight w:val="180"/>
        </w:trPr>
        <w:tc>
          <w:tcPr>
            <w:tcW w:w="7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w:t>
            </w:r>
          </w:p>
        </w:tc>
      </w:tr>
      <w:tr>
        <w:trPr>
          <w:trHeight w:val="180"/>
        </w:trPr>
        <w:tc>
          <w:tcPr>
            <w:tcW w:w="7140" w:type="dxa"/>
            <w:vAlign w:val="bottom"/>
            <w:tcBorders>
              <w:bottom w:val="single" w:sz="8" w:color="CCEEFF"/>
            </w:tcBorders>
          </w:tcPr>
          <w:p>
            <w:pPr>
              <w:ind w:left="180"/>
              <w:spacing w:after="0" w:line="181" w:lineRule="exact"/>
              <w:rPr>
                <w:sz w:val="20"/>
                <w:szCs w:val="20"/>
                <w:color w:val="auto"/>
              </w:rPr>
            </w:pPr>
            <w:r>
              <w:rPr>
                <w:rFonts w:ascii="Times New Roman" w:cs="Times New Roman" w:eastAsia="Times New Roman" w:hAnsi="Times New Roman"/>
                <w:sz w:val="14"/>
                <w:szCs w:val="14"/>
                <w:color w:val="auto"/>
              </w:rPr>
              <w:t>Other expenses</w:t>
            </w:r>
            <w:r>
              <w:rPr>
                <w:rFonts w:ascii="Times New Roman" w:cs="Times New Roman" w:eastAsia="Times New Roman" w:hAnsi="Times New Roman"/>
                <w:sz w:val="18"/>
                <w:szCs w:val="18"/>
                <w:color w:val="auto"/>
                <w:vertAlign w:val="superscript"/>
              </w:rPr>
              <w:t>1</w:t>
            </w: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390</w:t>
            </w:r>
          </w:p>
        </w:tc>
      </w:tr>
      <w:tr>
        <w:trPr>
          <w:trHeight w:val="171"/>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Ranch operations expenses</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5,261</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4,864</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5,043</w:t>
            </w:r>
          </w:p>
        </w:tc>
      </w:tr>
      <w:tr>
        <w:trPr>
          <w:trHeight w:val="175"/>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results from ranch operations</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4530725</wp:posOffset>
            </wp:positionH>
            <wp:positionV relativeFrom="paragraph">
              <wp:posOffset>-1905</wp:posOffset>
            </wp:positionV>
            <wp:extent cx="2600325"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4">
                      <a:extLst>
                        <a:ext uri="{28A0092B-C50C-407E-A947-70E740481C1C}"/>
                      </a:extLst>
                    </a:blip>
                    <a:srcRect/>
                    <a:stretch>
                      <a:fillRect/>
                    </a:stretch>
                  </pic:blipFill>
                  <pic:spPr bwMode="auto">
                    <a:xfrm>
                      <a:off x="0" y="0"/>
                      <a:ext cx="2600325" cy="698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vertAlign w:val="superscript"/>
        </w:rPr>
        <w:t>1</w:t>
      </w:r>
      <w:r>
        <w:rPr>
          <w:rFonts w:ascii="Times New Roman" w:cs="Times New Roman" w:eastAsia="Times New Roman" w:hAnsi="Times New Roman"/>
          <w:sz w:val="11"/>
          <w:szCs w:val="11"/>
          <w:color w:val="auto"/>
        </w:rPr>
        <w:t xml:space="preserve"> The main components of the other expenses included amortization and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-95250</wp:posOffset>
            </wp:positionV>
            <wp:extent cx="7127875" cy="1009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5">
                      <a:extLst>
                        <a:ext uri="{28A0092B-C50C-407E-A947-70E740481C1C}"/>
                      </a:extLst>
                    </a:blip>
                    <a:srcRect/>
                    <a:stretch>
                      <a:fillRect/>
                    </a:stretch>
                  </pic:blipFill>
                  <pic:spPr bwMode="auto">
                    <a:xfrm>
                      <a:off x="0" y="0"/>
                      <a:ext cx="7127875" cy="10096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973" w:right="3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color w:val="auto"/>
        </w:rPr>
        <w:t>Information pertaining to assets of the Company’s reporting segments is as follows for each of the years ended December 31:</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Identifiable</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Depreciation and</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00" w:type="dxa"/>
            <w:vAlign w:val="bottom"/>
          </w:tcPr>
          <w:p>
            <w:pPr>
              <w:jc w:val="right"/>
              <w:ind w:right="629"/>
              <w:spacing w:after="0"/>
              <w:rPr>
                <w:sz w:val="20"/>
                <w:szCs w:val="20"/>
                <w:color w:val="auto"/>
              </w:rPr>
            </w:pPr>
            <w:r>
              <w:rPr>
                <w:rFonts w:ascii="Times New Roman" w:cs="Times New Roman" w:eastAsia="Times New Roman" w:hAnsi="Times New Roman"/>
                <w:sz w:val="14"/>
                <w:szCs w:val="14"/>
                <w:color w:val="auto"/>
              </w:rPr>
              <w:t>Capital</w:t>
            </w:r>
          </w:p>
        </w:tc>
        <w:tc>
          <w:tcPr>
            <w:tcW w:w="0" w:type="dxa"/>
            <w:vAlign w:val="bottom"/>
          </w:tcPr>
          <w:p>
            <w:pPr>
              <w:spacing w:after="0"/>
              <w:rPr>
                <w:sz w:val="1"/>
                <w:szCs w:val="1"/>
                <w:color w:val="auto"/>
              </w:rPr>
            </w:pPr>
          </w:p>
        </w:tc>
      </w:tr>
      <w:tr>
        <w:trPr>
          <w:trHeight w:val="191"/>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2160" w:type="dxa"/>
            <w:vAlign w:val="bottom"/>
            <w:vMerge w:val="restart"/>
          </w:tcPr>
          <w:p>
            <w:pPr>
              <w:jc w:val="right"/>
              <w:ind w:right="289"/>
              <w:spacing w:after="0"/>
              <w:rPr>
                <w:sz w:val="20"/>
                <w:szCs w:val="20"/>
                <w:color w:val="auto"/>
              </w:rPr>
            </w:pPr>
            <w:r>
              <w:rPr>
                <w:rFonts w:ascii="Times New Roman" w:cs="Times New Roman" w:eastAsia="Times New Roman" w:hAnsi="Times New Roman"/>
                <w:sz w:val="14"/>
                <w:szCs w:val="14"/>
                <w:color w:val="auto"/>
              </w:rPr>
              <w:t>2025</w:t>
            </w:r>
          </w:p>
        </w:tc>
        <w:tc>
          <w:tcPr>
            <w:tcW w:w="1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Assets</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Amortization</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rPr>
              <w:t>Expenditures</w:t>
            </w:r>
          </w:p>
        </w:tc>
        <w:tc>
          <w:tcPr>
            <w:tcW w:w="0" w:type="dxa"/>
            <w:vAlign w:val="bottom"/>
          </w:tcPr>
          <w:p>
            <w:pPr>
              <w:spacing w:after="0"/>
              <w:rPr>
                <w:sz w:val="1"/>
                <w:szCs w:val="1"/>
                <w:color w:val="auto"/>
              </w:rPr>
            </w:pPr>
          </w:p>
        </w:tc>
      </w:tr>
      <w:tr>
        <w:trPr>
          <w:trHeight w:val="160"/>
        </w:trPr>
        <w:tc>
          <w:tcPr>
            <w:tcW w:w="3520" w:type="dxa"/>
            <w:vAlign w:val="bottom"/>
          </w:tcPr>
          <w:p>
            <w:pPr>
              <w:spacing w:after="0"/>
              <w:rPr>
                <w:sz w:val="13"/>
                <w:szCs w:val="13"/>
                <w:color w:val="auto"/>
              </w:rPr>
            </w:pPr>
          </w:p>
        </w:tc>
        <w:tc>
          <w:tcPr>
            <w:tcW w:w="2160" w:type="dxa"/>
            <w:vAlign w:val="bottom"/>
            <w:vMerge w:val="continue"/>
          </w:tcPr>
          <w:p>
            <w:pPr>
              <w:spacing w:after="0"/>
              <w:rPr>
                <w:sz w:val="13"/>
                <w:szCs w:val="13"/>
                <w:color w:val="auto"/>
              </w:rPr>
            </w:pPr>
          </w:p>
        </w:tc>
        <w:tc>
          <w:tcPr>
            <w:tcW w:w="1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 - commercial/industrial</w:t>
            </w:r>
          </w:p>
        </w:tc>
        <w:tc>
          <w:tcPr>
            <w:tcW w:w="3400" w:type="dxa"/>
            <w:vAlign w:val="bottom"/>
            <w:gridSpan w:val="2"/>
            <w:shd w:val="clear" w:color="auto" w:fill="CCEEFF"/>
          </w:tcPr>
          <w:p>
            <w:pPr>
              <w:jc w:val="right"/>
              <w:ind w:right="108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64,681</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124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12,487</w:t>
            </w:r>
          </w:p>
        </w:tc>
        <w:tc>
          <w:tcPr>
            <w:tcW w:w="0" w:type="dxa"/>
            <w:vAlign w:val="bottom"/>
          </w:tcPr>
          <w:p>
            <w:pPr>
              <w:spacing w:after="0"/>
              <w:rPr>
                <w:sz w:val="1"/>
                <w:szCs w:val="1"/>
                <w:color w:val="auto"/>
              </w:rPr>
            </w:pPr>
          </w:p>
        </w:tc>
      </w:tr>
      <w:tr>
        <w:trPr>
          <w:trHeight w:val="180"/>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Multifamily</w:t>
            </w:r>
          </w:p>
        </w:tc>
        <w:tc>
          <w:tcPr>
            <w:tcW w:w="2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63,695</w:t>
            </w: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34,073</w:t>
            </w:r>
          </w:p>
        </w:tc>
        <w:tc>
          <w:tcPr>
            <w:tcW w:w="0" w:type="dxa"/>
            <w:vAlign w:val="bottom"/>
          </w:tcPr>
          <w:p>
            <w:pPr>
              <w:spacing w:after="0"/>
              <w:rPr>
                <w:sz w:val="1"/>
                <w:szCs w:val="1"/>
                <w:color w:val="auto"/>
              </w:rPr>
            </w:pPr>
          </w:p>
        </w:tc>
      </w:tr>
      <w:tr>
        <w:trPr>
          <w:trHeight w:val="18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 - resort/residential</w:t>
            </w:r>
          </w:p>
        </w:tc>
        <w:tc>
          <w:tcPr>
            <w:tcW w:w="2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341,433</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10,107</w:t>
            </w:r>
          </w:p>
        </w:tc>
        <w:tc>
          <w:tcPr>
            <w:tcW w:w="0" w:type="dxa"/>
            <w:vAlign w:val="bottom"/>
          </w:tcPr>
          <w:p>
            <w:pPr>
              <w:spacing w:after="0"/>
              <w:rPr>
                <w:sz w:val="1"/>
                <w:szCs w:val="1"/>
                <w:color w:val="auto"/>
              </w:rPr>
            </w:pPr>
          </w:p>
        </w:tc>
      </w:tr>
      <w:tr>
        <w:trPr>
          <w:trHeight w:val="180"/>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Mineral resources</w:t>
            </w:r>
          </w:p>
        </w:tc>
        <w:tc>
          <w:tcPr>
            <w:tcW w:w="2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62,236</w:t>
            </w: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1,375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8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Farming</w:t>
            </w:r>
          </w:p>
        </w:tc>
        <w:tc>
          <w:tcPr>
            <w:tcW w:w="2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58,545</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2,413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6,202</w:t>
            </w:r>
          </w:p>
        </w:tc>
        <w:tc>
          <w:tcPr>
            <w:tcW w:w="0" w:type="dxa"/>
            <w:vAlign w:val="bottom"/>
          </w:tcPr>
          <w:p>
            <w:pPr>
              <w:spacing w:after="0"/>
              <w:rPr>
                <w:sz w:val="1"/>
                <w:szCs w:val="1"/>
                <w:color w:val="auto"/>
              </w:rPr>
            </w:pPr>
          </w:p>
        </w:tc>
      </w:tr>
      <w:tr>
        <w:trPr>
          <w:trHeight w:val="180"/>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Ranch operations</w:t>
            </w:r>
          </w:p>
        </w:tc>
        <w:tc>
          <w:tcPr>
            <w:tcW w:w="2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2,172</w:t>
            </w: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0" w:type="dxa"/>
            <w:vAlign w:val="bottom"/>
          </w:tcPr>
          <w:p>
            <w:pPr>
              <w:spacing w:after="0"/>
              <w:rPr>
                <w:sz w:val="1"/>
                <w:szCs w:val="1"/>
                <w:color w:val="auto"/>
              </w:rPr>
            </w:pPr>
          </w:p>
        </w:tc>
      </w:tr>
      <w:tr>
        <w:trPr>
          <w:trHeight w:val="18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w:t>
            </w:r>
          </w:p>
        </w:tc>
        <w:tc>
          <w:tcPr>
            <w:tcW w:w="2160" w:type="dxa"/>
            <w:vAlign w:val="bottom"/>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37,707</w:t>
            </w:r>
          </w:p>
        </w:tc>
        <w:tc>
          <w:tcPr>
            <w:tcW w:w="100" w:type="dxa"/>
            <w:vAlign w:val="bottom"/>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1"/>
                <w:szCs w:val="1"/>
                <w:color w:val="auto"/>
              </w:rPr>
            </w:pPr>
          </w:p>
        </w:tc>
      </w:tr>
      <w:tr>
        <w:trPr>
          <w:trHeight w:val="171"/>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160" w:type="dxa"/>
            <w:vAlign w:val="bottom"/>
          </w:tcPr>
          <w:p>
            <w:pPr>
              <w:spacing w:after="0"/>
              <w:rPr>
                <w:sz w:val="14"/>
                <w:szCs w:val="14"/>
                <w:color w:val="auto"/>
              </w:rPr>
            </w:pPr>
          </w:p>
        </w:tc>
        <w:tc>
          <w:tcPr>
            <w:tcW w:w="1240" w:type="dxa"/>
            <w:vAlign w:val="bottom"/>
            <w:tcBorders>
              <w:bottom w:val="single" w:sz="8" w:color="auto"/>
            </w:tcBorders>
          </w:tcPr>
          <w:p>
            <w:pPr>
              <w:jc w:val="right"/>
              <w:ind w:right="108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630,469</w:t>
            </w:r>
          </w:p>
        </w:tc>
        <w:tc>
          <w:tcPr>
            <w:tcW w:w="100" w:type="dxa"/>
            <w:vAlign w:val="bottom"/>
          </w:tcPr>
          <w:p>
            <w:pPr>
              <w:spacing w:after="0"/>
              <w:rPr>
                <w:sz w:val="14"/>
                <w:szCs w:val="14"/>
                <w:color w:val="auto"/>
              </w:rPr>
            </w:pPr>
          </w:p>
        </w:tc>
        <w:tc>
          <w:tcPr>
            <w:tcW w:w="1400" w:type="dxa"/>
            <w:vAlign w:val="bottom"/>
            <w:tcBorders>
              <w:bottom w:val="single" w:sz="8" w:color="auto"/>
            </w:tcBorders>
          </w:tcPr>
          <w:p>
            <w:pPr>
              <w:jc w:val="right"/>
              <w:ind w:right="124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6,014</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63,210</w:t>
            </w:r>
          </w:p>
        </w:tc>
        <w:tc>
          <w:tcPr>
            <w:tcW w:w="0" w:type="dxa"/>
            <w:vAlign w:val="bottom"/>
          </w:tcPr>
          <w:p>
            <w:pPr>
              <w:spacing w:after="0"/>
              <w:rPr>
                <w:sz w:val="1"/>
                <w:szCs w:val="1"/>
                <w:color w:val="auto"/>
              </w:rPr>
            </w:pPr>
          </w:p>
        </w:tc>
      </w:tr>
      <w:tr>
        <w:trPr>
          <w:trHeight w:val="20"/>
        </w:trPr>
        <w:tc>
          <w:tcPr>
            <w:tcW w:w="352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520" w:type="dxa"/>
            <w:vAlign w:val="bottom"/>
            <w:shd w:val="clear" w:color="auto" w:fill="CCEEFF"/>
          </w:tcPr>
          <w:p>
            <w:pPr>
              <w:spacing w:after="0"/>
              <w:rPr>
                <w:sz w:val="12"/>
                <w:szCs w:val="12"/>
                <w:color w:val="auto"/>
              </w:rPr>
            </w:pPr>
          </w:p>
        </w:tc>
        <w:tc>
          <w:tcPr>
            <w:tcW w:w="2160" w:type="dxa"/>
            <w:vAlign w:val="bottom"/>
            <w:shd w:val="clear" w:color="auto" w:fill="CCEEFF"/>
          </w:tcPr>
          <w:p>
            <w:pPr>
              <w:jc w:val="right"/>
              <w:ind w:right="289"/>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1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 estate - commercial/industrial</w:t>
            </w:r>
          </w:p>
        </w:tc>
        <w:tc>
          <w:tcPr>
            <w:tcW w:w="3400" w:type="dxa"/>
            <w:vAlign w:val="bottom"/>
            <w:gridSpan w:val="2"/>
          </w:tcPr>
          <w:p>
            <w:pPr>
              <w:jc w:val="right"/>
              <w:ind w:right="108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68,944</w:t>
            </w:r>
          </w:p>
        </w:tc>
        <w:tc>
          <w:tcPr>
            <w:tcW w:w="100" w:type="dxa"/>
            <w:vAlign w:val="bottom"/>
          </w:tcPr>
          <w:p>
            <w:pPr>
              <w:spacing w:after="0"/>
              <w:rPr>
                <w:sz w:val="15"/>
                <w:szCs w:val="15"/>
                <w:color w:val="auto"/>
              </w:rPr>
            </w:pPr>
          </w:p>
        </w:tc>
        <w:tc>
          <w:tcPr>
            <w:tcW w:w="1400" w:type="dxa"/>
            <w:vAlign w:val="bottom"/>
          </w:tcPr>
          <w:p>
            <w:pPr>
              <w:jc w:val="right"/>
              <w:ind w:right="124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10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16,361</w:t>
            </w:r>
          </w:p>
        </w:tc>
        <w:tc>
          <w:tcPr>
            <w:tcW w:w="0" w:type="dxa"/>
            <w:vAlign w:val="bottom"/>
          </w:tcPr>
          <w:p>
            <w:pPr>
              <w:spacing w:after="0"/>
              <w:rPr>
                <w:sz w:val="1"/>
                <w:szCs w:val="1"/>
                <w:color w:val="auto"/>
              </w:rPr>
            </w:pPr>
          </w:p>
        </w:tc>
      </w:tr>
      <w:tr>
        <w:trPr>
          <w:trHeight w:val="18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Multifamily</w:t>
            </w:r>
          </w:p>
        </w:tc>
        <w:tc>
          <w:tcPr>
            <w:tcW w:w="2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29,241</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26,657</w:t>
            </w:r>
          </w:p>
        </w:tc>
        <w:tc>
          <w:tcPr>
            <w:tcW w:w="0" w:type="dxa"/>
            <w:vAlign w:val="bottom"/>
          </w:tcPr>
          <w:p>
            <w:pPr>
              <w:spacing w:after="0"/>
              <w:rPr>
                <w:sz w:val="1"/>
                <w:szCs w:val="1"/>
                <w:color w:val="auto"/>
              </w:rPr>
            </w:pPr>
          </w:p>
        </w:tc>
      </w:tr>
      <w:tr>
        <w:trPr>
          <w:trHeight w:val="180"/>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 estate - resort/residential</w:t>
            </w:r>
          </w:p>
        </w:tc>
        <w:tc>
          <w:tcPr>
            <w:tcW w:w="2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330,513</w:t>
            </w: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8,394</w:t>
            </w:r>
          </w:p>
        </w:tc>
        <w:tc>
          <w:tcPr>
            <w:tcW w:w="0" w:type="dxa"/>
            <w:vAlign w:val="bottom"/>
          </w:tcPr>
          <w:p>
            <w:pPr>
              <w:spacing w:after="0"/>
              <w:rPr>
                <w:sz w:val="1"/>
                <w:szCs w:val="1"/>
                <w:color w:val="auto"/>
              </w:rPr>
            </w:pPr>
          </w:p>
        </w:tc>
      </w:tr>
      <w:tr>
        <w:trPr>
          <w:trHeight w:val="18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Mineral resources</w:t>
            </w:r>
          </w:p>
        </w:tc>
        <w:tc>
          <w:tcPr>
            <w:tcW w:w="2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54,658</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1,375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80"/>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Farming</w:t>
            </w:r>
          </w:p>
        </w:tc>
        <w:tc>
          <w:tcPr>
            <w:tcW w:w="2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54,478</w:t>
            </w: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2,319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4,891</w:t>
            </w:r>
          </w:p>
        </w:tc>
        <w:tc>
          <w:tcPr>
            <w:tcW w:w="0" w:type="dxa"/>
            <w:vAlign w:val="bottom"/>
          </w:tcPr>
          <w:p>
            <w:pPr>
              <w:spacing w:after="0"/>
              <w:rPr>
                <w:sz w:val="1"/>
                <w:szCs w:val="1"/>
                <w:color w:val="auto"/>
              </w:rPr>
            </w:pPr>
          </w:p>
        </w:tc>
      </w:tr>
      <w:tr>
        <w:trPr>
          <w:trHeight w:val="18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Ranch operations</w:t>
            </w:r>
          </w:p>
        </w:tc>
        <w:tc>
          <w:tcPr>
            <w:tcW w:w="2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2,658</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w:t>
            </w:r>
          </w:p>
        </w:tc>
        <w:tc>
          <w:tcPr>
            <w:tcW w:w="0" w:type="dxa"/>
            <w:vAlign w:val="bottom"/>
          </w:tcPr>
          <w:p>
            <w:pPr>
              <w:spacing w:after="0"/>
              <w:rPr>
                <w:sz w:val="1"/>
                <w:szCs w:val="1"/>
                <w:color w:val="auto"/>
              </w:rPr>
            </w:pPr>
          </w:p>
        </w:tc>
      </w:tr>
      <w:tr>
        <w:trPr>
          <w:trHeight w:val="180"/>
        </w:trPr>
        <w:tc>
          <w:tcPr>
            <w:tcW w:w="3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Corporate</w:t>
            </w:r>
          </w:p>
        </w:tc>
        <w:tc>
          <w:tcPr>
            <w:tcW w:w="216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67,506</w:t>
            </w:r>
          </w:p>
        </w:tc>
        <w:tc>
          <w:tcPr>
            <w:tcW w:w="10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0" w:type="dxa"/>
            <w:vAlign w:val="bottom"/>
          </w:tcPr>
          <w:p>
            <w:pPr>
              <w:spacing w:after="0"/>
              <w:rPr>
                <w:sz w:val="1"/>
                <w:szCs w:val="1"/>
                <w:color w:val="auto"/>
              </w:rPr>
            </w:pPr>
          </w:p>
        </w:tc>
      </w:tr>
      <w:tr>
        <w:trPr>
          <w:trHeight w:val="196"/>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1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108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607,998</w:t>
            </w: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ind w:right="124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4,885</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57,234</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bottom w:val="single" w:sz="8" w:color="CCEEFF"/>
            </w:tcBorders>
            <w:vMerge w:val="restart"/>
          </w:tcPr>
          <w:p>
            <w:pPr>
              <w:jc w:val="right"/>
              <w:ind w:right="289"/>
              <w:spacing w:after="0"/>
              <w:rPr>
                <w:sz w:val="20"/>
                <w:szCs w:val="20"/>
                <w:color w:val="auto"/>
              </w:rPr>
            </w:pPr>
            <w:r>
              <w:rPr>
                <w:rFonts w:ascii="Times New Roman" w:cs="Times New Roman" w:eastAsia="Times New Roman" w:hAnsi="Times New Roman"/>
                <w:sz w:val="14"/>
                <w:szCs w:val="14"/>
                <w:color w:val="auto"/>
              </w:rPr>
              <w:t>2023</w:t>
            </w: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3520" w:type="dxa"/>
            <w:vAlign w:val="bottom"/>
          </w:tcPr>
          <w:p>
            <w:pPr>
              <w:spacing w:after="0"/>
              <w:rPr>
                <w:sz w:val="10"/>
                <w:szCs w:val="10"/>
                <w:color w:val="auto"/>
              </w:rPr>
            </w:pPr>
          </w:p>
        </w:tc>
        <w:tc>
          <w:tcPr>
            <w:tcW w:w="2160" w:type="dxa"/>
            <w:vAlign w:val="bottom"/>
            <w:vMerge w:val="continue"/>
          </w:tcPr>
          <w:p>
            <w:pPr>
              <w:spacing w:after="0"/>
              <w:rPr>
                <w:sz w:val="10"/>
                <w:szCs w:val="10"/>
                <w:color w:val="auto"/>
              </w:rPr>
            </w:pPr>
          </w:p>
        </w:tc>
        <w:tc>
          <w:tcPr>
            <w:tcW w:w="1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 - commercial/industrial</w:t>
            </w:r>
          </w:p>
        </w:tc>
        <w:tc>
          <w:tcPr>
            <w:tcW w:w="3400" w:type="dxa"/>
            <w:vAlign w:val="bottom"/>
            <w:gridSpan w:val="2"/>
            <w:shd w:val="clear" w:color="auto" w:fill="CCEEFF"/>
          </w:tcPr>
          <w:p>
            <w:pPr>
              <w:jc w:val="right"/>
              <w:ind w:right="108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70,521</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124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5,231</w:t>
            </w:r>
          </w:p>
        </w:tc>
        <w:tc>
          <w:tcPr>
            <w:tcW w:w="0" w:type="dxa"/>
            <w:vAlign w:val="bottom"/>
          </w:tcPr>
          <w:p>
            <w:pPr>
              <w:spacing w:after="0"/>
              <w:rPr>
                <w:sz w:val="1"/>
                <w:szCs w:val="1"/>
                <w:color w:val="auto"/>
              </w:rPr>
            </w:pPr>
          </w:p>
        </w:tc>
      </w:tr>
      <w:tr>
        <w:trPr>
          <w:trHeight w:val="180"/>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Multifamily</w:t>
            </w:r>
          </w:p>
        </w:tc>
        <w:tc>
          <w:tcPr>
            <w:tcW w:w="2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2,584</w:t>
            </w: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2,584</w:t>
            </w:r>
          </w:p>
        </w:tc>
        <w:tc>
          <w:tcPr>
            <w:tcW w:w="0" w:type="dxa"/>
            <w:vAlign w:val="bottom"/>
          </w:tcPr>
          <w:p>
            <w:pPr>
              <w:spacing w:after="0"/>
              <w:rPr>
                <w:sz w:val="1"/>
                <w:szCs w:val="1"/>
                <w:color w:val="auto"/>
              </w:rPr>
            </w:pPr>
          </w:p>
        </w:tc>
      </w:tr>
      <w:tr>
        <w:trPr>
          <w:trHeight w:val="18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 - resort/residential</w:t>
            </w:r>
          </w:p>
        </w:tc>
        <w:tc>
          <w:tcPr>
            <w:tcW w:w="2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321,216</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7,888</w:t>
            </w:r>
          </w:p>
        </w:tc>
        <w:tc>
          <w:tcPr>
            <w:tcW w:w="0" w:type="dxa"/>
            <w:vAlign w:val="bottom"/>
          </w:tcPr>
          <w:p>
            <w:pPr>
              <w:spacing w:after="0"/>
              <w:rPr>
                <w:sz w:val="1"/>
                <w:szCs w:val="1"/>
                <w:color w:val="auto"/>
              </w:rPr>
            </w:pPr>
          </w:p>
        </w:tc>
      </w:tr>
      <w:tr>
        <w:trPr>
          <w:trHeight w:val="180"/>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Mineral resources</w:t>
            </w:r>
          </w:p>
        </w:tc>
        <w:tc>
          <w:tcPr>
            <w:tcW w:w="2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52,068</w:t>
            </w: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1,374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Farming</w:t>
            </w:r>
          </w:p>
        </w:tc>
        <w:tc>
          <w:tcPr>
            <w:tcW w:w="2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52,094</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2,097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4,870</w:t>
            </w:r>
          </w:p>
        </w:tc>
        <w:tc>
          <w:tcPr>
            <w:tcW w:w="0" w:type="dxa"/>
            <w:vAlign w:val="bottom"/>
          </w:tcPr>
          <w:p>
            <w:pPr>
              <w:spacing w:after="0"/>
              <w:rPr>
                <w:sz w:val="1"/>
                <w:szCs w:val="1"/>
                <w:color w:val="auto"/>
              </w:rPr>
            </w:pPr>
          </w:p>
        </w:tc>
      </w:tr>
      <w:tr>
        <w:trPr>
          <w:trHeight w:val="180"/>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Ranch operations</w:t>
            </w:r>
          </w:p>
        </w:tc>
        <w:tc>
          <w:tcPr>
            <w:tcW w:w="2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2,072</w:t>
            </w: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0" w:type="dxa"/>
            <w:vAlign w:val="bottom"/>
          </w:tcPr>
          <w:p>
            <w:pPr>
              <w:spacing w:after="0"/>
              <w:rPr>
                <w:sz w:val="1"/>
                <w:szCs w:val="1"/>
                <w:color w:val="auto"/>
              </w:rPr>
            </w:pPr>
          </w:p>
        </w:tc>
      </w:tr>
      <w:tr>
        <w:trPr>
          <w:trHeight w:val="18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w:t>
            </w:r>
          </w:p>
        </w:tc>
        <w:tc>
          <w:tcPr>
            <w:tcW w:w="2160" w:type="dxa"/>
            <w:vAlign w:val="bottom"/>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76,968</w:t>
            </w:r>
          </w:p>
        </w:tc>
        <w:tc>
          <w:tcPr>
            <w:tcW w:w="100" w:type="dxa"/>
            <w:vAlign w:val="bottom"/>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0" w:type="dxa"/>
            <w:vAlign w:val="bottom"/>
          </w:tcPr>
          <w:p>
            <w:pPr>
              <w:spacing w:after="0"/>
              <w:rPr>
                <w:sz w:val="1"/>
                <w:szCs w:val="1"/>
                <w:color w:val="auto"/>
              </w:rPr>
            </w:pPr>
          </w:p>
        </w:tc>
      </w:tr>
      <w:tr>
        <w:trPr>
          <w:trHeight w:val="171"/>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160" w:type="dxa"/>
            <w:vAlign w:val="bottom"/>
          </w:tcPr>
          <w:p>
            <w:pPr>
              <w:spacing w:after="0"/>
              <w:rPr>
                <w:sz w:val="14"/>
                <w:szCs w:val="14"/>
                <w:color w:val="auto"/>
              </w:rPr>
            </w:pPr>
          </w:p>
        </w:tc>
        <w:tc>
          <w:tcPr>
            <w:tcW w:w="1240" w:type="dxa"/>
            <w:vAlign w:val="bottom"/>
            <w:tcBorders>
              <w:bottom w:val="single" w:sz="8" w:color="auto"/>
            </w:tcBorders>
          </w:tcPr>
          <w:p>
            <w:pPr>
              <w:jc w:val="right"/>
              <w:ind w:right="108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577,523</w:t>
            </w:r>
          </w:p>
        </w:tc>
        <w:tc>
          <w:tcPr>
            <w:tcW w:w="100" w:type="dxa"/>
            <w:vAlign w:val="bottom"/>
          </w:tcPr>
          <w:p>
            <w:pPr>
              <w:spacing w:after="0"/>
              <w:rPr>
                <w:sz w:val="14"/>
                <w:szCs w:val="14"/>
                <w:color w:val="auto"/>
              </w:rPr>
            </w:pPr>
          </w:p>
        </w:tc>
        <w:tc>
          <w:tcPr>
            <w:tcW w:w="1400" w:type="dxa"/>
            <w:vAlign w:val="bottom"/>
            <w:tcBorders>
              <w:bottom w:val="single" w:sz="8" w:color="auto"/>
            </w:tcBorders>
          </w:tcPr>
          <w:p>
            <w:pPr>
              <w:jc w:val="right"/>
              <w:ind w:right="124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4,806</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21,328</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Identifiable assets by segment include both assets directly identified with those operations and an allocable share of jointly used assets. Corporate assets consist primarily of cash and cash equivalents, marketable securities, deferred income taxes, and land and buildings. Land is valued at cost for acquisitions since 1936. Land acquired in 1936, upon organization of the Company, is stated on the basis carried by the Company’s predecessor.</w:t>
      </w:r>
    </w:p>
    <w:p>
      <w:pPr>
        <w:spacing w:after="0" w:line="9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16.</w:t>
        <w:tab/>
        <w:t>INVESTMENT IN UNCONSOLIDATED AND CONSOLIDATED JOINT VENTURES</w:t>
      </w:r>
    </w:p>
    <w:p>
      <w:pPr>
        <w:spacing w:after="0" w:line="138"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4"/>
          <w:szCs w:val="14"/>
          <w:color w:val="auto"/>
        </w:rPr>
        <w:t>The Company maintains investments in joint ventures. The Company accounts for its investments in unconsolidated joint ventures using the equity method of accounting, unless the venture is a variable interest entity, or VIE, and meets the requirements for consolidation. The Company’s investment in its unconsolidated joint ventures at December 31, 2025 was $29,986,000. The equity in earnings of the unconsolidated joint ventures was $8,362,000 for the twelve months ended December 31, 2025. The unconsolidated joint ventures have not been consolidated as of December 31, 2025, because the Company does not control the investments. The Company’s current joint ventures are as follows:</w:t>
      </w:r>
    </w:p>
    <w:p>
      <w:pPr>
        <w:spacing w:after="0" w:line="98" w:lineRule="exact"/>
        <w:rPr>
          <w:sz w:val="20"/>
          <w:szCs w:val="20"/>
          <w:color w:val="auto"/>
        </w:rPr>
      </w:pPr>
    </w:p>
    <w:p>
      <w:pPr>
        <w:ind w:left="360" w:hanging="260"/>
        <w:spacing w:after="0" w:line="261" w:lineRule="auto"/>
        <w:tabs>
          <w:tab w:leader="none" w:pos="356"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Petro Travel Plaza Holdings LLC – TA/Petro is an unconsolidated joint venture with TravelCenters of America Inc. for the development and management of travel plazas and convenience stores. The Company has 50% voting rights and shares 60% of profit and losses in this joint venture. It houses multiple commercial eating establishments, as well as diesel and gasoline operations in TRCC. The Company does not control the investment due to it having only 50% voting rights, and because the partner in the joint venture is the managing partner and performs all of the day-to-day operations and has significant decision-making authority regarding key business components, such as fuel inventory and pricing at the facility. At December 31, 2025, the Company had an equity investment balance of $19,884,000 in this joint venture.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82" w:right="319" w:bottom="1440" w:gutter="0" w:footer="0" w:header="0"/>
        </w:sectPr>
      </w:pPr>
    </w:p>
    <w:bookmarkStart w:id="109" w:name="page110"/>
    <w:bookmarkEnd w:id="109"/>
    <w:p>
      <w:pPr>
        <w:ind w:left="260" w:right="20" w:hanging="260"/>
        <w:spacing w:after="0" w:line="258" w:lineRule="auto"/>
        <w:tabs>
          <w:tab w:leader="none" w:pos="256"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Majestic Realty Co. – Majestic Realty Co., or Majestic, is a privately-held developer and owner of master planned business parks in the United States. The Company partnered with Majestic to form five active 50/50 joint ventures to acquire, develop, manage, and operate industrial real estate at TRCC. The partners have equal voting rights and equally share in the profit and loss of the joint venture. All outstanding debt attributed to our joint ventures with Majestic have met their respective debt covenants, and hence were not subject to an effective guarantee at December 31, 2025. For those investments in a deficit position, in accordance with the applicable accounting guidance, the Company reclassified excess distributions to Other Liabilities within the Consolidated Balance Sheets. The Company expects to continue to record equity in earnings as a debit to the investment account and if it were to become positive, the Company would reclassify the liability to an asset. If it becomes obvious that any excess distribution may not be returned (upon joint venture liquidation or otherwise), the Company will immediately recognize the liability as income. At December 31, 2025, the Company's investment in these joint ventures was $332,000.</w:t>
      </w:r>
    </w:p>
    <w:p>
      <w:pPr>
        <w:spacing w:after="0" w:line="61" w:lineRule="exact"/>
        <w:rPr>
          <w:rFonts w:ascii="Times New Roman" w:cs="Times New Roman" w:eastAsia="Times New Roman" w:hAnsi="Times New Roman"/>
          <w:sz w:val="14"/>
          <w:szCs w:val="14"/>
          <w:color w:val="auto"/>
        </w:rPr>
      </w:pPr>
    </w:p>
    <w:p>
      <w:pPr>
        <w:ind w:left="660" w:right="140" w:hanging="246"/>
        <w:spacing w:after="0" w:line="264" w:lineRule="auto"/>
        <w:tabs>
          <w:tab w:leader="none" w:pos="657" w:val="left"/>
        </w:tabs>
        <w:numPr>
          <w:ilvl w:val="1"/>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March 29, 2022, TRC-MRC 5, LLC was formed to pursue the development, construction, lease-up, and management of an approximately 446,400 square foot industrial building located within TRCC-East. The construction of the building was completed in the fourth quarter of 2023, and the joint venture has leased 100% of the rentable space. The joint venture refinanced the construction loan in February 2024 with a promissory note. The note matures on February 3, 2035, and had an outstanding balance of $52,027,000 as of December 31, 2025. Since its inception, the Company has received excess distributions resulting in a deficit balance in its investment of $1,908,000.</w:t>
      </w:r>
    </w:p>
    <w:p>
      <w:pPr>
        <w:spacing w:after="0" w:line="44" w:lineRule="exact"/>
        <w:rPr>
          <w:rFonts w:ascii="Times New Roman" w:cs="Times New Roman" w:eastAsia="Times New Roman" w:hAnsi="Times New Roman"/>
          <w:sz w:val="14"/>
          <w:szCs w:val="14"/>
          <w:color w:val="auto"/>
        </w:rPr>
      </w:pPr>
    </w:p>
    <w:p>
      <w:pPr>
        <w:ind w:left="660" w:right="40" w:hanging="246"/>
        <w:spacing w:after="0" w:line="264" w:lineRule="auto"/>
        <w:tabs>
          <w:tab w:leader="none" w:pos="657" w:val="left"/>
        </w:tabs>
        <w:numPr>
          <w:ilvl w:val="1"/>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March 25, 2021, TRC-MRC 4, LLC was formed to pursue the development, construction, lease-up, and management of a 629,274 square foot industrial building located within TRCC-East. The construction of the building was completed in 2022, and the joint venture has leased 100% of the rentable space. The joint venture refinanced its construction loan in March 2023 with a promissory note. The note matures on March 1, 2033, and had an outstanding balance of $59,960,000 as of December 31, 2025. Since its inception, the Company has received excess distributions resulting in a deficit balance in its investment of $6,929,000.</w:t>
      </w:r>
    </w:p>
    <w:p>
      <w:pPr>
        <w:spacing w:after="0" w:line="55" w:lineRule="exact"/>
        <w:rPr>
          <w:rFonts w:ascii="Times New Roman" w:cs="Times New Roman" w:eastAsia="Times New Roman" w:hAnsi="Times New Roman"/>
          <w:sz w:val="14"/>
          <w:szCs w:val="14"/>
          <w:color w:val="auto"/>
        </w:rPr>
      </w:pPr>
    </w:p>
    <w:p>
      <w:pPr>
        <w:ind w:left="660" w:hanging="246"/>
        <w:spacing w:after="0" w:line="261" w:lineRule="auto"/>
        <w:tabs>
          <w:tab w:leader="none" w:pos="657" w:val="left"/>
        </w:tabs>
        <w:numPr>
          <w:ilvl w:val="1"/>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November 2018, TRC-MRC 3, LLC was formed to pursue the development, construction, leasing, and management of a 579,040 square foot industrial building located within TRCC-East. TRC-MRC 3, LLC qualified as a VIE from inception, but the Company is not the primary beneficiary therefore does not consolidate TRC-MRC 3, LLC in its financial statements. The construction of the building was completed in 2019, and the joint venture has leased 100% of the rentable space to two tenants. In March 2019, the joint venture entered into a promissory note, with a financial institution to finance the construction of the building. The note matures on May 1, 2030 and had an outstanding principal balance of $31,777,000 as of December 31, 2025. The Company's investment in this joint venture was $98,000 as of December 31, 2025.</w:t>
      </w:r>
    </w:p>
    <w:p>
      <w:pPr>
        <w:spacing w:after="0" w:line="58" w:lineRule="exact"/>
        <w:rPr>
          <w:rFonts w:ascii="Times New Roman" w:cs="Times New Roman" w:eastAsia="Times New Roman" w:hAnsi="Times New Roman"/>
          <w:sz w:val="14"/>
          <w:szCs w:val="14"/>
          <w:color w:val="auto"/>
        </w:rPr>
      </w:pPr>
    </w:p>
    <w:p>
      <w:pPr>
        <w:ind w:left="660" w:hanging="246"/>
        <w:spacing w:after="0" w:line="264" w:lineRule="auto"/>
        <w:tabs>
          <w:tab w:leader="none" w:pos="657" w:val="left"/>
        </w:tabs>
        <w:numPr>
          <w:ilvl w:val="1"/>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August 2016, the Company partnered with Majestic to form TRC-MRC 2, LLC to acquire, lease, and maintain a fully occupied warehouse at TRCC-West. The partnership acquired the 651,909 square foot building for $24,773,000 and was largely financed through a promissory note. The promissory note was refinanced on June 1, 2018 with a $25,240,000 promissory note. The note matures on July 3, 2028 and had an outstanding principal balance of $20,496,000 as of December 31, 2025. The building was 100% leased as of December 31, 2025. The Company's investment in this joint venture was $234,000 as of December 31, 2025.</w:t>
      </w:r>
    </w:p>
    <w:p>
      <w:pPr>
        <w:spacing w:after="0" w:line="55" w:lineRule="exact"/>
        <w:rPr>
          <w:rFonts w:ascii="Times New Roman" w:cs="Times New Roman" w:eastAsia="Times New Roman" w:hAnsi="Times New Roman"/>
          <w:sz w:val="14"/>
          <w:szCs w:val="14"/>
          <w:color w:val="auto"/>
        </w:rPr>
      </w:pPr>
    </w:p>
    <w:p>
      <w:pPr>
        <w:ind w:left="660" w:right="20" w:hanging="246"/>
        <w:spacing w:after="0" w:line="267" w:lineRule="auto"/>
        <w:tabs>
          <w:tab w:leader="none" w:pos="657" w:val="left"/>
        </w:tabs>
        <w:numPr>
          <w:ilvl w:val="1"/>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September 2016, TRC-MRC 1, LLC was formed to develop and operate an approximately 480,480 square foot industrial building at TRCC-East. The joint venture completed construction in 2017. The joint venture refinanced its construction loan in December 2018 with a mortgage loan. The original principal balance of the mortgage loan was $25,030,000, of which $20,763,000 was outstanding at December 31, 2025. Since inception of the joint venture, the Company has received excess distributions resulting in a deficit balance of $1,117,000.</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55880</wp:posOffset>
            </wp:positionV>
            <wp:extent cx="7186930"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400" w:top="857" w:right="319" w:bottom="1440" w:gutter="0" w:footer="0" w:header="0"/>
        </w:sectPr>
      </w:pPr>
    </w:p>
    <w:bookmarkStart w:id="110" w:name="page111"/>
    <w:bookmarkEnd w:id="110"/>
    <w:p>
      <w:pPr>
        <w:ind w:left="260" w:right="420" w:hanging="255"/>
        <w:spacing w:after="0" w:line="287" w:lineRule="auto"/>
        <w:tabs>
          <w:tab w:leader="none" w:pos="256"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TRC-DP 1, LLC - This joint venture was formed on October 4, 2024 with Dedeaux Properties to develop, manage, and operate an approximately 510,385 square foot industrial building at TRCC-East on land to be contributed by the Company in a future period. The Company's investment in this joint venture was $624,000 as of December 31, 2025.</w:t>
      </w:r>
    </w:p>
    <w:p>
      <w:pPr>
        <w:spacing w:after="0" w:line="81" w:lineRule="exact"/>
        <w:rPr>
          <w:rFonts w:ascii="Times New Roman" w:cs="Times New Roman" w:eastAsia="Times New Roman" w:hAnsi="Times New Roman"/>
          <w:sz w:val="14"/>
          <w:szCs w:val="14"/>
          <w:color w:val="auto"/>
        </w:rPr>
      </w:pPr>
    </w:p>
    <w:p>
      <w:pPr>
        <w:ind w:left="260" w:hanging="255"/>
        <w:spacing w:after="0" w:line="257" w:lineRule="auto"/>
        <w:tabs>
          <w:tab w:leader="none" w:pos="256"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TRCC/Rock Outlet Center LLC – This joint venture was formed in 2013 with Rockefeller Group Development Corporation, or Rockefeller, to develop, own, and manage a net leasable 326,000 square foot outlet center on land at TRCC-East. At December 31, 2025, the Company’s equity investment balance in this joint venture was $9,146,000. The Company controls 50% of the voting interests of TRCC/Rock Outlet Center LLC; thus, it does not control the joint venture by voting interest alone. The Company is the named managing member. The managing member’s responsibilities relate to the routine day-to-day activities of TRCC/Rock Outlet Center LLC. However, all operating decisions during the development period and ongoing operations, including the setting and monitoring of the budget, leasing, marketing, financing, and selection of the contractor for any construction, are jointly made by both members of the joint venture. The Company concluded that both members have significant participating rights that are sufficient to overcome the presumption of the Company controlling the joint venture through it being named the managing member. Therefore, the investment in TRCC/Rock Outlet Center LLC is being accounted for under the equity method. On January 22, 2026, the TRCC/Rock Outlet Center LLC joint venture extended the maturity date of its term note with a financial institution from December 31, 2025 to December 30, 2028. As of December 31, 2025, the outstanding balance of the term note was $20,039,000. The Company and Rockefeller guarantee the performance of the debt.</w:t>
      </w:r>
    </w:p>
    <w:p>
      <w:pPr>
        <w:spacing w:after="0" w:line="61" w:lineRule="exact"/>
        <w:rPr>
          <w:rFonts w:ascii="Times New Roman" w:cs="Times New Roman" w:eastAsia="Times New Roman" w:hAnsi="Times New Roman"/>
          <w:sz w:val="14"/>
          <w:szCs w:val="14"/>
          <w:color w:val="auto"/>
        </w:rPr>
      </w:pPr>
    </w:p>
    <w:p>
      <w:pPr>
        <w:ind w:left="260" w:right="760" w:hanging="255"/>
        <w:spacing w:after="0" w:line="287" w:lineRule="auto"/>
        <w:tabs>
          <w:tab w:leader="none" w:pos="256"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Centennial Founders, LLC – CFL is a joint venture with TRI Pointe Homes to pursue the entitlement and development of land that the Company owns in Los Angeles County. As of December 31, 2025, the Company owned 93.84% of CFL.</w:t>
      </w:r>
    </w:p>
    <w:p>
      <w:pPr>
        <w:spacing w:after="0" w:line="82"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The Company’s investment balance in each of its unconsolidated joint ventures differs from its capital accounts in the respective joint ventures. The variance represents the difference between the cost basis of assets contributed by the Company and the agreed upon fair value of those assets.</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57"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color w:val="auto"/>
        </w:rPr>
        <w:t>Condensed balance sheet information and statement of operations of the Company’s unconsolidated joint ventures are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Balance Sheet Information as of December 31:</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76"/>
        </w:trPr>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6"/>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8"/>
              </w:rPr>
              <w:t>Joint Venture</w:t>
            </w: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5"/>
          </w:tcPr>
          <w:p>
            <w:pPr>
              <w:jc w:val="center"/>
              <w:ind w:left="289"/>
              <w:spacing w:after="0"/>
              <w:rPr>
                <w:sz w:val="20"/>
                <w:szCs w:val="20"/>
                <w:color w:val="auto"/>
              </w:rPr>
            </w:pPr>
            <w:r>
              <w:rPr>
                <w:rFonts w:ascii="Times New Roman" w:cs="Times New Roman" w:eastAsia="Times New Roman" w:hAnsi="Times New Roman"/>
                <w:sz w:val="14"/>
                <w:szCs w:val="14"/>
                <w:b w:val="1"/>
                <w:bCs w:val="1"/>
                <w:color w:val="auto"/>
              </w:rPr>
              <w:t>TRC</w:t>
            </w:r>
          </w:p>
        </w:tc>
        <w:tc>
          <w:tcPr>
            <w:tcW w:w="620" w:type="dxa"/>
            <w:vAlign w:val="bottom"/>
            <w:tcBorders>
              <w:bottom w:val="single" w:sz="8" w:color="auto"/>
            </w:tcBorders>
          </w:tcPr>
          <w:p>
            <w:pPr>
              <w:spacing w:after="0"/>
              <w:rPr>
                <w:sz w:val="24"/>
                <w:szCs w:val="24"/>
                <w:color w:val="auto"/>
              </w:rPr>
            </w:pPr>
          </w:p>
        </w:tc>
      </w:tr>
      <w:tr>
        <w:trPr>
          <w:trHeight w:val="171"/>
        </w:trPr>
        <w:tc>
          <w:tcPr>
            <w:tcW w:w="2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Borrowings</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6"/>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6"/>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Investment In</w:t>
            </w:r>
          </w:p>
        </w:tc>
      </w:tr>
      <w:tr>
        <w:trPr>
          <w:trHeight w:val="171"/>
        </w:trPr>
        <w:tc>
          <w:tcPr>
            <w:tcW w:w="2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gridSpan w:val="3"/>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60" w:type="dxa"/>
            <w:vAlign w:val="bottom"/>
            <w:gridSpan w:val="4"/>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3"/>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171"/>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Petro Travel Plaza Holdings LLC</w:t>
            </w:r>
          </w:p>
        </w:tc>
        <w:tc>
          <w:tcPr>
            <w:tcW w:w="22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70,763</w:t>
            </w:r>
          </w:p>
        </w:tc>
        <w:tc>
          <w:tcPr>
            <w:tcW w:w="1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73,558</w:t>
            </w:r>
          </w:p>
        </w:tc>
        <w:tc>
          <w:tcPr>
            <w:tcW w:w="10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(11,030)</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(11,793)</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53,530</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53,571</w:t>
            </w: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19,884</w:t>
            </w: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gridSpan w:val="2"/>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19,823</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TRCC/Rock Outlet Center, LLC</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54,881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54,533</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(20,039)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(20,545)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33,940</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32,832</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9,146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8,592</w:t>
            </w:r>
          </w:p>
        </w:tc>
      </w:tr>
      <w:tr>
        <w:trPr>
          <w:trHeight w:val="180"/>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TRC-MRC 1, LLC</w:t>
            </w: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23,510</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24,539</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(20,763)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(21,470)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2,112</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2,591</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TRC-MRC 2, LLC</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21,759</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21,552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(20,496)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(21,234)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768</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r>
      <w:tr>
        <w:trPr>
          <w:trHeight w:val="180"/>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TRC-MRC 3, LLC</w:t>
            </w: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33,503</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34,436</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(31,777)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(32,722)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1,450</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2,529</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TRC-MRC 4, LLC</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47,004</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49,118</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(59,960)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(60,906)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(13,709)</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(10,664)</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TRC-MRC 5, LLC</w:t>
            </w: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48,510</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49,556</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(52,027)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(52,795)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(2,488)</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TRC-DP1, LLC</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w:t>
            </w:r>
          </w:p>
        </w:tc>
      </w:tr>
      <w:tr>
        <w:trPr>
          <w:trHeight w:val="196"/>
        </w:trPr>
        <w:tc>
          <w:tcPr>
            <w:tcW w:w="2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4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299,930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307,292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(216,092)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auto"/>
              <w:bottom w:val="single" w:sz="8" w:color="auto"/>
            </w:tcBorders>
            <w:shd w:val="clear" w:color="auto" w:fill="CCEEFF"/>
          </w:tcPr>
          <w:p>
            <w:pPr>
              <w:spacing w:after="0"/>
              <w:rPr>
                <w:sz w:val="16"/>
                <w:szCs w:val="16"/>
                <w:color w:val="auto"/>
              </w:rPr>
            </w:pP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(221,465)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75,215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80,984</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29,986</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gridSpan w:val="2"/>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28,980</w:t>
            </w: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r>
      <w:tr>
        <w:trPr>
          <w:trHeight w:val="153"/>
        </w:trPr>
        <w:tc>
          <w:tcPr>
            <w:tcW w:w="204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400" w:type="dxa"/>
            <w:vAlign w:val="bottom"/>
            <w:tcBorders>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spacing w:after="0"/>
              <w:rPr>
                <w:sz w:val="13"/>
                <w:szCs w:val="13"/>
                <w:color w:val="auto"/>
              </w:rPr>
            </w:pPr>
          </w:p>
        </w:tc>
      </w:tr>
      <w:tr>
        <w:trPr>
          <w:trHeight w:val="196"/>
        </w:trPr>
        <w:tc>
          <w:tcPr>
            <w:tcW w:w="2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Centennial Founders, LLC</w:t>
            </w:r>
          </w:p>
        </w:tc>
        <w:tc>
          <w:tcPr>
            <w:tcW w:w="2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109,287</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107,015</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108,906</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106,766</w:t>
            </w: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gridSpan w:val="5"/>
            <w:shd w:val="clear" w:color="auto" w:fill="CCEEFF"/>
          </w:tcPr>
          <w:p>
            <w:pPr>
              <w:jc w:val="center"/>
              <w:ind w:left="289"/>
              <w:spacing w:after="0"/>
              <w:rPr>
                <w:sz w:val="20"/>
                <w:szCs w:val="20"/>
                <w:color w:val="auto"/>
              </w:rPr>
            </w:pPr>
            <w:r>
              <w:rPr>
                <w:rFonts w:ascii="Times New Roman" w:cs="Times New Roman" w:eastAsia="Times New Roman" w:hAnsi="Times New Roman"/>
                <w:sz w:val="14"/>
                <w:szCs w:val="14"/>
                <w:color w:val="auto"/>
              </w:rPr>
              <w:t>Consolidated</w:t>
            </w:r>
          </w:p>
        </w:tc>
        <w:tc>
          <w:tcPr>
            <w:tcW w:w="620" w:type="dxa"/>
            <w:vAlign w:val="bottom"/>
            <w:tcBorders>
              <w:bottom w:val="single" w:sz="8" w:color="auto"/>
            </w:tcBorders>
            <w:shd w:val="clear" w:color="auto" w:fill="CCEEFF"/>
          </w:tcPr>
          <w:p>
            <w:pPr>
              <w:spacing w:after="0"/>
              <w:rPr>
                <w:sz w:val="16"/>
                <w:szCs w:val="16"/>
                <w:color w:val="auto"/>
              </w:rPr>
            </w:pPr>
          </w:p>
        </w:tc>
      </w:tr>
      <w:tr>
        <w:trPr>
          <w:trHeight w:val="20"/>
        </w:trPr>
        <w:tc>
          <w:tcPr>
            <w:tcW w:w="2660" w:type="dxa"/>
            <w:vAlign w:val="bottom"/>
            <w:tcBorders>
              <w:top w:val="single" w:sz="8" w:color="CCEEFF"/>
            </w:tcBorders>
            <w:gridSpan w:val="3"/>
          </w:tcPr>
          <w:p>
            <w:pPr>
              <w:spacing w:after="0" w:line="20" w:lineRule="exact"/>
              <w:rPr>
                <w:sz w:val="1"/>
                <w:szCs w:val="1"/>
                <w:color w:val="auto"/>
              </w:rPr>
            </w:pPr>
          </w:p>
        </w:tc>
        <w:tc>
          <w:tcPr>
            <w:tcW w:w="360" w:type="dxa"/>
            <w:vAlign w:val="bottom"/>
            <w:tcBorders>
              <w:top w:val="single" w:sz="8" w:color="CCEEFF"/>
              <w:bottom w:val="single" w:sz="8" w:color="auto"/>
            </w:tcBorders>
            <w:gridSpan w:val="2"/>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r>
        <w:trPr>
          <w:trHeight w:val="248"/>
        </w:trPr>
        <w:tc>
          <w:tcPr>
            <w:tcW w:w="416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auto"/>
              </w:rPr>
              <w:t>Condensed Statement of Operations Information as of December 31:</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403"/>
        </w:trPr>
        <w:tc>
          <w:tcPr>
            <w:tcW w:w="20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6"/>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Joint Venture</w:t>
            </w: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TRC</w:t>
            </w: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r>
      <w:tr>
        <w:trPr>
          <w:trHeight w:val="171"/>
        </w:trPr>
        <w:tc>
          <w:tcPr>
            <w:tcW w:w="20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Earnings (Loss)</w:t>
            </w: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11"/>
          </w:tcPr>
          <w:p>
            <w:pPr>
              <w:jc w:val="center"/>
              <w:ind w:left="409"/>
              <w:spacing w:after="0"/>
              <w:rPr>
                <w:sz w:val="20"/>
                <w:szCs w:val="20"/>
                <w:color w:val="auto"/>
              </w:rPr>
            </w:pPr>
            <w:r>
              <w:rPr>
                <w:rFonts w:ascii="Times New Roman" w:cs="Times New Roman" w:eastAsia="Times New Roman" w:hAnsi="Times New Roman"/>
                <w:sz w:val="14"/>
                <w:szCs w:val="14"/>
                <w:b w:val="1"/>
                <w:bCs w:val="1"/>
                <w:color w:val="auto"/>
              </w:rPr>
              <w:t>Equity in Earnings (Loss)</w:t>
            </w:r>
          </w:p>
        </w:tc>
        <w:tc>
          <w:tcPr>
            <w:tcW w:w="620" w:type="dxa"/>
            <w:vAlign w:val="bottom"/>
            <w:tcBorders>
              <w:bottom w:val="single" w:sz="8" w:color="auto"/>
            </w:tcBorders>
          </w:tcPr>
          <w:p>
            <w:pPr>
              <w:spacing w:after="0"/>
              <w:rPr>
                <w:sz w:val="14"/>
                <w:szCs w:val="14"/>
                <w:color w:val="auto"/>
              </w:rPr>
            </w:pPr>
          </w:p>
        </w:tc>
      </w:tr>
      <w:tr>
        <w:trPr>
          <w:trHeight w:val="171"/>
        </w:trPr>
        <w:tc>
          <w:tcPr>
            <w:tcW w:w="2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2"/>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80" w:type="dxa"/>
            <w:vAlign w:val="bottom"/>
            <w:gridSpan w:val="5"/>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20" w:type="dxa"/>
            <w:vAlign w:val="bottom"/>
            <w:gridSpan w:val="4"/>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Petro Travel Plaza Holdings LLC</w:t>
            </w: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140,757</w:t>
            </w:r>
          </w:p>
        </w:tc>
        <w:tc>
          <w:tcPr>
            <w:tcW w:w="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153,547</w:t>
            </w:r>
          </w:p>
        </w:tc>
        <w:tc>
          <w:tcPr>
            <w:tcW w:w="8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162,614</w:t>
            </w:r>
          </w:p>
        </w:tc>
        <w:tc>
          <w:tcPr>
            <w:tcW w:w="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9,959</w:t>
            </w: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13,621</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10,481</w:t>
            </w:r>
          </w:p>
        </w:tc>
        <w:tc>
          <w:tcPr>
            <w:tcW w:w="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6,061</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8,253</w:t>
            </w:r>
          </w:p>
        </w:tc>
        <w:tc>
          <w:tcPr>
            <w:tcW w:w="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6,288</w:t>
            </w:r>
          </w:p>
        </w:tc>
      </w:tr>
      <w:tr>
        <w:trPr>
          <w:trHeight w:val="180"/>
        </w:trPr>
        <w:tc>
          <w:tcPr>
            <w:tcW w:w="204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TRCC/Rock Outlet Center, LLC</w:t>
            </w:r>
            <w:r>
              <w:rPr>
                <w:rFonts w:ascii="Times New Roman" w:cs="Times New Roman" w:eastAsia="Times New Roman" w:hAnsi="Times New Roman"/>
                <w:sz w:val="18"/>
                <w:szCs w:val="18"/>
                <w:color w:val="auto"/>
                <w:vertAlign w:val="superscript"/>
              </w:rPr>
              <w:t>1</w:t>
            </w:r>
          </w:p>
        </w:tc>
        <w:tc>
          <w:tcPr>
            <w:tcW w:w="22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6,873</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7,100</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6,391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(2,892)</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(2,703)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(3,571)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(1,446)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(1,351)</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(1,786)</w:t>
            </w:r>
          </w:p>
        </w:tc>
      </w:tr>
      <w:tr>
        <w:trPr>
          <w:trHeight w:val="180"/>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TRC-MRC 1, LLC</w:t>
            </w:r>
          </w:p>
        </w:tc>
        <w:tc>
          <w:tcPr>
            <w:tcW w:w="2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5,152</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4,399</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4,346</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1,846</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1,192</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923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TRC-MRC 2, LLC</w:t>
            </w:r>
          </w:p>
        </w:tc>
        <w:tc>
          <w:tcPr>
            <w:tcW w:w="22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7,071</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6,761</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5,860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5"/>
              </w:rPr>
              <w:t>3,664</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4,324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2,772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1,832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1,386</w:t>
            </w:r>
          </w:p>
        </w:tc>
      </w:tr>
      <w:tr>
        <w:trPr>
          <w:trHeight w:val="180"/>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TRC-MRC 3 LLC</w:t>
            </w:r>
          </w:p>
        </w:tc>
        <w:tc>
          <w:tcPr>
            <w:tcW w:w="2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4,437</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4,405</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4,323</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444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TRC-MRC 4, LLC</w:t>
            </w:r>
          </w:p>
        </w:tc>
        <w:tc>
          <w:tcPr>
            <w:tcW w:w="22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7,691</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7,805</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7,281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727</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1,054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363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r>
      <w:tr>
        <w:trPr>
          <w:trHeight w:val="180"/>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TRC-MRC 5, LLC</w:t>
            </w: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6,728</w:t>
            </w:r>
          </w:p>
        </w:tc>
        <w:tc>
          <w:tcPr>
            <w:tcW w:w="40" w:type="dxa"/>
            <w:vAlign w:val="bottom"/>
            <w:tcBorders>
              <w:bottom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6,314</w:t>
            </w:r>
          </w:p>
        </w:tc>
        <w:tc>
          <w:tcPr>
            <w:tcW w:w="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185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4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r>
      <w:tr>
        <w:trPr>
          <w:trHeight w:val="171"/>
        </w:trPr>
        <w:tc>
          <w:tcPr>
            <w:tcW w:w="204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178,709</w:t>
            </w:r>
          </w:p>
        </w:tc>
        <w:tc>
          <w:tcPr>
            <w:tcW w:w="40" w:type="dxa"/>
            <w:vAlign w:val="bottom"/>
            <w:tcBorders>
              <w:bottom w:val="single" w:sz="8" w:color="auto"/>
            </w:tcBorders>
          </w:tcPr>
          <w:p>
            <w:pPr>
              <w:spacing w:after="0"/>
              <w:rPr>
                <w:sz w:val="14"/>
                <w:szCs w:val="14"/>
                <w:color w:val="auto"/>
              </w:rPr>
            </w:pPr>
          </w:p>
        </w:tc>
        <w:tc>
          <w:tcPr>
            <w:tcW w:w="1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2</w:t>
            </w: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190,331</w:t>
            </w:r>
          </w:p>
        </w:tc>
        <w:tc>
          <w:tcPr>
            <w:tcW w:w="80" w:type="dxa"/>
            <w:vAlign w:val="bottom"/>
          </w:tcPr>
          <w:p>
            <w:pPr>
              <w:spacing w:after="0"/>
              <w:rPr>
                <w:sz w:val="14"/>
                <w:szCs w:val="14"/>
                <w:color w:val="auto"/>
              </w:rPr>
            </w:pPr>
          </w:p>
        </w:tc>
        <w:tc>
          <w:tcPr>
            <w:tcW w:w="44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190,815</w:t>
            </w:r>
          </w:p>
        </w:tc>
        <w:tc>
          <w:tcPr>
            <w:tcW w:w="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14,561</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18,874</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11,641</w:t>
            </w:r>
          </w:p>
        </w:tc>
        <w:tc>
          <w:tcPr>
            <w:tcW w:w="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8,362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10,881</w:t>
            </w: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6,868</w:t>
            </w:r>
          </w:p>
        </w:tc>
      </w:tr>
      <w:tr>
        <w:trPr>
          <w:trHeight w:val="20"/>
        </w:trPr>
        <w:tc>
          <w:tcPr>
            <w:tcW w:w="2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73"/>
        </w:trPr>
        <w:tc>
          <w:tcPr>
            <w:tcW w:w="20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r>
      <w:tr>
        <w:trPr>
          <w:trHeight w:val="196"/>
        </w:trPr>
        <w:tc>
          <w:tcPr>
            <w:tcW w:w="2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Centennial Founders, LLC</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(60)</w:t>
            </w: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gridSpan w:val="4"/>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Consolidated</w:t>
            </w:r>
          </w:p>
        </w:tc>
        <w:tc>
          <w:tcPr>
            <w:tcW w:w="4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21" w:lineRule="exact"/>
        <w:rPr>
          <w:sz w:val="20"/>
          <w:szCs w:val="20"/>
          <w:color w:val="auto"/>
        </w:rPr>
      </w:pPr>
    </w:p>
    <w:p>
      <w:pPr>
        <w:ind w:left="80" w:hanging="61"/>
        <w:spacing w:after="0"/>
        <w:tabs>
          <w:tab w:leader="none" w:pos="80" w:val="left"/>
        </w:tabs>
        <w:numPr>
          <w:ilvl w:val="0"/>
          <w:numId w:val="64"/>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Revenues for TRCC/Rock Outlet Center are presented net of non-cash tenant allowance amortization of $0.7 million, $1.3 million and $1.3 million for the years ended December 31, 2025, 2024 and 2023, respectively.</w:t>
      </w:r>
    </w:p>
    <w:p>
      <w:pPr>
        <w:spacing w:after="0" w:line="24" w:lineRule="exact"/>
        <w:rPr>
          <w:rFonts w:ascii="Times New Roman" w:cs="Times New Roman" w:eastAsia="Times New Roman" w:hAnsi="Times New Roman"/>
          <w:sz w:val="15"/>
          <w:szCs w:val="15"/>
          <w:color w:val="auto"/>
          <w:vertAlign w:val="superscript"/>
        </w:rPr>
      </w:pPr>
    </w:p>
    <w:p>
      <w:pPr>
        <w:ind w:left="20"/>
        <w:spacing w:after="0"/>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4"/>
          <w:szCs w:val="14"/>
          <w:color w:val="auto"/>
          <w:vertAlign w:val="superscript"/>
        </w:rPr>
        <w:t>2</w:t>
      </w:r>
      <w:r>
        <w:rPr>
          <w:rFonts w:ascii="Times New Roman" w:cs="Times New Roman" w:eastAsia="Times New Roman" w:hAnsi="Times New Roman"/>
          <w:sz w:val="11"/>
          <w:szCs w:val="11"/>
          <w:color w:val="auto"/>
        </w:rPr>
        <w:t xml:space="preserve"> TRC-DP1, LLC did not have any operating activities during 2024 and 2025.</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112" w:name="page113"/>
    <w:bookmarkEnd w:id="112"/>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17.</w:t>
      </w:r>
      <w:r>
        <w:rPr>
          <w:sz w:val="20"/>
          <w:szCs w:val="20"/>
          <w:color w:val="auto"/>
        </w:rPr>
        <w:tab/>
      </w:r>
      <w:r>
        <w:rPr>
          <w:rFonts w:ascii="Times New Roman" w:cs="Times New Roman" w:eastAsia="Times New Roman" w:hAnsi="Times New Roman"/>
          <w:sz w:val="13"/>
          <w:szCs w:val="13"/>
          <w:b w:val="1"/>
          <w:bCs w:val="1"/>
          <w:color w:val="auto"/>
        </w:rPr>
        <w:t>RELATED PARTY TRANSACTIONS</w:t>
      </w:r>
    </w:p>
    <w:p>
      <w:pPr>
        <w:spacing w:after="0" w:line="8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TCWD is a not-for-profit governmental entity, organized on December 28, 1965, pursuant to Division 13 of the Water Code, State of California. TCWD is a landowner voting district, which requires an elector, or voter, to be an owner of land located within the district. TCWD was organized to provide the water needs for future municipal and industrial development. The Company is the largest landowner and taxpayer within TCWD. The Company has a water purchase service contract with TCWD that entitles it to receive all of TCWD’s State Water Project contract water and TCWD holds the Company's banked water in the Kern Water Bank. TCWD is also entitled to make assessments of all taxpayers within the district, to the extent funds are required to cover expenses and to charge water users within the district for the use of water. From time to time, the Company transacts with TCWD in the ordinary course of business. The Company's Senior Vice President, Chief Financial Officer and Chief Accounting Officer, Robert Velasquez, was appointed the treasurer of TCWD in February 2025.</w:t>
      </w:r>
    </w:p>
    <w:p>
      <w:pPr>
        <w:spacing w:after="0" w:line="40"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The Company has water contracts with WRMWSD for SWP water deliveries to its agricultural and municipal/industrial operations in the San Joaquin Valley. The terms of these contracts extend to 2035. Under the contracts, the Company is entitled to annual water for 5,487 acres of land, or 15,547 acre-feet of water, subject to SWP allocations. The Company's former Executive Vice President and Chief Operating Officer, Allen Lyda, is one of nine directors at WRMWSD. Mr. Lyda retired in March of 2025, hence he is no longer an affiliate of the Company. During the years ended December 31, 2025 and 2024, the Company paid $5,126,000 and $5,483,000 for these water contracts and related costs, respectively.</w:t>
      </w:r>
    </w:p>
    <w:p>
      <w:pPr>
        <w:spacing w:after="0" w:line="5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In 2024 the Company entered into a consulting services agreement with Mr. Bielli, former Chief Executive Officer and current member of the Board of Directors of the Company, for the provision of strategic counsel to the Board and the current CEO upon Mr. Bielli’s retirement from his CEO position. The consulting agreement is for a term of one year, commencing April 1, 2025 and ending March 31, 2026. Compensation for Mr. Bielli’s consulting services is $85,000 per month. Mr. Bielli will also be reimbursed for normal and customary expenses incurred in connection with providing the services.</w:t>
      </w: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113</w:t>
      </w:r>
    </w:p>
    <w:p>
      <w:pPr>
        <w:sectPr>
          <w:pgSz w:w="11900" w:h="16838" w:orient="portrait"/>
          <w:cols w:equalWidth="0" w:num="1">
            <w:col w:w="11240"/>
          </w:cols>
          <w:pgMar w:left="300" w:top="812" w:right="359" w:bottom="1440" w:gutter="0" w:footer="0" w:header="0"/>
        </w:sectPr>
      </w:pPr>
    </w:p>
    <w:bookmarkStart w:id="113" w:name="page114"/>
    <w:bookmarkEnd w:id="1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61" w:name="page162"/>
    <w:bookmarkEnd w:id="1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05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8">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9">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0">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1">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2">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3">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68" w:name="page169"/>
    <w:bookmarkEnd w:id="168"/>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TEJON RANCH CO.</w:t>
      </w:r>
    </w:p>
    <w:p>
      <w:pPr>
        <w:spacing w:after="0" w:line="205" w:lineRule="exact"/>
        <w:rPr>
          <w:sz w:val="20"/>
          <w:szCs w:val="20"/>
          <w:color w:val="auto"/>
        </w:rPr>
      </w:pPr>
    </w:p>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AMENDED AND RESTATED INSIDER TRADING POLICY (amended and restated as of March 13, 2012)</w:t>
      </w:r>
      <w:r>
        <w:rPr>
          <w:rFonts w:ascii="Times New Roman" w:cs="Times New Roman" w:eastAsia="Times New Roman" w:hAnsi="Times New Roman"/>
          <w:sz w:val="22"/>
          <w:szCs w:val="22"/>
          <w:b w:val="1"/>
          <w:bCs w:val="1"/>
          <w:color w:val="auto"/>
          <w:vertAlign w:val="superscript"/>
        </w:rPr>
        <w:t>1</w:t>
      </w:r>
    </w:p>
    <w:p>
      <w:pPr>
        <w:spacing w:after="0" w:line="153" w:lineRule="exact"/>
        <w:rPr>
          <w:sz w:val="20"/>
          <w:szCs w:val="20"/>
          <w:color w:val="auto"/>
        </w:rPr>
      </w:pPr>
    </w:p>
    <w:p>
      <w:pPr>
        <w:jc w:val="both"/>
        <w:ind w:left="75" w:firstLine="1019"/>
        <w:spacing w:after="0" w:line="281" w:lineRule="auto"/>
        <w:rPr>
          <w:sz w:val="20"/>
          <w:szCs w:val="20"/>
          <w:color w:val="auto"/>
        </w:rPr>
      </w:pPr>
      <w:r>
        <w:rPr>
          <w:rFonts w:ascii="Times New Roman" w:cs="Times New Roman" w:eastAsia="Times New Roman" w:hAnsi="Times New Roman"/>
          <w:sz w:val="17"/>
          <w:szCs w:val="17"/>
          <w:color w:val="auto"/>
        </w:rPr>
        <w:t>The Board of Directors (the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of Tejon Ranch Co. (including its subsidiaries, “</w:t>
      </w:r>
      <w:r>
        <w:rPr>
          <w:rFonts w:ascii="Times New Roman" w:cs="Times New Roman" w:eastAsia="Times New Roman" w:hAnsi="Times New Roman"/>
          <w:sz w:val="17"/>
          <w:szCs w:val="17"/>
          <w:b w:val="1"/>
          <w:bCs w:val="1"/>
          <w:color w:val="auto"/>
        </w:rPr>
        <w:t>Tejon</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we</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color w:val="auto"/>
        </w:rPr>
        <w:t>our</w:t>
      </w:r>
      <w:r>
        <w:rPr>
          <w:rFonts w:ascii="Times New Roman" w:cs="Times New Roman" w:eastAsia="Times New Roman" w:hAnsi="Times New Roman"/>
          <w:sz w:val="17"/>
          <w:szCs w:val="17"/>
          <w:color w:val="auto"/>
        </w:rPr>
        <w:t>”) has adopted this Amended and Restated Insider Trading Policy (this “</w:t>
      </w:r>
      <w:r>
        <w:rPr>
          <w:rFonts w:ascii="Times New Roman" w:cs="Times New Roman" w:eastAsia="Times New Roman" w:hAnsi="Times New Roman"/>
          <w:sz w:val="17"/>
          <w:szCs w:val="17"/>
          <w:b w:val="1"/>
          <w:bCs w:val="1"/>
          <w:color w:val="auto"/>
        </w:rPr>
        <w:t>Policy</w:t>
      </w:r>
      <w:r>
        <w:rPr>
          <w:rFonts w:ascii="Times New Roman" w:cs="Times New Roman" w:eastAsia="Times New Roman" w:hAnsi="Times New Roman"/>
          <w:sz w:val="17"/>
          <w:szCs w:val="17"/>
          <w:color w:val="auto"/>
        </w:rPr>
        <w:t>”) regarding trading in securities by its directors, officers, employees, and consultants.</w:t>
      </w:r>
    </w:p>
    <w:p>
      <w:pPr>
        <w:spacing w:after="0" w:line="162" w:lineRule="exact"/>
        <w:rPr>
          <w:sz w:val="20"/>
          <w:szCs w:val="20"/>
          <w:color w:val="auto"/>
        </w:rPr>
      </w:pPr>
    </w:p>
    <w:p>
      <w:pPr>
        <w:jc w:val="both"/>
        <w:ind w:left="75" w:firstLine="1019"/>
        <w:spacing w:after="0" w:line="254" w:lineRule="auto"/>
        <w:rPr>
          <w:sz w:val="20"/>
          <w:szCs w:val="20"/>
          <w:color w:val="auto"/>
        </w:rPr>
      </w:pPr>
      <w:r>
        <w:rPr>
          <w:rFonts w:ascii="Times New Roman" w:cs="Times New Roman" w:eastAsia="Times New Roman" w:hAnsi="Times New Roman"/>
          <w:sz w:val="17"/>
          <w:szCs w:val="17"/>
          <w:color w:val="auto"/>
        </w:rPr>
        <w:t>Federal and state insider trading laws prohibit buying, selling or making other transfers of securities by persons who have material information that is not generally known or available to the public. These laws also prohibit persons who are aware of such material nonpublic information from disclosing this information to others who may trade. The Securities and Exchange Commission (“</w:t>
      </w:r>
      <w:r>
        <w:rPr>
          <w:rFonts w:ascii="Times New Roman" w:cs="Times New Roman" w:eastAsia="Times New Roman" w:hAnsi="Times New Roman"/>
          <w:sz w:val="17"/>
          <w:szCs w:val="17"/>
          <w:b w:val="1"/>
          <w:bCs w:val="1"/>
          <w:color w:val="auto"/>
        </w:rPr>
        <w:t>SEC</w:t>
      </w:r>
      <w:r>
        <w:rPr>
          <w:rFonts w:ascii="Times New Roman" w:cs="Times New Roman" w:eastAsia="Times New Roman" w:hAnsi="Times New Roman"/>
          <w:sz w:val="17"/>
          <w:szCs w:val="17"/>
          <w:color w:val="auto"/>
        </w:rPr>
        <w:t>”), the New York Stock Exchange (“</w:t>
      </w:r>
      <w:r>
        <w:rPr>
          <w:rFonts w:ascii="Times New Roman" w:cs="Times New Roman" w:eastAsia="Times New Roman" w:hAnsi="Times New Roman"/>
          <w:sz w:val="17"/>
          <w:szCs w:val="17"/>
          <w:b w:val="1"/>
          <w:bCs w:val="1"/>
          <w:color w:val="auto"/>
        </w:rPr>
        <w:t>NYSE</w:t>
      </w:r>
      <w:r>
        <w:rPr>
          <w:rFonts w:ascii="Times New Roman" w:cs="Times New Roman" w:eastAsia="Times New Roman" w:hAnsi="Times New Roman"/>
          <w:sz w:val="17"/>
          <w:szCs w:val="17"/>
          <w:color w:val="auto"/>
        </w:rPr>
        <w:t>”) and the United States Attorney’s Office have been vigorously pursuing violations of insider trading laws. If you violate the federal insider trading laws, you may have to pay civil fines of up to three times the profit gained or loss avoided by such trading, as well as criminal fines of up to $5,000,000. You may also have to serve a jail sentence of up to twenty years. In addition, Tejon may face civil penalties of up to the greater of $1.425 million, subject to adjustment for inflation, and three times the profit gained or loss avoided as a result of your insider trading violations, as well as criminal fines of up to $25,000,000.</w:t>
      </w:r>
    </w:p>
    <w:p>
      <w:pPr>
        <w:spacing w:after="0" w:line="175" w:lineRule="exact"/>
        <w:rPr>
          <w:sz w:val="20"/>
          <w:szCs w:val="20"/>
          <w:color w:val="auto"/>
        </w:rPr>
      </w:pPr>
    </w:p>
    <w:p>
      <w:pPr>
        <w:jc w:val="both"/>
        <w:ind w:left="75" w:firstLine="1019"/>
        <w:spacing w:after="0" w:line="276" w:lineRule="auto"/>
        <w:rPr>
          <w:sz w:val="20"/>
          <w:szCs w:val="20"/>
          <w:color w:val="auto"/>
        </w:rPr>
      </w:pPr>
      <w:r>
        <w:rPr>
          <w:rFonts w:ascii="Times New Roman" w:cs="Times New Roman" w:eastAsia="Times New Roman" w:hAnsi="Times New Roman"/>
          <w:sz w:val="17"/>
          <w:szCs w:val="17"/>
          <w:color w:val="auto"/>
        </w:rPr>
        <w:t>In addition, if an employee of Tejon violates this Policy, Tejon-imposed sanctions, including dismissal for cause, could result. Of course, any of the above consequences, even an SEC investigation that does not result in prosecution, can tarnish one’s reputation and irreparably damage a career.</w:t>
      </w:r>
    </w:p>
    <w:p>
      <w:pPr>
        <w:spacing w:after="0" w:line="166" w:lineRule="exact"/>
        <w:rPr>
          <w:sz w:val="20"/>
          <w:szCs w:val="20"/>
          <w:color w:val="auto"/>
        </w:rPr>
      </w:pPr>
    </w:p>
    <w:p>
      <w:pPr>
        <w:jc w:val="both"/>
        <w:ind w:left="75" w:firstLine="1019"/>
        <w:spacing w:after="0" w:line="262" w:lineRule="auto"/>
        <w:rPr>
          <w:sz w:val="20"/>
          <w:szCs w:val="20"/>
          <w:color w:val="auto"/>
        </w:rPr>
      </w:pPr>
      <w:r>
        <w:rPr>
          <w:rFonts w:ascii="Times New Roman" w:cs="Times New Roman" w:eastAsia="Times New Roman" w:hAnsi="Times New Roman"/>
          <w:sz w:val="17"/>
          <w:szCs w:val="17"/>
          <w:color w:val="auto"/>
        </w:rPr>
        <w:t>Tejon has adopted this Policy to reduce the risk of violations of the securities laws on the part of directors, officers, employees and consultants of Tejon and to avoid situations, which could damage its reputation for integrity and ethical conduct – an important corporate asset which we have established over the years. You are responsible for seeing that you do not violate federal or state securities laws or this Policy.</w:t>
      </w:r>
    </w:p>
    <w:p>
      <w:pPr>
        <w:spacing w:after="0" w:line="156" w:lineRule="exact"/>
        <w:rPr>
          <w:sz w:val="20"/>
          <w:szCs w:val="20"/>
          <w:color w:val="auto"/>
        </w:rPr>
      </w:pPr>
    </w:p>
    <w:p>
      <w:pPr>
        <w:jc w:val="both"/>
        <w:ind w:left="75" w:firstLine="1019"/>
        <w:spacing w:after="0" w:line="258" w:lineRule="auto"/>
        <w:rPr>
          <w:sz w:val="20"/>
          <w:szCs w:val="20"/>
          <w:color w:val="auto"/>
        </w:rPr>
      </w:pPr>
      <w:r>
        <w:rPr>
          <w:rFonts w:ascii="Times New Roman" w:cs="Times New Roman" w:eastAsia="Times New Roman" w:hAnsi="Times New Roman"/>
          <w:sz w:val="17"/>
          <w:szCs w:val="17"/>
          <w:color w:val="auto"/>
        </w:rPr>
        <w:t>Because the laws in this area are complex, it is important that you understand the breadth of activities that constitute illegal insider trading or may otherwise be prohibited. This Policy is more restrictive than the law in certain areas and should be read carefully and complied with fully. All directors, officers, employees and consultants are subject to the terms of this Policy, as well as (1) their family members and others living in their household (other than household employees) (“</w:t>
      </w:r>
      <w:r>
        <w:rPr>
          <w:rFonts w:ascii="Times New Roman" w:cs="Times New Roman" w:eastAsia="Times New Roman" w:hAnsi="Times New Roman"/>
          <w:sz w:val="17"/>
          <w:szCs w:val="17"/>
          <w:b w:val="1"/>
          <w:bCs w:val="1"/>
          <w:color w:val="auto"/>
        </w:rPr>
        <w:t>Family Members</w:t>
      </w:r>
      <w:r>
        <w:rPr>
          <w:rFonts w:ascii="Times New Roman" w:cs="Times New Roman" w:eastAsia="Times New Roman" w:hAnsi="Times New Roman"/>
          <w:sz w:val="17"/>
          <w:szCs w:val="17"/>
          <w:color w:val="auto"/>
        </w:rPr>
        <w:t>”), and (2) any corporations or other business entities controlled or managed by such persons, and any trusts for which such persons are the trustee or have a beneficial pecuniary interest (such entities being referred to herein as “</w:t>
      </w:r>
      <w:r>
        <w:rPr>
          <w:rFonts w:ascii="Times New Roman" w:cs="Times New Roman" w:eastAsia="Times New Roman" w:hAnsi="Times New Roman"/>
          <w:sz w:val="17"/>
          <w:szCs w:val="17"/>
          <w:b w:val="1"/>
          <w:bCs w:val="1"/>
          <w:color w:val="auto"/>
        </w:rPr>
        <w:t>Controlled Entities</w:t>
      </w:r>
      <w:r>
        <w:rPr>
          <w:rFonts w:ascii="Times New Roman" w:cs="Times New Roman" w:eastAsia="Times New Roman" w:hAnsi="Times New Roman"/>
          <w:sz w:val="17"/>
          <w:szCs w:val="17"/>
          <w:color w:val="auto"/>
        </w:rPr>
        <w:t>”),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201295</wp:posOffset>
            </wp:positionV>
            <wp:extent cx="1293495" cy="69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4">
                      <a:extLst>
                        <a:ext uri="{28A0092B-C50C-407E-A947-70E740481C1C}"/>
                      </a:extLst>
                    </a:blip>
                    <a:srcRect/>
                    <a:stretch>
                      <a:fillRect/>
                    </a:stretch>
                  </pic:blipFill>
                  <pic:spPr bwMode="auto">
                    <a:xfrm>
                      <a:off x="0" y="0"/>
                      <a:ext cx="1293495" cy="6985"/>
                    </a:xfrm>
                    <a:prstGeom prst="rect">
                      <a:avLst/>
                    </a:prstGeom>
                    <a:noFill/>
                  </pic:spPr>
                </pic:pic>
              </a:graphicData>
            </a:graphic>
          </wp:anchor>
        </w:drawing>
      </w:r>
    </w:p>
    <w:p>
      <w:pPr>
        <w:spacing w:after="0" w:line="336" w:lineRule="exact"/>
        <w:rPr>
          <w:sz w:val="20"/>
          <w:szCs w:val="20"/>
          <w:color w:val="auto"/>
        </w:rPr>
      </w:pPr>
    </w:p>
    <w:p>
      <w:pPr>
        <w:ind w:left="95" w:hanging="95"/>
        <w:spacing w:after="0"/>
        <w:tabs>
          <w:tab w:leader="none" w:pos="95" w:val="left"/>
        </w:tabs>
        <w:numPr>
          <w:ilvl w:val="0"/>
          <w:numId w:val="65"/>
        </w:numPr>
        <w:rPr>
          <w:rFonts w:ascii="Arial" w:cs="Arial" w:eastAsia="Arial" w:hAnsi="Arial"/>
          <w:sz w:val="18"/>
          <w:szCs w:val="18"/>
          <w:color w:val="auto"/>
          <w:vertAlign w:val="superscript"/>
        </w:rPr>
      </w:pPr>
      <w:r>
        <w:rPr>
          <w:rFonts w:ascii="Arial" w:cs="Arial" w:eastAsia="Arial" w:hAnsi="Arial"/>
          <w:sz w:val="14"/>
          <w:szCs w:val="14"/>
          <w:color w:val="auto"/>
        </w:rPr>
        <w:t>Contact information for the General Counsel has subsequently been updated; the contact information for the Chief Financial Officer has subsequently been updated.</w:t>
      </w:r>
    </w:p>
    <w:p>
      <w:pPr>
        <w:spacing w:after="0" w:line="200" w:lineRule="exact"/>
        <w:rPr>
          <w:rFonts w:ascii="Arial" w:cs="Arial" w:eastAsia="Arial" w:hAnsi="Arial"/>
          <w:sz w:val="18"/>
          <w:szCs w:val="18"/>
          <w:color w:val="auto"/>
          <w:vertAlign w:val="superscript"/>
        </w:rPr>
      </w:pPr>
    </w:p>
    <w:p>
      <w:pPr>
        <w:spacing w:after="0" w:line="301" w:lineRule="exact"/>
        <w:rPr>
          <w:rFonts w:ascii="Arial" w:cs="Arial" w:eastAsia="Arial" w:hAnsi="Arial"/>
          <w:sz w:val="18"/>
          <w:szCs w:val="18"/>
          <w:color w:val="auto"/>
          <w:vertAlign w:val="superscript"/>
        </w:rPr>
      </w:pPr>
    </w:p>
    <w:p>
      <w:pPr>
        <w:ind w:left="5595"/>
        <w:spacing w:after="0"/>
        <w:rPr>
          <w:rFonts w:ascii="Arial" w:cs="Arial" w:eastAsia="Arial" w:hAnsi="Arial"/>
          <w:sz w:val="18"/>
          <w:szCs w:val="18"/>
          <w:color w:val="auto"/>
          <w:vertAlign w:val="superscript"/>
        </w:rPr>
      </w:pPr>
      <w:r>
        <w:rPr>
          <w:rFonts w:ascii="Arial" w:cs="Arial" w:eastAsia="Arial" w:hAnsi="Arial"/>
          <w:sz w:val="16"/>
          <w:szCs w:val="16"/>
          <w:color w:val="auto"/>
        </w:rPr>
        <w:t>1</w:t>
      </w:r>
    </w:p>
    <w:p>
      <w:pPr>
        <w:sectPr>
          <w:pgSz w:w="11900" w:h="16838" w:orient="portrait"/>
          <w:cols w:equalWidth="0" w:num="1">
            <w:col w:w="11235"/>
          </w:cols>
          <w:pgMar w:left="305" w:top="1377" w:right="359" w:bottom="1440" w:gutter="0" w:footer="0" w:header="0"/>
        </w:sectPr>
      </w:pPr>
    </w:p>
    <w:bookmarkStart w:id="169" w:name="page170"/>
    <w:bookmarkEnd w:id="169"/>
    <w:p>
      <w:pPr>
        <w:jc w:val="both"/>
        <w:ind w:left="4" w:firstLine="1019"/>
        <w:spacing w:after="0" w:line="271" w:lineRule="auto"/>
        <w:rPr>
          <w:sz w:val="20"/>
          <w:szCs w:val="20"/>
          <w:color w:val="auto"/>
        </w:rPr>
      </w:pPr>
      <w:r>
        <w:rPr>
          <w:rFonts w:ascii="Times New Roman" w:cs="Times New Roman" w:eastAsia="Times New Roman" w:hAnsi="Times New Roman"/>
          <w:sz w:val="17"/>
          <w:szCs w:val="17"/>
          <w:b w:val="1"/>
          <w:bCs w:val="1"/>
          <w:color w:val="auto"/>
        </w:rPr>
        <w:t>If you have any questions about whether or not you are permitted to trade under this Policy, contact Tejon’s General Counsel at (661) 663-4230 or mhouston@tejonranch.com, or Tejon’s Senior Vice President, Chief Financial Officer (referred herein as the “Chief Financial Officer” at (661) 663-4220 or rvelasquez@tejonranch.com</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ind w:left="284" w:hanging="284"/>
        <w:spacing w:after="0"/>
        <w:tabs>
          <w:tab w:leader="none" w:pos="284" w:val="left"/>
        </w:tabs>
        <w:numPr>
          <w:ilvl w:val="0"/>
          <w:numId w:val="6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TRADING</w:t>
      </w:r>
    </w:p>
    <w:p>
      <w:pPr>
        <w:spacing w:after="0" w:line="218" w:lineRule="exact"/>
        <w:rPr>
          <w:rFonts w:ascii="Times New Roman" w:cs="Times New Roman" w:eastAsia="Times New Roman" w:hAnsi="Times New Roman"/>
          <w:sz w:val="17"/>
          <w:szCs w:val="17"/>
          <w:b w:val="1"/>
          <w:bCs w:val="1"/>
          <w:color w:val="auto"/>
        </w:rPr>
      </w:pPr>
    </w:p>
    <w:p>
      <w:pPr>
        <w:ind w:left="504"/>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  Company Policy.</w:t>
      </w:r>
    </w:p>
    <w:p>
      <w:pPr>
        <w:spacing w:after="0" w:line="211" w:lineRule="exact"/>
        <w:rPr>
          <w:rFonts w:ascii="Times New Roman" w:cs="Times New Roman" w:eastAsia="Times New Roman" w:hAnsi="Times New Roman"/>
          <w:sz w:val="17"/>
          <w:szCs w:val="17"/>
          <w:b w:val="1"/>
          <w:bCs w:val="1"/>
          <w:color w:val="auto"/>
        </w:rPr>
      </w:pPr>
    </w:p>
    <w:p>
      <w:pPr>
        <w:jc w:val="both"/>
        <w:ind w:left="4" w:firstLine="1015"/>
        <w:spacing w:after="0" w:line="262" w:lineRule="auto"/>
        <w:tabs>
          <w:tab w:leader="none" w:pos="1193" w:val="left"/>
        </w:tabs>
        <w:numPr>
          <w:ilvl w:val="2"/>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may not trade in the stock or other securities of Tejon or any other company while you are aware of material nonpublic information about that company. This policy against “insider trading” applies to trading in Tejon securities, as well as to trading in the securities of other companies, such as our customers or suppliers or firms with which the Company may be negotiating a major transaction.</w:t>
      </w:r>
    </w:p>
    <w:p>
      <w:pPr>
        <w:spacing w:after="0" w:line="176" w:lineRule="exact"/>
        <w:rPr>
          <w:rFonts w:ascii="Times New Roman" w:cs="Times New Roman" w:eastAsia="Times New Roman" w:hAnsi="Times New Roman"/>
          <w:sz w:val="17"/>
          <w:szCs w:val="17"/>
          <w:color w:val="auto"/>
        </w:rPr>
      </w:pPr>
    </w:p>
    <w:p>
      <w:pPr>
        <w:jc w:val="both"/>
        <w:ind w:left="4" w:firstLine="1015"/>
        <w:spacing w:after="0" w:line="252" w:lineRule="auto"/>
        <w:tabs>
          <w:tab w:leader="none" w:pos="1193" w:val="left"/>
        </w:tabs>
        <w:numPr>
          <w:ilvl w:val="2"/>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may not convey material nonpublic information about Tejon or any other company to others or suggest that another person purchase or sell any company’s securities while you are aware of material nonpublic information about that company. These practices are known as “tipping,” and also violate the securities laws and can result in the same civil and criminal penalties that apply if you engage in insider trading directly, whether or not you receive any money or derive any benefit from another’s actions. This policy against “tipping” applies to information about Tejon and its securities, as well as to information about other companies. Persons with whom you have a history, pattern or practice of sharing confidences—such as family members, close friends and financial and personal counselors—may be presumed to act on the basis of information known to you; therefore, special care should be taken so that material nonpublic information is not disclosed to such persons. This policy does not restrict legitimate business communications to Company personnel who require the information in order to perform their business duties. Material nonpublic information, however, should not be disclosed to persons outside the Company unless you are specifically authorized to disclose such information and the person receiving the information has agreed, in writing, if appropriate, to keep the information confidential.</w:t>
      </w:r>
    </w:p>
    <w:p>
      <w:pPr>
        <w:spacing w:after="0" w:line="189" w:lineRule="exact"/>
        <w:rPr>
          <w:rFonts w:ascii="Times New Roman" w:cs="Times New Roman" w:eastAsia="Times New Roman" w:hAnsi="Times New Roman"/>
          <w:sz w:val="17"/>
          <w:szCs w:val="17"/>
          <w:color w:val="auto"/>
        </w:rPr>
      </w:pPr>
    </w:p>
    <w:p>
      <w:pPr>
        <w:jc w:val="both"/>
        <w:ind w:left="4" w:firstLine="1015"/>
        <w:spacing w:after="0" w:line="253" w:lineRule="auto"/>
        <w:tabs>
          <w:tab w:leader="none" w:pos="1205" w:val="left"/>
        </w:tabs>
        <w:numPr>
          <w:ilvl w:val="2"/>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directors, officers, employees and consultants must maintain the confidentiality of Company information for competitive, security and other business reasons, as well as to comply with securities laws. All information you learn about Tejon or its business plans is potentially nonpublic information until we publicly disclose it. You should treat this information as confidential and proprietary to the Company. Accordingly, you may not disclose it to others, such as family members, other relatives, or business or social acquaintances, and you are expressly prohibited from disclosing any information concerning the Company to, or participating in, so-called “expert networks” (i.e., organizations that provide specialized information and research services to the outsiders, such as hedge funds and mutual funds). Also, legal rules govern the timing and nature of our disclosure of material information to outsiders or the public. Violation of these rules could result in substantial liability for you, the Company and its management. For this reason, we permit only specifically designated representatives of the Company to discuss the Company with the news media, securities analysts and investors and only</w:t>
      </w:r>
    </w:p>
    <w:p>
      <w:pPr>
        <w:spacing w:after="0" w:line="200" w:lineRule="exact"/>
        <w:rPr>
          <w:sz w:val="20"/>
          <w:szCs w:val="20"/>
          <w:color w:val="auto"/>
        </w:rPr>
      </w:pPr>
    </w:p>
    <w:p>
      <w:pPr>
        <w:spacing w:after="0" w:line="288" w:lineRule="exact"/>
        <w:rPr>
          <w:sz w:val="20"/>
          <w:szCs w:val="20"/>
          <w:color w:val="auto"/>
        </w:rPr>
      </w:pPr>
    </w:p>
    <w:p>
      <w:pPr>
        <w:jc w:val="center"/>
        <w:ind w:right="16"/>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164"/>
          </w:cols>
          <w:pgMar w:left="376" w:top="1324" w:right="359" w:bottom="1440" w:gutter="0" w:footer="0" w:header="0"/>
        </w:sectPr>
      </w:pPr>
    </w:p>
    <w:bookmarkStart w:id="170" w:name="page171"/>
    <w:bookmarkEnd w:id="170"/>
    <w:p>
      <w:pPr>
        <w:spacing w:after="0" w:line="276" w:lineRule="auto"/>
        <w:rPr>
          <w:sz w:val="20"/>
          <w:szCs w:val="20"/>
          <w:color w:val="auto"/>
        </w:rPr>
      </w:pPr>
      <w:r>
        <w:rPr>
          <w:rFonts w:ascii="Times New Roman" w:cs="Times New Roman" w:eastAsia="Times New Roman" w:hAnsi="Times New Roman"/>
          <w:sz w:val="17"/>
          <w:szCs w:val="17"/>
          <w:color w:val="auto"/>
        </w:rPr>
        <w:t>in accordance with the Company’s Regulation FD Policy, which is titled “Guidelines for Public Disclosures and Communications with the Investment Community.” If you receive inquiries of this nature, refer them to the Chief Financial Officer.</w:t>
      </w:r>
    </w:p>
    <w:p>
      <w:pPr>
        <w:spacing w:after="0" w:line="155"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The foregoing restrictions apply to all directors, officers, employees and consultants, and to their Family Members and Controlled Entities. There is no exception for small transactions that may seem necessary or justifiable for independent reasons, such as the need to raise money for an emergency expenditure.</w:t>
      </w:r>
    </w:p>
    <w:p>
      <w:pPr>
        <w:spacing w:after="0" w:line="145" w:lineRule="exact"/>
        <w:rPr>
          <w:sz w:val="20"/>
          <w:szCs w:val="20"/>
          <w:color w:val="auto"/>
        </w:rPr>
      </w:pPr>
    </w:p>
    <w:p>
      <w:pPr>
        <w:ind w:right="4760" w:firstLine="510"/>
        <w:spacing w:after="0" w:line="263" w:lineRule="auto"/>
        <w:rPr>
          <w:sz w:val="20"/>
          <w:szCs w:val="20"/>
          <w:color w:val="auto"/>
        </w:rPr>
      </w:pPr>
      <w:r>
        <w:rPr>
          <w:rFonts w:ascii="Times New Roman" w:cs="Times New Roman" w:eastAsia="Times New Roman" w:hAnsi="Times New Roman"/>
          <w:sz w:val="17"/>
          <w:szCs w:val="17"/>
          <w:color w:val="auto"/>
        </w:rPr>
        <w:t>For purposes of this Policy, references to “trading” and “transactions” includes, among other things:</w:t>
      </w:r>
    </w:p>
    <w:p>
      <w:pPr>
        <w:spacing w:after="0" w:line="49" w:lineRule="exact"/>
        <w:rPr>
          <w:sz w:val="20"/>
          <w:szCs w:val="20"/>
          <w:color w:val="auto"/>
        </w:rPr>
      </w:pPr>
    </w:p>
    <w:p>
      <w:pPr>
        <w:ind w:left="920" w:hanging="231"/>
        <w:spacing w:after="0"/>
        <w:tabs>
          <w:tab w:leader="none" w:pos="920" w:val="left"/>
        </w:tabs>
        <w:numPr>
          <w:ilvl w:val="0"/>
          <w:numId w:val="67"/>
        </w:numPr>
        <w:rPr>
          <w:rFonts w:ascii="Arial" w:cs="Arial" w:eastAsia="Arial" w:hAnsi="Arial"/>
          <w:sz w:val="17"/>
          <w:szCs w:val="17"/>
          <w:color w:val="auto"/>
        </w:rPr>
      </w:pPr>
      <w:r>
        <w:rPr>
          <w:rFonts w:ascii="Times New Roman" w:cs="Times New Roman" w:eastAsia="Times New Roman" w:hAnsi="Times New Roman"/>
          <w:sz w:val="17"/>
          <w:szCs w:val="17"/>
          <w:color w:val="auto"/>
        </w:rPr>
        <w:t>purchases and sales of Tejon securities in public markets;</w:t>
      </w:r>
    </w:p>
    <w:p>
      <w:pPr>
        <w:spacing w:after="0" w:line="100" w:lineRule="exact"/>
        <w:rPr>
          <w:rFonts w:ascii="Arial" w:cs="Arial" w:eastAsia="Arial" w:hAnsi="Arial"/>
          <w:sz w:val="17"/>
          <w:szCs w:val="17"/>
          <w:color w:val="auto"/>
        </w:rPr>
      </w:pPr>
    </w:p>
    <w:p>
      <w:pPr>
        <w:ind w:left="920" w:hanging="231"/>
        <w:spacing w:after="0"/>
        <w:tabs>
          <w:tab w:leader="none" w:pos="920" w:val="left"/>
        </w:tabs>
        <w:numPr>
          <w:ilvl w:val="0"/>
          <w:numId w:val="67"/>
        </w:numPr>
        <w:rPr>
          <w:rFonts w:ascii="Arial" w:cs="Arial" w:eastAsia="Arial" w:hAnsi="Arial"/>
          <w:sz w:val="16"/>
          <w:szCs w:val="16"/>
          <w:color w:val="auto"/>
        </w:rPr>
      </w:pPr>
      <w:r>
        <w:rPr>
          <w:rFonts w:ascii="Times New Roman" w:cs="Times New Roman" w:eastAsia="Times New Roman" w:hAnsi="Times New Roman"/>
          <w:sz w:val="17"/>
          <w:szCs w:val="17"/>
          <w:color w:val="auto"/>
        </w:rPr>
        <w:t>sales of Tejon securities obtained through the exercise of employee stock options granted by the Company;</w:t>
      </w:r>
    </w:p>
    <w:p>
      <w:pPr>
        <w:spacing w:after="0" w:line="90" w:lineRule="exact"/>
        <w:rPr>
          <w:rFonts w:ascii="Arial" w:cs="Arial" w:eastAsia="Arial" w:hAnsi="Arial"/>
          <w:sz w:val="16"/>
          <w:szCs w:val="16"/>
          <w:color w:val="auto"/>
        </w:rPr>
      </w:pPr>
    </w:p>
    <w:p>
      <w:pPr>
        <w:ind w:left="920" w:hanging="231"/>
        <w:spacing w:after="0"/>
        <w:tabs>
          <w:tab w:leader="none" w:pos="920" w:val="left"/>
        </w:tabs>
        <w:numPr>
          <w:ilvl w:val="0"/>
          <w:numId w:val="67"/>
        </w:numPr>
        <w:rPr>
          <w:rFonts w:ascii="Arial" w:cs="Arial" w:eastAsia="Arial" w:hAnsi="Arial"/>
          <w:sz w:val="17"/>
          <w:szCs w:val="17"/>
          <w:color w:val="auto"/>
        </w:rPr>
      </w:pPr>
      <w:r>
        <w:rPr>
          <w:rFonts w:ascii="Times New Roman" w:cs="Times New Roman" w:eastAsia="Times New Roman" w:hAnsi="Times New Roman"/>
          <w:sz w:val="17"/>
          <w:szCs w:val="17"/>
          <w:color w:val="auto"/>
        </w:rPr>
        <w:t>making gifts of Company securities (including charitable donations); or</w:t>
      </w:r>
    </w:p>
    <w:p>
      <w:pPr>
        <w:spacing w:after="0" w:line="90" w:lineRule="exact"/>
        <w:rPr>
          <w:rFonts w:ascii="Arial" w:cs="Arial" w:eastAsia="Arial" w:hAnsi="Arial"/>
          <w:sz w:val="17"/>
          <w:szCs w:val="17"/>
          <w:color w:val="auto"/>
        </w:rPr>
      </w:pPr>
    </w:p>
    <w:p>
      <w:pPr>
        <w:ind w:left="920" w:hanging="231"/>
        <w:spacing w:after="0"/>
        <w:tabs>
          <w:tab w:leader="none" w:pos="920" w:val="left"/>
        </w:tabs>
        <w:numPr>
          <w:ilvl w:val="0"/>
          <w:numId w:val="67"/>
        </w:numPr>
        <w:rPr>
          <w:rFonts w:ascii="Arial" w:cs="Arial" w:eastAsia="Arial" w:hAnsi="Arial"/>
          <w:sz w:val="16"/>
          <w:szCs w:val="16"/>
          <w:color w:val="auto"/>
        </w:rPr>
      </w:pPr>
      <w:r>
        <w:rPr>
          <w:rFonts w:ascii="Times New Roman" w:cs="Times New Roman" w:eastAsia="Times New Roman" w:hAnsi="Times New Roman"/>
          <w:sz w:val="17"/>
          <w:szCs w:val="17"/>
          <w:color w:val="auto"/>
        </w:rPr>
        <w:t>using Company securities to secure a loan.</w:t>
      </w:r>
    </w:p>
    <w:p>
      <w:pPr>
        <w:spacing w:after="0" w:line="2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Conversely, references to “trading” and “transactions” do not include:</w:t>
      </w:r>
    </w:p>
    <w:p>
      <w:pPr>
        <w:spacing w:after="0" w:line="91" w:lineRule="exact"/>
        <w:rPr>
          <w:sz w:val="20"/>
          <w:szCs w:val="20"/>
          <w:color w:val="auto"/>
        </w:rPr>
      </w:pPr>
    </w:p>
    <w:p>
      <w:pPr>
        <w:ind w:left="920" w:hanging="231"/>
        <w:spacing w:after="0"/>
        <w:tabs>
          <w:tab w:leader="none" w:pos="920" w:val="left"/>
        </w:tabs>
        <w:numPr>
          <w:ilvl w:val="0"/>
          <w:numId w:val="68"/>
        </w:numPr>
        <w:rPr>
          <w:rFonts w:ascii="Arial" w:cs="Arial" w:eastAsia="Arial" w:hAnsi="Arial"/>
          <w:sz w:val="16"/>
          <w:szCs w:val="16"/>
          <w:color w:val="auto"/>
        </w:rPr>
      </w:pPr>
      <w:r>
        <w:rPr>
          <w:rFonts w:ascii="Times New Roman" w:cs="Times New Roman" w:eastAsia="Times New Roman" w:hAnsi="Times New Roman"/>
          <w:sz w:val="17"/>
          <w:szCs w:val="17"/>
          <w:color w:val="auto"/>
        </w:rPr>
        <w:t>the exercise of Company stock options if no shares are to be sold or if there is a “net exercise” (as defined below);</w:t>
      </w:r>
    </w:p>
    <w:p>
      <w:pPr>
        <w:spacing w:after="0" w:line="101" w:lineRule="exact"/>
        <w:rPr>
          <w:rFonts w:ascii="Arial" w:cs="Arial" w:eastAsia="Arial" w:hAnsi="Arial"/>
          <w:sz w:val="16"/>
          <w:szCs w:val="16"/>
          <w:color w:val="auto"/>
        </w:rPr>
      </w:pPr>
    </w:p>
    <w:p>
      <w:pPr>
        <w:ind w:left="920" w:hanging="231"/>
        <w:spacing w:after="0"/>
        <w:tabs>
          <w:tab w:leader="none" w:pos="920" w:val="left"/>
        </w:tabs>
        <w:numPr>
          <w:ilvl w:val="0"/>
          <w:numId w:val="68"/>
        </w:numPr>
        <w:rPr>
          <w:rFonts w:ascii="Arial" w:cs="Arial" w:eastAsia="Arial" w:hAnsi="Arial"/>
          <w:sz w:val="17"/>
          <w:szCs w:val="17"/>
          <w:color w:val="auto"/>
        </w:rPr>
      </w:pPr>
      <w:r>
        <w:rPr>
          <w:rFonts w:ascii="Times New Roman" w:cs="Times New Roman" w:eastAsia="Times New Roman" w:hAnsi="Times New Roman"/>
          <w:sz w:val="17"/>
          <w:szCs w:val="17"/>
          <w:color w:val="auto"/>
        </w:rPr>
        <w:t>the vesting of Company stock options, restricted stock or restricted stock units; or</w:t>
      </w:r>
    </w:p>
    <w:p>
      <w:pPr>
        <w:spacing w:after="0" w:line="100" w:lineRule="exact"/>
        <w:rPr>
          <w:rFonts w:ascii="Arial" w:cs="Arial" w:eastAsia="Arial" w:hAnsi="Arial"/>
          <w:sz w:val="17"/>
          <w:szCs w:val="17"/>
          <w:color w:val="auto"/>
        </w:rPr>
      </w:pPr>
    </w:p>
    <w:p>
      <w:pPr>
        <w:ind w:left="920" w:hanging="231"/>
        <w:spacing w:after="0"/>
        <w:tabs>
          <w:tab w:leader="none" w:pos="920" w:val="left"/>
        </w:tabs>
        <w:numPr>
          <w:ilvl w:val="0"/>
          <w:numId w:val="68"/>
        </w:numPr>
        <w:rPr>
          <w:rFonts w:ascii="Arial" w:cs="Arial" w:eastAsia="Arial" w:hAnsi="Arial"/>
          <w:sz w:val="18"/>
          <w:szCs w:val="18"/>
          <w:color w:val="auto"/>
        </w:rPr>
      </w:pPr>
      <w:r>
        <w:rPr>
          <w:rFonts w:ascii="Times New Roman" w:cs="Times New Roman" w:eastAsia="Times New Roman" w:hAnsi="Times New Roman"/>
          <w:sz w:val="17"/>
          <w:szCs w:val="17"/>
          <w:color w:val="auto"/>
        </w:rPr>
        <w:t>the withholding of shares to satisfy a tax withholding obligation upon the vesting of restricted stock or restricted stock units.</w:t>
      </w:r>
    </w:p>
    <w:p>
      <w:pPr>
        <w:spacing w:after="0" w:line="1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Therefore, you may freely exercise your stock options, engage in “net exercises” and have the Company withhold shares to satisfy you tax obligations without violating this Policy. Note that a “net exercise” (which is permitted) is the use of the underlying shares to pay the exercise price and/or tax withholding obligations, whereas a broker-assisted cashless exercise (which is not permitted) involves the broker selling some or all of the shares underlying the option on the open market.</w:t>
      </w:r>
    </w:p>
    <w:p>
      <w:pPr>
        <w:spacing w:after="0" w:line="169" w:lineRule="exact"/>
        <w:rPr>
          <w:sz w:val="20"/>
          <w:szCs w:val="20"/>
          <w:color w:val="auto"/>
        </w:rPr>
      </w:pPr>
    </w:p>
    <w:p>
      <w:pPr>
        <w:ind w:left="840" w:hanging="335"/>
        <w:spacing w:after="0"/>
        <w:tabs>
          <w:tab w:leader="none" w:pos="840" w:val="left"/>
        </w:tabs>
        <w:numPr>
          <w:ilvl w:val="0"/>
          <w:numId w:val="6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Material Nonpublic Information.</w:t>
      </w:r>
    </w:p>
    <w:p>
      <w:pPr>
        <w:spacing w:after="0" w:line="201" w:lineRule="exact"/>
        <w:rPr>
          <w:rFonts w:ascii="Times New Roman" w:cs="Times New Roman" w:eastAsia="Times New Roman" w:hAnsi="Times New Roman"/>
          <w:sz w:val="17"/>
          <w:szCs w:val="17"/>
          <w:b w:val="1"/>
          <w:bCs w:val="1"/>
          <w:color w:val="auto"/>
        </w:rPr>
      </w:pPr>
    </w:p>
    <w:p>
      <w:pPr>
        <w:jc w:val="both"/>
        <w:ind w:firstLine="1015"/>
        <w:spacing w:after="0" w:line="246" w:lineRule="auto"/>
        <w:tabs>
          <w:tab w:leader="none" w:pos="1189"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Nonpublic Information</w:t>
      </w:r>
      <w:r>
        <w:rPr>
          <w:rFonts w:ascii="Times New Roman" w:cs="Times New Roman" w:eastAsia="Times New Roman" w:hAnsi="Times New Roman"/>
          <w:sz w:val="17"/>
          <w:szCs w:val="17"/>
          <w:color w:val="auto"/>
        </w:rPr>
        <w:t>. Nonpublic information is information that is not generally known or available to the public. We consider information to be available to the public only when (i) it has been released to the public through appropriate channels (e.g., by means of a press release or a widely disseminated statement from a senior officer); and (ii) enough time has elapsed to permit the investment market to absorb and evaluate the information. As a general rule, you should consider information nonpublic until two full trading days have elapsed following public disclosure. For example, if the Company discloses material nonpublic information before the market opens on November 5, 2012, you may not trade until November 7,</w:t>
      </w:r>
    </w:p>
    <w:p>
      <w:pPr>
        <w:spacing w:after="0" w:line="2" w:lineRule="exact"/>
        <w:rPr>
          <w:rFonts w:ascii="Times New Roman" w:cs="Times New Roman" w:eastAsia="Times New Roman" w:hAnsi="Times New Roman"/>
          <w:sz w:val="17"/>
          <w:szCs w:val="17"/>
          <w:color w:val="auto"/>
        </w:rPr>
      </w:pPr>
    </w:p>
    <w:p>
      <w:pPr>
        <w:spacing w:after="0" w:line="25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2012 (two full trading days after the Company’s release), so long as you do not have any additional material nonpublic information after such release. If, however, the Company discloses material nonpublic information after the market opens on November 5, 2012, you may</w:t>
      </w: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160"/>
          </w:cols>
          <w:pgMar w:left="380" w:top="1328" w:right="359" w:bottom="1440" w:gutter="0" w:footer="0" w:header="0"/>
        </w:sectPr>
      </w:pPr>
    </w:p>
    <w:bookmarkStart w:id="171" w:name="page172"/>
    <w:bookmarkEnd w:id="171"/>
    <w:p>
      <w:pPr>
        <w:ind w:right="20"/>
        <w:spacing w:after="0" w:line="276" w:lineRule="auto"/>
        <w:rPr>
          <w:sz w:val="20"/>
          <w:szCs w:val="20"/>
          <w:color w:val="auto"/>
        </w:rPr>
      </w:pPr>
      <w:r>
        <w:rPr>
          <w:rFonts w:ascii="Times New Roman" w:cs="Times New Roman" w:eastAsia="Times New Roman" w:hAnsi="Times New Roman"/>
          <w:sz w:val="17"/>
          <w:szCs w:val="17"/>
          <w:color w:val="auto"/>
        </w:rPr>
        <w:t>not trade until November 8, 2012 (two full trading days after the Company’s release), so long as you do not have any additional material nonpublic information after such release.</w:t>
      </w:r>
    </w:p>
    <w:p>
      <w:pPr>
        <w:spacing w:after="0" w:line="166" w:lineRule="exact"/>
        <w:rPr>
          <w:sz w:val="20"/>
          <w:szCs w:val="20"/>
          <w:color w:val="auto"/>
        </w:rPr>
      </w:pPr>
    </w:p>
    <w:p>
      <w:pPr>
        <w:ind w:firstLine="1015"/>
        <w:spacing w:after="0" w:line="276" w:lineRule="auto"/>
        <w:tabs>
          <w:tab w:leader="none" w:pos="1189"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Material Information</w:t>
      </w:r>
      <w:r>
        <w:rPr>
          <w:rFonts w:ascii="Times New Roman" w:cs="Times New Roman" w:eastAsia="Times New Roman" w:hAnsi="Times New Roman"/>
          <w:sz w:val="17"/>
          <w:szCs w:val="17"/>
          <w:color w:val="auto"/>
        </w:rPr>
        <w:t>. Material information is any information that a reasonable investor would consider important in a decision to buy, hold or sell securities. Either positive or negative information may be material. Examples of information frequently regarded as material include:</w:t>
      </w:r>
    </w:p>
    <w:p>
      <w:pPr>
        <w:spacing w:after="0" w:line="38" w:lineRule="exact"/>
        <w:rPr>
          <w:rFonts w:ascii="Times New Roman" w:cs="Times New Roman" w:eastAsia="Times New Roman" w:hAnsi="Times New Roman"/>
          <w:sz w:val="17"/>
          <w:szCs w:val="17"/>
          <w:color w:val="auto"/>
        </w:rPr>
      </w:pPr>
    </w:p>
    <w:p>
      <w:pPr>
        <w:ind w:left="400" w:hanging="220"/>
        <w:spacing w:after="0"/>
        <w:tabs>
          <w:tab w:leader="none" w:pos="400" w:val="left"/>
        </w:tabs>
        <w:numPr>
          <w:ilvl w:val="0"/>
          <w:numId w:val="70"/>
        </w:numPr>
        <w:rPr>
          <w:rFonts w:ascii="Arial" w:cs="Arial" w:eastAsia="Arial" w:hAnsi="Arial"/>
          <w:sz w:val="16"/>
          <w:szCs w:val="16"/>
          <w:color w:val="auto"/>
        </w:rPr>
      </w:pPr>
      <w:r>
        <w:rPr>
          <w:rFonts w:ascii="Times New Roman" w:cs="Times New Roman" w:eastAsia="Times New Roman" w:hAnsi="Times New Roman"/>
          <w:sz w:val="17"/>
          <w:szCs w:val="17"/>
          <w:color w:val="auto"/>
        </w:rPr>
        <w:t>projections of future earnings or losses;</w:t>
      </w:r>
    </w:p>
    <w:p>
      <w:pPr>
        <w:spacing w:after="0" w:line="101" w:lineRule="exact"/>
        <w:rPr>
          <w:rFonts w:ascii="Arial" w:cs="Arial" w:eastAsia="Arial" w:hAnsi="Arial"/>
          <w:sz w:val="16"/>
          <w:szCs w:val="16"/>
          <w:color w:val="auto"/>
        </w:rPr>
      </w:pPr>
    </w:p>
    <w:p>
      <w:pPr>
        <w:ind w:left="400" w:hanging="220"/>
        <w:spacing w:after="0"/>
        <w:tabs>
          <w:tab w:leader="none" w:pos="400" w:val="left"/>
        </w:tabs>
        <w:numPr>
          <w:ilvl w:val="0"/>
          <w:numId w:val="70"/>
        </w:numPr>
        <w:rPr>
          <w:rFonts w:ascii="Arial" w:cs="Arial" w:eastAsia="Arial" w:hAnsi="Arial"/>
          <w:sz w:val="17"/>
          <w:szCs w:val="17"/>
          <w:color w:val="auto"/>
        </w:rPr>
      </w:pPr>
      <w:r>
        <w:rPr>
          <w:rFonts w:ascii="Times New Roman" w:cs="Times New Roman" w:eastAsia="Times New Roman" w:hAnsi="Times New Roman"/>
          <w:sz w:val="17"/>
          <w:szCs w:val="17"/>
          <w:color w:val="auto"/>
        </w:rPr>
        <w:t>earnings, revenue or similar financial information;</w:t>
      </w:r>
    </w:p>
    <w:p>
      <w:pPr>
        <w:spacing w:after="0" w:line="100" w:lineRule="exact"/>
        <w:rPr>
          <w:rFonts w:ascii="Arial" w:cs="Arial" w:eastAsia="Arial" w:hAnsi="Arial"/>
          <w:sz w:val="17"/>
          <w:szCs w:val="17"/>
          <w:color w:val="auto"/>
        </w:rPr>
      </w:pPr>
    </w:p>
    <w:p>
      <w:pPr>
        <w:ind w:left="440" w:right="60" w:hanging="260"/>
        <w:spacing w:after="0" w:line="275" w:lineRule="auto"/>
        <w:tabs>
          <w:tab w:leader="none" w:pos="409" w:val="left"/>
        </w:tabs>
        <w:numPr>
          <w:ilvl w:val="0"/>
          <w:numId w:val="70"/>
        </w:numPr>
        <w:rPr>
          <w:rFonts w:ascii="Arial" w:cs="Arial" w:eastAsia="Arial" w:hAnsi="Arial"/>
          <w:sz w:val="18"/>
          <w:szCs w:val="18"/>
          <w:color w:val="auto"/>
        </w:rPr>
      </w:pPr>
      <w:r>
        <w:rPr>
          <w:rFonts w:ascii="Times New Roman" w:cs="Times New Roman" w:eastAsia="Times New Roman" w:hAnsi="Times New Roman"/>
          <w:sz w:val="17"/>
          <w:szCs w:val="17"/>
          <w:color w:val="auto"/>
        </w:rPr>
        <w:t>information about current, proposed or contemplated transactions (including, a merger, acquisition or tender offer), business plans, financial restructurings, or significant expansions or contractions of operations;</w:t>
      </w:r>
    </w:p>
    <w:p>
      <w:pPr>
        <w:spacing w:after="0" w:line="37" w:lineRule="exact"/>
        <w:rPr>
          <w:rFonts w:ascii="Arial" w:cs="Arial" w:eastAsia="Arial" w:hAnsi="Arial"/>
          <w:sz w:val="18"/>
          <w:szCs w:val="18"/>
          <w:color w:val="auto"/>
        </w:rPr>
      </w:pPr>
    </w:p>
    <w:p>
      <w:pPr>
        <w:ind w:left="420" w:hanging="240"/>
        <w:spacing w:after="0"/>
        <w:tabs>
          <w:tab w:leader="none" w:pos="42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significant sale of assets or the disposition of a subsidiary;</w:t>
      </w:r>
    </w:p>
    <w:p>
      <w:pPr>
        <w:spacing w:after="0" w:line="90" w:lineRule="exact"/>
        <w:rPr>
          <w:rFonts w:ascii="Times New Roman" w:cs="Times New Roman" w:eastAsia="Times New Roman" w:hAnsi="Times New Roman"/>
          <w:sz w:val="17"/>
          <w:szCs w:val="17"/>
          <w:color w:val="auto"/>
        </w:rPr>
      </w:pPr>
    </w:p>
    <w:p>
      <w:pPr>
        <w:ind w:left="400" w:hanging="220"/>
        <w:spacing w:after="0"/>
        <w:tabs>
          <w:tab w:leader="none" w:pos="400" w:val="left"/>
        </w:tabs>
        <w:numPr>
          <w:ilvl w:val="0"/>
          <w:numId w:val="70"/>
        </w:numPr>
        <w:rPr>
          <w:rFonts w:ascii="Arial" w:cs="Arial" w:eastAsia="Arial" w:hAnsi="Arial"/>
          <w:sz w:val="16"/>
          <w:szCs w:val="16"/>
          <w:color w:val="auto"/>
        </w:rPr>
      </w:pPr>
      <w:r>
        <w:rPr>
          <w:rFonts w:ascii="Times New Roman" w:cs="Times New Roman" w:eastAsia="Times New Roman" w:hAnsi="Times New Roman"/>
          <w:sz w:val="17"/>
          <w:szCs w:val="17"/>
          <w:color w:val="auto"/>
        </w:rPr>
        <w:t>any change in dividend policy or the declaration of a stock split or stock dividend;</w:t>
      </w:r>
    </w:p>
    <w:p>
      <w:pPr>
        <w:spacing w:after="0" w:line="101" w:lineRule="exact"/>
        <w:rPr>
          <w:rFonts w:ascii="Arial" w:cs="Arial" w:eastAsia="Arial" w:hAnsi="Arial"/>
          <w:sz w:val="16"/>
          <w:szCs w:val="16"/>
          <w:color w:val="auto"/>
        </w:rPr>
      </w:pPr>
    </w:p>
    <w:p>
      <w:pPr>
        <w:ind w:left="400" w:hanging="220"/>
        <w:spacing w:after="0"/>
        <w:tabs>
          <w:tab w:leader="none" w:pos="400" w:val="left"/>
        </w:tabs>
        <w:numPr>
          <w:ilvl w:val="0"/>
          <w:numId w:val="70"/>
        </w:numPr>
        <w:rPr>
          <w:rFonts w:ascii="Arial" w:cs="Arial" w:eastAsia="Arial" w:hAnsi="Arial"/>
          <w:sz w:val="16"/>
          <w:szCs w:val="16"/>
          <w:color w:val="auto"/>
        </w:rPr>
      </w:pPr>
      <w:r>
        <w:rPr>
          <w:rFonts w:ascii="Times New Roman" w:cs="Times New Roman" w:eastAsia="Times New Roman" w:hAnsi="Times New Roman"/>
          <w:sz w:val="17"/>
          <w:szCs w:val="17"/>
          <w:color w:val="auto"/>
        </w:rPr>
        <w:t>any offering of additional securities;</w:t>
      </w:r>
    </w:p>
    <w:p>
      <w:pPr>
        <w:spacing w:after="0" w:line="90" w:lineRule="exact"/>
        <w:rPr>
          <w:rFonts w:ascii="Arial" w:cs="Arial" w:eastAsia="Arial" w:hAnsi="Arial"/>
          <w:sz w:val="16"/>
          <w:szCs w:val="16"/>
          <w:color w:val="auto"/>
        </w:rPr>
      </w:pPr>
    </w:p>
    <w:p>
      <w:pPr>
        <w:ind w:left="400" w:hanging="220"/>
        <w:spacing w:after="0"/>
        <w:tabs>
          <w:tab w:leader="none" w:pos="400" w:val="left"/>
        </w:tabs>
        <w:numPr>
          <w:ilvl w:val="0"/>
          <w:numId w:val="70"/>
        </w:numPr>
        <w:rPr>
          <w:rFonts w:ascii="Arial" w:cs="Arial" w:eastAsia="Arial" w:hAnsi="Arial"/>
          <w:sz w:val="16"/>
          <w:szCs w:val="16"/>
          <w:color w:val="auto"/>
        </w:rPr>
      </w:pPr>
      <w:r>
        <w:rPr>
          <w:rFonts w:ascii="Times New Roman" w:cs="Times New Roman" w:eastAsia="Times New Roman" w:hAnsi="Times New Roman"/>
          <w:sz w:val="17"/>
          <w:szCs w:val="17"/>
          <w:color w:val="auto"/>
        </w:rPr>
        <w:t>extraordinary borrowings or liquidity problems;</w:t>
      </w:r>
    </w:p>
    <w:p>
      <w:pPr>
        <w:spacing w:after="0" w:line="101" w:lineRule="exact"/>
        <w:rPr>
          <w:rFonts w:ascii="Arial" w:cs="Arial" w:eastAsia="Arial" w:hAnsi="Arial"/>
          <w:sz w:val="16"/>
          <w:szCs w:val="16"/>
          <w:color w:val="auto"/>
        </w:rPr>
      </w:pPr>
    </w:p>
    <w:p>
      <w:pPr>
        <w:ind w:left="400" w:hanging="220"/>
        <w:spacing w:after="0"/>
        <w:tabs>
          <w:tab w:leader="none" w:pos="400" w:val="left"/>
        </w:tabs>
        <w:numPr>
          <w:ilvl w:val="0"/>
          <w:numId w:val="70"/>
        </w:numPr>
        <w:rPr>
          <w:rFonts w:ascii="Arial" w:cs="Arial" w:eastAsia="Arial" w:hAnsi="Arial"/>
          <w:sz w:val="16"/>
          <w:szCs w:val="16"/>
          <w:color w:val="auto"/>
        </w:rPr>
      </w:pPr>
      <w:r>
        <w:rPr>
          <w:rFonts w:ascii="Times New Roman" w:cs="Times New Roman" w:eastAsia="Times New Roman" w:hAnsi="Times New Roman"/>
          <w:sz w:val="17"/>
          <w:szCs w:val="17"/>
          <w:color w:val="auto"/>
        </w:rPr>
        <w:t>material defaults under agreements or actions by creditors relating to a company’s credit rating;</w:t>
      </w:r>
    </w:p>
    <w:p>
      <w:pPr>
        <w:spacing w:after="0" w:line="90" w:lineRule="exact"/>
        <w:rPr>
          <w:rFonts w:ascii="Arial" w:cs="Arial" w:eastAsia="Arial" w:hAnsi="Arial"/>
          <w:sz w:val="16"/>
          <w:szCs w:val="16"/>
          <w:color w:val="auto"/>
        </w:rPr>
      </w:pPr>
    </w:p>
    <w:p>
      <w:pPr>
        <w:ind w:left="400" w:hanging="220"/>
        <w:spacing w:after="0"/>
        <w:tabs>
          <w:tab w:leader="none" w:pos="400" w:val="left"/>
        </w:tabs>
        <w:numPr>
          <w:ilvl w:val="0"/>
          <w:numId w:val="70"/>
        </w:numPr>
        <w:rPr>
          <w:rFonts w:ascii="Arial" w:cs="Arial" w:eastAsia="Arial" w:hAnsi="Arial"/>
          <w:sz w:val="17"/>
          <w:szCs w:val="17"/>
          <w:color w:val="auto"/>
        </w:rPr>
      </w:pPr>
      <w:r>
        <w:rPr>
          <w:rFonts w:ascii="Times New Roman" w:cs="Times New Roman" w:eastAsia="Times New Roman" w:hAnsi="Times New Roman"/>
          <w:sz w:val="17"/>
          <w:szCs w:val="17"/>
          <w:color w:val="auto"/>
        </w:rPr>
        <w:t>changes in management, directors or auditors;</w:t>
      </w:r>
    </w:p>
    <w:p>
      <w:pPr>
        <w:spacing w:after="0" w:line="100" w:lineRule="exact"/>
        <w:rPr>
          <w:rFonts w:ascii="Arial" w:cs="Arial" w:eastAsia="Arial" w:hAnsi="Arial"/>
          <w:sz w:val="17"/>
          <w:szCs w:val="17"/>
          <w:color w:val="auto"/>
        </w:rPr>
      </w:pPr>
    </w:p>
    <w:p>
      <w:pPr>
        <w:ind w:left="400" w:hanging="220"/>
        <w:spacing w:after="0"/>
        <w:tabs>
          <w:tab w:leader="none" w:pos="400" w:val="left"/>
        </w:tabs>
        <w:numPr>
          <w:ilvl w:val="0"/>
          <w:numId w:val="70"/>
        </w:numPr>
        <w:rPr>
          <w:rFonts w:ascii="Arial" w:cs="Arial" w:eastAsia="Arial" w:hAnsi="Arial"/>
          <w:sz w:val="16"/>
          <w:szCs w:val="16"/>
          <w:color w:val="auto"/>
        </w:rPr>
      </w:pPr>
      <w:r>
        <w:rPr>
          <w:rFonts w:ascii="Times New Roman" w:cs="Times New Roman" w:eastAsia="Times New Roman" w:hAnsi="Times New Roman"/>
          <w:sz w:val="17"/>
          <w:szCs w:val="17"/>
          <w:color w:val="auto"/>
        </w:rPr>
        <w:t>significant decisions regarding the development, leasing or licensing of land;</w:t>
      </w:r>
    </w:p>
    <w:p>
      <w:pPr>
        <w:spacing w:after="0" w:line="90" w:lineRule="exact"/>
        <w:rPr>
          <w:rFonts w:ascii="Arial" w:cs="Arial" w:eastAsia="Arial" w:hAnsi="Arial"/>
          <w:sz w:val="16"/>
          <w:szCs w:val="16"/>
          <w:color w:val="auto"/>
        </w:rPr>
      </w:pPr>
    </w:p>
    <w:p>
      <w:pPr>
        <w:ind w:left="400" w:hanging="220"/>
        <w:spacing w:after="0"/>
        <w:tabs>
          <w:tab w:leader="none" w:pos="400" w:val="left"/>
        </w:tabs>
        <w:numPr>
          <w:ilvl w:val="0"/>
          <w:numId w:val="70"/>
        </w:numPr>
        <w:rPr>
          <w:rFonts w:ascii="Arial" w:cs="Arial" w:eastAsia="Arial" w:hAnsi="Arial"/>
          <w:sz w:val="16"/>
          <w:szCs w:val="16"/>
          <w:color w:val="auto"/>
        </w:rPr>
      </w:pPr>
      <w:r>
        <w:rPr>
          <w:rFonts w:ascii="Times New Roman" w:cs="Times New Roman" w:eastAsia="Times New Roman" w:hAnsi="Times New Roman"/>
          <w:sz w:val="17"/>
          <w:szCs w:val="17"/>
          <w:color w:val="auto"/>
        </w:rPr>
        <w:t>major environmental incidents;</w:t>
      </w:r>
    </w:p>
    <w:p>
      <w:pPr>
        <w:spacing w:after="0" w:line="101" w:lineRule="exact"/>
        <w:rPr>
          <w:rFonts w:ascii="Arial" w:cs="Arial" w:eastAsia="Arial" w:hAnsi="Arial"/>
          <w:sz w:val="16"/>
          <w:szCs w:val="16"/>
          <w:color w:val="auto"/>
        </w:rPr>
      </w:pPr>
    </w:p>
    <w:p>
      <w:pPr>
        <w:ind w:left="400" w:hanging="220"/>
        <w:spacing w:after="0"/>
        <w:tabs>
          <w:tab w:leader="none" w:pos="400" w:val="left"/>
        </w:tabs>
        <w:numPr>
          <w:ilvl w:val="0"/>
          <w:numId w:val="70"/>
        </w:numPr>
        <w:rPr>
          <w:rFonts w:ascii="Arial" w:cs="Arial" w:eastAsia="Arial" w:hAnsi="Arial"/>
          <w:sz w:val="16"/>
          <w:szCs w:val="16"/>
          <w:color w:val="auto"/>
        </w:rPr>
      </w:pPr>
      <w:r>
        <w:rPr>
          <w:rFonts w:ascii="Times New Roman" w:cs="Times New Roman" w:eastAsia="Times New Roman" w:hAnsi="Times New Roman"/>
          <w:sz w:val="17"/>
          <w:szCs w:val="17"/>
          <w:color w:val="auto"/>
        </w:rPr>
        <w:t>significant new discoveries of minerals;</w:t>
      </w:r>
    </w:p>
    <w:p>
      <w:pPr>
        <w:spacing w:after="0" w:line="101" w:lineRule="exact"/>
        <w:rPr>
          <w:rFonts w:ascii="Arial" w:cs="Arial" w:eastAsia="Arial" w:hAnsi="Arial"/>
          <w:sz w:val="16"/>
          <w:szCs w:val="16"/>
          <w:color w:val="auto"/>
        </w:rPr>
      </w:pPr>
    </w:p>
    <w:p>
      <w:pPr>
        <w:ind w:left="400" w:hanging="220"/>
        <w:spacing w:after="0"/>
        <w:tabs>
          <w:tab w:leader="none" w:pos="400" w:val="left"/>
        </w:tabs>
        <w:numPr>
          <w:ilvl w:val="0"/>
          <w:numId w:val="70"/>
        </w:numPr>
        <w:rPr>
          <w:rFonts w:ascii="Arial" w:cs="Arial" w:eastAsia="Arial" w:hAnsi="Arial"/>
          <w:sz w:val="18"/>
          <w:szCs w:val="18"/>
          <w:color w:val="auto"/>
        </w:rPr>
      </w:pPr>
      <w:r>
        <w:rPr>
          <w:rFonts w:ascii="Times New Roman" w:cs="Times New Roman" w:eastAsia="Times New Roman" w:hAnsi="Times New Roman"/>
          <w:sz w:val="17"/>
          <w:szCs w:val="17"/>
          <w:color w:val="auto"/>
        </w:rPr>
        <w:t>institution of, or developments in, major litigation, major investigations, or major regulatory actions or proceedings; and</w:t>
      </w:r>
    </w:p>
    <w:p>
      <w:pPr>
        <w:spacing w:after="0" w:line="90" w:lineRule="exact"/>
        <w:rPr>
          <w:rFonts w:ascii="Arial" w:cs="Arial" w:eastAsia="Arial" w:hAnsi="Arial"/>
          <w:sz w:val="18"/>
          <w:szCs w:val="18"/>
          <w:color w:val="auto"/>
        </w:rPr>
      </w:pPr>
    </w:p>
    <w:p>
      <w:pPr>
        <w:ind w:left="400" w:hanging="220"/>
        <w:spacing w:after="0"/>
        <w:tabs>
          <w:tab w:leader="none" w:pos="400" w:val="left"/>
        </w:tabs>
        <w:numPr>
          <w:ilvl w:val="0"/>
          <w:numId w:val="70"/>
        </w:numPr>
        <w:rPr>
          <w:rFonts w:ascii="Arial" w:cs="Arial" w:eastAsia="Arial" w:hAnsi="Arial"/>
          <w:sz w:val="17"/>
          <w:szCs w:val="17"/>
          <w:color w:val="auto"/>
        </w:rPr>
      </w:pPr>
      <w:r>
        <w:rPr>
          <w:rFonts w:ascii="Times New Roman" w:cs="Times New Roman" w:eastAsia="Times New Roman" w:hAnsi="Times New Roman"/>
          <w:sz w:val="17"/>
          <w:szCs w:val="17"/>
          <w:color w:val="auto"/>
        </w:rPr>
        <w:t>the gain or loss of a substantial customer or supplier.</w:t>
      </w:r>
    </w:p>
    <w:p>
      <w:pPr>
        <w:spacing w:after="0" w:line="207" w:lineRule="exact"/>
        <w:rPr>
          <w:sz w:val="20"/>
          <w:szCs w:val="20"/>
          <w:color w:val="auto"/>
        </w:rPr>
      </w:pPr>
    </w:p>
    <w:p>
      <w:pPr>
        <w:ind w:right="340" w:firstLine="1019"/>
        <w:spacing w:after="0" w:line="248" w:lineRule="auto"/>
        <w:rPr>
          <w:sz w:val="20"/>
          <w:szCs w:val="20"/>
          <w:color w:val="auto"/>
        </w:rPr>
      </w:pPr>
      <w:r>
        <w:rPr>
          <w:rFonts w:ascii="Times New Roman" w:cs="Times New Roman" w:eastAsia="Times New Roman" w:hAnsi="Times New Roman"/>
          <w:sz w:val="17"/>
          <w:szCs w:val="17"/>
          <w:color w:val="auto"/>
        </w:rPr>
        <w:t>The foregoing, of course, is not an exhaustive list, and any information that could reasonably affect the price of a security should be considered material. Federal and NYSE investigators will scrutinize a questionable trade after the fact with the benefit of hindsight, so you should always err on the conservative side when determining if the pertinent information is material. If you have questions regarding specific transactions, please contact the Company’s General Counsel or Chief Financial Officer.</w:t>
      </w:r>
    </w:p>
    <w:p>
      <w:pPr>
        <w:spacing w:after="0" w:line="175" w:lineRule="exact"/>
        <w:rPr>
          <w:sz w:val="20"/>
          <w:szCs w:val="20"/>
          <w:color w:val="auto"/>
        </w:rPr>
      </w:pPr>
    </w:p>
    <w:p>
      <w:pPr>
        <w:ind w:left="1020" w:right="5360" w:hanging="515"/>
        <w:spacing w:after="0" w:line="268" w:lineRule="auto"/>
        <w:tabs>
          <w:tab w:leader="none" w:pos="842" w:val="left"/>
        </w:tabs>
        <w:numPr>
          <w:ilvl w:val="0"/>
          <w:numId w:val="7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When a Director, Officer or Designated Employee Can Trade Tejon’s Securities.</w:t>
      </w:r>
    </w:p>
    <w:p>
      <w:pPr>
        <w:spacing w:after="0" w:line="9" w:lineRule="exact"/>
        <w:rPr>
          <w:rFonts w:ascii="Times New Roman" w:cs="Times New Roman" w:eastAsia="Times New Roman" w:hAnsi="Times New Roman"/>
          <w:sz w:val="17"/>
          <w:szCs w:val="17"/>
          <w:b w:val="1"/>
          <w:bCs w:val="1"/>
          <w:color w:val="auto"/>
        </w:rPr>
      </w:pPr>
    </w:p>
    <w:p>
      <w:pPr>
        <w:jc w:val="both"/>
        <w:ind w:right="20" w:firstLine="1015"/>
        <w:spacing w:after="0" w:line="271" w:lineRule="auto"/>
        <w:tabs>
          <w:tab w:leader="none" w:pos="1189"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Applicability</w:t>
      </w:r>
      <w:r>
        <w:rPr>
          <w:rFonts w:ascii="Times New Roman" w:cs="Times New Roman" w:eastAsia="Times New Roman" w:hAnsi="Times New Roman"/>
          <w:sz w:val="17"/>
          <w:szCs w:val="17"/>
          <w:color w:val="auto"/>
        </w:rPr>
        <w:t>. Directors, officers and certain other employees who are so designated from time to time (such persons, “</w:t>
      </w:r>
      <w:r>
        <w:rPr>
          <w:rFonts w:ascii="Times New Roman" w:cs="Times New Roman" w:eastAsia="Times New Roman" w:hAnsi="Times New Roman"/>
          <w:sz w:val="17"/>
          <w:szCs w:val="17"/>
          <w:b w:val="1"/>
          <w:bCs w:val="1"/>
          <w:color w:val="auto"/>
        </w:rPr>
        <w:t>Restricted Persons</w:t>
      </w:r>
      <w:r>
        <w:rPr>
          <w:rFonts w:ascii="Times New Roman" w:cs="Times New Roman" w:eastAsia="Times New Roman" w:hAnsi="Times New Roman"/>
          <w:sz w:val="17"/>
          <w:szCs w:val="17"/>
          <w:color w:val="auto"/>
        </w:rPr>
        <w:t>”), as well as their Family Members and Controlled Entities are required to comply with the restrictions covered below when trading Tejon securities. Even if you are not a Restricted Person, however, following the procedures listed below may assist you in complying with this Policy.</w:t>
      </w:r>
    </w:p>
    <w:p>
      <w:pPr>
        <w:spacing w:after="0" w:line="200" w:lineRule="exact"/>
        <w:rPr>
          <w:sz w:val="20"/>
          <w:szCs w:val="20"/>
          <w:color w:val="auto"/>
        </w:rPr>
      </w:pPr>
    </w:p>
    <w:p>
      <w:pPr>
        <w:spacing w:after="0" w:line="270"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180"/>
          </w:cols>
          <w:pgMar w:left="380" w:top="1317" w:right="339" w:bottom="1440" w:gutter="0" w:footer="0" w:header="0"/>
        </w:sectPr>
      </w:pPr>
    </w:p>
    <w:bookmarkStart w:id="172" w:name="page173"/>
    <w:bookmarkEnd w:id="172"/>
    <w:p>
      <w:pPr>
        <w:ind w:left="1320" w:hanging="305"/>
        <w:spacing w:after="0"/>
        <w:tabs>
          <w:tab w:leader="none" w:pos="132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Window Periods</w:t>
      </w:r>
      <w:r>
        <w:rPr>
          <w:rFonts w:ascii="Times New Roman" w:cs="Times New Roman" w:eastAsia="Times New Roman" w:hAnsi="Times New Roman"/>
          <w:sz w:val="17"/>
          <w:szCs w:val="17"/>
          <w:color w:val="auto"/>
        </w:rPr>
        <w:t>.</w:t>
      </w:r>
    </w:p>
    <w:p>
      <w:pPr>
        <w:spacing w:after="0" w:line="197" w:lineRule="exact"/>
        <w:rPr>
          <w:sz w:val="20"/>
          <w:szCs w:val="20"/>
          <w:color w:val="auto"/>
        </w:rPr>
      </w:pPr>
    </w:p>
    <w:p>
      <w:pPr>
        <w:jc w:val="both"/>
        <w:ind w:firstLine="1019"/>
        <w:spacing w:after="0" w:line="263" w:lineRule="auto"/>
        <w:rPr>
          <w:sz w:val="20"/>
          <w:szCs w:val="20"/>
          <w:color w:val="auto"/>
        </w:rPr>
      </w:pPr>
      <w:r>
        <w:rPr>
          <w:rFonts w:ascii="Times New Roman" w:cs="Times New Roman" w:eastAsia="Times New Roman" w:hAnsi="Times New Roman"/>
          <w:sz w:val="17"/>
          <w:szCs w:val="17"/>
          <w:color w:val="auto"/>
        </w:rPr>
        <w:t>Restricted Persons, including their Family Members and Controlled Ent ities, may only trade in Tejon securities from the date that is two full trading days after an earnings release to the end of business on the date that is one week before the end of each quarter (such period, the “</w:t>
      </w:r>
      <w:r>
        <w:rPr>
          <w:rFonts w:ascii="Times New Roman" w:cs="Times New Roman" w:eastAsia="Times New Roman" w:hAnsi="Times New Roman"/>
          <w:sz w:val="17"/>
          <w:szCs w:val="17"/>
          <w:b w:val="1"/>
          <w:bCs w:val="1"/>
          <w:color w:val="auto"/>
        </w:rPr>
        <w:t>Window Period</w:t>
      </w:r>
      <w:r>
        <w:rPr>
          <w:rFonts w:ascii="Times New Roman" w:cs="Times New Roman" w:eastAsia="Times New Roman" w:hAnsi="Times New Roman"/>
          <w:sz w:val="17"/>
          <w:szCs w:val="17"/>
          <w:color w:val="auto"/>
        </w:rPr>
        <w:t>”).</w:t>
      </w:r>
    </w:p>
    <w:p>
      <w:pPr>
        <w:spacing w:after="0" w:line="151" w:lineRule="exact"/>
        <w:rPr>
          <w:sz w:val="20"/>
          <w:szCs w:val="20"/>
          <w:color w:val="auto"/>
        </w:rPr>
      </w:pPr>
    </w:p>
    <w:p>
      <w:pPr>
        <w:jc w:val="both"/>
        <w:ind w:firstLine="1019"/>
        <w:spacing w:after="0" w:line="258" w:lineRule="auto"/>
        <w:rPr>
          <w:sz w:val="20"/>
          <w:szCs w:val="20"/>
          <w:color w:val="auto"/>
        </w:rPr>
      </w:pPr>
      <w:r>
        <w:rPr>
          <w:rFonts w:ascii="Times New Roman" w:cs="Times New Roman" w:eastAsia="Times New Roman" w:hAnsi="Times New Roman"/>
          <w:sz w:val="17"/>
          <w:szCs w:val="17"/>
          <w:b w:val="1"/>
          <w:bCs w:val="1"/>
          <w:color w:val="auto"/>
        </w:rPr>
        <w:t>However, even if the Window Period is open, you may not trade in Tejon securities if you are aware of material nonpublic information about Tejon. In addition, if you are subject to Tejon’s pre-clearance policy (described below), you must pre-clear transactions even if you initiate them when the Window Period is open.</w:t>
      </w:r>
    </w:p>
    <w:p>
      <w:pPr>
        <w:spacing w:after="0" w:line="169" w:lineRule="exact"/>
        <w:rPr>
          <w:sz w:val="20"/>
          <w:szCs w:val="20"/>
          <w:color w:val="auto"/>
        </w:rPr>
      </w:pPr>
    </w:p>
    <w:p>
      <w:pPr>
        <w:jc w:val="both"/>
        <w:ind w:firstLine="1019"/>
        <w:spacing w:after="0" w:line="255" w:lineRule="auto"/>
        <w:rPr>
          <w:sz w:val="20"/>
          <w:szCs w:val="20"/>
          <w:color w:val="auto"/>
        </w:rPr>
      </w:pPr>
      <w:r>
        <w:rPr>
          <w:rFonts w:ascii="Times New Roman" w:cs="Times New Roman" w:eastAsia="Times New Roman" w:hAnsi="Times New Roman"/>
          <w:sz w:val="17"/>
          <w:szCs w:val="17"/>
          <w:color w:val="auto"/>
        </w:rPr>
        <w:t>From time to time during the Window Period, Tejon may close trading due to developments (such as a significant event or transaction) that involve material nonpublic information. In such cases, the General Counsel or the Chief Financial Officer may notify particular individuals that they should not engage in any transactions involving the purchase or sale of Tejon securities, and should not disclose to others the fact that trading has been prohibited.</w:t>
      </w:r>
    </w:p>
    <w:p>
      <w:pPr>
        <w:spacing w:after="0" w:line="173" w:lineRule="exact"/>
        <w:rPr>
          <w:sz w:val="20"/>
          <w:szCs w:val="20"/>
          <w:color w:val="auto"/>
        </w:rPr>
      </w:pPr>
    </w:p>
    <w:p>
      <w:pPr>
        <w:jc w:val="both"/>
        <w:ind w:firstLine="1019"/>
        <w:spacing w:after="0" w:line="257" w:lineRule="auto"/>
        <w:rPr>
          <w:sz w:val="20"/>
          <w:szCs w:val="20"/>
          <w:color w:val="auto"/>
        </w:rPr>
      </w:pPr>
      <w:r>
        <w:rPr>
          <w:rFonts w:ascii="Times New Roman" w:cs="Times New Roman" w:eastAsia="Times New Roman" w:hAnsi="Times New Roman"/>
          <w:sz w:val="17"/>
          <w:szCs w:val="17"/>
          <w:color w:val="auto"/>
        </w:rPr>
        <w:t>Even if the Window Period is closed, you may exercise Tejon stock options if no shares are to be sold (or exercise a tax withholding right pursuant to which you elect to have Tejon withhold shares subject to an option to satisfy tax withholding obligations) – you may not, however, effect sales of securities issued upon the exercise of stock options (including same-day sales and cashless exercises). Generally, all pending purchase and sale orders regarding Tejon securities that may be executed while the Window Period is open must be executed or cancelled before it closes to avoid a prohibited trade.</w:t>
      </w:r>
    </w:p>
    <w:p>
      <w:pPr>
        <w:spacing w:after="0" w:line="181" w:lineRule="exact"/>
        <w:rPr>
          <w:sz w:val="20"/>
          <w:szCs w:val="20"/>
          <w:color w:val="auto"/>
        </w:rPr>
      </w:pPr>
    </w:p>
    <w:p>
      <w:pPr>
        <w:jc w:val="both"/>
        <w:ind w:firstLine="1019"/>
        <w:spacing w:after="0" w:line="276" w:lineRule="auto"/>
        <w:rPr>
          <w:sz w:val="20"/>
          <w:szCs w:val="20"/>
          <w:color w:val="auto"/>
        </w:rPr>
      </w:pPr>
      <w:r>
        <w:rPr>
          <w:rFonts w:ascii="Times New Roman" w:cs="Times New Roman" w:eastAsia="Times New Roman" w:hAnsi="Times New Roman"/>
          <w:sz w:val="17"/>
          <w:szCs w:val="17"/>
          <w:color w:val="auto"/>
        </w:rPr>
        <w:t>In light of these restrictions, if you expect a need to sell Tejon securities at a specific time in the future, you may wish to consider entering into a prearranged Rule 10b5-1 trading plan, as discussed below.</w:t>
      </w:r>
    </w:p>
    <w:p>
      <w:pPr>
        <w:spacing w:after="0" w:line="145" w:lineRule="exact"/>
        <w:rPr>
          <w:sz w:val="20"/>
          <w:szCs w:val="20"/>
          <w:color w:val="auto"/>
        </w:rPr>
      </w:pPr>
    </w:p>
    <w:p>
      <w:pPr>
        <w:ind w:left="1180" w:hanging="165"/>
        <w:spacing w:after="0"/>
        <w:tabs>
          <w:tab w:leader="none" w:pos="118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Pre-Clearance</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jc w:val="both"/>
        <w:ind w:firstLine="1019"/>
        <w:spacing w:after="0" w:line="255" w:lineRule="auto"/>
        <w:rPr>
          <w:sz w:val="20"/>
          <w:szCs w:val="20"/>
          <w:color w:val="auto"/>
        </w:rPr>
      </w:pPr>
      <w:r>
        <w:rPr>
          <w:rFonts w:ascii="Times New Roman" w:cs="Times New Roman" w:eastAsia="Times New Roman" w:hAnsi="Times New Roman"/>
          <w:sz w:val="17"/>
          <w:szCs w:val="17"/>
          <w:color w:val="auto"/>
        </w:rPr>
        <w:t xml:space="preserve">Tejon requires all Restricted Persons to contact the General Counsel or Chief Financial Officer in advance of effecting any purchase, sale or other trading of Tejon securities and to obtain prior approval of the transaction. All requests must be submitted to the General Counsel or Chief Financial Officer (or, in the case of the General Counsel, to the Chief Financial Officer, and in the case of the Chief Financial Officer to the General Counsel) at least two business days in advance of the proposed transaction. The General Counsel or Chief Financial Officer, as applicable, will then determine whether the transaction may proceed. </w:t>
      </w:r>
      <w:r>
        <w:rPr>
          <w:rFonts w:ascii="Times New Roman" w:cs="Times New Roman" w:eastAsia="Times New Roman" w:hAnsi="Times New Roman"/>
          <w:sz w:val="17"/>
          <w:szCs w:val="17"/>
          <w:b w:val="1"/>
          <w:bCs w:val="1"/>
          <w:color w:val="auto"/>
        </w:rPr>
        <w:t>This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pre- clearance policy applies even if you are initiating a transaction while the Window Period is open. </w:t>
      </w:r>
      <w:r>
        <w:rPr>
          <w:rFonts w:ascii="Times New Roman" w:cs="Times New Roman" w:eastAsia="Times New Roman" w:hAnsi="Times New Roman"/>
          <w:sz w:val="17"/>
          <w:szCs w:val="17"/>
          <w:color w:val="auto"/>
        </w:rPr>
        <w:t>For purposes of clarity, this pre-clearance policy also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applies to Family Members and Controlled Entities of Restricted Persons.</w:t>
      </w:r>
    </w:p>
    <w:p>
      <w:pPr>
        <w:spacing w:after="0" w:line="176" w:lineRule="exact"/>
        <w:rPr>
          <w:sz w:val="20"/>
          <w:szCs w:val="20"/>
          <w:color w:val="auto"/>
        </w:rPr>
      </w:pPr>
    </w:p>
    <w:p>
      <w:pPr>
        <w:jc w:val="both"/>
        <w:ind w:firstLine="1019"/>
        <w:spacing w:after="0" w:line="276" w:lineRule="auto"/>
        <w:rPr>
          <w:sz w:val="20"/>
          <w:szCs w:val="20"/>
          <w:color w:val="auto"/>
        </w:rPr>
      </w:pPr>
      <w:r>
        <w:rPr>
          <w:rFonts w:ascii="Times New Roman" w:cs="Times New Roman" w:eastAsia="Times New Roman" w:hAnsi="Times New Roman"/>
          <w:sz w:val="17"/>
          <w:szCs w:val="17"/>
          <w:color w:val="auto"/>
        </w:rPr>
        <w:t>If a transaction is approved under the pre-clearance policy, the transaction must be executed by the end of the second full trading day after the approval is obtained. Notwithstanding the foregoing, no transactions may be executed if you acquire material nonpublic</w:t>
      </w: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160"/>
          </w:cols>
          <w:pgMar w:left="380" w:top="1328" w:right="359" w:bottom="1440" w:gutter="0" w:footer="0" w:header="0"/>
        </w:sectPr>
      </w:pPr>
    </w:p>
    <w:bookmarkStart w:id="173" w:name="page174"/>
    <w:bookmarkEnd w:id="173"/>
    <w:p>
      <w:pPr>
        <w:jc w:val="both"/>
        <w:spacing w:after="0" w:line="276" w:lineRule="auto"/>
        <w:rPr>
          <w:sz w:val="20"/>
          <w:szCs w:val="20"/>
          <w:color w:val="auto"/>
        </w:rPr>
      </w:pPr>
      <w:r>
        <w:rPr>
          <w:rFonts w:ascii="Times New Roman" w:cs="Times New Roman" w:eastAsia="Times New Roman" w:hAnsi="Times New Roman"/>
          <w:sz w:val="17"/>
          <w:szCs w:val="17"/>
          <w:color w:val="auto"/>
        </w:rPr>
        <w:t>information concerning Tejon during that time. If a transaction is not completed within the period described above, the transaction must be approved again before it may be executed.</w:t>
      </w:r>
    </w:p>
    <w:p>
      <w:pPr>
        <w:spacing w:after="0" w:line="166" w:lineRule="exact"/>
        <w:rPr>
          <w:sz w:val="20"/>
          <w:szCs w:val="20"/>
          <w:color w:val="auto"/>
        </w:rPr>
      </w:pPr>
    </w:p>
    <w:p>
      <w:pPr>
        <w:jc w:val="both"/>
        <w:ind w:firstLine="1019"/>
        <w:spacing w:after="0" w:line="262" w:lineRule="auto"/>
        <w:rPr>
          <w:sz w:val="20"/>
          <w:szCs w:val="20"/>
          <w:color w:val="auto"/>
        </w:rPr>
      </w:pPr>
      <w:r>
        <w:rPr>
          <w:rFonts w:ascii="Times New Roman" w:cs="Times New Roman" w:eastAsia="Times New Roman" w:hAnsi="Times New Roman"/>
          <w:sz w:val="17"/>
          <w:szCs w:val="17"/>
          <w:color w:val="auto"/>
        </w:rPr>
        <w:t>If a proposed transaction is not approved under the pre-clearance policy, you should refrain from initiating any transaction in Tejon securities, and you should not inform anyone within or outside of Tejon of the restriction. Any transaction under a Rule 10b5-1 trading plan (discussed below) will not require additional pre-clearance at the time of the transaction.</w:t>
      </w:r>
    </w:p>
    <w:p>
      <w:pPr>
        <w:spacing w:after="0" w:line="156" w:lineRule="exact"/>
        <w:rPr>
          <w:sz w:val="20"/>
          <w:szCs w:val="20"/>
          <w:color w:val="auto"/>
        </w:rPr>
      </w:pPr>
    </w:p>
    <w:p>
      <w:pPr>
        <w:ind w:left="1180" w:hanging="165"/>
        <w:spacing w:after="0"/>
        <w:tabs>
          <w:tab w:leader="none" w:pos="118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Rule 10b5-1 Trading Plans</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jc w:val="both"/>
        <w:ind w:firstLine="1019"/>
        <w:spacing w:after="0" w:line="258" w:lineRule="auto"/>
        <w:rPr>
          <w:sz w:val="20"/>
          <w:szCs w:val="20"/>
          <w:color w:val="auto"/>
        </w:rPr>
      </w:pPr>
      <w:r>
        <w:rPr>
          <w:rFonts w:ascii="Times New Roman" w:cs="Times New Roman" w:eastAsia="Times New Roman" w:hAnsi="Times New Roman"/>
          <w:sz w:val="17"/>
          <w:szCs w:val="17"/>
          <w:color w:val="auto"/>
        </w:rPr>
        <w:t>Rule 10b5-1(c) under the Securities Exchange Act of 1934, as amended (the “</w:t>
      </w:r>
      <w:r>
        <w:rPr>
          <w:rFonts w:ascii="Times New Roman" w:cs="Times New Roman" w:eastAsia="Times New Roman" w:hAnsi="Times New Roman"/>
          <w:sz w:val="17"/>
          <w:szCs w:val="17"/>
          <w:b w:val="1"/>
          <w:bCs w:val="1"/>
          <w:color w:val="auto"/>
        </w:rPr>
        <w:t>1934 Act</w:t>
      </w:r>
      <w:r>
        <w:rPr>
          <w:rFonts w:ascii="Times New Roman" w:cs="Times New Roman" w:eastAsia="Times New Roman" w:hAnsi="Times New Roman"/>
          <w:sz w:val="17"/>
          <w:szCs w:val="17"/>
          <w:color w:val="auto"/>
        </w:rPr>
        <w:t>”) provides a defense from insider trading liability if trades occur pursuant to a pre- arranged trading plan that meets specified conditions. Because of the trading restrictions imposed on Restricted Persons under this Policy, the Company will allow you, if you are a Restricted Person only, to enter into a Rule 10b5-1 trading plan, provided that the plan complies with the requirements set forth below.</w:t>
      </w:r>
    </w:p>
    <w:p>
      <w:pPr>
        <w:spacing w:after="0" w:line="182" w:lineRule="exact"/>
        <w:rPr>
          <w:sz w:val="20"/>
          <w:szCs w:val="20"/>
          <w:color w:val="auto"/>
        </w:rPr>
      </w:pPr>
    </w:p>
    <w:p>
      <w:pPr>
        <w:jc w:val="both"/>
        <w:ind w:firstLine="1019"/>
        <w:spacing w:after="0" w:line="254" w:lineRule="auto"/>
        <w:rPr>
          <w:sz w:val="20"/>
          <w:szCs w:val="20"/>
          <w:color w:val="auto"/>
        </w:rPr>
      </w:pPr>
      <w:r>
        <w:rPr>
          <w:rFonts w:ascii="Times New Roman" w:cs="Times New Roman" w:eastAsia="Times New Roman" w:hAnsi="Times New Roman"/>
          <w:sz w:val="17"/>
          <w:szCs w:val="17"/>
          <w:color w:val="auto"/>
        </w:rPr>
        <w:t>Under Rule 10b5-1(c), if you enter into a binding contract, an instruction or a written plan that specifies the amount, price and date on which securities are to be purchased or sold, and these arrangements are established at a time when you do not possess material nonpublic information, you may claim a defense to insider trading liability if the transactions under the trading plan occur at a time when you have subsequently learned material nonpublic information. Arrangements under the rule may specify amount, price and date through a formula or may specify trading parameters which another person has discretion to administer, but you must not exercise any subsequent discretion affecting the transactions, and if your broker or any other person exercises discretion in implementing the trades, you must not influence his or her actions and he or she must not possess any material nonpublic information at the time of the trades. Trading plans can be established for a single trade or a series of trades.</w:t>
      </w:r>
    </w:p>
    <w:p>
      <w:pPr>
        <w:spacing w:after="0" w:line="164"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7"/>
          <w:szCs w:val="17"/>
          <w:color w:val="auto"/>
        </w:rPr>
        <w:t>It is important that you properly document the details of a trading plan. Note that, in addition to the requirements of a trading plan described above, there are a number of additional procedural conditions to Rule 10b5-1(c) that must be satisfied before you can rely on a trading plan as an affirmative defense against an insider trading charge. These requirements include that you act in good faith, that you do not modify your trading instructions while you possess material nonpublic information and that you not enter into or alter a corresponding or hedg ing transaction or position. Because this rule is complex, we recommend that you work with a broker and be sure you fully understand the limitations and conditions of the rule before you establish a trading plan.</w:t>
      </w:r>
    </w:p>
    <w:p>
      <w:pPr>
        <w:spacing w:after="0" w:line="169"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7"/>
          <w:szCs w:val="17"/>
          <w:color w:val="auto"/>
        </w:rPr>
        <w:t>Tejon requires all Rule 10b5-1 trading plans to be reviewed and approved in writing in advance by the General Counsel or the Chief Financial Officer. In addition, all amendments, modifications and terminations of an existing Rule 10b5-1 trading plan must be reviewed and approved in writing in advance by the General Counsel or the Chief Financial Officer. Rule trading 10b5-1 plans may only be adopted during an open Window Period and may not be adopted, amended or terminated when the person adopting the plan is aware of material nonpublic information.</w:t>
      </w: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160"/>
          </w:cols>
          <w:pgMar w:left="380" w:top="1328" w:right="359" w:bottom="1440" w:gutter="0" w:footer="0" w:header="0"/>
        </w:sectPr>
      </w:pPr>
    </w:p>
    <w:bookmarkStart w:id="174" w:name="page175"/>
    <w:bookmarkEnd w:id="174"/>
    <w:p>
      <w:pPr>
        <w:spacing w:after="0" w:line="86" w:lineRule="exact"/>
        <w:rPr>
          <w:sz w:val="20"/>
          <w:szCs w:val="20"/>
          <w:color w:val="auto"/>
        </w:rPr>
      </w:pPr>
    </w:p>
    <w:p>
      <w:pPr>
        <w:ind w:left="840" w:hanging="335"/>
        <w:spacing w:after="0"/>
        <w:tabs>
          <w:tab w:leader="none" w:pos="840" w:val="left"/>
        </w:tabs>
        <w:numPr>
          <w:ilvl w:val="0"/>
          <w:numId w:val="7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Special and Prohibited Transactions.</w:t>
      </w:r>
    </w:p>
    <w:p>
      <w:pPr>
        <w:spacing w:after="0" w:line="212" w:lineRule="exact"/>
        <w:rPr>
          <w:sz w:val="20"/>
          <w:szCs w:val="20"/>
          <w:color w:val="auto"/>
        </w:rPr>
      </w:pPr>
    </w:p>
    <w:p>
      <w:pPr>
        <w:jc w:val="both"/>
        <w:ind w:firstLine="1019"/>
        <w:spacing w:after="0" w:line="257" w:lineRule="auto"/>
        <w:rPr>
          <w:sz w:val="20"/>
          <w:szCs w:val="20"/>
          <w:color w:val="auto"/>
        </w:rPr>
      </w:pPr>
      <w:r>
        <w:rPr>
          <w:rFonts w:ascii="Times New Roman" w:cs="Times New Roman" w:eastAsia="Times New Roman" w:hAnsi="Times New Roman"/>
          <w:sz w:val="17"/>
          <w:szCs w:val="17"/>
          <w:color w:val="auto"/>
        </w:rPr>
        <w:t>Tejon has determined that there is a heightened legal risk and/or the appearance of improper or inappropriate conduct if persons subject to this Policy engage in certain types of transactions. Tejon therefore has adopted the following policies with respect to short term trading, short sales, publicly-traded options, hedging transactions, and pledging and trading Company securities on margin. All directors, officers, emplo yees and consultants (as well as their Family Members and Controlled Entities) must comply with the restrictions set forth below to the extent applicable:</w:t>
      </w:r>
    </w:p>
    <w:p>
      <w:pPr>
        <w:spacing w:after="0" w:line="171" w:lineRule="exact"/>
        <w:rPr>
          <w:sz w:val="20"/>
          <w:szCs w:val="20"/>
          <w:color w:val="auto"/>
        </w:rPr>
      </w:pPr>
    </w:p>
    <w:p>
      <w:pPr>
        <w:ind w:left="1320" w:hanging="305"/>
        <w:spacing w:after="0"/>
        <w:tabs>
          <w:tab w:leader="none" w:pos="132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Short-Term and Short-Swing Trading</w:t>
      </w:r>
      <w:r>
        <w:rPr>
          <w:rFonts w:ascii="Times New Roman" w:cs="Times New Roman" w:eastAsia="Times New Roman" w:hAnsi="Times New Roman"/>
          <w:sz w:val="17"/>
          <w:szCs w:val="17"/>
          <w:color w:val="auto"/>
        </w:rPr>
        <w:t>.</w:t>
      </w:r>
    </w:p>
    <w:p>
      <w:pPr>
        <w:spacing w:after="0" w:line="208" w:lineRule="exact"/>
        <w:rPr>
          <w:sz w:val="20"/>
          <w:szCs w:val="20"/>
          <w:color w:val="auto"/>
        </w:rPr>
      </w:pPr>
    </w:p>
    <w:p>
      <w:pPr>
        <w:jc w:val="both"/>
        <w:ind w:firstLine="1019"/>
        <w:spacing w:after="0" w:line="262" w:lineRule="auto"/>
        <w:rPr>
          <w:sz w:val="20"/>
          <w:szCs w:val="20"/>
          <w:color w:val="auto"/>
        </w:rPr>
      </w:pPr>
      <w:r>
        <w:rPr>
          <w:rFonts w:ascii="Times New Roman" w:cs="Times New Roman" w:eastAsia="Times New Roman" w:hAnsi="Times New Roman"/>
          <w:sz w:val="17"/>
          <w:szCs w:val="17"/>
          <w:color w:val="auto"/>
        </w:rPr>
        <w:t>Any director’s or officer’s short-term trading of Tejon’s securities may be distracting to that director or officer and may unduly focus him or her on Tejon’s short-term stock market performance instead of Tejon’s long-term business objectives. For these reasons, this Policy prohibits directors and officers from purchasing Tejon securities in the open market and then selling Tejon securities of the same class during the six months following the purchase (and vice versa).</w:t>
      </w:r>
    </w:p>
    <w:p>
      <w:pPr>
        <w:spacing w:after="0" w:line="173" w:lineRule="exact"/>
        <w:rPr>
          <w:sz w:val="20"/>
          <w:szCs w:val="20"/>
          <w:color w:val="auto"/>
        </w:rPr>
      </w:pPr>
    </w:p>
    <w:p>
      <w:pPr>
        <w:jc w:val="both"/>
        <w:ind w:firstLine="1019"/>
        <w:spacing w:after="0" w:line="255" w:lineRule="auto"/>
        <w:rPr>
          <w:sz w:val="20"/>
          <w:szCs w:val="20"/>
          <w:color w:val="auto"/>
        </w:rPr>
      </w:pPr>
      <w:r>
        <w:rPr>
          <w:rFonts w:ascii="Times New Roman" w:cs="Times New Roman" w:eastAsia="Times New Roman" w:hAnsi="Times New Roman"/>
          <w:sz w:val="17"/>
          <w:szCs w:val="17"/>
          <w:color w:val="auto"/>
        </w:rPr>
        <w:t>Further, directors, officers and greater than 10% beneficial owners of Tejon’s common stock (each, a “</w:t>
      </w:r>
      <w:r>
        <w:rPr>
          <w:rFonts w:ascii="Times New Roman" w:cs="Times New Roman" w:eastAsia="Times New Roman" w:hAnsi="Times New Roman"/>
          <w:sz w:val="17"/>
          <w:szCs w:val="17"/>
          <w:b w:val="1"/>
          <w:bCs w:val="1"/>
          <w:color w:val="auto"/>
        </w:rPr>
        <w:t>Section 16 Insider</w:t>
      </w:r>
      <w:r>
        <w:rPr>
          <w:rFonts w:ascii="Times New Roman" w:cs="Times New Roman" w:eastAsia="Times New Roman" w:hAnsi="Times New Roman"/>
          <w:sz w:val="17"/>
          <w:szCs w:val="17"/>
          <w:color w:val="auto"/>
        </w:rPr>
        <w:t>”) will also be required to comply with the reporting obligations and limitations on short-swing transactions set forth in Section 16 of the Securities Exchange Act of 1934, as amended (the “</w:t>
      </w:r>
      <w:r>
        <w:rPr>
          <w:rFonts w:ascii="Times New Roman" w:cs="Times New Roman" w:eastAsia="Times New Roman" w:hAnsi="Times New Roman"/>
          <w:sz w:val="17"/>
          <w:szCs w:val="17"/>
          <w:b w:val="1"/>
          <w:bCs w:val="1"/>
          <w:color w:val="auto"/>
        </w:rPr>
        <w:t>1934 Act</w:t>
      </w:r>
      <w:r>
        <w:rPr>
          <w:rFonts w:ascii="Times New Roman" w:cs="Times New Roman" w:eastAsia="Times New Roman" w:hAnsi="Times New Roman"/>
          <w:sz w:val="17"/>
          <w:szCs w:val="17"/>
          <w:color w:val="auto"/>
        </w:rPr>
        <w:t>”). The practical effect of these provisions is that (a) Section 16 Insiders will be required to report transactions in Tejon securities (usually within two business days of the date of the transaction) and (b) Section 16 Insiders who purchase and sell Company securities within a six-month period will be required to disgorge all profits derived from such purchases or sales to Tejon, whether or not they had knowledge of any material nonpublic information. The Company provides separate materials to officers and directors regarding compliance with Section 16 and its related rules (see Memorandum re Overview of Section 16 Reporting Requirements, Deadlines and Liabilities).</w:t>
      </w:r>
    </w:p>
    <w:p>
      <w:pPr>
        <w:spacing w:after="0" w:line="152" w:lineRule="exact"/>
        <w:rPr>
          <w:sz w:val="20"/>
          <w:szCs w:val="20"/>
          <w:color w:val="auto"/>
        </w:rPr>
      </w:pPr>
    </w:p>
    <w:p>
      <w:pPr>
        <w:jc w:val="both"/>
        <w:ind w:firstLine="1015"/>
        <w:spacing w:after="0" w:line="246" w:lineRule="auto"/>
        <w:tabs>
          <w:tab w:leader="none" w:pos="121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Short Sales</w:t>
      </w:r>
      <w:r>
        <w:rPr>
          <w:rFonts w:ascii="Times New Roman" w:cs="Times New Roman" w:eastAsia="Times New Roman" w:hAnsi="Times New Roman"/>
          <w:sz w:val="17"/>
          <w:szCs w:val="17"/>
          <w:color w:val="auto"/>
        </w:rPr>
        <w:t>. The federal securities laws prohibit officers and directors of public companies from engaging in short sales of those companies’ securities (i.e., the sale of a security that the seller does not own). Short sales of Tejon’s securities evidence an expectation on the part of the seller that the securities will decline in value, and therefore signal to the market that the seller has little or no confidence in Tejon or its short-term prospects. In addition, short sales may reduce the seller’s incentive to improve Tejon’s performance. For these reasons, all directors, officers, employees and consultants are prohibited from engaging in short sales of Tejon’s securities.</w:t>
      </w:r>
    </w:p>
    <w:p>
      <w:pPr>
        <w:spacing w:after="0" w:line="2" w:lineRule="exact"/>
        <w:rPr>
          <w:rFonts w:ascii="Times New Roman" w:cs="Times New Roman" w:eastAsia="Times New Roman" w:hAnsi="Times New Roman"/>
          <w:sz w:val="17"/>
          <w:szCs w:val="17"/>
          <w:color w:val="auto"/>
        </w:rPr>
      </w:pPr>
    </w:p>
    <w:p>
      <w:pPr>
        <w:jc w:val="both"/>
        <w:ind w:firstLine="1015"/>
        <w:spacing w:after="0" w:line="242" w:lineRule="auto"/>
        <w:tabs>
          <w:tab w:leader="none" w:pos="1199"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Publicly-Traded Options</w:t>
      </w:r>
      <w:r>
        <w:rPr>
          <w:rFonts w:ascii="Times New Roman" w:cs="Times New Roman" w:eastAsia="Times New Roman" w:hAnsi="Times New Roman"/>
          <w:sz w:val="17"/>
          <w:szCs w:val="17"/>
          <w:color w:val="auto"/>
        </w:rPr>
        <w:t>. Given the relatively short term of publicly- traded options, transactions in options may create the appearance that a director, officer, employee or consultant is trading based on material nonpublic information and focus a director’s, officer’s, employee’s or consultant’s attention on short-term performance at the expense of the Company’s long term-objectives. While currently there is no public market for Tejon options, if one does arise in the future, we would strongly discourage you from transacting in these types of options, including puts, calls and other derivate securities, on an exchange or in any other</w:t>
      </w: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160"/>
          </w:cols>
          <w:pgMar w:left="380" w:top="1440" w:right="359" w:bottom="1440" w:gutter="0" w:footer="0" w:header="0"/>
        </w:sectPr>
      </w:pPr>
    </w:p>
    <w:bookmarkStart w:id="175" w:name="page176"/>
    <w:bookmarkEnd w:id="175"/>
    <w:p>
      <w:pPr>
        <w:ind w:left="4"/>
        <w:spacing w:after="0"/>
        <w:rPr>
          <w:sz w:val="20"/>
          <w:szCs w:val="20"/>
          <w:color w:val="auto"/>
        </w:rPr>
      </w:pPr>
      <w:r>
        <w:rPr>
          <w:rFonts w:ascii="Times New Roman" w:cs="Times New Roman" w:eastAsia="Times New Roman" w:hAnsi="Times New Roman"/>
          <w:sz w:val="17"/>
          <w:szCs w:val="17"/>
          <w:color w:val="auto"/>
        </w:rPr>
        <w:t>organized market. Option positions arising from certain types of hedging transactions are governed by the paragraph below.</w:t>
      </w:r>
    </w:p>
    <w:p>
      <w:pPr>
        <w:spacing w:after="0" w:line="197" w:lineRule="exact"/>
        <w:rPr>
          <w:sz w:val="20"/>
          <w:szCs w:val="20"/>
          <w:color w:val="auto"/>
        </w:rPr>
      </w:pPr>
    </w:p>
    <w:p>
      <w:pPr>
        <w:jc w:val="both"/>
        <w:ind w:left="4" w:right="20" w:firstLine="1015"/>
        <w:spacing w:after="0" w:line="246" w:lineRule="auto"/>
        <w:tabs>
          <w:tab w:leader="none" w:pos="1193" w:val="left"/>
        </w:tabs>
        <w:numPr>
          <w:ilvl w:val="1"/>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Hedging Transactions</w:t>
      </w:r>
      <w:r>
        <w:rPr>
          <w:rFonts w:ascii="Times New Roman" w:cs="Times New Roman" w:eastAsia="Times New Roman" w:hAnsi="Times New Roman"/>
          <w:sz w:val="17"/>
          <w:szCs w:val="17"/>
          <w:color w:val="auto"/>
        </w:rPr>
        <w:t>. Certain forms of hedging or monetization transactions, such as zero-cost collars and forward sale contracts, allow a person to lock in much of the value of his or her shareholdings, often in exchange for all or part of the potential for upside appreciation in the securities. These transactions allow a person to continue to own the covered securities, but without the full risks and rewards of ownership. When that occurs, the person engaged in such a transaction may no longer have the same objectives as Tejon’s other shareholders, which is of course problematic in the case of a director, officer, employee or consultant of Tejon. Therefore, Tejon strongly discourages all direct ors, officers, employees and consultants from engaging in such transactions. Any person wishing to enter into such an arrangement must first pre-clear the proposed transaction with the General Counsel or the Chief Financial Officer. Any request for pre-clearance of a hedging or similar arrangement must be submitted to the General Counsel or Chief Financial Officer at least two weeks prior to the proposed execution of documents evidencing the proposed transaction and must set forth a justification for the proposed transaction.</w:t>
      </w:r>
    </w:p>
    <w:p>
      <w:pPr>
        <w:spacing w:after="0" w:line="179" w:lineRule="exact"/>
        <w:rPr>
          <w:rFonts w:ascii="Times New Roman" w:cs="Times New Roman" w:eastAsia="Times New Roman" w:hAnsi="Times New Roman"/>
          <w:sz w:val="17"/>
          <w:szCs w:val="17"/>
          <w:color w:val="auto"/>
        </w:rPr>
      </w:pPr>
    </w:p>
    <w:p>
      <w:pPr>
        <w:jc w:val="both"/>
        <w:ind w:left="4" w:right="20" w:firstLine="1015"/>
        <w:spacing w:after="0" w:line="255" w:lineRule="auto"/>
        <w:tabs>
          <w:tab w:leader="none" w:pos="1193" w:val="left"/>
        </w:tabs>
        <w:numPr>
          <w:ilvl w:val="1"/>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Margin Accounts and Pledges</w:t>
      </w:r>
      <w:r>
        <w:rPr>
          <w:rFonts w:ascii="Times New Roman" w:cs="Times New Roman" w:eastAsia="Times New Roman" w:hAnsi="Times New Roman"/>
          <w:sz w:val="17"/>
          <w:szCs w:val="17"/>
          <w:color w:val="auto"/>
        </w:rPr>
        <w:t>. Securities held in a margin account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Tejon securities, directors, officers, employees and consultants are prohibited from holding Tejon securities in a margin account or pledging Tejon securities as collateral for a loan. An exception to this prohibition may be granted where a person wishes to pledge Tejon securities as collateral for a loan (not including margin debt) and clearly demonstrates the financial capacity to repay the loan without resort to the pledged securities. Any person who wishes to pledge Tejon securities as collateral for a loan must submit a request for approval to the General Counsel or Chief Financial Officer at least two weeks prior to the proposed execution of documents evidencing the proposed pledge.</w:t>
      </w:r>
    </w:p>
    <w:p>
      <w:pPr>
        <w:spacing w:after="0" w:line="233" w:lineRule="exact"/>
        <w:rPr>
          <w:rFonts w:ascii="Times New Roman" w:cs="Times New Roman" w:eastAsia="Times New Roman" w:hAnsi="Times New Roman"/>
          <w:sz w:val="17"/>
          <w:szCs w:val="17"/>
          <w:color w:val="auto"/>
        </w:rPr>
      </w:pPr>
    </w:p>
    <w:p>
      <w:pPr>
        <w:ind w:left="344" w:hanging="344"/>
        <w:spacing w:after="0"/>
        <w:tabs>
          <w:tab w:leader="none" w:pos="344" w:val="left"/>
        </w:tabs>
        <w:numPr>
          <w:ilvl w:val="0"/>
          <w:numId w:val="7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POLICY COMPLIANCE MATTERS A.  Certification.</w:t>
      </w:r>
    </w:p>
    <w:p>
      <w:pPr>
        <w:spacing w:after="0" w:line="106" w:lineRule="exact"/>
        <w:rPr>
          <w:sz w:val="20"/>
          <w:szCs w:val="20"/>
          <w:color w:val="auto"/>
        </w:rPr>
      </w:pPr>
    </w:p>
    <w:p>
      <w:pPr>
        <w:ind w:left="504"/>
        <w:spacing w:after="0"/>
        <w:rPr>
          <w:sz w:val="20"/>
          <w:szCs w:val="20"/>
          <w:color w:val="auto"/>
        </w:rPr>
      </w:pPr>
      <w:r>
        <w:rPr>
          <w:rFonts w:ascii="Times New Roman" w:cs="Times New Roman" w:eastAsia="Times New Roman" w:hAnsi="Times New Roman"/>
          <w:sz w:val="17"/>
          <w:szCs w:val="17"/>
          <w:color w:val="auto"/>
        </w:rPr>
        <w:t xml:space="preserve">All directors, officers, employees and consultants </w:t>
      </w:r>
      <w:r>
        <w:rPr>
          <w:rFonts w:ascii="Times New Roman" w:cs="Times New Roman" w:eastAsia="Times New Roman" w:hAnsi="Times New Roman"/>
          <w:sz w:val="17"/>
          <w:szCs w:val="17"/>
          <w:u w:val="single" w:color="auto"/>
          <w:color w:val="auto"/>
        </w:rPr>
        <w:t>will be required</w:t>
      </w:r>
      <w:r>
        <w:rPr>
          <w:rFonts w:ascii="Times New Roman" w:cs="Times New Roman" w:eastAsia="Times New Roman" w:hAnsi="Times New Roman"/>
          <w:sz w:val="17"/>
          <w:szCs w:val="17"/>
          <w:color w:val="auto"/>
        </w:rPr>
        <w:t xml:space="preserve"> to certify their understanding of and intent to comply with this Policy periodically.</w:t>
      </w:r>
    </w:p>
    <w:p>
      <w:pPr>
        <w:spacing w:after="0" w:line="193" w:lineRule="exact"/>
        <w:rPr>
          <w:sz w:val="20"/>
          <w:szCs w:val="20"/>
          <w:color w:val="auto"/>
        </w:rPr>
      </w:pPr>
    </w:p>
    <w:p>
      <w:pPr>
        <w:ind w:left="504"/>
        <w:spacing w:after="0"/>
        <w:tabs>
          <w:tab w:leader="none" w:pos="824" w:val="left"/>
        </w:tabs>
        <w:rPr>
          <w:sz w:val="20"/>
          <w:szCs w:val="20"/>
          <w:color w:val="auto"/>
        </w:rPr>
      </w:pPr>
      <w:r>
        <w:rPr>
          <w:rFonts w:ascii="Times New Roman" w:cs="Times New Roman" w:eastAsia="Times New Roman" w:hAnsi="Times New Roman"/>
          <w:sz w:val="17"/>
          <w:szCs w:val="17"/>
          <w:b w:val="1"/>
          <w:bCs w:val="1"/>
          <w:color w:val="auto"/>
        </w:rPr>
        <w:t>B.</w:t>
      </w:r>
      <w:r>
        <w:rPr>
          <w:sz w:val="20"/>
          <w:szCs w:val="20"/>
          <w:color w:val="auto"/>
        </w:rPr>
        <w:tab/>
      </w:r>
      <w:r>
        <w:rPr>
          <w:rFonts w:ascii="Times New Roman" w:cs="Times New Roman" w:eastAsia="Times New Roman" w:hAnsi="Times New Roman"/>
          <w:sz w:val="16"/>
          <w:szCs w:val="16"/>
          <w:b w:val="1"/>
          <w:bCs w:val="1"/>
          <w:color w:val="auto"/>
        </w:rPr>
        <w:t>Noncompliance.</w:t>
      </w:r>
    </w:p>
    <w:p>
      <w:pPr>
        <w:spacing w:after="0" w:line="63" w:lineRule="exact"/>
        <w:rPr>
          <w:sz w:val="20"/>
          <w:szCs w:val="20"/>
          <w:color w:val="auto"/>
        </w:rPr>
      </w:pPr>
    </w:p>
    <w:p>
      <w:pPr>
        <w:ind w:left="4" w:firstLine="510"/>
        <w:spacing w:after="0" w:line="276" w:lineRule="auto"/>
        <w:rPr>
          <w:sz w:val="20"/>
          <w:szCs w:val="20"/>
          <w:color w:val="auto"/>
        </w:rPr>
      </w:pPr>
      <w:r>
        <w:rPr>
          <w:rFonts w:ascii="Times New Roman" w:cs="Times New Roman" w:eastAsia="Times New Roman" w:hAnsi="Times New Roman"/>
          <w:sz w:val="17"/>
          <w:szCs w:val="17"/>
          <w:color w:val="auto"/>
        </w:rPr>
        <w:t>Each director, officer, employee or consultant who fails to comply with this Policy or who refuses to certify that he or she has complied with it will be subject to disciplinary action which could include termination of employment.</w:t>
      </w:r>
    </w:p>
    <w:p>
      <w:pPr>
        <w:spacing w:after="0" w:line="151" w:lineRule="exact"/>
        <w:rPr>
          <w:sz w:val="20"/>
          <w:szCs w:val="20"/>
          <w:color w:val="auto"/>
        </w:rPr>
      </w:pPr>
    </w:p>
    <w:p>
      <w:pPr>
        <w:ind w:left="844" w:hanging="335"/>
        <w:spacing w:after="0"/>
        <w:tabs>
          <w:tab w:leader="none" w:pos="844" w:val="left"/>
        </w:tabs>
        <w:numPr>
          <w:ilvl w:val="0"/>
          <w:numId w:val="8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Post-Termination Transactions.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6"/>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184"/>
          </w:cols>
          <w:pgMar w:left="376" w:top="1318" w:right="339" w:bottom="1440" w:gutter="0" w:footer="0" w:header="0"/>
        </w:sectPr>
      </w:pPr>
    </w:p>
    <w:bookmarkStart w:id="176" w:name="page177"/>
    <w:bookmarkEnd w:id="176"/>
    <w:p>
      <w:pPr>
        <w:ind w:left="4" w:right="20" w:firstLine="510"/>
        <w:spacing w:after="0" w:line="276" w:lineRule="auto"/>
        <w:rPr>
          <w:sz w:val="20"/>
          <w:szCs w:val="20"/>
          <w:color w:val="auto"/>
        </w:rPr>
      </w:pPr>
      <w:r>
        <w:rPr>
          <w:rFonts w:ascii="Times New Roman" w:cs="Times New Roman" w:eastAsia="Times New Roman" w:hAnsi="Times New Roman"/>
          <w:sz w:val="17"/>
          <w:szCs w:val="17"/>
          <w:color w:val="auto"/>
        </w:rPr>
        <w:t>This Policy will continue to apply to your transactions in Company securities after your employment or service has terminated with the Company until such time as you are no longer aware of material nonpublic information or until that information has been publicly disclosed or is no longer material.</w:t>
      </w:r>
    </w:p>
    <w:p>
      <w:pPr>
        <w:spacing w:after="0" w:line="151" w:lineRule="exact"/>
        <w:rPr>
          <w:sz w:val="20"/>
          <w:szCs w:val="20"/>
          <w:color w:val="auto"/>
        </w:rPr>
      </w:pPr>
    </w:p>
    <w:p>
      <w:pPr>
        <w:ind w:left="404" w:hanging="404"/>
        <w:spacing w:after="0"/>
        <w:tabs>
          <w:tab w:leader="none" w:pos="404" w:val="left"/>
        </w:tabs>
        <w:numPr>
          <w:ilvl w:val="0"/>
          <w:numId w:val="8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SECURITIES LAW MATTERS</w:t>
      </w:r>
    </w:p>
    <w:p>
      <w:pPr>
        <w:spacing w:after="0" w:line="212" w:lineRule="exact"/>
        <w:rPr>
          <w:sz w:val="20"/>
          <w:szCs w:val="20"/>
          <w:color w:val="auto"/>
        </w:rPr>
      </w:pPr>
    </w:p>
    <w:p>
      <w:pPr>
        <w:jc w:val="both"/>
        <w:ind w:left="4" w:firstLine="510"/>
        <w:spacing w:after="0" w:line="255" w:lineRule="auto"/>
        <w:rPr>
          <w:sz w:val="20"/>
          <w:szCs w:val="20"/>
          <w:color w:val="auto"/>
        </w:rPr>
      </w:pPr>
      <w:r>
        <w:rPr>
          <w:rFonts w:ascii="Times New Roman" w:cs="Times New Roman" w:eastAsia="Times New Roman" w:hAnsi="Times New Roman"/>
          <w:sz w:val="17"/>
          <w:szCs w:val="17"/>
          <w:color w:val="auto"/>
        </w:rPr>
        <w:t>If you are a director or officer of Tejon, in addition to being subject to the reporting obligations and short-swing profit rules under Section 16 of the 1934 Act, you may be deemed to be an “affiliate” of Tejon. Consequently, shares of Tejon common stock held by you may be considered to be “restricted securities” or “control securities”, the sale of which are subject to compliance with Rule 144 under the Securities Act of 1933, as amended (or any other applicable exemption under the federal securities laws). If this is the case, note that Rule 144 places limits on the number of shares you may be able to sell and provides that certain procedures must be followed before you can sell shares of Company common stock. Contact the General Counsel or the Chief Financial Officer for more information on Rule 144.</w:t>
      </w:r>
    </w:p>
    <w:p>
      <w:pPr>
        <w:spacing w:after="0" w:line="200" w:lineRule="exact"/>
        <w:rPr>
          <w:sz w:val="20"/>
          <w:szCs w:val="20"/>
          <w:color w:val="auto"/>
        </w:rPr>
      </w:pPr>
    </w:p>
    <w:p>
      <w:pPr>
        <w:spacing w:after="0" w:line="287" w:lineRule="exact"/>
        <w:rPr>
          <w:sz w:val="20"/>
          <w:szCs w:val="20"/>
          <w:color w:val="auto"/>
        </w:rPr>
      </w:pPr>
    </w:p>
    <w:p>
      <w:pPr>
        <w:jc w:val="center"/>
        <w:ind w:right="36"/>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184"/>
          </w:cols>
          <w:pgMar w:left="376" w:top="1317" w:right="339" w:bottom="1440" w:gutter="0" w:footer="0" w:header="0"/>
        </w:sectPr>
      </w:pPr>
    </w:p>
    <w:bookmarkStart w:id="177" w:name="page178"/>
    <w:bookmarkEnd w:id="177"/>
    <w:p>
      <w:pPr>
        <w:ind w:left="1380"/>
        <w:spacing w:after="0"/>
        <w:rPr>
          <w:sz w:val="20"/>
          <w:szCs w:val="20"/>
          <w:color w:val="auto"/>
        </w:rPr>
      </w:pPr>
      <w:r>
        <w:rPr>
          <w:rFonts w:ascii="Times New Roman" w:cs="Times New Roman" w:eastAsia="Times New Roman" w:hAnsi="Times New Roman"/>
          <w:sz w:val="17"/>
          <w:szCs w:val="17"/>
          <w:b w:val="1"/>
          <w:bCs w:val="1"/>
          <w:color w:val="auto"/>
        </w:rPr>
        <w:t>ACKNOWLEDGMENT AND AGREEMENT</w:t>
      </w:r>
    </w:p>
    <w:p>
      <w:pPr>
        <w:spacing w:after="0" w:line="212" w:lineRule="exact"/>
        <w:rPr>
          <w:sz w:val="20"/>
          <w:szCs w:val="20"/>
          <w:color w:val="auto"/>
        </w:rPr>
      </w:pPr>
    </w:p>
    <w:p>
      <w:pPr>
        <w:ind w:firstLine="510"/>
        <w:spacing w:after="0" w:line="276" w:lineRule="auto"/>
        <w:rPr>
          <w:sz w:val="20"/>
          <w:szCs w:val="20"/>
          <w:color w:val="auto"/>
        </w:rPr>
      </w:pPr>
      <w:r>
        <w:rPr>
          <w:rFonts w:ascii="Times New Roman" w:cs="Times New Roman" w:eastAsia="Times New Roman" w:hAnsi="Times New Roman"/>
          <w:sz w:val="17"/>
          <w:szCs w:val="17"/>
          <w:color w:val="auto"/>
        </w:rPr>
        <w:t>The undersigned hereby acknowledges receipt of the Tejon Ranch Co. Amended and Restated. Insider Trading Policy, amended as of March 13, 2012, and that the undersigned has read and understands such policy and agrees to abide by the terms of such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(Please Print)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180"/>
          </w:cols>
          <w:pgMar w:left="380" w:top="1346" w:right="339" w:bottom="1440" w:gutter="0" w:footer="0" w:header="0"/>
        </w:sectPr>
      </w:pPr>
    </w:p>
    <w:bookmarkStart w:id="178" w:name="page179"/>
    <w:bookmarkEnd w:id="178"/>
    <w:p>
      <w:pPr>
        <w:jc w:val="center"/>
        <w:ind w:right="-39"/>
        <w:spacing w:after="0"/>
        <w:rPr>
          <w:sz w:val="20"/>
          <w:szCs w:val="20"/>
          <w:color w:val="auto"/>
        </w:rPr>
      </w:pPr>
      <w:r>
        <w:rPr>
          <w:rFonts w:ascii="Times New Roman" w:cs="Times New Roman" w:eastAsia="Times New Roman" w:hAnsi="Times New Roman"/>
          <w:sz w:val="17"/>
          <w:szCs w:val="17"/>
          <w:color w:val="auto"/>
        </w:rPr>
        <w:t>LIST OF SUBSIDIARIES OF REGISTRANT</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EXHIBIT 21</w:t>
      </w:r>
    </w:p>
    <w:p>
      <w:pPr>
        <w:spacing w:after="0" w:line="26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4"/>
          <w:szCs w:val="14"/>
          <w:color w:val="auto"/>
        </w:rPr>
        <w:t>(21)</w:t>
        <w:tab/>
        <w:t>Subsidiaries of Registrant</w:t>
      </w:r>
    </w:p>
    <w:p>
      <w:pPr>
        <w:spacing w:after="0" w:line="23" w:lineRule="exact"/>
        <w:rPr>
          <w:sz w:val="20"/>
          <w:szCs w:val="20"/>
          <w:color w:val="auto"/>
        </w:rPr>
      </w:pPr>
    </w:p>
    <w:p>
      <w:pPr>
        <w:ind w:left="280" w:hanging="275"/>
        <w:spacing w:after="0"/>
        <w:tabs>
          <w:tab w:leader="none" w:pos="28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Registrant: Tejon Ranch Co.</w:t>
      </w:r>
    </w:p>
    <w:p>
      <w:pPr>
        <w:spacing w:after="0" w:line="8" w:lineRule="exact"/>
        <w:rPr>
          <w:rFonts w:ascii="Times New Roman" w:cs="Times New Roman" w:eastAsia="Times New Roman" w:hAnsi="Times New Roman"/>
          <w:sz w:val="14"/>
          <w:szCs w:val="14"/>
          <w:color w:val="auto"/>
        </w:rPr>
      </w:pPr>
    </w:p>
    <w:p>
      <w:pPr>
        <w:ind w:left="280" w:hanging="275"/>
        <w:spacing w:after="0"/>
        <w:tabs>
          <w:tab w:leader="none" w:pos="28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Subsidiaries of Registrant</w:t>
      </w:r>
    </w:p>
    <w:p>
      <w:pPr>
        <w:spacing w:after="0" w:line="132" w:lineRule="exact"/>
        <w:rPr>
          <w:rFonts w:ascii="Times New Roman" w:cs="Times New Roman" w:eastAsia="Times New Roman" w:hAnsi="Times New Roman"/>
          <w:sz w:val="14"/>
          <w:szCs w:val="14"/>
          <w:color w:val="auto"/>
        </w:rPr>
      </w:pPr>
    </w:p>
    <w:p>
      <w:pPr>
        <w:ind w:left="320" w:hanging="120"/>
        <w:spacing w:after="0"/>
        <w:tabs>
          <w:tab w:leader="none" w:pos="320" w:val="left"/>
        </w:tabs>
        <w:numPr>
          <w:ilvl w:val="1"/>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Tejon Ranchcorp, 100% owned by Registrant.</w:t>
      </w:r>
    </w:p>
    <w:p>
      <w:pPr>
        <w:spacing w:after="0" w:line="146" w:lineRule="exact"/>
        <w:rPr>
          <w:rFonts w:ascii="Times New Roman" w:cs="Times New Roman" w:eastAsia="Times New Roman" w:hAnsi="Times New Roman"/>
          <w:sz w:val="14"/>
          <w:szCs w:val="14"/>
          <w:color w:val="auto"/>
        </w:rPr>
      </w:pPr>
    </w:p>
    <w:p>
      <w:pPr>
        <w:ind w:left="320" w:hanging="127"/>
        <w:spacing w:after="0"/>
        <w:tabs>
          <w:tab w:leader="none" w:pos="320" w:val="left"/>
        </w:tabs>
        <w:numPr>
          <w:ilvl w:val="1"/>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Laval Agricultural Company, formerly Tejon Farming Company.</w:t>
      </w:r>
    </w:p>
    <w:p>
      <w:pPr>
        <w:spacing w:after="0" w:line="136" w:lineRule="exact"/>
        <w:rPr>
          <w:rFonts w:ascii="Times New Roman" w:cs="Times New Roman" w:eastAsia="Times New Roman" w:hAnsi="Times New Roman"/>
          <w:sz w:val="14"/>
          <w:szCs w:val="14"/>
          <w:color w:val="auto"/>
        </w:rPr>
      </w:pPr>
    </w:p>
    <w:p>
      <w:pPr>
        <w:ind w:left="320" w:hanging="120"/>
        <w:spacing w:after="0"/>
        <w:tabs>
          <w:tab w:leader="none" w:pos="320" w:val="left"/>
        </w:tabs>
        <w:numPr>
          <w:ilvl w:val="1"/>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Tejon Ranch Feedlot, Inc.</w:t>
      </w:r>
    </w:p>
    <w:p>
      <w:pPr>
        <w:spacing w:after="0" w:line="146" w:lineRule="exact"/>
        <w:rPr>
          <w:rFonts w:ascii="Times New Roman" w:cs="Times New Roman" w:eastAsia="Times New Roman" w:hAnsi="Times New Roman"/>
          <w:sz w:val="14"/>
          <w:szCs w:val="14"/>
          <w:color w:val="auto"/>
        </w:rPr>
      </w:pPr>
    </w:p>
    <w:p>
      <w:pPr>
        <w:ind w:left="320" w:hanging="127"/>
        <w:spacing w:after="0"/>
        <w:tabs>
          <w:tab w:leader="none" w:pos="320" w:val="left"/>
        </w:tabs>
        <w:numPr>
          <w:ilvl w:val="1"/>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White Wolf Corporation.</w:t>
      </w:r>
    </w:p>
    <w:p>
      <w:pPr>
        <w:spacing w:after="0" w:line="136" w:lineRule="exact"/>
        <w:rPr>
          <w:rFonts w:ascii="Times New Roman" w:cs="Times New Roman" w:eastAsia="Times New Roman" w:hAnsi="Times New Roman"/>
          <w:sz w:val="14"/>
          <w:szCs w:val="14"/>
          <w:color w:val="auto"/>
        </w:rPr>
      </w:pPr>
    </w:p>
    <w:p>
      <w:pPr>
        <w:ind w:left="320" w:hanging="120"/>
        <w:spacing w:after="0"/>
        <w:tabs>
          <w:tab w:leader="none" w:pos="320" w:val="left"/>
        </w:tabs>
        <w:numPr>
          <w:ilvl w:val="1"/>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Tejon Development Corporation.</w:t>
      </w:r>
    </w:p>
    <w:p>
      <w:pPr>
        <w:spacing w:after="0" w:line="146" w:lineRule="exact"/>
        <w:rPr>
          <w:rFonts w:ascii="Times New Roman" w:cs="Times New Roman" w:eastAsia="Times New Roman" w:hAnsi="Times New Roman"/>
          <w:sz w:val="14"/>
          <w:szCs w:val="14"/>
          <w:color w:val="auto"/>
        </w:rPr>
      </w:pPr>
    </w:p>
    <w:p>
      <w:pPr>
        <w:ind w:left="320" w:hanging="104"/>
        <w:spacing w:after="0"/>
        <w:tabs>
          <w:tab w:leader="none" w:pos="320" w:val="left"/>
        </w:tabs>
        <w:numPr>
          <w:ilvl w:val="1"/>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Tejon Industrial Corp.</w:t>
      </w:r>
    </w:p>
    <w:p>
      <w:pPr>
        <w:spacing w:after="0" w:line="146" w:lineRule="exact"/>
        <w:rPr>
          <w:rFonts w:ascii="Times New Roman" w:cs="Times New Roman" w:eastAsia="Times New Roman" w:hAnsi="Times New Roman"/>
          <w:sz w:val="14"/>
          <w:szCs w:val="14"/>
          <w:color w:val="auto"/>
        </w:rPr>
      </w:pPr>
    </w:p>
    <w:p>
      <w:pPr>
        <w:ind w:left="320" w:hanging="127"/>
        <w:spacing w:after="0"/>
        <w:tabs>
          <w:tab w:leader="none" w:pos="320" w:val="left"/>
        </w:tabs>
        <w:numPr>
          <w:ilvl w:val="1"/>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Tejon Energy LLC.</w:t>
      </w:r>
    </w:p>
    <w:p>
      <w:pPr>
        <w:spacing w:after="0" w:line="136" w:lineRule="exact"/>
        <w:rPr>
          <w:rFonts w:ascii="Times New Roman" w:cs="Times New Roman" w:eastAsia="Times New Roman" w:hAnsi="Times New Roman"/>
          <w:sz w:val="14"/>
          <w:szCs w:val="14"/>
          <w:color w:val="auto"/>
        </w:rPr>
      </w:pPr>
    </w:p>
    <w:p>
      <w:pPr>
        <w:ind w:left="320" w:hanging="127"/>
        <w:spacing w:after="0"/>
        <w:tabs>
          <w:tab w:leader="none" w:pos="320" w:val="left"/>
        </w:tabs>
        <w:numPr>
          <w:ilvl w:val="1"/>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Centennial Founders LLC, Delaware limited liability company, 93.84% owned by Tejon Ranchcorp.</w:t>
      </w:r>
    </w:p>
    <w:p>
      <w:pPr>
        <w:spacing w:after="0" w:line="146" w:lineRule="exact"/>
        <w:rPr>
          <w:rFonts w:ascii="Times New Roman" w:cs="Times New Roman" w:eastAsia="Times New Roman" w:hAnsi="Times New Roman"/>
          <w:sz w:val="14"/>
          <w:szCs w:val="14"/>
          <w:color w:val="auto"/>
        </w:rPr>
      </w:pPr>
    </w:p>
    <w:p>
      <w:pPr>
        <w:ind w:left="320" w:hanging="96"/>
        <w:spacing w:after="0"/>
        <w:tabs>
          <w:tab w:leader="none" w:pos="320" w:val="left"/>
        </w:tabs>
        <w:numPr>
          <w:ilvl w:val="1"/>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Tejon Mountain Village, LLC., Delaware limited liability company.</w:t>
      </w:r>
    </w:p>
    <w:p>
      <w:pPr>
        <w:spacing w:after="0" w:line="146" w:lineRule="exact"/>
        <w:rPr>
          <w:rFonts w:ascii="Times New Roman" w:cs="Times New Roman" w:eastAsia="Times New Roman" w:hAnsi="Times New Roman"/>
          <w:sz w:val="14"/>
          <w:szCs w:val="14"/>
          <w:color w:val="auto"/>
        </w:rPr>
      </w:pPr>
    </w:p>
    <w:p>
      <w:pPr>
        <w:ind w:left="320" w:hanging="96"/>
        <w:spacing w:after="0"/>
        <w:tabs>
          <w:tab w:leader="none" w:pos="320" w:val="left"/>
        </w:tabs>
        <w:numPr>
          <w:ilvl w:val="1"/>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Tejon Ranch Wine Company, LLC.</w:t>
      </w:r>
    </w:p>
    <w:p>
      <w:pPr>
        <w:spacing w:after="0" w:line="136" w:lineRule="exact"/>
        <w:rPr>
          <w:rFonts w:ascii="Times New Roman" w:cs="Times New Roman" w:eastAsia="Times New Roman" w:hAnsi="Times New Roman"/>
          <w:sz w:val="14"/>
          <w:szCs w:val="14"/>
          <w:color w:val="auto"/>
        </w:rPr>
      </w:pPr>
    </w:p>
    <w:p>
      <w:pPr>
        <w:ind w:left="320" w:hanging="127"/>
        <w:spacing w:after="0"/>
        <w:tabs>
          <w:tab w:leader="none" w:pos="320" w:val="left"/>
        </w:tabs>
        <w:numPr>
          <w:ilvl w:val="1"/>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TRCC - West One, LLC.</w:t>
      </w:r>
    </w:p>
    <w:p>
      <w:pPr>
        <w:spacing w:after="0" w:line="274" w:lineRule="exact"/>
        <w:rPr>
          <w:rFonts w:ascii="Times New Roman" w:cs="Times New Roman" w:eastAsia="Times New Roman" w:hAnsi="Times New Roman"/>
          <w:sz w:val="14"/>
          <w:szCs w:val="14"/>
          <w:color w:val="auto"/>
        </w:rPr>
      </w:pPr>
    </w:p>
    <w:p>
      <w:pPr>
        <w:ind w:left="280" w:hanging="275"/>
        <w:spacing w:after="0"/>
        <w:tabs>
          <w:tab w:leader="none" w:pos="28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aforesaid subsidiaries is included in Registrant's Consolidated Financial Statements, set forth in answer to Item 15(a)(1) hereof.</w:t>
      </w:r>
    </w:p>
    <w:p>
      <w:pPr>
        <w:spacing w:after="0" w:line="23" w:lineRule="exact"/>
        <w:rPr>
          <w:rFonts w:ascii="Times New Roman" w:cs="Times New Roman" w:eastAsia="Times New Roman" w:hAnsi="Times New Roman"/>
          <w:sz w:val="14"/>
          <w:szCs w:val="14"/>
          <w:color w:val="auto"/>
        </w:rPr>
      </w:pPr>
    </w:p>
    <w:p>
      <w:pPr>
        <w:ind w:firstLine="5"/>
        <w:spacing w:after="0" w:line="253" w:lineRule="auto"/>
        <w:tabs>
          <w:tab w:leader="none" w:pos="279"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aforesaid subsidiaries (a) is a corporation unless otherwise stated, (b) was organized and incorporated or filed under the laws of the State of California unless otherwise stated, and (c) has 100% of its common stock (if a corporation) or membership interest (if a limited liability company) owned by Tejon Ranchcorp unless otherwise stated.</w:t>
      </w:r>
    </w:p>
    <w:p>
      <w:pPr>
        <w:ind w:right="180" w:firstLine="5"/>
        <w:spacing w:after="0" w:line="259" w:lineRule="auto"/>
        <w:tabs>
          <w:tab w:leader="none" w:pos="263"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aforesaid subsidiaries does business under its name, as shown. Registrant also does business under the name Tejon Ranch Company. Tejon Ranchcorp also does business under the names Tejon Ranch Company, Tejon Ranch, Grapevine Center, Grapevine Press, High Desert Hunt Club and Laval Farms. Laval Agricultural Company does business also under the names Laval Farms and Tejon Ranch. Tejon Industrial Corp. also does business under the name Tejon Ranch Commerce Center and Tejon Industrial Complex.</w:t>
      </w:r>
    </w:p>
    <w:p>
      <w:pPr>
        <w:sectPr>
          <w:pgSz w:w="11900" w:h="16838" w:orient="portrait"/>
          <w:cols w:equalWidth="0" w:num="1">
            <w:col w:w="11260"/>
          </w:cols>
          <w:pgMar w:left="300" w:top="734" w:right="339" w:bottom="1440" w:gutter="0" w:footer="0" w:header="0"/>
        </w:sectPr>
      </w:pPr>
    </w:p>
    <w:bookmarkStart w:id="179" w:name="page180"/>
    <w:bookmarkEnd w:id="179"/>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29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25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We consent to the incorporation by reference in Registration Statement No. 333-287361 on Form S-3 and Registration Statement Nos. 333-113887 and 333-272263 on Form S-8 of our report dated March 19, 2026, relating to the financial statements of Tejon Ranch Co. appearing in this Annual Report on Form 10-K for the year ended December 31, 2025.</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Deloitte &amp; Touche LLP</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Los Angeles, California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19, 2026</w:t>
      </w:r>
    </w:p>
    <w:p>
      <w:pPr>
        <w:sectPr>
          <w:pgSz w:w="11900" w:h="16838" w:orient="portrait"/>
          <w:cols w:equalWidth="0" w:num="1">
            <w:col w:w="11120"/>
          </w:cols>
          <w:pgMar w:left="300" w:top="961" w:right="479" w:bottom="1440" w:gutter="0" w:footer="0" w:header="0"/>
        </w:sectPr>
      </w:pPr>
    </w:p>
    <w:bookmarkStart w:id="180" w:name="page181"/>
    <w:bookmarkEnd w:id="180"/>
    <w:p>
      <w:pPr>
        <w:jc w:val="center"/>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Executive Officer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302 of the Sarbanes-Oxley Act of 2002</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Matthew H. Walker, certify that:</w:t>
      </w:r>
    </w:p>
    <w:p>
      <w:pPr>
        <w:spacing w:after="0" w:line="136" w:lineRule="exact"/>
        <w:rPr>
          <w:sz w:val="20"/>
          <w:szCs w:val="20"/>
          <w:color w:val="auto"/>
        </w:rPr>
      </w:pPr>
    </w:p>
    <w:p>
      <w:pPr>
        <w:ind w:left="260" w:hanging="255"/>
        <w:spacing w:after="0"/>
        <w:tabs>
          <w:tab w:leader="none" w:pos="26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Tejon Ranch Co.;</w:t>
      </w:r>
    </w:p>
    <w:p>
      <w:pPr>
        <w:spacing w:after="0" w:line="136" w:lineRule="exact"/>
        <w:rPr>
          <w:rFonts w:ascii="Times New Roman" w:cs="Times New Roman" w:eastAsia="Times New Roman" w:hAnsi="Times New Roman"/>
          <w:sz w:val="14"/>
          <w:szCs w:val="14"/>
          <w:color w:val="auto"/>
        </w:rPr>
      </w:pPr>
    </w:p>
    <w:p>
      <w:pPr>
        <w:ind w:left="260" w:right="140" w:hanging="255"/>
        <w:spacing w:after="0" w:line="287" w:lineRule="auto"/>
        <w:tabs>
          <w:tab w:leader="none" w:pos="26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4"/>
          <w:szCs w:val="14"/>
          <w:color w:val="auto"/>
        </w:rPr>
      </w:pPr>
    </w:p>
    <w:p>
      <w:pPr>
        <w:ind w:left="260" w:right="200" w:hanging="255"/>
        <w:spacing w:after="0" w:line="287" w:lineRule="auto"/>
        <w:tabs>
          <w:tab w:leader="none" w:pos="26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1" w:lineRule="exact"/>
        <w:rPr>
          <w:rFonts w:ascii="Times New Roman" w:cs="Times New Roman" w:eastAsia="Times New Roman" w:hAnsi="Times New Roman"/>
          <w:sz w:val="14"/>
          <w:szCs w:val="14"/>
          <w:color w:val="auto"/>
        </w:rPr>
      </w:pPr>
    </w:p>
    <w:p>
      <w:pPr>
        <w:ind w:left="260" w:right="60" w:hanging="255"/>
        <w:spacing w:after="0" w:line="287" w:lineRule="auto"/>
        <w:tabs>
          <w:tab w:leader="none" w:pos="26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4"/>
          <w:szCs w:val="14"/>
          <w:color w:val="auto"/>
        </w:rPr>
      </w:pPr>
    </w:p>
    <w:p>
      <w:pPr>
        <w:ind w:left="520" w:right="80" w:hanging="260"/>
        <w:spacing w:after="0" w:line="287" w:lineRule="auto"/>
        <w:tabs>
          <w:tab w:leader="none" w:pos="512" w:val="left"/>
        </w:tabs>
        <w:numPr>
          <w:ilvl w:val="1"/>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4"/>
          <w:szCs w:val="14"/>
          <w:color w:val="auto"/>
        </w:rPr>
      </w:pPr>
    </w:p>
    <w:p>
      <w:pPr>
        <w:ind w:left="520" w:right="500" w:hanging="260"/>
        <w:spacing w:after="0" w:line="287" w:lineRule="auto"/>
        <w:tabs>
          <w:tab w:leader="none" w:pos="520" w:val="left"/>
        </w:tabs>
        <w:numPr>
          <w:ilvl w:val="1"/>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4"/>
          <w:szCs w:val="14"/>
          <w:color w:val="auto"/>
        </w:rPr>
      </w:pPr>
    </w:p>
    <w:p>
      <w:pPr>
        <w:ind w:left="520" w:right="680" w:hanging="260"/>
        <w:spacing w:after="0" w:line="287" w:lineRule="auto"/>
        <w:tabs>
          <w:tab w:leader="none" w:pos="512" w:val="left"/>
        </w:tabs>
        <w:numPr>
          <w:ilvl w:val="1"/>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Times New Roman" w:cs="Times New Roman" w:eastAsia="Times New Roman" w:hAnsi="Times New Roman"/>
          <w:sz w:val="14"/>
          <w:szCs w:val="14"/>
          <w:color w:val="auto"/>
        </w:rPr>
      </w:pPr>
    </w:p>
    <w:p>
      <w:pPr>
        <w:ind w:left="520" w:right="320" w:hanging="260"/>
        <w:spacing w:after="0" w:line="287" w:lineRule="auto"/>
        <w:tabs>
          <w:tab w:leader="none" w:pos="520" w:val="left"/>
        </w:tabs>
        <w:numPr>
          <w:ilvl w:val="1"/>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1" w:lineRule="exact"/>
        <w:rPr>
          <w:rFonts w:ascii="Times New Roman" w:cs="Times New Roman" w:eastAsia="Times New Roman" w:hAnsi="Times New Roman"/>
          <w:sz w:val="14"/>
          <w:szCs w:val="14"/>
          <w:color w:val="auto"/>
        </w:rPr>
      </w:pPr>
    </w:p>
    <w:p>
      <w:pPr>
        <w:ind w:left="520" w:right="360" w:hanging="260"/>
        <w:spacing w:after="0" w:line="287" w:lineRule="auto"/>
        <w:tabs>
          <w:tab w:leader="none" w:pos="512" w:val="left"/>
        </w:tabs>
        <w:numPr>
          <w:ilvl w:val="1"/>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1"/>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Dated:</w:t>
            </w:r>
          </w:p>
        </w:tc>
        <w:tc>
          <w:tcPr>
            <w:tcW w:w="5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March 19, 2026</w:t>
            </w:r>
          </w:p>
        </w:tc>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Matthew H. Walker</w:t>
            </w:r>
          </w:p>
        </w:tc>
      </w:tr>
      <w:tr>
        <w:trPr>
          <w:trHeight w:val="167"/>
        </w:trPr>
        <w:tc>
          <w:tcPr>
            <w:tcW w:w="54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528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Matthew H. Walker</w:t>
            </w:r>
          </w:p>
        </w:tc>
      </w:tr>
      <w:tr>
        <w:trPr>
          <w:trHeight w:val="184"/>
        </w:trPr>
        <w:tc>
          <w:tcPr>
            <w:tcW w:w="54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528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Chief Executive Officer</w:t>
            </w:r>
          </w:p>
        </w:tc>
      </w:tr>
    </w:tbl>
    <w:p>
      <w:pPr>
        <w:sectPr>
          <w:pgSz w:w="11900" w:h="16838" w:orient="portrait"/>
          <w:cols w:equalWidth="0" w:num="1">
            <w:col w:w="11280"/>
          </w:cols>
          <w:pgMar w:left="300" w:top="727" w:right="319" w:bottom="1440" w:gutter="0" w:footer="0" w:header="0"/>
        </w:sectPr>
      </w:pPr>
    </w:p>
    <w:bookmarkStart w:id="181" w:name="page182"/>
    <w:bookmarkEnd w:id="18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Certification of Chief Financial Officer Pursuant to</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Securities Exchange Act Rules 13a-14(a) and 15d-14(a)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Section 302 of the Sarbanes-Oxley Act of 2002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Robert D. Velasquez, certify that:</w:t>
      </w:r>
    </w:p>
    <w:p>
      <w:pPr>
        <w:spacing w:after="0" w:line="136" w:lineRule="exact"/>
        <w:rPr>
          <w:sz w:val="20"/>
          <w:szCs w:val="20"/>
          <w:color w:val="auto"/>
        </w:rPr>
      </w:pPr>
    </w:p>
    <w:p>
      <w:pPr>
        <w:ind w:left="260" w:hanging="255"/>
        <w:spacing w:after="0"/>
        <w:tabs>
          <w:tab w:leader="none" w:pos="26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Tejon Ranch Co.;</w:t>
      </w:r>
    </w:p>
    <w:p>
      <w:pPr>
        <w:spacing w:after="0" w:line="136" w:lineRule="exact"/>
        <w:rPr>
          <w:rFonts w:ascii="Times New Roman" w:cs="Times New Roman" w:eastAsia="Times New Roman" w:hAnsi="Times New Roman"/>
          <w:sz w:val="14"/>
          <w:szCs w:val="14"/>
          <w:color w:val="auto"/>
        </w:rPr>
      </w:pPr>
    </w:p>
    <w:p>
      <w:pPr>
        <w:ind w:left="260" w:right="140" w:hanging="255"/>
        <w:spacing w:after="0" w:line="287" w:lineRule="auto"/>
        <w:tabs>
          <w:tab w:leader="none" w:pos="26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4"/>
          <w:szCs w:val="14"/>
          <w:color w:val="auto"/>
        </w:rPr>
      </w:pPr>
    </w:p>
    <w:p>
      <w:pPr>
        <w:ind w:left="260" w:right="200" w:hanging="255"/>
        <w:spacing w:after="0" w:line="287" w:lineRule="auto"/>
        <w:tabs>
          <w:tab w:leader="none" w:pos="26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1" w:lineRule="exact"/>
        <w:rPr>
          <w:rFonts w:ascii="Times New Roman" w:cs="Times New Roman" w:eastAsia="Times New Roman" w:hAnsi="Times New Roman"/>
          <w:sz w:val="14"/>
          <w:szCs w:val="14"/>
          <w:color w:val="auto"/>
        </w:rPr>
      </w:pPr>
    </w:p>
    <w:p>
      <w:pPr>
        <w:ind w:left="260" w:right="140" w:hanging="255"/>
        <w:spacing w:after="0" w:line="287" w:lineRule="auto"/>
        <w:tabs>
          <w:tab w:leader="none" w:pos="26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4"/>
          <w:szCs w:val="14"/>
          <w:color w:val="auto"/>
        </w:rPr>
      </w:pPr>
    </w:p>
    <w:p>
      <w:pPr>
        <w:ind w:left="520" w:right="80" w:hanging="260"/>
        <w:spacing w:after="0" w:line="287" w:lineRule="auto"/>
        <w:tabs>
          <w:tab w:leader="none" w:pos="512" w:val="left"/>
        </w:tabs>
        <w:numPr>
          <w:ilvl w:val="1"/>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4"/>
          <w:szCs w:val="14"/>
          <w:color w:val="auto"/>
        </w:rPr>
      </w:pPr>
    </w:p>
    <w:p>
      <w:pPr>
        <w:ind w:left="520" w:right="500" w:hanging="260"/>
        <w:spacing w:after="0" w:line="287" w:lineRule="auto"/>
        <w:tabs>
          <w:tab w:leader="none" w:pos="520" w:val="left"/>
        </w:tabs>
        <w:numPr>
          <w:ilvl w:val="1"/>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4"/>
          <w:szCs w:val="14"/>
          <w:color w:val="auto"/>
        </w:rPr>
      </w:pPr>
    </w:p>
    <w:p>
      <w:pPr>
        <w:ind w:left="520" w:right="680" w:hanging="260"/>
        <w:spacing w:after="0" w:line="287" w:lineRule="auto"/>
        <w:tabs>
          <w:tab w:leader="none" w:pos="512" w:val="left"/>
        </w:tabs>
        <w:numPr>
          <w:ilvl w:val="1"/>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Times New Roman" w:cs="Times New Roman" w:eastAsia="Times New Roman" w:hAnsi="Times New Roman"/>
          <w:sz w:val="14"/>
          <w:szCs w:val="14"/>
          <w:color w:val="auto"/>
        </w:rPr>
      </w:pPr>
    </w:p>
    <w:p>
      <w:pPr>
        <w:ind w:left="520" w:right="320" w:hanging="260"/>
        <w:spacing w:after="0" w:line="287" w:lineRule="auto"/>
        <w:tabs>
          <w:tab w:leader="none" w:pos="520" w:val="left"/>
        </w:tabs>
        <w:numPr>
          <w:ilvl w:val="1"/>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1" w:lineRule="exact"/>
        <w:rPr>
          <w:rFonts w:ascii="Times New Roman" w:cs="Times New Roman" w:eastAsia="Times New Roman" w:hAnsi="Times New Roman"/>
          <w:sz w:val="14"/>
          <w:szCs w:val="14"/>
          <w:color w:val="auto"/>
        </w:rPr>
      </w:pPr>
    </w:p>
    <w:p>
      <w:pPr>
        <w:ind w:left="520" w:right="360" w:hanging="260"/>
        <w:spacing w:after="0" w:line="287" w:lineRule="auto"/>
        <w:tabs>
          <w:tab w:leader="none" w:pos="512" w:val="left"/>
        </w:tabs>
        <w:numPr>
          <w:ilvl w:val="1"/>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1"/>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Dated:</w:t>
            </w:r>
          </w:p>
        </w:tc>
        <w:tc>
          <w:tcPr>
            <w:tcW w:w="5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March 19, 2026</w:t>
            </w:r>
          </w:p>
        </w:tc>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Robert D. Velasquez</w:t>
            </w:r>
          </w:p>
        </w:tc>
      </w:tr>
      <w:tr>
        <w:trPr>
          <w:trHeight w:val="167"/>
        </w:trPr>
        <w:tc>
          <w:tcPr>
            <w:tcW w:w="54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528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Robert D. Velasquez</w:t>
            </w:r>
          </w:p>
        </w:tc>
      </w:tr>
      <w:tr>
        <w:trPr>
          <w:trHeight w:val="184"/>
        </w:trPr>
        <w:tc>
          <w:tcPr>
            <w:tcW w:w="54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528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Chief Financial Officer</w:t>
            </w:r>
          </w:p>
        </w:tc>
      </w:tr>
    </w:tbl>
    <w:p>
      <w:pPr>
        <w:sectPr>
          <w:pgSz w:w="11900" w:h="16838" w:orient="portrait"/>
          <w:cols w:equalWidth="0" w:num="1">
            <w:col w:w="11280"/>
          </w:cols>
          <w:pgMar w:left="300" w:top="727" w:right="319" w:bottom="1440" w:gutter="0" w:footer="0" w:header="0"/>
        </w:sectPr>
      </w:pPr>
    </w:p>
    <w:bookmarkStart w:id="182" w:name="page183"/>
    <w:bookmarkEnd w:id="182"/>
    <w:p>
      <w:pPr>
        <w:ind w:left="5260"/>
        <w:spacing w:after="0"/>
        <w:rPr>
          <w:sz w:val="20"/>
          <w:szCs w:val="20"/>
          <w:color w:val="auto"/>
        </w:rPr>
      </w:pPr>
      <w:r>
        <w:rPr>
          <w:rFonts w:ascii="Times New Roman" w:cs="Times New Roman" w:eastAsia="Times New Roman" w:hAnsi="Times New Roman"/>
          <w:sz w:val="14"/>
          <w:szCs w:val="14"/>
          <w:b w:val="1"/>
          <w:bCs w:val="1"/>
          <w:color w:val="auto"/>
        </w:rPr>
        <w:t>EXHIBIT 32</w:t>
      </w:r>
    </w:p>
    <w:p>
      <w:pPr>
        <w:spacing w:after="0" w:line="13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Each of the undersigned hereby certifies, in his capacity as an officer of Tejon Ranch Co. (the “Company”), for purposes of 18 U.S.C. Section 1350, as adopted pursuant to Section 906 of the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Sarbanes-Oxley Act of 2002, that to his own knowledge:</w:t>
      </w:r>
    </w:p>
    <w:p>
      <w:pPr>
        <w:spacing w:after="0" w:line="185" w:lineRule="exact"/>
        <w:rPr>
          <w:sz w:val="20"/>
          <w:szCs w:val="20"/>
          <w:color w:val="auto"/>
        </w:rPr>
      </w:pPr>
    </w:p>
    <w:p>
      <w:pPr>
        <w:ind w:left="520" w:hanging="260"/>
        <w:spacing w:after="0" w:line="263" w:lineRule="auto"/>
        <w:tabs>
          <w:tab w:leader="none" w:pos="516"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Annual Report of the Company on Form 10-K for the period ended December 31, 2025 fully complies with the requirements of Section 13(a) of the Securities Exchange Act of 1934; and</w:t>
      </w:r>
    </w:p>
    <w:p>
      <w:pPr>
        <w:ind w:left="520" w:hanging="260"/>
        <w:spacing w:after="0"/>
        <w:tabs>
          <w:tab w:leader="none" w:pos="52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such report fairly presents, in all material respects, the financial condition and results of operation of the Company.</w:t>
      </w:r>
    </w:p>
    <w:p>
      <w:pPr>
        <w:spacing w:after="0" w:line="122"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has been provided to Tejon Ranch Co. and will be retained by Tejon Ranch Co., and furnished to the Securities and Exchange Commission or its staff upon request.</w:t>
      </w:r>
    </w:p>
    <w:p>
      <w:pPr>
        <w:spacing w:after="0" w:line="209"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4"/>
          <w:szCs w:val="14"/>
          <w:color w:val="auto"/>
        </w:rPr>
        <w:t>Dated:</w:t>
      </w:r>
      <w:r>
        <w:rPr>
          <w:sz w:val="20"/>
          <w:szCs w:val="20"/>
          <w:color w:val="auto"/>
        </w:rPr>
        <w:tab/>
      </w:r>
      <w:r>
        <w:rPr>
          <w:rFonts w:ascii="Times New Roman" w:cs="Times New Roman" w:eastAsia="Times New Roman" w:hAnsi="Times New Roman"/>
          <w:sz w:val="14"/>
          <w:szCs w:val="14"/>
          <w:color w:val="auto"/>
        </w:rPr>
        <w:t>March 19, 2026</w:t>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Matthew H.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166745" cy="69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5">
                      <a:extLst>
                        <a:ext uri="{28A0092B-C50C-407E-A947-70E740481C1C}"/>
                      </a:extLst>
                    </a:blip>
                    <a:srcRect/>
                    <a:stretch>
                      <a:fillRect/>
                    </a:stretch>
                  </pic:blipFill>
                  <pic:spPr bwMode="auto">
                    <a:xfrm>
                      <a:off x="0" y="0"/>
                      <a:ext cx="3166745"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Matthew H. Walker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2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Robert D. Velasquez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166745" cy="69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6">
                      <a:extLst>
                        <a:ext uri="{28A0092B-C50C-407E-A947-70E740481C1C}"/>
                      </a:extLst>
                    </a:blip>
                    <a:srcRect/>
                    <a:stretch>
                      <a:fillRect/>
                    </a:stretch>
                  </pic:blipFill>
                  <pic:spPr bwMode="auto">
                    <a:xfrm>
                      <a:off x="0" y="0"/>
                      <a:ext cx="3166745"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Robert D. Velasquez</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Chief Financial Officer</w:t>
      </w:r>
    </w:p>
    <w:p>
      <w:pPr>
        <w:sectPr>
          <w:pgSz w:w="11900" w:h="16838" w:orient="portrait"/>
          <w:cols w:equalWidth="0" w:num="1">
            <w:col w:w="11080"/>
          </w:cols>
          <w:pgMar w:left="300" w:top="728" w:right="519" w:bottom="1440" w:gutter="0" w:footer="0" w:header="0"/>
        </w:sectPr>
      </w:pPr>
    </w:p>
    <w:bookmarkStart w:id="183" w:name="page184"/>
    <w:bookmarkEnd w:id="183"/>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7"/>
          <w:szCs w:val="37"/>
          <w:b w:val="1"/>
          <w:bCs w:val="1"/>
          <w:color w:val="auto"/>
        </w:rPr>
        <w:t>Petro Travel Plaza Holdings LLC</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Consolidated Financial Statements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As of December 31, 2025 and 2024 and for the years ended December 31, 2025, 2024 and 2023</w:t>
      </w:r>
    </w:p>
    <w:p>
      <w:pPr>
        <w:sectPr>
          <w:pgSz w:w="11900" w:h="16838" w:orient="portrait"/>
          <w:cols w:equalWidth="0" w:num="1">
            <w:col w:w="10140"/>
          </w:cols>
          <w:pgMar w:left="880" w:top="1440" w:right="879" w:bottom="1440" w:gutter="0" w:footer="0" w:header="0"/>
        </w:sectPr>
      </w:pPr>
    </w:p>
    <w:bookmarkStart w:id="184" w:name="page185"/>
    <w:bookmarkEnd w:id="184"/>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Members of Petro Travel Plaza Holdings LLC</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w:t>
      </w:r>
    </w:p>
    <w:p>
      <w:pPr>
        <w:spacing w:after="0" w:line="149" w:lineRule="exact"/>
        <w:rPr>
          <w:sz w:val="20"/>
          <w:szCs w:val="20"/>
          <w:color w:val="auto"/>
        </w:rPr>
      </w:pPr>
    </w:p>
    <w:p>
      <w:pPr>
        <w:jc w:val="both"/>
        <w:ind w:right="240"/>
        <w:spacing w:after="0" w:line="262" w:lineRule="auto"/>
        <w:rPr>
          <w:sz w:val="20"/>
          <w:szCs w:val="20"/>
          <w:color w:val="auto"/>
        </w:rPr>
      </w:pPr>
      <w:r>
        <w:rPr>
          <w:rFonts w:ascii="Times New Roman" w:cs="Times New Roman" w:eastAsia="Times New Roman" w:hAnsi="Times New Roman"/>
          <w:sz w:val="14"/>
          <w:szCs w:val="14"/>
          <w:color w:val="auto"/>
        </w:rPr>
        <w:t>We have audited the consolidated financial statements of Petro Travel Plaza Holdings LLC and subsidiaries (the “Company”), which comprise the consolidated balance sheets as of December 31, 2025 and 2024, and the related consolidated statements of income, cash flows, and changes in members’ capital for each of the three years in the period ended December 31, 2025, and the related notes to the consolidated financial statements (collectively referred to as the "financial statements").</w:t>
      </w:r>
    </w:p>
    <w:p>
      <w:pPr>
        <w:spacing w:after="0" w:line="9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In our opinion, the accompanying financial statements present fairly, in all material respects, the financial position of the Company as of December 31, 2025 and 2024, and the results of its operations and its cash flows for each of the three years in the period ended December 31, 2025, in accordance with accounting principles generally accepted in the United States of America.</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49"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4"/>
          <w:szCs w:val="14"/>
          <w:color w:val="auto"/>
        </w:rPr>
        <w:t>We conducted our audits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Responsibilities of Management for the Financial Statements</w:t>
      </w:r>
    </w:p>
    <w:p>
      <w:pPr>
        <w:spacing w:after="0" w:line="149"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4"/>
          <w:szCs w:val="14"/>
          <w:color w:val="auto"/>
        </w:rPr>
        <w:t>Management is responsible for the preparation and fair presentation of the financial statements in accordance with accounting principles generally accepted in the United States of America, and for the design, implementation, and maintenance of internal control relevant to the preparation and fair presentation of financial statements that are free from material misstatement, whether due to fraud or error.</w:t>
      </w:r>
    </w:p>
    <w:p>
      <w:pPr>
        <w:spacing w:after="0" w:line="99"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In preparing the financial statements, management is required to evaluate whether there are conditions or events, considered in the aggregate, that raise substantial doubt about the Company’s ability to continue as a going concern for one year after the date that the financial statements are available to be issued.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Auditor’s Responsibilities for the Audit of the Financial Statements</w:t>
      </w:r>
    </w:p>
    <w:p>
      <w:pPr>
        <w:spacing w:after="0" w:line="149"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4"/>
          <w:szCs w:val="14"/>
          <w:color w:val="auto"/>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performing an audit in accordance with GAAS, we:</w:t>
      </w:r>
    </w:p>
    <w:p>
      <w:pPr>
        <w:spacing w:after="0" w:line="125" w:lineRule="exact"/>
        <w:rPr>
          <w:sz w:val="20"/>
          <w:szCs w:val="20"/>
          <w:color w:val="auto"/>
        </w:rPr>
      </w:pPr>
    </w:p>
    <w:p>
      <w:pPr>
        <w:ind w:left="260" w:hanging="255"/>
        <w:spacing w:after="0"/>
        <w:tabs>
          <w:tab w:leader="none" w:pos="26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Exercise professional judgment and maintain professional skepticism throughout the audit.</w:t>
      </w:r>
    </w:p>
    <w:p>
      <w:pPr>
        <w:spacing w:after="0" w:line="72" w:lineRule="exact"/>
        <w:rPr>
          <w:rFonts w:ascii="Times New Roman" w:cs="Times New Roman" w:eastAsia="Times New Roman" w:hAnsi="Times New Roman"/>
          <w:sz w:val="14"/>
          <w:szCs w:val="14"/>
          <w:color w:val="auto"/>
        </w:rPr>
      </w:pPr>
    </w:p>
    <w:p>
      <w:pPr>
        <w:ind w:left="260" w:right="600" w:hanging="255"/>
        <w:spacing w:after="0" w:line="239" w:lineRule="auto"/>
        <w:tabs>
          <w:tab w:leader="none" w:pos="256"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p>
      <w:pPr>
        <w:spacing w:after="0" w:line="40" w:lineRule="exact"/>
        <w:rPr>
          <w:rFonts w:ascii="Times New Roman" w:cs="Times New Roman" w:eastAsia="Times New Roman" w:hAnsi="Times New Roman"/>
          <w:sz w:val="14"/>
          <w:szCs w:val="14"/>
          <w:color w:val="auto"/>
        </w:rPr>
      </w:pPr>
    </w:p>
    <w:p>
      <w:pPr>
        <w:ind w:left="260" w:right="100" w:hanging="255"/>
        <w:spacing w:after="0" w:line="255" w:lineRule="auto"/>
        <w:tabs>
          <w:tab w:leader="none" w:pos="256"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spacing w:after="0" w:line="29" w:lineRule="exact"/>
        <w:rPr>
          <w:rFonts w:ascii="Times New Roman" w:cs="Times New Roman" w:eastAsia="Times New Roman" w:hAnsi="Times New Roman"/>
          <w:sz w:val="14"/>
          <w:szCs w:val="14"/>
          <w:color w:val="auto"/>
        </w:rPr>
      </w:pPr>
    </w:p>
    <w:p>
      <w:pPr>
        <w:ind w:left="260" w:right="340" w:hanging="255"/>
        <w:spacing w:after="0" w:line="239" w:lineRule="auto"/>
        <w:tabs>
          <w:tab w:leader="none" w:pos="256"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 the appropriateness of accounting policies used and the reasonableness of significant accounting estimates made by management, as well as evaluate the overall presentation of the financial statements.</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1260"/>
          </w:cols>
          <w:pgMar w:left="300" w:top="1440" w:right="339" w:bottom="1440" w:gutter="0" w:footer="0" w:header="0"/>
        </w:sectPr>
      </w:pPr>
    </w:p>
    <w:bookmarkStart w:id="185" w:name="page186"/>
    <w:bookmarkEnd w:id="185"/>
    <w:p>
      <w:pPr>
        <w:ind w:left="260" w:right="380" w:hanging="255"/>
        <w:spacing w:after="0" w:line="239" w:lineRule="auto"/>
        <w:tabs>
          <w:tab w:leader="none" w:pos="256"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Conclude whether, in our judgment, there are conditions or events, considered in the aggregate, that raise substantial doubt about the Company’s ability to continue as a going concern for a reasonable period of time.</w:t>
      </w:r>
    </w:p>
    <w:p>
      <w:pPr>
        <w:spacing w:after="0" w:line="114"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We are required to communicate with those charged with governance regarding, among other matters, the planned scope and timing of the audit, significant audit findings, and certain internal control-related matters that we identified during the audit.</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/s/Deloitte &amp; Touche LLP</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13,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260"/>
          </w:cols>
          <w:pgMar w:left="300" w:top="1387" w:right="339" w:bottom="1440" w:gutter="0" w:footer="0" w:header="0"/>
        </w:sectPr>
      </w:pPr>
    </w:p>
    <w:bookmarkStart w:id="186" w:name="page187"/>
    <w:bookmarkEnd w:id="186"/>
    <w:p>
      <w:pPr>
        <w:ind w:left="3140"/>
        <w:spacing w:after="0"/>
        <w:rPr>
          <w:sz w:val="20"/>
          <w:szCs w:val="20"/>
          <w:color w:val="auto"/>
        </w:rPr>
      </w:pPr>
      <w:r>
        <w:rPr>
          <w:rFonts w:ascii="Times New Roman" w:cs="Times New Roman" w:eastAsia="Times New Roman" w:hAnsi="Times New Roman"/>
          <w:sz w:val="14"/>
          <w:szCs w:val="14"/>
          <w:b w:val="1"/>
          <w:bCs w:val="1"/>
          <w:color w:val="auto"/>
        </w:rPr>
        <w:t>PETRO TRAVEL PLAZA HOLDINGS LLC</w:t>
      </w:r>
    </w:p>
    <w:p>
      <w:pPr>
        <w:spacing w:after="0" w:line="4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277495</wp:posOffset>
            </wp:positionV>
            <wp:extent cx="4608195" cy="38741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7">
                      <a:extLst>
                        <a:ext uri="{28A0092B-C50C-407E-A947-70E740481C1C}"/>
                      </a:extLst>
                    </a:blip>
                    <a:srcRect/>
                    <a:stretch>
                      <a:fillRect/>
                    </a:stretch>
                  </pic:blipFill>
                  <pic:spPr bwMode="auto">
                    <a:xfrm>
                      <a:off x="0" y="0"/>
                      <a:ext cx="4608195" cy="3874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706" w:right="1440" w:bottom="1440" w:gutter="0" w:footer="0" w:header="0"/>
        </w:sectPr>
      </w:pPr>
    </w:p>
    <w:bookmarkStart w:id="187" w:name="page188"/>
    <w:bookmarkEnd w:id="187"/>
    <w:p>
      <w:pPr>
        <w:ind w:left="3140"/>
        <w:spacing w:after="0"/>
        <w:rPr>
          <w:sz w:val="20"/>
          <w:szCs w:val="20"/>
          <w:color w:val="auto"/>
        </w:rPr>
      </w:pPr>
      <w:r>
        <w:rPr>
          <w:rFonts w:ascii="Times New Roman" w:cs="Times New Roman" w:eastAsia="Times New Roman" w:hAnsi="Times New Roman"/>
          <w:sz w:val="14"/>
          <w:szCs w:val="14"/>
          <w:b w:val="1"/>
          <w:bCs w:val="1"/>
          <w:color w:val="auto"/>
        </w:rPr>
        <w:t>PETRO TRAVEL PLAZA HOLDINGS LLC</w:t>
      </w:r>
    </w:p>
    <w:p>
      <w:pPr>
        <w:spacing w:after="0" w:line="4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4"/>
          <w:szCs w:val="14"/>
          <w:b w:val="1"/>
          <w:bCs w:val="1"/>
          <w:color w:val="auto"/>
        </w:rPr>
        <w:t>CONSOLIDATED STATEMENTS OF INCOME</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277495</wp:posOffset>
            </wp:positionV>
            <wp:extent cx="4608195" cy="27152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8">
                      <a:extLst>
                        <a:ext uri="{28A0092B-C50C-407E-A947-70E740481C1C}"/>
                      </a:extLst>
                    </a:blip>
                    <a:srcRect/>
                    <a:stretch>
                      <a:fillRect/>
                    </a:stretch>
                  </pic:blipFill>
                  <pic:spPr bwMode="auto">
                    <a:xfrm>
                      <a:off x="0" y="0"/>
                      <a:ext cx="4608195" cy="2715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706" w:right="1440" w:bottom="1440" w:gutter="0" w:footer="0" w:header="0"/>
        </w:sectPr>
      </w:pPr>
    </w:p>
    <w:bookmarkStart w:id="188" w:name="page189"/>
    <w:bookmarkEnd w:id="188"/>
    <w:p>
      <w:pPr>
        <w:ind w:left="3140"/>
        <w:spacing w:after="0"/>
        <w:rPr>
          <w:sz w:val="20"/>
          <w:szCs w:val="20"/>
          <w:color w:val="auto"/>
        </w:rPr>
      </w:pPr>
      <w:r>
        <w:rPr>
          <w:rFonts w:ascii="Times New Roman" w:cs="Times New Roman" w:eastAsia="Times New Roman" w:hAnsi="Times New Roman"/>
          <w:sz w:val="14"/>
          <w:szCs w:val="14"/>
          <w:b w:val="1"/>
          <w:bCs w:val="1"/>
          <w:color w:val="auto"/>
        </w:rPr>
        <w:t>PETRO TRAVEL PLAZA HOLDINGS LLC</w:t>
      </w:r>
    </w:p>
    <w:p>
      <w:pPr>
        <w:spacing w:after="0" w:line="41"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277495</wp:posOffset>
            </wp:positionV>
            <wp:extent cx="4608195" cy="46355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9">
                      <a:extLst>
                        <a:ext uri="{28A0092B-C50C-407E-A947-70E740481C1C}"/>
                      </a:extLst>
                    </a:blip>
                    <a:srcRect/>
                    <a:stretch>
                      <a:fillRect/>
                    </a:stretch>
                  </pic:blipFill>
                  <pic:spPr bwMode="auto">
                    <a:xfrm>
                      <a:off x="0" y="0"/>
                      <a:ext cx="4608195" cy="4635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706" w:right="1440" w:bottom="1440" w:gutter="0" w:footer="0" w:header="0"/>
        </w:sectPr>
      </w:pPr>
    </w:p>
    <w:bookmarkStart w:id="189" w:name="page190"/>
    <w:bookmarkEnd w:id="189"/>
    <w:p>
      <w:pPr>
        <w:ind w:left="3140"/>
        <w:spacing w:after="0"/>
        <w:rPr>
          <w:sz w:val="20"/>
          <w:szCs w:val="20"/>
          <w:color w:val="auto"/>
        </w:rPr>
      </w:pPr>
      <w:r>
        <w:rPr>
          <w:rFonts w:ascii="Times New Roman" w:cs="Times New Roman" w:eastAsia="Times New Roman" w:hAnsi="Times New Roman"/>
          <w:sz w:val="14"/>
          <w:szCs w:val="14"/>
          <w:b w:val="1"/>
          <w:bCs w:val="1"/>
          <w:color w:val="auto"/>
        </w:rPr>
        <w:t>PETRO TRAVEL PLAZA HOLDINGS LLC</w:t>
      </w:r>
    </w:p>
    <w:p>
      <w:pPr>
        <w:spacing w:after="0" w:line="4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b w:val="1"/>
          <w:bCs w:val="1"/>
          <w:color w:val="auto"/>
        </w:rPr>
        <w:t>CONSOLIDATED STATEMENTS OF CHANGES IN MEMBERS’ CAPITAL</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398780</wp:posOffset>
            </wp:positionV>
            <wp:extent cx="4608195" cy="16643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0">
                      <a:extLst>
                        <a:ext uri="{28A0092B-C50C-407E-A947-70E740481C1C}"/>
                      </a:extLst>
                    </a:blip>
                    <a:srcRect/>
                    <a:stretch>
                      <a:fillRect/>
                    </a:stretch>
                  </pic:blipFill>
                  <pic:spPr bwMode="auto">
                    <a:xfrm>
                      <a:off x="0" y="0"/>
                      <a:ext cx="4608195" cy="166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706" w:right="1440" w:bottom="1440" w:gutter="0" w:footer="0" w:header="0"/>
        </w:sectPr>
      </w:pPr>
    </w:p>
    <w:bookmarkStart w:id="190" w:name="page191"/>
    <w:bookmarkEnd w:id="190"/>
    <w:p>
      <w:pPr>
        <w:ind w:left="4280"/>
        <w:spacing w:after="0"/>
        <w:rPr>
          <w:sz w:val="20"/>
          <w:szCs w:val="20"/>
          <w:color w:val="auto"/>
        </w:rPr>
      </w:pPr>
      <w:r>
        <w:rPr>
          <w:rFonts w:ascii="Times New Roman" w:cs="Times New Roman" w:eastAsia="Times New Roman" w:hAnsi="Times New Roman"/>
          <w:sz w:val="14"/>
          <w:szCs w:val="14"/>
          <w:b w:val="1"/>
          <w:bCs w:val="1"/>
          <w:color w:val="auto"/>
        </w:rPr>
        <w:t>PETRO TRAVEL PLAZA HOLDINGS LLC</w:t>
      </w:r>
    </w:p>
    <w:p>
      <w:pPr>
        <w:spacing w:after="0" w:line="4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Summary of Significant Accounting Policies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General Information and Basis of Presentation</w:t>
      </w:r>
    </w:p>
    <w:p>
      <w:pPr>
        <w:spacing w:after="0" w:line="170" w:lineRule="exact"/>
        <w:rPr>
          <w:sz w:val="20"/>
          <w:szCs w:val="20"/>
          <w:color w:val="auto"/>
        </w:rPr>
      </w:pPr>
    </w:p>
    <w:p>
      <w:pPr>
        <w:ind w:right="40"/>
        <w:spacing w:after="0" w:line="309" w:lineRule="auto"/>
        <w:rPr>
          <w:sz w:val="20"/>
          <w:szCs w:val="20"/>
          <w:color w:val="auto"/>
        </w:rPr>
      </w:pPr>
      <w:r>
        <w:rPr>
          <w:rFonts w:ascii="Times New Roman" w:cs="Times New Roman" w:eastAsia="Times New Roman" w:hAnsi="Times New Roman"/>
          <w:sz w:val="14"/>
          <w:szCs w:val="14"/>
          <w:color w:val="auto"/>
        </w:rPr>
        <w:t>Petro Travel Plaza Holdings LLC (the "Company"), a Delaware limited liability company, was formed on October 8, 2008, by Tejon Development Corporation, a California corporation ("Tejon") and wholly-owned subsidiary of Tejon Ranch Co., and TA Operating LLC, a Delaware limited liability company ("TA") and wholly-owned subsidiary of BP p.l.c. (“BP”). On May 15, 2023, TravelCenters of America, Inc., the parent company of TA, merged with a wholly-owned subsidiary of BP.</w:t>
      </w:r>
    </w:p>
    <w:p>
      <w:pPr>
        <w:spacing w:after="0" w:line="100" w:lineRule="exact"/>
        <w:rPr>
          <w:sz w:val="20"/>
          <w:szCs w:val="20"/>
          <w:color w:val="auto"/>
        </w:rPr>
      </w:pPr>
    </w:p>
    <w:p>
      <w:pPr>
        <w:ind w:right="360"/>
        <w:spacing w:after="0" w:line="309" w:lineRule="auto"/>
        <w:rPr>
          <w:sz w:val="20"/>
          <w:szCs w:val="20"/>
          <w:color w:val="auto"/>
        </w:rPr>
      </w:pPr>
      <w:r>
        <w:rPr>
          <w:rFonts w:ascii="Times New Roman" w:cs="Times New Roman" w:eastAsia="Times New Roman" w:hAnsi="Times New Roman"/>
          <w:sz w:val="14"/>
          <w:szCs w:val="14"/>
          <w:color w:val="auto"/>
        </w:rPr>
        <w:t>The Company has two wholly-owned subsidiaries: Petro Travel Plaza LLC ("PTP") and East Travel Plaza LLC ("ETP"), each of which is a California limited liability company. The Company's Limited Liability Company Operating Agreement, as amended, ("the Operating Agreement") limits each members' liability to the fullest extent permitted by law. Pursuant to the terms of the Operating Agreement, TA manages the Company's operations and is responsible for the administrative, accounting and tax functions of the Company.</w:t>
      </w:r>
    </w:p>
    <w:p>
      <w:pPr>
        <w:spacing w:after="0" w:line="89" w:lineRule="exact"/>
        <w:rPr>
          <w:sz w:val="20"/>
          <w:szCs w:val="20"/>
          <w:color w:val="auto"/>
        </w:rPr>
      </w:pPr>
    </w:p>
    <w:p>
      <w:pPr>
        <w:ind w:right="20"/>
        <w:spacing w:after="0" w:line="301" w:lineRule="auto"/>
        <w:rPr>
          <w:sz w:val="20"/>
          <w:szCs w:val="20"/>
          <w:color w:val="auto"/>
        </w:rPr>
      </w:pPr>
      <w:r>
        <w:rPr>
          <w:rFonts w:ascii="Times New Roman" w:cs="Times New Roman" w:eastAsia="Times New Roman" w:hAnsi="Times New Roman"/>
          <w:sz w:val="14"/>
          <w:szCs w:val="14"/>
          <w:color w:val="auto"/>
        </w:rPr>
        <w:t>As of December 31, 2025 and 2024, the Company has two travel centers, three standalone convenience stores with retail gasoline stations and one standalone restaurant in Southern California, which are referred to collectively as the locations. One travel center and two convenience stores, owned by PTP, operate under the Petro brand and Goasis brand, respectively. One travel center and one convenience store, owned by ETP, operate under the TravelCenters of America brand and Goasis brand, respectively and the one standalone restaurant operates under the Black Bear Diner brand. The travel centers offer three diesel fuel and gasoline brand options including 76, Chevron and Shell and nonfuel products and services such as truck repair and maintenance, weigh scales and a truck wash. Convenience offerings include two full-service restaurants, thirteen quick service restaurants, groceries, fresh foods and various customer amenities, such as showers and laundry facilities.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members and their interests in the Company are as follows:</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Members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Tejon</w:t>
            </w:r>
          </w:p>
        </w:tc>
        <w:tc>
          <w:tcPr>
            <w:tcW w:w="55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86"/>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w:t>
            </w:r>
          </w:p>
        </w:tc>
        <w:tc>
          <w:tcPr>
            <w:tcW w:w="55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40.0</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any fiscal year, the Company's profits or losses and distributions, if any, shall be allocated 60.0% to Tejon and 40.0% to TA pursuant to the terms of the Operating Agreement.</w:t>
      </w:r>
    </w:p>
    <w:p>
      <w:pPr>
        <w:spacing w:after="0" w:line="168" w:lineRule="exact"/>
        <w:rPr>
          <w:sz w:val="20"/>
          <w:szCs w:val="20"/>
          <w:color w:val="auto"/>
        </w:rPr>
      </w:pPr>
    </w:p>
    <w:p>
      <w:pPr>
        <w:ind w:right="200"/>
        <w:spacing w:after="0" w:line="301" w:lineRule="auto"/>
        <w:rPr>
          <w:sz w:val="20"/>
          <w:szCs w:val="20"/>
          <w:color w:val="auto"/>
        </w:rPr>
      </w:pPr>
      <w:r>
        <w:rPr>
          <w:rFonts w:ascii="Times New Roman" w:cs="Times New Roman" w:eastAsia="Times New Roman" w:hAnsi="Times New Roman"/>
          <w:sz w:val="14"/>
          <w:szCs w:val="14"/>
          <w:color w:val="auto"/>
        </w:rPr>
        <w:t>The consolidated financial statements include the accounts of the Company and its wholly owned subsidiaries, PTP and ETP, after eliminating intercompany transactions, profits and balances. The preparation of financial statements in conformity with U.S. generally accepted accounting principles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94"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The Company has evaluated subsequent events through March 13, 2026, which represents the date the financial statements were available to be issued. Based on this evaluation, the Company has concluded that no events or transactions occurred that would require adjustment to or disclosure in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1280"/>
          </w:cols>
          <w:pgMar w:left="300" w:top="706" w:right="319" w:bottom="1440" w:gutter="0" w:footer="0" w:header="0"/>
        </w:sectPr>
      </w:pPr>
    </w:p>
    <w:bookmarkStart w:id="191" w:name="page192"/>
    <w:bookmarkEnd w:id="191"/>
    <w:p>
      <w:pPr>
        <w:ind w:left="4280"/>
        <w:spacing w:after="0"/>
        <w:rPr>
          <w:sz w:val="20"/>
          <w:szCs w:val="20"/>
          <w:color w:val="auto"/>
        </w:rPr>
      </w:pPr>
      <w:r>
        <w:rPr>
          <w:rFonts w:ascii="Times New Roman" w:cs="Times New Roman" w:eastAsia="Times New Roman" w:hAnsi="Times New Roman"/>
          <w:sz w:val="14"/>
          <w:szCs w:val="14"/>
          <w:b w:val="1"/>
          <w:bCs w:val="1"/>
          <w:color w:val="auto"/>
        </w:rPr>
        <w:t>PETRO TRAVEL PLAZA HOLDINGS LLC</w:t>
      </w:r>
    </w:p>
    <w:p>
      <w:pPr>
        <w:spacing w:after="0" w:line="4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Significant Accounting Policies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Inventory, net</w:t>
      </w:r>
    </w:p>
    <w:p>
      <w:pPr>
        <w:spacing w:after="0" w:line="170" w:lineRule="exact"/>
        <w:rPr>
          <w:sz w:val="20"/>
          <w:szCs w:val="20"/>
          <w:color w:val="auto"/>
        </w:rPr>
      </w:pPr>
    </w:p>
    <w:p>
      <w:pPr>
        <w:jc w:val="both"/>
        <w:ind w:right="280"/>
        <w:spacing w:after="0" w:line="309" w:lineRule="auto"/>
        <w:rPr>
          <w:sz w:val="20"/>
          <w:szCs w:val="20"/>
          <w:color w:val="auto"/>
        </w:rPr>
      </w:pPr>
      <w:r>
        <w:rPr>
          <w:rFonts w:ascii="Times New Roman" w:cs="Times New Roman" w:eastAsia="Times New Roman" w:hAnsi="Times New Roman"/>
          <w:sz w:val="14"/>
          <w:szCs w:val="14"/>
          <w:color w:val="auto"/>
        </w:rPr>
        <w:t>Inventory is stated at the lower of cost or net realizable value. The Company determines cost principally on the weighted average cost method. The Company maintains reserves for the estimated amounts of obsolete and excess inventory. These estimates are based on unit sales histories and on hand inventory quantities, known market trends for inventory items and assumptions regarding factors such as future inventory needs, their ability and the related cost to return items to their suppliers and ability to sell inventory at a discount when necessary.</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Property and Equipment, net</w:t>
      </w:r>
    </w:p>
    <w:p>
      <w:pPr>
        <w:spacing w:after="0" w:line="159" w:lineRule="exact"/>
        <w:rPr>
          <w:sz w:val="20"/>
          <w:szCs w:val="20"/>
          <w:color w:val="auto"/>
        </w:rPr>
      </w:pPr>
    </w:p>
    <w:p>
      <w:pPr>
        <w:ind w:right="320"/>
        <w:spacing w:after="0" w:line="309" w:lineRule="auto"/>
        <w:rPr>
          <w:sz w:val="20"/>
          <w:szCs w:val="20"/>
          <w:color w:val="auto"/>
        </w:rPr>
      </w:pPr>
      <w:r>
        <w:rPr>
          <w:rFonts w:ascii="Times New Roman" w:cs="Times New Roman" w:eastAsia="Times New Roman" w:hAnsi="Times New Roman"/>
          <w:sz w:val="14"/>
          <w:szCs w:val="14"/>
          <w:color w:val="auto"/>
        </w:rPr>
        <w:t>Property and equipment are recorded at historical cost. Depreciation and amortization expense are provided using the straight-line method over the estimated useful lives of the respective assets. Repairs and maintenance are charged to expense as incurred and amounted to $2,150, $1,792 and $1,430 for the years ended December 31, 2025, 2024 and 2023, respectively. Renewals and betterments are capitalized. The cost and related accumulated depreciation of property and equipment sold, replaced or otherwise disposed is removed from the related accounts.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Impairment of Long-Lived Assets</w:t>
      </w:r>
    </w:p>
    <w:p>
      <w:pPr>
        <w:spacing w:after="0" w:line="159"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4"/>
          <w:szCs w:val="14"/>
          <w:color w:val="auto"/>
        </w:rPr>
        <w:t>The Company reviews definite lived assets for potential indicators of impairment during each reporting period. The Company recognizes impairment charges when (a) the carrying value of a long-lived asset or asset group to be held and used in the business is not recoverable and exceeds its fair value and (b) when the carrying value of a long-lived asset or asset group to be disposed of exceeds the estimated fair value of the asset less the estimated cost to sell the asset. The Company's estimates of fair value are based on its estimates of likely market participant assumptions, including projected operating results and the discount rate used to measure the present value of projected future cash flows. The Company uses a number of assumptions and methods in preparing valuations underlying impairment tests including estimates of future cash flows and discount rate, and in some instances may obtain third party appraisals. The Company recognizes such impairment charges in the period during which the circumstances surrounding an asset or asset group to be held and used have changed such that the carrying value is no longer recoverable, or during which a commitment to a plan to dispose of the asset or asset group is made. The Company performs an impairment analysis for substantially all of its property and equipment at the individual site level because that is the lowest level of asset and liability groupings for which the cash flows are largely independent of the cash flows of other assets and liabilities. During 2025, 2024 and 2023 the Company did not record any impairment charges related to its long-lived assets.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1260"/>
          </w:cols>
          <w:pgMar w:left="300" w:top="706" w:right="339" w:bottom="1440" w:gutter="0" w:footer="0" w:header="0"/>
        </w:sectPr>
      </w:pPr>
    </w:p>
    <w:bookmarkStart w:id="192" w:name="page193"/>
    <w:bookmarkEnd w:id="192"/>
    <w:p>
      <w:pPr>
        <w:ind w:left="4280"/>
        <w:spacing w:after="0"/>
        <w:rPr>
          <w:sz w:val="20"/>
          <w:szCs w:val="20"/>
          <w:color w:val="auto"/>
        </w:rPr>
      </w:pPr>
      <w:r>
        <w:rPr>
          <w:rFonts w:ascii="Times New Roman" w:cs="Times New Roman" w:eastAsia="Times New Roman" w:hAnsi="Times New Roman"/>
          <w:sz w:val="14"/>
          <w:szCs w:val="14"/>
          <w:b w:val="1"/>
          <w:bCs w:val="1"/>
          <w:color w:val="auto"/>
        </w:rPr>
        <w:t>PETRO TRAVEL PLAZA HOLDINGS LLC</w:t>
      </w:r>
    </w:p>
    <w:p>
      <w:pPr>
        <w:spacing w:after="0" w:line="4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Contingencies</w:t>
      </w:r>
    </w:p>
    <w:p>
      <w:pPr>
        <w:spacing w:after="0" w:line="159" w:lineRule="exact"/>
        <w:rPr>
          <w:sz w:val="20"/>
          <w:szCs w:val="20"/>
          <w:color w:val="auto"/>
        </w:rPr>
      </w:pPr>
    </w:p>
    <w:p>
      <w:pPr>
        <w:ind w:right="100"/>
        <w:spacing w:after="0" w:line="300" w:lineRule="auto"/>
        <w:rPr>
          <w:sz w:val="20"/>
          <w:szCs w:val="20"/>
          <w:color w:val="auto"/>
        </w:rPr>
      </w:pPr>
      <w:r>
        <w:rPr>
          <w:rFonts w:ascii="Times New Roman" w:cs="Times New Roman" w:eastAsia="Times New Roman" w:hAnsi="Times New Roman"/>
          <w:sz w:val="14"/>
          <w:szCs w:val="14"/>
          <w:color w:val="auto"/>
        </w:rPr>
        <w:t>The Company records environmental remediation charges and penalties when the obligation to remediate is probable and the amount of associated costs is reasonably determinable. The Company estimates liabilities for other loss contingencies when it is probable that a liability has been incurred and the amount of loss is reasonably estimable. The Company includes remediation expenses within site level operating expense in the consolidated statements of income. Generally, the timing of remediation expense recognized coincides with the completion of a feasibility study or the commitment to a formal plan of action. Accrued liabilities related to environmental matters are recorded on an undiscounted basis because of the uncertainty associated with the timing of the related future payments. In the Company's consolidated balance sheets, the accrual for environmental matters is recorded in other noncurrent liabilities, with the amount estimated to be expended within the subsequent 12 months recorded in accrued expenses and other current liabilities. The Company recognizes a receivable for estimated future environmental costs that it may be reimbursed for once receipt of the recovery is probable and the Company is able to reasonably estimate the amount of the recovery, which is recorded within other noncurrent assets in the consolidated balance sheets.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Asset Retirement Obligations</w:t>
      </w:r>
    </w:p>
    <w:p>
      <w:pPr>
        <w:spacing w:after="0" w:line="170"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14"/>
          <w:szCs w:val="14"/>
          <w:color w:val="auto"/>
        </w:rPr>
        <w:t>The Company recognizes the future costs for the obligations related to the removal of underground storage tanks over the estimated useful lives of each asset requiring removal. The Company records a liability for the fair value of an asset retirement obligation with a corresponding increase to the carrying value of the related long-lived asset at the time such an asset is installed. The Company bases the estimated liability on its historical experiences in removing these assets, their estimated useful lives, external estimates as to the cost to remove the assets in the future and regulatory or contractual requirements. Asset retirement obligations as of December 31, 2025 and 2024 were $342 and $309, respectively and are presented in other noncurrent liabilities in the Company's consolidated balance sheets.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Self-Insurance Accruals</w:t>
      </w:r>
    </w:p>
    <w:p>
      <w:pPr>
        <w:spacing w:after="0" w:line="170"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4"/>
          <w:szCs w:val="14"/>
          <w:color w:val="auto"/>
        </w:rPr>
        <w:t>The Company has insurance programs for which it pays deductibles and for which the Company is partially self-insured up to certain stop-loss amounts, including claims under its general liability, workers’ compensation, motor vehicle and group health benefits policies and programs. Accruals are established under these insurance programs for both estimated losses on known claims and potential claims incurred but not asserted, based in part on claims histories and actuarial methods. In the Company's consolidated balance sheets, as of December 31, 2025 and 2024, the accrual for self-insurance costs was $872 and $1,060, respectively, of which $748 and $862 are recorded in other noncurrent liabilities and $124 and $198 are presented in accrued expenses and other current liabilities, respectively.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Revenue Recognition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revenues consist of fuel and nonfuel revenues. See Note 2 for more information about the Company's revenues.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Fuel Product Cost and Nonfuel Product Cost.</w:t>
      </w:r>
    </w:p>
    <w:p>
      <w:pPr>
        <w:spacing w:after="0" w:line="159" w:lineRule="exact"/>
        <w:rPr>
          <w:sz w:val="20"/>
          <w:szCs w:val="20"/>
          <w:color w:val="auto"/>
        </w:rPr>
      </w:pPr>
    </w:p>
    <w:p>
      <w:pPr>
        <w:ind w:right="140"/>
        <w:spacing w:after="0" w:line="309" w:lineRule="auto"/>
        <w:rPr>
          <w:sz w:val="20"/>
          <w:szCs w:val="20"/>
          <w:color w:val="auto"/>
        </w:rPr>
      </w:pPr>
      <w:r>
        <w:rPr>
          <w:rFonts w:ascii="Times New Roman" w:cs="Times New Roman" w:eastAsia="Times New Roman" w:hAnsi="Times New Roman"/>
          <w:sz w:val="14"/>
          <w:szCs w:val="14"/>
          <w:color w:val="auto"/>
        </w:rPr>
        <w:t>Fuel product cost on the consolidated statements of income primarily consists of the commodity fuel cost and related inbound transportation costs. Nonfuel product cost on the consolidated statements of income primarily consists of direct costs from suppliers. All site level labor expense is presented in site level operating expense in the consolidated statements of income. Depreciation and amortization expense is presented separately in depreciation and amortization expense in the consolidated statements of income.</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1280"/>
          </w:cols>
          <w:pgMar w:left="300" w:top="706" w:right="319" w:bottom="1440" w:gutter="0" w:footer="0" w:header="0"/>
        </w:sectPr>
      </w:pPr>
    </w:p>
    <w:bookmarkStart w:id="193" w:name="page194"/>
    <w:bookmarkEnd w:id="193"/>
    <w:p>
      <w:pPr>
        <w:ind w:left="4280"/>
        <w:spacing w:after="0"/>
        <w:rPr>
          <w:sz w:val="20"/>
          <w:szCs w:val="20"/>
          <w:color w:val="auto"/>
        </w:rPr>
      </w:pPr>
      <w:r>
        <w:rPr>
          <w:rFonts w:ascii="Times New Roman" w:cs="Times New Roman" w:eastAsia="Times New Roman" w:hAnsi="Times New Roman"/>
          <w:sz w:val="14"/>
          <w:szCs w:val="14"/>
          <w:b w:val="1"/>
          <w:bCs w:val="1"/>
          <w:color w:val="auto"/>
        </w:rPr>
        <w:t>PETRO TRAVEL PLAZA HOLDINGS LLC</w:t>
      </w:r>
    </w:p>
    <w:p>
      <w:pPr>
        <w:spacing w:after="0" w:line="4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(in thousands)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2021, the Company executed separate branding agreements with two national retail gasoline suppliers to re-image certain sites to sell those brands of fuel. In 2022, these conversions were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completed by the Company and the suppliers paid the Company up-front cash incentives and the reimbursement of certain expenses incurred to convert the sites. The Company has the right to</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terminate the branding agreements but would be obligated to return all or a portion of the incentives and reimbursements according to certain long-term milestones in the respective agreements.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years ended December 31, 2025 and 2024, the Company did not amortize any portions of the deferred consideration related to the up-front incentives in the consolidated statements of</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income and expects to recognize them in the future as reductions to fuel product cost in periods beyond 2026 as the retention milestones of the respective agreements are met. The Company has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$3,330 and $2,945 of deferred consideration relating to these arrangements as of December 31, 2025 and 2024, respectively. These amounts are recorded within deferred revenue in the consolidated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balance sheets.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Advertising and Promotion Expense</w:t>
      </w:r>
    </w:p>
    <w:p>
      <w:pPr>
        <w:spacing w:after="0" w:line="159" w:lineRule="exact"/>
        <w:rPr>
          <w:sz w:val="20"/>
          <w:szCs w:val="20"/>
          <w:color w:val="auto"/>
        </w:rPr>
      </w:pPr>
    </w:p>
    <w:p>
      <w:pPr>
        <w:ind w:right="160"/>
        <w:spacing w:after="0" w:line="334" w:lineRule="auto"/>
        <w:rPr>
          <w:sz w:val="20"/>
          <w:szCs w:val="20"/>
          <w:color w:val="auto"/>
        </w:rPr>
      </w:pPr>
      <w:r>
        <w:rPr>
          <w:rFonts w:ascii="Times New Roman" w:cs="Times New Roman" w:eastAsia="Times New Roman" w:hAnsi="Times New Roman"/>
          <w:sz w:val="14"/>
          <w:szCs w:val="14"/>
          <w:color w:val="auto"/>
        </w:rPr>
        <w:t>Costs incurred in connection with advertising and promotions are expensed as incurred. Advertising and promotion expenses, which are recorded in site level operating expense in the consolidated statements of income, were $1,020, $637 and $641 for the years ended December 31, 2025, 2024 and 2023, respectively.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Income Taxes</w:t>
      </w:r>
    </w:p>
    <w:p>
      <w:pPr>
        <w:spacing w:after="0" w:line="170" w:lineRule="exact"/>
        <w:rPr>
          <w:sz w:val="20"/>
          <w:szCs w:val="20"/>
          <w:color w:val="auto"/>
        </w:rPr>
      </w:pPr>
    </w:p>
    <w:p>
      <w:pPr>
        <w:ind w:right="100"/>
        <w:spacing w:after="0" w:line="319" w:lineRule="auto"/>
        <w:rPr>
          <w:sz w:val="20"/>
          <w:szCs w:val="20"/>
          <w:color w:val="auto"/>
        </w:rPr>
      </w:pPr>
      <w:r>
        <w:rPr>
          <w:rFonts w:ascii="Times New Roman" w:cs="Times New Roman" w:eastAsia="Times New Roman" w:hAnsi="Times New Roman"/>
          <w:sz w:val="14"/>
          <w:szCs w:val="14"/>
          <w:color w:val="auto"/>
        </w:rPr>
        <w:t>The Company is not subject to federal or state income taxes. Results of operations are allocated to the members in accordance with the provisions of the Operating Agreement and any taxes thereon are the responsibility of each member.</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Comprehensive Income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2025, the Company had no comprehensive income, other than the net income disclosed in the consolidated statements of income.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Recently Issued Accounting Pronouncements</w:t>
      </w:r>
    </w:p>
    <w:p>
      <w:pPr>
        <w:spacing w:after="0" w:line="159" w:lineRule="exact"/>
        <w:rPr>
          <w:sz w:val="20"/>
          <w:szCs w:val="20"/>
          <w:color w:val="auto"/>
        </w:rPr>
      </w:pPr>
    </w:p>
    <w:p>
      <w:pPr>
        <w:ind w:right="80"/>
        <w:spacing w:after="0" w:line="334" w:lineRule="auto"/>
        <w:rPr>
          <w:sz w:val="20"/>
          <w:szCs w:val="20"/>
          <w:color w:val="auto"/>
        </w:rPr>
      </w:pPr>
      <w:r>
        <w:rPr>
          <w:rFonts w:ascii="Times New Roman" w:cs="Times New Roman" w:eastAsia="Times New Roman" w:hAnsi="Times New Roman"/>
          <w:sz w:val="14"/>
          <w:szCs w:val="14"/>
          <w:color w:val="auto"/>
        </w:rPr>
        <w:t>The following table summarizes recent accounting standard updates, or ASU, issued by the Financial Accounting Standards Board, or FASB, that could have an impact on the consolidated financial statements.</w:t>
      </w:r>
    </w:p>
    <w:p>
      <w:pPr>
        <w:sectPr>
          <w:pgSz w:w="11900" w:h="16838" w:orient="portrait"/>
          <w:cols w:equalWidth="0" w:num="1">
            <w:col w:w="11240"/>
          </w:cols>
          <w:pgMar w:left="300" w:top="706" w:right="359" w:bottom="1440" w:gutter="0" w:footer="0" w:header="0"/>
        </w:sectPr>
      </w:pPr>
    </w:p>
    <w:p>
      <w:pPr>
        <w:spacing w:after="0" w:line="15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200" w:type="dxa"/>
            <w:vAlign w:val="bottom"/>
          </w:tcPr>
          <w:p>
            <w:pPr>
              <w:spacing w:after="0"/>
              <w:rPr>
                <w:sz w:val="13"/>
                <w:szCs w:val="13"/>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6"/>
              </w:rPr>
              <w:t>Standard</w:t>
            </w:r>
          </w:p>
        </w:tc>
        <w:tc>
          <w:tcPr>
            <w:tcW w:w="1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8"/>
              </w:rPr>
              <w:t>Description</w:t>
            </w:r>
          </w:p>
        </w:tc>
        <w:tc>
          <w:tcPr>
            <w:tcW w:w="1720" w:type="dxa"/>
            <w:vAlign w:val="bottom"/>
          </w:tcPr>
          <w:p>
            <w:pPr>
              <w:spacing w:after="0"/>
              <w:rPr>
                <w:sz w:val="13"/>
                <w:szCs w:val="13"/>
                <w:color w:val="auto"/>
              </w:rPr>
            </w:pPr>
          </w:p>
        </w:tc>
        <w:tc>
          <w:tcPr>
            <w:tcW w:w="1140" w:type="dxa"/>
            <w:vAlign w:val="bottom"/>
            <w:gridSpan w:val="3"/>
          </w:tcPr>
          <w:p>
            <w:pPr>
              <w:jc w:val="center"/>
              <w:ind w:left="149"/>
              <w:spacing w:after="0"/>
              <w:rPr>
                <w:sz w:val="20"/>
                <w:szCs w:val="20"/>
                <w:color w:val="auto"/>
              </w:rPr>
            </w:pPr>
            <w:r>
              <w:rPr>
                <w:rFonts w:ascii="Times New Roman" w:cs="Times New Roman" w:eastAsia="Times New Roman" w:hAnsi="Times New Roman"/>
                <w:sz w:val="14"/>
                <w:szCs w:val="14"/>
                <w:b w:val="1"/>
                <w:bCs w:val="1"/>
                <w:color w:val="auto"/>
                <w:w w:val="99"/>
              </w:rPr>
              <w:t>Effective Date</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Recently Issued Standards</w:t>
            </w:r>
          </w:p>
        </w:tc>
        <w:tc>
          <w:tcPr>
            <w:tcW w:w="1420" w:type="dxa"/>
            <w:vAlign w:val="bottom"/>
            <w:gridSpan w:val="2"/>
          </w:tcPr>
          <w:p>
            <w:pPr>
              <w:spacing w:after="0"/>
              <w:rPr>
                <w:sz w:val="20"/>
                <w:szCs w:val="20"/>
                <w:color w:val="auto"/>
              </w:rPr>
            </w:pPr>
          </w:p>
        </w:tc>
        <w:tc>
          <w:tcPr>
            <w:tcW w:w="1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920" w:type="dxa"/>
            <w:vAlign w:val="bottom"/>
            <w:gridSpan w:val="4"/>
          </w:tcPr>
          <w:p>
            <w:pPr>
              <w:ind w:left="20"/>
              <w:spacing w:after="0" w:line="156" w:lineRule="exact"/>
              <w:rPr>
                <w:sz w:val="20"/>
                <w:szCs w:val="20"/>
                <w:color w:val="auto"/>
              </w:rPr>
            </w:pPr>
            <w:r>
              <w:rPr>
                <w:rFonts w:ascii="Times New Roman" w:cs="Times New Roman" w:eastAsia="Times New Roman" w:hAnsi="Times New Roman"/>
                <w:sz w:val="14"/>
                <w:szCs w:val="14"/>
                <w:color w:val="auto"/>
              </w:rPr>
              <w:t>ASU 2024-03 – Income Statement – Reporting</w:t>
            </w:r>
          </w:p>
        </w:tc>
        <w:tc>
          <w:tcPr>
            <w:tcW w:w="4000" w:type="dxa"/>
            <w:vAlign w:val="bottom"/>
            <w:gridSpan w:val="3"/>
          </w:tcPr>
          <w:p>
            <w:pPr>
              <w:ind w:left="60"/>
              <w:spacing w:after="0" w:line="156" w:lineRule="exact"/>
              <w:rPr>
                <w:sz w:val="20"/>
                <w:szCs w:val="20"/>
                <w:color w:val="auto"/>
              </w:rPr>
            </w:pPr>
            <w:r>
              <w:rPr>
                <w:rFonts w:ascii="Times New Roman" w:cs="Times New Roman" w:eastAsia="Times New Roman" w:hAnsi="Times New Roman"/>
                <w:sz w:val="14"/>
                <w:szCs w:val="14"/>
                <w:color w:val="auto"/>
              </w:rPr>
              <w:t>This update requires disaggregated disclosure of certain income</w:t>
            </w:r>
          </w:p>
        </w:tc>
        <w:tc>
          <w:tcPr>
            <w:tcW w:w="1140" w:type="dxa"/>
            <w:vAlign w:val="bottom"/>
            <w:gridSpan w:val="3"/>
            <w:vMerge w:val="restart"/>
          </w:tcPr>
          <w:p>
            <w:pPr>
              <w:jc w:val="center"/>
              <w:ind w:left="169"/>
              <w:spacing w:after="0"/>
              <w:rPr>
                <w:sz w:val="20"/>
                <w:szCs w:val="20"/>
                <w:color w:val="auto"/>
              </w:rPr>
            </w:pPr>
            <w:r>
              <w:rPr>
                <w:rFonts w:ascii="Times New Roman" w:cs="Times New Roman" w:eastAsia="Times New Roman" w:hAnsi="Times New Roman"/>
                <w:sz w:val="14"/>
                <w:szCs w:val="14"/>
                <w:color w:val="auto"/>
              </w:rPr>
              <w:t>January 1, 2027</w:t>
            </w:r>
          </w:p>
        </w:tc>
        <w:tc>
          <w:tcPr>
            <w:tcW w:w="0" w:type="dxa"/>
            <w:vAlign w:val="bottom"/>
          </w:tcPr>
          <w:p>
            <w:pPr>
              <w:spacing w:after="0"/>
              <w:rPr>
                <w:sz w:val="1"/>
                <w:szCs w:val="1"/>
                <w:color w:val="auto"/>
              </w:rPr>
            </w:pPr>
          </w:p>
        </w:tc>
      </w:tr>
      <w:tr>
        <w:trPr>
          <w:trHeight w:val="142"/>
        </w:trPr>
        <w:tc>
          <w:tcPr>
            <w:tcW w:w="2920" w:type="dxa"/>
            <w:vAlign w:val="bottom"/>
            <w:gridSpan w:val="4"/>
          </w:tcPr>
          <w:p>
            <w:pPr>
              <w:spacing w:after="0" w:line="142" w:lineRule="exact"/>
              <w:rPr>
                <w:sz w:val="20"/>
                <w:szCs w:val="20"/>
                <w:color w:val="auto"/>
              </w:rPr>
            </w:pPr>
            <w:r>
              <w:rPr>
                <w:rFonts w:ascii="Times New Roman" w:cs="Times New Roman" w:eastAsia="Times New Roman" w:hAnsi="Times New Roman"/>
                <w:sz w:val="14"/>
                <w:szCs w:val="14"/>
                <w:color w:val="auto"/>
              </w:rPr>
              <w:t>Comprehensive Income – Expense Disaggregation</w:t>
            </w:r>
          </w:p>
        </w:tc>
        <w:tc>
          <w:tcPr>
            <w:tcW w:w="400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4"/>
                <w:szCs w:val="14"/>
                <w:color w:val="auto"/>
              </w:rPr>
              <w:t>statement expenses for public business entities within disclosures</w:t>
            </w:r>
          </w:p>
        </w:tc>
        <w:tc>
          <w:tcPr>
            <w:tcW w:w="11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9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Disclosures (Subtopic 220-40)</w:t>
            </w:r>
          </w:p>
        </w:tc>
        <w:tc>
          <w:tcPr>
            <w:tcW w:w="400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in the footnotes to the financial statements.</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-412750</wp:posOffset>
            </wp:positionV>
            <wp:extent cx="7161530" cy="1143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1">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Effect on the Consolidated Financial</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Statements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is currently assessing the impacts</w:t>
      </w:r>
    </w:p>
    <w:p>
      <w:pPr>
        <w:spacing w:after="0" w:line="4" w:lineRule="exact"/>
        <w:rPr>
          <w:sz w:val="20"/>
          <w:szCs w:val="20"/>
          <w:color w:val="auto"/>
        </w:rPr>
      </w:pPr>
    </w:p>
    <w:p>
      <w:pPr>
        <w:ind w:right="180"/>
        <w:spacing w:after="0" w:line="228" w:lineRule="auto"/>
        <w:rPr>
          <w:sz w:val="20"/>
          <w:szCs w:val="20"/>
          <w:color w:val="auto"/>
        </w:rPr>
      </w:pPr>
      <w:r>
        <w:rPr>
          <w:rFonts w:ascii="Times New Roman" w:cs="Times New Roman" w:eastAsia="Times New Roman" w:hAnsi="Times New Roman"/>
          <w:sz w:val="14"/>
          <w:szCs w:val="14"/>
          <w:color w:val="auto"/>
        </w:rPr>
        <w:t>of this standard on the consolidated financial statements.</w:t>
      </w:r>
    </w:p>
    <w:p>
      <w:pPr>
        <w:spacing w:after="0" w:line="204" w:lineRule="exact"/>
        <w:rPr>
          <w:sz w:val="20"/>
          <w:szCs w:val="20"/>
          <w:color w:val="auto"/>
        </w:rPr>
      </w:pPr>
    </w:p>
    <w:p>
      <w:pPr>
        <w:sectPr>
          <w:pgSz w:w="11900" w:h="16838" w:orient="portrait"/>
          <w:cols w:equalWidth="0" w:num="2">
            <w:col w:w="8080" w:space="440"/>
            <w:col w:w="2720"/>
          </w:cols>
          <w:pgMar w:left="300" w:top="706"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1240"/>
          </w:cols>
          <w:pgMar w:left="300" w:top="706" w:right="359" w:bottom="1440" w:gutter="0" w:footer="0" w:header="0"/>
          <w:type w:val="continuous"/>
        </w:sectPr>
      </w:pPr>
    </w:p>
    <w:bookmarkStart w:id="194" w:name="page195"/>
    <w:bookmarkEnd w:id="194"/>
    <w:p>
      <w:pPr>
        <w:ind w:left="4280"/>
        <w:spacing w:after="0"/>
        <w:rPr>
          <w:sz w:val="20"/>
          <w:szCs w:val="20"/>
          <w:color w:val="auto"/>
        </w:rPr>
      </w:pPr>
      <w:r>
        <w:rPr>
          <w:rFonts w:ascii="Times New Roman" w:cs="Times New Roman" w:eastAsia="Times New Roman" w:hAnsi="Times New Roman"/>
          <w:sz w:val="14"/>
          <w:szCs w:val="14"/>
          <w:b w:val="1"/>
          <w:bCs w:val="1"/>
          <w:color w:val="auto"/>
        </w:rPr>
        <w:t>PETRO TRAVEL PLAZA HOLDINGS LLC</w:t>
      </w:r>
    </w:p>
    <w:p>
      <w:pPr>
        <w:spacing w:after="0" w:line="4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Revenues</w:t>
      </w:r>
    </w:p>
    <w:p>
      <w:pPr>
        <w:spacing w:after="0" w:line="159" w:lineRule="exact"/>
        <w:rPr>
          <w:sz w:val="20"/>
          <w:szCs w:val="20"/>
          <w:color w:val="auto"/>
        </w:rPr>
      </w:pPr>
    </w:p>
    <w:p>
      <w:pPr>
        <w:ind w:right="220"/>
        <w:spacing w:after="0" w:line="334" w:lineRule="auto"/>
        <w:rPr>
          <w:sz w:val="20"/>
          <w:szCs w:val="20"/>
          <w:color w:val="auto"/>
        </w:rPr>
      </w:pPr>
      <w:r>
        <w:rPr>
          <w:rFonts w:ascii="Times New Roman" w:cs="Times New Roman" w:eastAsia="Times New Roman" w:hAnsi="Times New Roman"/>
          <w:sz w:val="14"/>
          <w:szCs w:val="14"/>
          <w:color w:val="auto"/>
        </w:rPr>
        <w:t>The Company recognizes revenues based on the consideration specified in the contract with the customer, excluding any sales incentives (such as customer loyalty programs and customer rebates) and amounts collected on behalf of third parties (such as sales and excise taxes). The majority of the Company's revenues are generated at the point of sale at its retail locations.</w:t>
      </w:r>
    </w:p>
    <w:p>
      <w:pPr>
        <w:spacing w:after="0" w:line="70" w:lineRule="exact"/>
        <w:rPr>
          <w:sz w:val="20"/>
          <w:szCs w:val="20"/>
          <w:color w:val="auto"/>
        </w:rPr>
      </w:pPr>
    </w:p>
    <w:p>
      <w:pPr>
        <w:ind w:right="100"/>
        <w:spacing w:after="0" w:line="337" w:lineRule="auto"/>
        <w:rPr>
          <w:sz w:val="20"/>
          <w:szCs w:val="20"/>
          <w:color w:val="auto"/>
        </w:rPr>
      </w:pPr>
      <w:r>
        <w:rPr>
          <w:rFonts w:ascii="Times New Roman" w:cs="Times New Roman" w:eastAsia="Times New Roman" w:hAnsi="Times New Roman"/>
          <w:sz w:val="14"/>
          <w:szCs w:val="14"/>
          <w:i w:val="1"/>
          <w:iCs w:val="1"/>
          <w:color w:val="auto"/>
        </w:rPr>
        <w:t xml:space="preserve">Fuel Revenues. </w:t>
      </w:r>
      <w:r>
        <w:rPr>
          <w:rFonts w:ascii="Times New Roman" w:cs="Times New Roman" w:eastAsia="Times New Roman" w:hAnsi="Times New Roman"/>
          <w:sz w:val="14"/>
          <w:szCs w:val="14"/>
          <w:color w:val="auto"/>
        </w:rPr>
        <w:t>The Company recognizes fuel revenues and the related costs at the time of sale to customers at its locations. The Company sells diesel fuel and gasoline to its customers at prices that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it establishes daily, indexed to market prices. The Company sells diesel fuel under pricing arrangements with certain customers.</w:t>
      </w:r>
    </w:p>
    <w:p>
      <w:pPr>
        <w:spacing w:after="0" w:line="78" w:lineRule="exact"/>
        <w:rPr>
          <w:sz w:val="20"/>
          <w:szCs w:val="20"/>
          <w:color w:val="auto"/>
        </w:rPr>
      </w:pPr>
    </w:p>
    <w:p>
      <w:pPr>
        <w:ind w:right="40"/>
        <w:spacing w:after="0" w:line="311" w:lineRule="auto"/>
        <w:rPr>
          <w:sz w:val="20"/>
          <w:szCs w:val="20"/>
          <w:color w:val="auto"/>
        </w:rPr>
      </w:pPr>
      <w:r>
        <w:rPr>
          <w:rFonts w:ascii="Times New Roman" w:cs="Times New Roman" w:eastAsia="Times New Roman" w:hAnsi="Times New Roman"/>
          <w:sz w:val="14"/>
          <w:szCs w:val="14"/>
          <w:i w:val="1"/>
          <w:iCs w:val="1"/>
          <w:color w:val="auto"/>
        </w:rPr>
        <w:t xml:space="preserve">Nonfuel Revenues. </w:t>
      </w:r>
      <w:r>
        <w:rPr>
          <w:rFonts w:ascii="Times New Roman" w:cs="Times New Roman" w:eastAsia="Times New Roman" w:hAnsi="Times New Roman"/>
          <w:sz w:val="14"/>
          <w:szCs w:val="14"/>
          <w:color w:val="auto"/>
        </w:rPr>
        <w:t>The Company recognizes nonfuel revenues and the related costs at the time of sale to customers at its locations. The Company sells a variety of nonfuel products and services at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stated retail prices in its travel centers, standalone convenience stores and standalone restaurant, as well as through the TA Truck Service® Emergency Roadside Assistance program. Truck repair and maintenance goods or services may be sold at discounted pricing under pricing and rebate arrangements with certain customers.</w:t>
      </w:r>
    </w:p>
    <w:p>
      <w:pPr>
        <w:spacing w:after="0" w:line="87" w:lineRule="exact"/>
        <w:rPr>
          <w:sz w:val="20"/>
          <w:szCs w:val="20"/>
          <w:color w:val="auto"/>
        </w:rPr>
      </w:pPr>
    </w:p>
    <w:p>
      <w:pPr>
        <w:ind w:right="100"/>
        <w:spacing w:after="0" w:line="334" w:lineRule="auto"/>
        <w:rPr>
          <w:sz w:val="20"/>
          <w:szCs w:val="20"/>
          <w:color w:val="auto"/>
        </w:rPr>
      </w:pPr>
      <w:r>
        <w:rPr>
          <w:rFonts w:ascii="Times New Roman" w:cs="Times New Roman" w:eastAsia="Times New Roman" w:hAnsi="Times New Roman"/>
          <w:sz w:val="14"/>
          <w:szCs w:val="14"/>
          <w:color w:val="auto"/>
        </w:rPr>
        <w:t>Sales incentives and other promotional activities that the Company recognizes as variable consideration, and as a reduction to revenue, are recorded when it is probable that no significant reversal of revenue will occur. These include, but are not limited to, the following:</w:t>
      </w:r>
    </w:p>
    <w:p>
      <w:pPr>
        <w:spacing w:after="0" w:line="27" w:lineRule="exact"/>
        <w:rPr>
          <w:sz w:val="20"/>
          <w:szCs w:val="20"/>
          <w:color w:val="auto"/>
        </w:rPr>
      </w:pPr>
    </w:p>
    <w:p>
      <w:pPr>
        <w:ind w:left="520" w:hanging="260"/>
        <w:spacing w:after="0"/>
        <w:tabs>
          <w:tab w:leader="none" w:pos="52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Customer Loyalty Program. </w:t>
      </w:r>
      <w:r>
        <w:rPr>
          <w:rFonts w:ascii="Times New Roman" w:cs="Times New Roman" w:eastAsia="Times New Roman" w:hAnsi="Times New Roman"/>
          <w:sz w:val="14"/>
          <w:szCs w:val="14"/>
          <w:color w:val="auto"/>
        </w:rPr>
        <w:t>The Company offers travel center trucking customers the option to participate in TA's customer loyalty program. The customer loyalty program provides</w:t>
      </w:r>
    </w:p>
    <w:p>
      <w:pPr>
        <w:spacing w:after="0" w:line="42" w:lineRule="exact"/>
        <w:rPr>
          <w:rFonts w:ascii="Times New Roman" w:cs="Times New Roman" w:eastAsia="Times New Roman" w:hAnsi="Times New Roman"/>
          <w:sz w:val="14"/>
          <w:szCs w:val="14"/>
          <w:color w:val="auto"/>
        </w:rPr>
      </w:pPr>
    </w:p>
    <w:p>
      <w:pPr>
        <w:ind w:left="520" w:right="20"/>
        <w:spacing w:after="0" w:line="29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customers with the right to earn loyalty awards on qualifying purchases that can be used for discounts on future purchases of goods or services. The Company is charged by TA for a portion of each sale attributable to the loyalty awards earned by customers. Upon the redemption or expiration of the loyalty awards at Company sites, the Company is credited by TA and recognizes</w:t>
      </w:r>
    </w:p>
    <w:p>
      <w:pPr>
        <w:ind w:left="520"/>
        <w:spacing w:after="0" w:line="30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 in the category in which the loyalty awards are redeemed. Significant judgment is used by TA to determine the standalone selling price used to account for and track loyalty awards. Assumptions used in determining the standalone selling price include the historic redemption rate and the use of a weighted average selling price for fuel to calculate the revenues attributable to the loyalty awards.</w:t>
      </w:r>
    </w:p>
    <w:p>
      <w:pPr>
        <w:spacing w:after="0" w:line="44" w:lineRule="exact"/>
        <w:rPr>
          <w:rFonts w:ascii="Times New Roman" w:cs="Times New Roman" w:eastAsia="Times New Roman" w:hAnsi="Times New Roman"/>
          <w:sz w:val="14"/>
          <w:szCs w:val="14"/>
          <w:color w:val="auto"/>
        </w:rPr>
      </w:pPr>
    </w:p>
    <w:p>
      <w:pPr>
        <w:ind w:left="520" w:right="20" w:hanging="260"/>
        <w:spacing w:after="0" w:line="337" w:lineRule="auto"/>
        <w:tabs>
          <w:tab w:leader="none" w:pos="516"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Customer Discounts and Rebates. </w:t>
      </w:r>
      <w:r>
        <w:rPr>
          <w:rFonts w:ascii="Times New Roman" w:cs="Times New Roman" w:eastAsia="Times New Roman" w:hAnsi="Times New Roman"/>
          <w:sz w:val="14"/>
          <w:szCs w:val="14"/>
          <w:color w:val="auto"/>
        </w:rPr>
        <w:t>TA enters into agreements with certain customers on behalf of the Company in which it agrees to provide discounts and rebates on fuel and/or truck service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purchases. The Company recognizes the cost of discounts against, and in the same period as, the revenues that generated the discounts earned.</w:t>
      </w:r>
    </w:p>
    <w:p>
      <w:pPr>
        <w:spacing w:after="0" w:line="67" w:lineRule="exact"/>
        <w:rPr>
          <w:rFonts w:ascii="Times New Roman" w:cs="Times New Roman" w:eastAsia="Times New Roman" w:hAnsi="Times New Roman"/>
          <w:sz w:val="14"/>
          <w:szCs w:val="14"/>
          <w:color w:val="auto"/>
        </w:rPr>
      </w:pPr>
    </w:p>
    <w:p>
      <w:pPr>
        <w:ind w:left="520" w:right="620" w:hanging="260"/>
        <w:spacing w:after="0" w:line="322" w:lineRule="auto"/>
        <w:tabs>
          <w:tab w:leader="none" w:pos="516"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Gift Cards. </w:t>
      </w:r>
      <w:r>
        <w:rPr>
          <w:rFonts w:ascii="Times New Roman" w:cs="Times New Roman" w:eastAsia="Times New Roman" w:hAnsi="Times New Roman"/>
          <w:sz w:val="14"/>
          <w:szCs w:val="14"/>
          <w:color w:val="auto"/>
        </w:rPr>
        <w:t>The Company sells TA and Petro branded gift cards. Proceeds from sale are recognized as liabilities to TA. When these gift cards are redeemed for a sale, the Company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establishes receivables from TA. These liabilities and receivables are settled with TA through the normal settlement process.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Disaggregation of Revenues</w:t>
      </w:r>
    </w:p>
    <w:p>
      <w:pPr>
        <w:spacing w:after="0" w:line="170" w:lineRule="exact"/>
        <w:rPr>
          <w:sz w:val="20"/>
          <w:szCs w:val="20"/>
          <w:color w:val="auto"/>
        </w:rPr>
      </w:pPr>
    </w:p>
    <w:p>
      <w:pPr>
        <w:ind w:right="400"/>
        <w:spacing w:after="0" w:line="319" w:lineRule="auto"/>
        <w:rPr>
          <w:sz w:val="20"/>
          <w:szCs w:val="20"/>
          <w:color w:val="auto"/>
        </w:rPr>
      </w:pPr>
      <w:r>
        <w:rPr>
          <w:rFonts w:ascii="Times New Roman" w:cs="Times New Roman" w:eastAsia="Times New Roman" w:hAnsi="Times New Roman"/>
          <w:sz w:val="14"/>
          <w:szCs w:val="14"/>
          <w:color w:val="auto"/>
        </w:rPr>
        <w:t>The Company disaggregates its revenues based on the type of good or service provided to the customer, or by fuel revenues and nonfuel revenues, in its consolidated statements of income. The Company's locations use similar processes to sell similar products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1280"/>
          </w:cols>
          <w:pgMar w:left="300" w:top="706" w:right="319" w:bottom="1440" w:gutter="0" w:footer="0" w:header="0"/>
        </w:sectPr>
      </w:pPr>
    </w:p>
    <w:bookmarkStart w:id="195" w:name="page196"/>
    <w:bookmarkEnd w:id="195"/>
    <w:p>
      <w:pPr>
        <w:ind w:left="3140"/>
        <w:spacing w:after="0"/>
        <w:rPr>
          <w:sz w:val="20"/>
          <w:szCs w:val="20"/>
          <w:color w:val="auto"/>
        </w:rPr>
      </w:pPr>
      <w:r>
        <w:rPr>
          <w:rFonts w:ascii="Times New Roman" w:cs="Times New Roman" w:eastAsia="Times New Roman" w:hAnsi="Times New Roman"/>
          <w:sz w:val="14"/>
          <w:szCs w:val="14"/>
          <w:b w:val="1"/>
          <w:bCs w:val="1"/>
          <w:color w:val="auto"/>
        </w:rPr>
        <w:t>PETRO TRAVEL PLAZA HOLDINGS LLC</w:t>
      </w:r>
    </w:p>
    <w:p>
      <w:pPr>
        <w:spacing w:after="0" w:line="4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706" w:right="1440" w:bottom="1440" w:gutter="0" w:footer="0" w:header="0"/>
        </w:sectPr>
      </w:pPr>
    </w:p>
    <w:bookmarkStart w:id="196" w:name="page197"/>
    <w:bookmarkEnd w:id="196"/>
    <w:p>
      <w:pPr>
        <w:ind w:left="4280"/>
        <w:spacing w:after="0"/>
        <w:rPr>
          <w:sz w:val="20"/>
          <w:szCs w:val="20"/>
          <w:color w:val="auto"/>
        </w:rPr>
      </w:pPr>
      <w:r>
        <w:rPr>
          <w:rFonts w:ascii="Times New Roman" w:cs="Times New Roman" w:eastAsia="Times New Roman" w:hAnsi="Times New Roman"/>
          <w:sz w:val="14"/>
          <w:szCs w:val="14"/>
          <w:b w:val="1"/>
          <w:bCs w:val="1"/>
          <w:color w:val="auto"/>
        </w:rPr>
        <w:t>PETRO TRAVEL PLAZA HOLDINGS LLC</w:t>
      </w:r>
    </w:p>
    <w:p>
      <w:pPr>
        <w:spacing w:after="0" w:line="4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(3) Inventory, net</w:t>
            </w: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6120" w:type="dxa"/>
            <w:vAlign w:val="bottom"/>
          </w:tcPr>
          <w:p>
            <w:pPr>
              <w:spacing w:after="0"/>
              <w:rPr>
                <w:sz w:val="20"/>
                <w:szCs w:val="20"/>
                <w:color w:val="auto"/>
              </w:rPr>
            </w:pPr>
            <w:r>
              <w:rPr>
                <w:rFonts w:ascii="Times New Roman" w:cs="Times New Roman" w:eastAsia="Times New Roman" w:hAnsi="Times New Roman"/>
                <w:sz w:val="14"/>
                <w:szCs w:val="14"/>
                <w:color w:val="auto"/>
              </w:rPr>
              <w:t>Inventory as of December 31, 2025 and 2024, consisted of the following:</w:t>
            </w: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6120" w:type="dxa"/>
            <w:vAlign w:val="bottom"/>
            <w:tcBorders>
              <w:bottom w:val="single" w:sz="8" w:color="CCEEFF"/>
            </w:tcBorders>
          </w:tcPr>
          <w:p>
            <w:pPr>
              <w:spacing w:after="0"/>
              <w:rPr>
                <w:sz w:val="14"/>
                <w:szCs w:val="14"/>
                <w:color w:val="auto"/>
              </w:rPr>
            </w:pPr>
          </w:p>
        </w:tc>
        <w:tc>
          <w:tcPr>
            <w:tcW w:w="1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6"/>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Nonfuel products</w:t>
            </w:r>
          </w:p>
        </w:tc>
        <w:tc>
          <w:tcPr>
            <w:tcW w:w="1660" w:type="dxa"/>
            <w:vAlign w:val="bottom"/>
            <w:shd w:val="clear" w:color="auto" w:fill="CCEEFF"/>
          </w:tcPr>
          <w:p>
            <w:pPr>
              <w:spacing w:after="0"/>
              <w:rPr>
                <w:sz w:val="23"/>
                <w:szCs w:val="23"/>
                <w:color w:val="auto"/>
              </w:rPr>
            </w:pPr>
          </w:p>
        </w:tc>
        <w:tc>
          <w:tcPr>
            <w:tcW w:w="120" w:type="dxa"/>
            <w:vAlign w:val="bottom"/>
            <w:tcBorders>
              <w:right w:val="single" w:sz="8" w:color="CCEEFF"/>
            </w:tcBorders>
            <w:shd w:val="clear" w:color="auto" w:fill="CCEEFF"/>
          </w:tcPr>
          <w:p>
            <w:pPr>
              <w:spacing w:after="0"/>
              <w:rPr>
                <w:sz w:val="23"/>
                <w:szCs w:val="23"/>
                <w:color w:val="auto"/>
              </w:rPr>
            </w:pPr>
          </w:p>
        </w:tc>
        <w:tc>
          <w:tcPr>
            <w:tcW w:w="1700" w:type="dxa"/>
            <w:vAlign w:val="bottom"/>
            <w:tcBorders>
              <w:right w:val="single" w:sz="8" w:color="CCEEFF"/>
            </w:tcBorders>
            <w:gridSpan w:val="2"/>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rPr>
              <w:t>$   2,022</w:t>
            </w:r>
          </w:p>
        </w:tc>
        <w:tc>
          <w:tcPr>
            <w:tcW w:w="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2,100</w:t>
            </w:r>
          </w:p>
        </w:tc>
        <w:tc>
          <w:tcPr>
            <w:tcW w:w="5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Fuel products</w:t>
            </w:r>
          </w:p>
        </w:tc>
        <w:tc>
          <w:tcPr>
            <w:tcW w:w="16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512</w:t>
            </w:r>
          </w:p>
        </w:tc>
        <w:tc>
          <w:tcPr>
            <w:tcW w:w="4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582</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6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inventory, net</w:t>
            </w:r>
          </w:p>
        </w:tc>
        <w:tc>
          <w:tcPr>
            <w:tcW w:w="16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right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99"/>
              </w:rPr>
              <w:t>$ 2,534</w:t>
            </w:r>
          </w:p>
        </w:tc>
        <w:tc>
          <w:tcPr>
            <w:tcW w:w="680" w:type="dxa"/>
            <w:vAlign w:val="bottom"/>
            <w:tcBorders>
              <w:bottom w:val="single" w:sz="8" w:color="CCEEFF"/>
              <w:right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   2,682</w:t>
            </w:r>
          </w:p>
        </w:tc>
        <w:tc>
          <w:tcPr>
            <w:tcW w:w="5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61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(4) Property and Equipment, net</w:t>
            </w:r>
          </w:p>
        </w:tc>
        <w:tc>
          <w:tcPr>
            <w:tcW w:w="166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18"/>
        </w:trPr>
        <w:tc>
          <w:tcPr>
            <w:tcW w:w="612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equipment, net, as of December 31, 2025 and 2024, consisted of the following:</w:t>
            </w: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1"/>
        </w:trPr>
        <w:tc>
          <w:tcPr>
            <w:tcW w:w="6120" w:type="dxa"/>
            <w:vAlign w:val="bottom"/>
          </w:tcPr>
          <w:p>
            <w:pPr>
              <w:spacing w:after="0"/>
              <w:rPr>
                <w:sz w:val="24"/>
                <w:szCs w:val="24"/>
                <w:color w:val="auto"/>
              </w:rPr>
            </w:pPr>
          </w:p>
        </w:tc>
        <w:tc>
          <w:tcPr>
            <w:tcW w:w="17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Estimated Useful Lives</w:t>
            </w:r>
          </w:p>
        </w:tc>
        <w:tc>
          <w:tcPr>
            <w:tcW w:w="10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120" w:type="dxa"/>
            <w:vAlign w:val="bottom"/>
          </w:tcPr>
          <w:p>
            <w:pPr>
              <w:spacing w:after="0"/>
              <w:rPr>
                <w:sz w:val="4"/>
                <w:szCs w:val="4"/>
                <w:color w:val="auto"/>
              </w:rPr>
            </w:pPr>
          </w:p>
        </w:tc>
        <w:tc>
          <w:tcPr>
            <w:tcW w:w="1780" w:type="dxa"/>
            <w:vAlign w:val="bottom"/>
            <w:gridSpan w:val="2"/>
            <w:vMerge w:val="continue"/>
          </w:tcPr>
          <w:p>
            <w:pPr>
              <w:spacing w:after="0"/>
              <w:rPr>
                <w:sz w:val="4"/>
                <w:szCs w:val="4"/>
                <w:color w:val="auto"/>
              </w:rPr>
            </w:pPr>
          </w:p>
        </w:tc>
        <w:tc>
          <w:tcPr>
            <w:tcW w:w="102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4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6120" w:type="dxa"/>
            <w:vAlign w:val="bottom"/>
          </w:tcPr>
          <w:p>
            <w:pPr>
              <w:spacing w:after="0"/>
              <w:rPr>
                <w:sz w:val="16"/>
                <w:szCs w:val="16"/>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02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6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Land</w:t>
            </w:r>
          </w:p>
        </w:tc>
        <w:tc>
          <w:tcPr>
            <w:tcW w:w="16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CCEEFF"/>
              <w:right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22,197</w:t>
            </w: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22,197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Buildings and improvements</w:t>
            </w:r>
          </w:p>
        </w:tc>
        <w:tc>
          <w:tcPr>
            <w:tcW w:w="1660" w:type="dxa"/>
            <w:vAlign w:val="bottom"/>
          </w:tcPr>
          <w:p>
            <w:pPr>
              <w:jc w:val="right"/>
              <w:ind w:right="589"/>
              <w:spacing w:after="0"/>
              <w:rPr>
                <w:sz w:val="20"/>
                <w:szCs w:val="20"/>
                <w:color w:val="auto"/>
              </w:rPr>
            </w:pPr>
            <w:r>
              <w:rPr>
                <w:rFonts w:ascii="Times New Roman" w:cs="Times New Roman" w:eastAsia="Times New Roman" w:hAnsi="Times New Roman"/>
                <w:sz w:val="14"/>
                <w:szCs w:val="14"/>
                <w:color w:val="auto"/>
              </w:rPr>
              <w:t>10-40</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60,359</w:t>
            </w: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59,139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Machinery, equipment and furniture</w:t>
            </w:r>
          </w:p>
        </w:tc>
        <w:tc>
          <w:tcPr>
            <w:tcW w:w="1660" w:type="dxa"/>
            <w:vAlign w:val="bottom"/>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rPr>
              <w:t>3-15</w:t>
            </w:r>
          </w:p>
        </w:tc>
        <w:tc>
          <w:tcPr>
            <w:tcW w:w="120" w:type="dxa"/>
            <w:vAlign w:val="bottom"/>
            <w:tcBorders>
              <w:right w:val="single" w:sz="8" w:color="CCEEFF"/>
            </w:tcBorders>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680" w:type="dxa"/>
            <w:vAlign w:val="bottom"/>
            <w:tcBorders>
              <w:right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17,005</w:t>
            </w:r>
          </w:p>
        </w:tc>
        <w:tc>
          <w:tcPr>
            <w:tcW w:w="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18,209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Construction in progress</w:t>
            </w:r>
          </w:p>
        </w:tc>
        <w:tc>
          <w:tcPr>
            <w:tcW w:w="16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416</w:t>
            </w:r>
          </w:p>
        </w:tc>
        <w:tc>
          <w:tcPr>
            <w:tcW w:w="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property and equipment, at cost</w:t>
            </w:r>
          </w:p>
        </w:tc>
        <w:tc>
          <w:tcPr>
            <w:tcW w:w="166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680" w:type="dxa"/>
            <w:vAlign w:val="bottom"/>
            <w:tcBorders>
              <w:right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99,977</w:t>
            </w:r>
          </w:p>
        </w:tc>
        <w:tc>
          <w:tcPr>
            <w:tcW w:w="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100,981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1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Less: accumulated depreciation and amortization</w:t>
            </w: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8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42,006</w:t>
            </w: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40,891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6120" w:type="dxa"/>
            <w:vAlign w:val="bottom"/>
            <w:tcBorders>
              <w:bottom w:val="single" w:sz="8" w:color="CCEEFF"/>
            </w:tcBorders>
            <w:vMerge w:val="continue"/>
          </w:tcPr>
          <w:p>
            <w:pPr>
              <w:spacing w:after="0"/>
              <w:rPr>
                <w:sz w:val="4"/>
                <w:szCs w:val="4"/>
                <w:color w:val="auto"/>
              </w:rPr>
            </w:pPr>
          </w:p>
        </w:tc>
        <w:tc>
          <w:tcPr>
            <w:tcW w:w="16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1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property and equipment, net</w:t>
            </w:r>
          </w:p>
        </w:tc>
        <w:tc>
          <w:tcPr>
            <w:tcW w:w="1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right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57,971</w:t>
            </w:r>
          </w:p>
        </w:tc>
        <w:tc>
          <w:tcPr>
            <w:tcW w:w="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60,090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612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Depreciation expense for the years ended December 31, 2025, 2024 and 2023 was $3,726, $3,101 and $2,922, respectively.</w:t>
      </w:r>
    </w:p>
    <w:p>
      <w:pPr>
        <w:sectPr>
          <w:pgSz w:w="11900" w:h="16838" w:orient="portrait"/>
          <w:cols w:equalWidth="0" w:num="1">
            <w:col w:w="11280"/>
          </w:cols>
          <w:pgMar w:left="300" w:top="706" w:right="319" w:bottom="1440" w:gutter="0" w:footer="0" w:header="0"/>
        </w:sect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 Accrued Expenses and Other Current Liabilities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Accrued expenses and other current liabilities as of December 31, 2025 and 2024,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277495</wp:posOffset>
            </wp:positionV>
            <wp:extent cx="7161530" cy="18161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2">
                      <a:extLst>
                        <a:ext uri="{28A0092B-C50C-407E-A947-70E740481C1C}"/>
                      </a:extLst>
                    </a:blip>
                    <a:srcRect/>
                    <a:stretch>
                      <a:fillRect/>
                    </a:stretch>
                  </pic:blipFill>
                  <pic:spPr bwMode="auto">
                    <a:xfrm>
                      <a:off x="0" y="0"/>
                      <a:ext cx="7161530" cy="18161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Taxes payable, other than income taxes</w:t>
      </w:r>
    </w:p>
    <w:p>
      <w:pPr>
        <w:spacing w:after="0" w:line="1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Long term debt,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1816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3">
                      <a:extLst>
                        <a:ext uri="{28A0092B-C50C-407E-A947-70E740481C1C}"/>
                      </a:extLst>
                    </a:blip>
                    <a:srcRect/>
                    <a:stretch>
                      <a:fillRect/>
                    </a:stretch>
                  </pic:blipFill>
                  <pic:spPr bwMode="auto">
                    <a:xfrm>
                      <a:off x="0" y="0"/>
                      <a:ext cx="7161530" cy="181610"/>
                    </a:xfrm>
                    <a:prstGeom prst="rect">
                      <a:avLst/>
                    </a:prstGeom>
                    <a:noFill/>
                  </pic:spPr>
                </pic:pic>
              </a:graphicData>
            </a:graphic>
          </wp:anchor>
        </w:drawing>
      </w:r>
    </w:p>
    <w:p>
      <w:pPr>
        <w:spacing w:after="0" w:line="1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Self-insurance accrual, current portion</w:t>
      </w:r>
    </w:p>
    <w:p>
      <w:pPr>
        <w:spacing w:after="0" w:line="1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Accrued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18161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4">
                      <a:extLst>
                        <a:ext uri="{28A0092B-C50C-407E-A947-70E740481C1C}"/>
                      </a:extLst>
                    </a:blip>
                    <a:srcRect/>
                    <a:stretch>
                      <a:fillRect/>
                    </a:stretch>
                  </pic:blipFill>
                  <pic:spPr bwMode="auto">
                    <a:xfrm>
                      <a:off x="0" y="0"/>
                      <a:ext cx="7161530" cy="181610"/>
                    </a:xfrm>
                    <a:prstGeom prst="rect">
                      <a:avLst/>
                    </a:prstGeom>
                    <a:noFill/>
                  </pic:spPr>
                </pic:pic>
              </a:graphicData>
            </a:graphic>
          </wp:anchor>
        </w:drawing>
      </w:r>
    </w:p>
    <w:p>
      <w:pPr>
        <w:spacing w:after="0" w:line="1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Accrued vacation wages</w:t>
      </w:r>
    </w:p>
    <w:p>
      <w:pPr>
        <w:spacing w:after="0" w:line="1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Accrued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18161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5">
                      <a:extLst>
                        <a:ext uri="{28A0092B-C50C-407E-A947-70E740481C1C}"/>
                      </a:extLst>
                    </a:blip>
                    <a:srcRect/>
                    <a:stretch>
                      <a:fillRect/>
                    </a:stretch>
                  </pic:blipFill>
                  <pic:spPr bwMode="auto">
                    <a:xfrm>
                      <a:off x="0" y="0"/>
                      <a:ext cx="7161530" cy="181610"/>
                    </a:xfrm>
                    <a:prstGeom prst="rect">
                      <a:avLst/>
                    </a:prstGeom>
                    <a:noFill/>
                  </pic:spPr>
                </pic:pic>
              </a:graphicData>
            </a:graphic>
          </wp:anchor>
        </w:drawing>
      </w:r>
    </w:p>
    <w:p>
      <w:pPr>
        <w:spacing w:after="0" w:line="1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Accounts payable</w:t>
      </w:r>
    </w:p>
    <w:p>
      <w:pPr>
        <w:spacing w:after="0" w:line="1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19558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6">
                      <a:extLst>
                        <a:ext uri="{28A0092B-C50C-407E-A947-70E740481C1C}"/>
                      </a:extLst>
                    </a:blip>
                    <a:srcRect/>
                    <a:stretch>
                      <a:fillRect/>
                    </a:stretch>
                  </pic:blipFill>
                  <pic:spPr bwMode="auto">
                    <a:xfrm>
                      <a:off x="0" y="0"/>
                      <a:ext cx="7161530" cy="195580"/>
                    </a:xfrm>
                    <a:prstGeom prst="rect">
                      <a:avLst/>
                    </a:prstGeom>
                    <a:noFill/>
                  </pic:spPr>
                </pic:pic>
              </a:graphicData>
            </a:graphic>
          </wp:anchor>
        </w:drawing>
      </w:r>
    </w:p>
    <w:p>
      <w:pPr>
        <w:spacing w:after="0" w:line="1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Total accrued expenses and other current liabilities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 Long Term Debt, net</w:t>
      </w:r>
    </w:p>
    <w:p>
      <w:pPr>
        <w:spacing w:after="0" w:line="200" w:lineRule="exact"/>
        <w:rPr>
          <w:sz w:val="20"/>
          <w:szCs w:val="20"/>
          <w:color w:val="auto"/>
        </w:rPr>
      </w:pPr>
    </w:p>
    <w:p>
      <w:pPr>
        <w:spacing w:after="0" w:line="2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2189480" cy="69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7">
                      <a:extLst>
                        <a:ext uri="{28A0092B-C50C-407E-A947-70E740481C1C}"/>
                      </a:extLst>
                    </a:blip>
                    <a:srcRect/>
                    <a:stretch>
                      <a:fillRect/>
                    </a:stretch>
                  </pic:blipFill>
                  <pic:spPr bwMode="auto">
                    <a:xfrm>
                      <a:off x="0" y="0"/>
                      <a:ext cx="2189480" cy="6985"/>
                    </a:xfrm>
                    <a:prstGeom prst="rect">
                      <a:avLst/>
                    </a:prstGeom>
                    <a:noFill/>
                  </pic:spPr>
                </pic:pic>
              </a:graphicData>
            </a:graphic>
          </wp:anchor>
        </w:drawing>
      </w:r>
    </w:p>
    <w:p>
      <w:pPr>
        <w:spacing w:after="0" w:line="10" w:lineRule="exact"/>
        <w:rPr>
          <w:sz w:val="20"/>
          <w:szCs w:val="20"/>
          <w:color w:val="auto"/>
        </w:rPr>
      </w:pPr>
    </w:p>
    <w:p>
      <w:pPr>
        <w:ind w:left="680"/>
        <w:spacing w:after="0"/>
        <w:tabs>
          <w:tab w:leader="none" w:pos="242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85" w:lineRule="exact"/>
        <w:rPr>
          <w:sz w:val="20"/>
          <w:szCs w:val="20"/>
          <w:color w:val="auto"/>
        </w:rPr>
      </w:pPr>
    </w:p>
    <w:p>
      <w:pPr>
        <w:spacing w:after="0"/>
        <w:tabs>
          <w:tab w:leader="none" w:pos="240" w:val="left"/>
          <w:tab w:leader="none" w:pos="2840" w:val="left"/>
          <w:tab w:leader="none" w:pos="3100" w:val="left"/>
        </w:tabs>
        <w:rPr>
          <w:sz w:val="20"/>
          <w:szCs w:val="20"/>
          <w:color w:val="auto"/>
        </w:rPr>
      </w:pPr>
      <w:r>
        <w:rPr>
          <w:rFonts w:ascii="Times New Roman" w:cs="Times New Roman" w:eastAsia="Times New Roman" w:hAnsi="Times New Roman"/>
          <w:sz w:val="14"/>
          <w:szCs w:val="14"/>
          <w:color w:val="auto"/>
        </w:rPr>
        <w:t>$</w:t>
        <w:tab/>
        <w:t>141</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3"/>
          <w:szCs w:val="13"/>
          <w:color w:val="auto"/>
        </w:rPr>
        <w:t>1,995</w:t>
      </w:r>
    </w:p>
    <w:p>
      <w:pPr>
        <w:spacing w:after="0" w:line="125" w:lineRule="exact"/>
        <w:rPr>
          <w:sz w:val="20"/>
          <w:szCs w:val="20"/>
          <w:color w:val="auto"/>
        </w:rPr>
      </w:pPr>
    </w:p>
    <w:p>
      <w:pPr>
        <w:ind w:left="1280"/>
        <w:spacing w:after="0"/>
        <w:tabs>
          <w:tab w:leader="none" w:pos="3060" w:val="left"/>
        </w:tabs>
        <w:rPr>
          <w:sz w:val="20"/>
          <w:szCs w:val="20"/>
          <w:color w:val="auto"/>
        </w:rPr>
      </w:pPr>
      <w:r>
        <w:rPr>
          <w:rFonts w:ascii="Times New Roman" w:cs="Times New Roman" w:eastAsia="Times New Roman" w:hAnsi="Times New Roman"/>
          <w:sz w:val="14"/>
          <w:szCs w:val="14"/>
          <w:color w:val="auto"/>
        </w:rPr>
        <w:t>767</w:t>
      </w:r>
      <w:r>
        <w:rPr>
          <w:sz w:val="20"/>
          <w:szCs w:val="20"/>
          <w:color w:val="auto"/>
        </w:rPr>
        <w:tab/>
      </w:r>
      <w:r>
        <w:rPr>
          <w:rFonts w:ascii="Times New Roman" w:cs="Times New Roman" w:eastAsia="Times New Roman" w:hAnsi="Times New Roman"/>
          <w:sz w:val="14"/>
          <w:szCs w:val="14"/>
          <w:color w:val="auto"/>
        </w:rPr>
        <w:t>767</w:t>
      </w:r>
    </w:p>
    <w:p>
      <w:pPr>
        <w:spacing w:after="0" w:line="125" w:lineRule="exact"/>
        <w:rPr>
          <w:sz w:val="20"/>
          <w:szCs w:val="20"/>
          <w:color w:val="auto"/>
        </w:rPr>
      </w:pPr>
    </w:p>
    <w:p>
      <w:pPr>
        <w:ind w:left="1280"/>
        <w:spacing w:after="0"/>
        <w:tabs>
          <w:tab w:leader="none" w:pos="3060" w:val="left"/>
        </w:tabs>
        <w:rPr>
          <w:sz w:val="20"/>
          <w:szCs w:val="20"/>
          <w:color w:val="auto"/>
        </w:rPr>
      </w:pPr>
      <w:r>
        <w:rPr>
          <w:rFonts w:ascii="Times New Roman" w:cs="Times New Roman" w:eastAsia="Times New Roman" w:hAnsi="Times New Roman"/>
          <w:sz w:val="14"/>
          <w:szCs w:val="14"/>
          <w:color w:val="auto"/>
        </w:rPr>
        <w:t>124</w:t>
      </w:r>
      <w:r>
        <w:rPr>
          <w:sz w:val="20"/>
          <w:szCs w:val="20"/>
          <w:color w:val="auto"/>
        </w:rPr>
        <w:tab/>
      </w:r>
      <w:r>
        <w:rPr>
          <w:rFonts w:ascii="Times New Roman" w:cs="Times New Roman" w:eastAsia="Times New Roman" w:hAnsi="Times New Roman"/>
          <w:sz w:val="14"/>
          <w:szCs w:val="14"/>
          <w:color w:val="auto"/>
        </w:rPr>
        <w:t>198</w:t>
      </w:r>
    </w:p>
    <w:p>
      <w:pPr>
        <w:spacing w:after="0" w:line="125" w:lineRule="exact"/>
        <w:rPr>
          <w:sz w:val="20"/>
          <w:szCs w:val="20"/>
          <w:color w:val="auto"/>
        </w:rPr>
      </w:pPr>
    </w:p>
    <w:p>
      <w:pPr>
        <w:ind w:left="1480"/>
        <w:spacing w:after="0"/>
        <w:tabs>
          <w:tab w:leader="none" w:pos="3060" w:val="left"/>
        </w:tabs>
        <w:rPr>
          <w:sz w:val="20"/>
          <w:szCs w:val="20"/>
          <w:color w:val="auto"/>
        </w:rPr>
      </w:pPr>
      <w:r>
        <w:rPr>
          <w:rFonts w:ascii="Times New Roman" w:cs="Times New Roman" w:eastAsia="Times New Roman" w:hAnsi="Times New Roman"/>
          <w:sz w:val="14"/>
          <w:szCs w:val="14"/>
          <w:color w:val="auto"/>
        </w:rPr>
        <w:t>56</w:t>
      </w:r>
      <w:r>
        <w:rPr>
          <w:sz w:val="20"/>
          <w:szCs w:val="20"/>
          <w:color w:val="auto"/>
        </w:rPr>
        <w:tab/>
      </w:r>
      <w:r>
        <w:rPr>
          <w:rFonts w:ascii="Times New Roman" w:cs="Times New Roman" w:eastAsia="Times New Roman" w:hAnsi="Times New Roman"/>
          <w:sz w:val="14"/>
          <w:szCs w:val="14"/>
          <w:color w:val="auto"/>
        </w:rPr>
        <w:t>347</w:t>
      </w:r>
    </w:p>
    <w:p>
      <w:pPr>
        <w:spacing w:after="0" w:line="125" w:lineRule="exact"/>
        <w:rPr>
          <w:sz w:val="20"/>
          <w:szCs w:val="20"/>
          <w:color w:val="auto"/>
        </w:rPr>
      </w:pPr>
    </w:p>
    <w:p>
      <w:pPr>
        <w:ind w:left="1420"/>
        <w:spacing w:after="0"/>
        <w:tabs>
          <w:tab w:leader="none" w:pos="3060" w:val="left"/>
        </w:tabs>
        <w:rPr>
          <w:sz w:val="20"/>
          <w:szCs w:val="20"/>
          <w:color w:val="auto"/>
        </w:rPr>
      </w:pPr>
      <w:r>
        <w:rPr>
          <w:rFonts w:ascii="Times New Roman" w:cs="Times New Roman" w:eastAsia="Times New Roman" w:hAnsi="Times New Roman"/>
          <w:sz w:val="14"/>
          <w:szCs w:val="14"/>
          <w:color w:val="auto"/>
        </w:rPr>
        <w:t>137</w:t>
      </w:r>
      <w:r>
        <w:rPr>
          <w:sz w:val="20"/>
          <w:szCs w:val="20"/>
          <w:color w:val="auto"/>
        </w:rPr>
        <w:tab/>
      </w:r>
      <w:r>
        <w:rPr>
          <w:rFonts w:ascii="Times New Roman" w:cs="Times New Roman" w:eastAsia="Times New Roman" w:hAnsi="Times New Roman"/>
          <w:sz w:val="14"/>
          <w:szCs w:val="14"/>
          <w:color w:val="auto"/>
        </w:rPr>
        <w:t>162</w:t>
      </w:r>
    </w:p>
    <w:p>
      <w:pPr>
        <w:spacing w:after="0" w:line="125" w:lineRule="exact"/>
        <w:rPr>
          <w:sz w:val="20"/>
          <w:szCs w:val="20"/>
          <w:color w:val="auto"/>
        </w:rPr>
      </w:pPr>
    </w:p>
    <w:p>
      <w:pPr>
        <w:ind w:left="1280"/>
        <w:spacing w:after="0"/>
        <w:tabs>
          <w:tab w:leader="none" w:pos="3060" w:val="left"/>
        </w:tabs>
        <w:rPr>
          <w:sz w:val="20"/>
          <w:szCs w:val="20"/>
          <w:color w:val="auto"/>
        </w:rPr>
      </w:pPr>
      <w:r>
        <w:rPr>
          <w:rFonts w:ascii="Times New Roman" w:cs="Times New Roman" w:eastAsia="Times New Roman" w:hAnsi="Times New Roman"/>
          <w:sz w:val="14"/>
          <w:szCs w:val="14"/>
          <w:color w:val="auto"/>
        </w:rPr>
        <w:t>115</w:t>
      </w:r>
      <w:r>
        <w:rPr>
          <w:sz w:val="20"/>
          <w:szCs w:val="20"/>
          <w:color w:val="auto"/>
        </w:rPr>
        <w:tab/>
      </w:r>
      <w:r>
        <w:rPr>
          <w:rFonts w:ascii="Times New Roman" w:cs="Times New Roman" w:eastAsia="Times New Roman" w:hAnsi="Times New Roman"/>
          <w:sz w:val="14"/>
          <w:szCs w:val="14"/>
          <w:color w:val="auto"/>
        </w:rPr>
        <w:t>113</w:t>
      </w:r>
    </w:p>
    <w:p>
      <w:pPr>
        <w:spacing w:after="0" w:line="125" w:lineRule="exact"/>
        <w:rPr>
          <w:sz w:val="20"/>
          <w:szCs w:val="20"/>
          <w:color w:val="auto"/>
        </w:rPr>
      </w:pPr>
    </w:p>
    <w:p>
      <w:pPr>
        <w:ind w:left="1420"/>
        <w:spacing w:after="0"/>
        <w:tabs>
          <w:tab w:leader="none" w:pos="3060" w:val="left"/>
        </w:tabs>
        <w:rPr>
          <w:sz w:val="20"/>
          <w:szCs w:val="20"/>
          <w:color w:val="auto"/>
        </w:rPr>
      </w:pPr>
      <w:r>
        <w:rPr>
          <w:rFonts w:ascii="Times New Roman" w:cs="Times New Roman" w:eastAsia="Times New Roman" w:hAnsi="Times New Roman"/>
          <w:sz w:val="14"/>
          <w:szCs w:val="14"/>
          <w:color w:val="auto"/>
        </w:rPr>
        <w:t>232</w:t>
      </w:r>
      <w:r>
        <w:rPr>
          <w:sz w:val="20"/>
          <w:szCs w:val="20"/>
          <w:color w:val="auto"/>
        </w:rPr>
        <w:tab/>
      </w:r>
      <w:r>
        <w:rPr>
          <w:rFonts w:ascii="Times New Roman" w:cs="Times New Roman" w:eastAsia="Times New Roman" w:hAnsi="Times New Roman"/>
          <w:sz w:val="14"/>
          <w:szCs w:val="14"/>
          <w:color w:val="auto"/>
        </w:rPr>
        <w:t>275</w:t>
      </w:r>
    </w:p>
    <w:p>
      <w:pPr>
        <w:spacing w:after="0" w:line="125" w:lineRule="exact"/>
        <w:rPr>
          <w:sz w:val="20"/>
          <w:szCs w:val="20"/>
          <w:color w:val="auto"/>
        </w:rPr>
      </w:pPr>
    </w:p>
    <w:p>
      <w:pPr>
        <w:ind w:left="1280"/>
        <w:spacing w:after="0"/>
        <w:tabs>
          <w:tab w:leader="none" w:pos="3060" w:val="left"/>
        </w:tabs>
        <w:rPr>
          <w:sz w:val="20"/>
          <w:szCs w:val="20"/>
          <w:color w:val="auto"/>
        </w:rPr>
      </w:pPr>
      <w:r>
        <w:rPr>
          <w:rFonts w:ascii="Times New Roman" w:cs="Times New Roman" w:eastAsia="Times New Roman" w:hAnsi="Times New Roman"/>
          <w:sz w:val="14"/>
          <w:szCs w:val="14"/>
          <w:color w:val="auto"/>
        </w:rPr>
        <w:t>196</w:t>
      </w:r>
      <w:r>
        <w:rPr>
          <w:sz w:val="20"/>
          <w:szCs w:val="20"/>
          <w:color w:val="auto"/>
        </w:rPr>
        <w:tab/>
      </w:r>
      <w:r>
        <w:rPr>
          <w:rFonts w:ascii="Times New Roman" w:cs="Times New Roman" w:eastAsia="Times New Roman" w:hAnsi="Times New Roman"/>
          <w:sz w:val="14"/>
          <w:szCs w:val="14"/>
          <w:color w:val="auto"/>
        </w:rPr>
        <w:t>151</w:t>
      </w:r>
    </w:p>
    <w:p>
      <w:pPr>
        <w:spacing w:after="0" w:line="125" w:lineRule="exact"/>
        <w:rPr>
          <w:sz w:val="20"/>
          <w:szCs w:val="20"/>
          <w:color w:val="auto"/>
        </w:rPr>
      </w:pPr>
    </w:p>
    <w:p>
      <w:pPr>
        <w:ind w:left="920"/>
        <w:spacing w:after="0"/>
        <w:tabs>
          <w:tab w:leader="none" w:pos="1140" w:val="left"/>
          <w:tab w:leader="none" w:pos="2700" w:val="left"/>
          <w:tab w:leader="none" w:pos="2940" w:val="left"/>
        </w:tabs>
        <w:rPr>
          <w:sz w:val="20"/>
          <w:szCs w:val="20"/>
          <w:color w:val="auto"/>
        </w:rPr>
      </w:pPr>
      <w:r>
        <w:rPr>
          <w:rFonts w:ascii="Times New Roman" w:cs="Times New Roman" w:eastAsia="Times New Roman" w:hAnsi="Times New Roman"/>
          <w:sz w:val="14"/>
          <w:szCs w:val="14"/>
          <w:color w:val="auto"/>
        </w:rPr>
        <w:t>$</w:t>
        <w:tab/>
        <w:t>1,768</w:t>
      </w:r>
      <w:r>
        <w:rPr>
          <w:sz w:val="20"/>
          <w:szCs w:val="20"/>
          <w:color w:val="auto"/>
        </w:rPr>
        <w:tab/>
      </w:r>
      <w:r>
        <w:rPr>
          <w:rFonts w:ascii="Times New Roman" w:cs="Times New Roman" w:eastAsia="Times New Roman" w:hAnsi="Times New Roman"/>
          <w:sz w:val="14"/>
          <w:szCs w:val="14"/>
          <w:color w:val="auto"/>
        </w:rPr>
        <w:t>$</w:t>
        <w:tab/>
        <w:t>4,008</w:t>
      </w:r>
    </w:p>
    <w:p>
      <w:pPr>
        <w:sectPr>
          <w:pgSz w:w="11900" w:h="16838" w:orient="portrait"/>
          <w:cols w:equalWidth="0" w:num="2">
            <w:col w:w="7120" w:space="720"/>
            <w:col w:w="3440"/>
          </w:cols>
          <w:pgMar w:left="300" w:top="706" w:right="319" w:bottom="1440" w:gutter="0" w:footer="0" w:header="0"/>
          <w:type w:val="continuous"/>
        </w:sectPr>
      </w:pPr>
    </w:p>
    <w:bookmarkStart w:id="197" w:name="page198"/>
    <w:bookmarkEnd w:id="197"/>
    <w:p>
      <w:pPr>
        <w:ind w:left="4280"/>
        <w:spacing w:after="0"/>
        <w:rPr>
          <w:sz w:val="20"/>
          <w:szCs w:val="20"/>
          <w:color w:val="auto"/>
        </w:rPr>
      </w:pPr>
      <w:r>
        <w:rPr>
          <w:rFonts w:ascii="Times New Roman" w:cs="Times New Roman" w:eastAsia="Times New Roman" w:hAnsi="Times New Roman"/>
          <w:sz w:val="14"/>
          <w:szCs w:val="14"/>
          <w:b w:val="1"/>
          <w:bCs w:val="1"/>
          <w:color w:val="auto"/>
        </w:rPr>
        <w:t>PETRO TRAVEL PLAZA HOLDINGS LLC</w:t>
      </w:r>
    </w:p>
    <w:p>
      <w:pPr>
        <w:spacing w:after="0" w:line="4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auto"/>
              </w:rPr>
              <w:t>Long term debt, net of deferred financing costs as of December 31, 2025 and 2024, consisted of the following:</w:t>
            </w:r>
          </w:p>
        </w:tc>
        <w:tc>
          <w:tcPr>
            <w:tcW w:w="1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12"/>
        </w:trPr>
        <w:tc>
          <w:tcPr>
            <w:tcW w:w="790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r>
      <w:tr>
        <w:trPr>
          <w:trHeight w:val="171"/>
        </w:trPr>
        <w:tc>
          <w:tcPr>
            <w:tcW w:w="79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4"/>
                <w:szCs w:val="14"/>
                <w:color w:val="auto"/>
              </w:rPr>
            </w:pPr>
          </w:p>
        </w:tc>
      </w:tr>
      <w:tr>
        <w:trPr>
          <w:trHeight w:val="266"/>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 payable</w:t>
            </w:r>
          </w:p>
        </w:tc>
        <w:tc>
          <w:tcPr>
            <w:tcW w:w="10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11,797</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12,560</w:t>
            </w:r>
          </w:p>
        </w:tc>
      </w:tr>
      <w:tr>
        <w:trPr>
          <w:trHeight w:val="286"/>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current portion of long term debt</w:t>
            </w:r>
          </w:p>
        </w:tc>
        <w:tc>
          <w:tcPr>
            <w:tcW w:w="10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767</w:t>
            </w:r>
          </w:p>
        </w:tc>
        <w:tc>
          <w:tcPr>
            <w:tcW w:w="10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767</w:t>
            </w:r>
          </w:p>
        </w:tc>
      </w:tr>
      <w:tr>
        <w:trPr>
          <w:trHeight w:val="247"/>
        </w:trPr>
        <w:tc>
          <w:tcPr>
            <w:tcW w:w="79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long term debt, net</w:t>
            </w:r>
          </w:p>
        </w:tc>
        <w:tc>
          <w:tcPr>
            <w:tcW w:w="104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11,030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11,793</w:t>
            </w:r>
          </w:p>
        </w:tc>
      </w:tr>
      <w:tr>
        <w:trPr>
          <w:trHeight w:val="21"/>
        </w:trPr>
        <w:tc>
          <w:tcPr>
            <w:tcW w:w="790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bl>
    <w:p>
      <w:pPr>
        <w:spacing w:after="0" w:line="240" w:lineRule="exact"/>
        <w:rPr>
          <w:sz w:val="20"/>
          <w:szCs w:val="20"/>
          <w:color w:val="auto"/>
        </w:rPr>
      </w:pPr>
    </w:p>
    <w:p>
      <w:pPr>
        <w:ind w:right="60"/>
        <w:spacing w:after="0" w:line="301" w:lineRule="auto"/>
        <w:rPr>
          <w:sz w:val="20"/>
          <w:szCs w:val="20"/>
          <w:color w:val="auto"/>
        </w:rPr>
      </w:pPr>
      <w:r>
        <w:rPr>
          <w:rFonts w:ascii="Times New Roman" w:cs="Times New Roman" w:eastAsia="Times New Roman" w:hAnsi="Times New Roman"/>
          <w:sz w:val="14"/>
          <w:szCs w:val="14"/>
          <w:color w:val="auto"/>
        </w:rPr>
        <w:t>The Company has a credit agreement with a bank that was last amended in June 2023 to, among other things, update financial covenants, lower liquidity requirements and adjust interest rates. Future minimum principal payments on the note payable of $767 are due in each of the years 2026, 2027, 2028, 2029 and 2030 and $7,985 thereafter. The credit agreement includes certain financial covenants that the Company was in compliance with as of December 31, 2025 and 2024. The interest rate on the debt is equal to the monthly secured overnight financing rate (“SOFR”) plus 2.05%, payable monthly. As of December 31, 2025, the interest rate was 5.80%. The Company's weighted average interest rates for the years ended December 31, 2025, 2024 and 2023 were 6.29%, 7.22% and 7.07%, respectively. The debt is secured by the Company's real property.</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Debt Issuance Costs</w:t>
      </w:r>
    </w:p>
    <w:p>
      <w:pPr>
        <w:spacing w:after="0" w:line="159" w:lineRule="exact"/>
        <w:rPr>
          <w:sz w:val="20"/>
          <w:szCs w:val="20"/>
          <w:color w:val="auto"/>
        </w:rPr>
      </w:pPr>
    </w:p>
    <w:p>
      <w:pPr>
        <w:ind w:right="320"/>
        <w:spacing w:after="0" w:line="309" w:lineRule="auto"/>
        <w:rPr>
          <w:sz w:val="20"/>
          <w:szCs w:val="20"/>
          <w:color w:val="auto"/>
        </w:rPr>
      </w:pPr>
      <w:r>
        <w:rPr>
          <w:rFonts w:ascii="Times New Roman" w:cs="Times New Roman" w:eastAsia="Times New Roman" w:hAnsi="Times New Roman"/>
          <w:sz w:val="14"/>
          <w:szCs w:val="14"/>
          <w:color w:val="auto"/>
        </w:rPr>
        <w:t>Debt issuance costs are presented on the consolidated balance sheets as a reduction of long term debt, net. As of December 31, 2025 and 2024, debt issuance costs were $21 and $25, net of accumulated amortization of $37 and $33, respectively. The Company estimates it will recognize future amortization of debt issuance costs of $4 in each of the years 2026, 2027, 2028, 2029 and 2030.</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(7) Related Party Transactions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TA Operating LLC</w:t>
      </w:r>
    </w:p>
    <w:p>
      <w:pPr>
        <w:spacing w:after="0" w:line="170" w:lineRule="exact"/>
        <w:rPr>
          <w:sz w:val="20"/>
          <w:szCs w:val="20"/>
          <w:color w:val="auto"/>
        </w:rPr>
      </w:pPr>
    </w:p>
    <w:p>
      <w:pPr>
        <w:ind w:right="80"/>
        <w:spacing w:after="0" w:line="296" w:lineRule="auto"/>
        <w:rPr>
          <w:sz w:val="20"/>
          <w:szCs w:val="20"/>
          <w:color w:val="auto"/>
        </w:rPr>
      </w:pPr>
      <w:r>
        <w:rPr>
          <w:rFonts w:ascii="Times New Roman" w:cs="Times New Roman" w:eastAsia="Times New Roman" w:hAnsi="Times New Roman"/>
          <w:sz w:val="14"/>
          <w:szCs w:val="14"/>
          <w:color w:val="auto"/>
        </w:rPr>
        <w:t>Pursuant to the terms of the Operating Agreement, TA provides cash management services to PTP, including the collection of accounts receivable. Accounts receivable are periodically transferred to TA for collection and any amounts for which PTP has not received payment from TA are reflected as due from affiliate, net in the consolidated balance sheets. Amounts due from affiliate, net as of December 31, 2025 and 2024, were $361 and $872, respectively. Pursuant to the terms of the Operating Agreement, TA manages the locations, including purchasing fuel and nonfuel products on the Company's behalf, and is responsible for the administrative, accounting and tax functions of the Company. TA receives a management fee for providing these services, which may not be commensurate with the cost of these services were the Company to perform these internally or obtain them from an unrelated third party. In November 2016, the Company further amended the Operating Agreement to, among other things, (a) increase the annual management fee to $1,300 effective January 1, 2017, with annual increases equal to the lesser of (i) the increase in the Customer Price Index, or (ii) 2.5% and (b) include any additional new builds or significant renovation projects in the construction management fee. In November 2019, the Company further amended the Operating Agreement to, among other things, increase the annual management fee by $100. In addition to management services and staffing provided by TA, the Operating Agreement grants the Company the right to use all of TA's names, trade names, trademarks and logos to the extent required in the operation of the Company's travel centers and convenience stores. The Company paid management fees to TA in the amount of $1,719, $1,677 and $1,636 for the years ended December 31, 2025, 2024 and 2023, respectively, which are recorded in site level operating expense in the consolidated statements of income.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1280"/>
          </w:cols>
          <w:pgMar w:left="300" w:top="706" w:right="319" w:bottom="1440" w:gutter="0" w:footer="0" w:header="0"/>
        </w:sectPr>
      </w:pPr>
    </w:p>
    <w:bookmarkStart w:id="198" w:name="page199"/>
    <w:bookmarkEnd w:id="198"/>
    <w:p>
      <w:pPr>
        <w:ind w:left="4280"/>
        <w:spacing w:after="0"/>
        <w:rPr>
          <w:sz w:val="20"/>
          <w:szCs w:val="20"/>
          <w:color w:val="auto"/>
        </w:rPr>
      </w:pPr>
      <w:r>
        <w:rPr>
          <w:rFonts w:ascii="Times New Roman" w:cs="Times New Roman" w:eastAsia="Times New Roman" w:hAnsi="Times New Roman"/>
          <w:sz w:val="14"/>
          <w:szCs w:val="14"/>
          <w:b w:val="1"/>
          <w:bCs w:val="1"/>
          <w:color w:val="auto"/>
        </w:rPr>
        <w:t>PETRO TRAVEL PLAZA HOLDINGS LLC</w:t>
      </w:r>
    </w:p>
    <w:p>
      <w:pPr>
        <w:spacing w:after="0" w:line="4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w:t>
      </w:r>
    </w:p>
    <w:p>
      <w:pPr>
        <w:spacing w:after="0" w:line="200" w:lineRule="exact"/>
        <w:rPr>
          <w:sz w:val="20"/>
          <w:szCs w:val="20"/>
          <w:color w:val="auto"/>
        </w:rPr>
      </w:pPr>
    </w:p>
    <w:p>
      <w:pPr>
        <w:spacing w:after="0" w:line="233" w:lineRule="exact"/>
        <w:rPr>
          <w:sz w:val="20"/>
          <w:szCs w:val="20"/>
          <w:color w:val="auto"/>
        </w:rPr>
      </w:pPr>
    </w:p>
    <w:p>
      <w:pPr>
        <w:ind w:right="660"/>
        <w:spacing w:after="0" w:line="309" w:lineRule="auto"/>
        <w:rPr>
          <w:sz w:val="20"/>
          <w:szCs w:val="20"/>
          <w:color w:val="auto"/>
        </w:rPr>
      </w:pPr>
      <w:r>
        <w:rPr>
          <w:rFonts w:ascii="Times New Roman" w:cs="Times New Roman" w:eastAsia="Times New Roman" w:hAnsi="Times New Roman"/>
          <w:sz w:val="14"/>
          <w:szCs w:val="14"/>
          <w:color w:val="auto"/>
        </w:rPr>
        <w:t>The employees operating the Company's travel centers, convenience stores and standalone restaurant are TA employees. In addition to the management fees described above, the Company reimbursed TA for wages and benefits related to these employees that totaled $13,707, $14,167 and $14,289 for the years ended December 31, 2025, 2024 and 2023, respectively. These reimbursements were recorded in site level operating expense in the consolidated statements of income.</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 Contingencies</w:t>
      </w:r>
    </w:p>
    <w:p>
      <w:pPr>
        <w:spacing w:after="0" w:line="170" w:lineRule="exact"/>
        <w:rPr>
          <w:sz w:val="20"/>
          <w:szCs w:val="20"/>
          <w:color w:val="auto"/>
        </w:rPr>
      </w:pPr>
    </w:p>
    <w:p>
      <w:pPr>
        <w:ind w:right="80"/>
        <w:spacing w:after="0" w:line="309" w:lineRule="auto"/>
        <w:rPr>
          <w:sz w:val="20"/>
          <w:szCs w:val="20"/>
          <w:color w:val="auto"/>
        </w:rPr>
      </w:pPr>
      <w:r>
        <w:rPr>
          <w:rFonts w:ascii="Times New Roman" w:cs="Times New Roman" w:eastAsia="Times New Roman" w:hAnsi="Times New Roman"/>
          <w:sz w:val="14"/>
          <w:szCs w:val="14"/>
          <w:color w:val="auto"/>
        </w:rPr>
        <w:t>The Company is involved from time to time in various legal and administrative proceedings, including sales and use tax audits, and threatened legal and administrative proceedings incidental to the ordinary course of business, none of which is expected, individually or in the aggregate, to have a material adverse effect on the Company's business, financial condition, results of operations or cash flows.</w:t>
      </w:r>
    </w:p>
    <w:p>
      <w:pPr>
        <w:spacing w:after="0" w:line="100"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14"/>
          <w:szCs w:val="14"/>
          <w:color w:val="auto"/>
        </w:rPr>
        <w:t>The Company's operations and properties are subject to extensive federal and state legislation, regulations, and requirements relating to environmental matters. The Company uses underground storage tanks ("USTs") to store petroleum products and motor oil. Statutory and regulatory requirements for UST systems include requirements for tank construction, integrity testing, leak detection and monitoring, overfill and spill control and mandate corrective action in case of a release from a UST into the environment. The Company is also subject to regulation relating to vapor recovery and discharges into the water. Management believes that the Company's USTs are currently in compliance in all material respects with applicable environmental legislation, regulations and requirements.</w:t>
      </w:r>
    </w:p>
    <w:p>
      <w:pPr>
        <w:spacing w:after="0" w:line="105" w:lineRule="exact"/>
        <w:rPr>
          <w:sz w:val="20"/>
          <w:szCs w:val="20"/>
          <w:color w:val="auto"/>
        </w:rPr>
      </w:pPr>
    </w:p>
    <w:p>
      <w:pPr>
        <w:ind w:right="120"/>
        <w:spacing w:after="0" w:line="296" w:lineRule="auto"/>
        <w:rPr>
          <w:sz w:val="20"/>
          <w:szCs w:val="20"/>
          <w:color w:val="auto"/>
        </w:rPr>
      </w:pPr>
      <w:r>
        <w:rPr>
          <w:rFonts w:ascii="Times New Roman" w:cs="Times New Roman" w:eastAsia="Times New Roman" w:hAnsi="Times New Roman"/>
          <w:sz w:val="14"/>
          <w:szCs w:val="14"/>
          <w:color w:val="auto"/>
        </w:rPr>
        <w:t>Accruals for environmental matters are recorded in site level operating expense in the consolidated statements of income when it is probable that a liability has been incurred and the amount of the liability can be reasonably estimated. From time to time the Company has received, and in the future likely will receive, notices of alleged violations of environmental laws or otherwise has become or will become aware of the need to undertake corrective actions to comply with environmental laws at its properties. Investigatory and remedial actions were, and regularly are, undertaken with respect to releases of hazardous substances. The Company had accruals for environmental matters in the consolidated balance sheets of $0 as of December 31, 2025 and 2024, which would be presented in accrued expenses and other current liabilities, with the amount estimated to be expended beyond the subsequent 12 months in other noncurrent liabilities. Accruals are periodically evaluated and updated as information regarding the nature of the clean up work is obtained. In light of the Company's business and the quantity of petroleum products that it handles, there can be no assurance that currently unidentified hazardous substance contamination does not exist or that liability will not be imposed in the future in materially different amounts than those the Company has recorded. See Note 1 for a discussion of the Company's accounting policies relating to contingencies.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sectPr>
      <w:pgSz w:w="11900" w:h="16838" w:orient="portrait"/>
      <w:cols w:equalWidth="0" w:num="1">
        <w:col w:w="11280"/>
      </w:cols>
      <w:pgMar w:left="300" w:top="706"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lvl w:ilvl="1">
      <w:lvlJc w:val="left"/>
      <w:lvlText w:val="☒"/>
      <w:numFmt w:val="bullet"/>
      <w:start w:val="1"/>
    </w:lvl>
  </w:abstractNum>
  <w:abstractNum w:abstractNumId="1">
    <w:nsid w:val="57E4CCAF"/>
    <w:multiLevelType w:val="hybridMultilevel"/>
    <w:lvl w:ilvl="0">
      <w:lvlJc w:val="left"/>
      <w:lvlText w:val="1"/>
      <w:numFmt w:val="bullet"/>
      <w:start w:val="1"/>
    </w:lvl>
  </w:abstractNum>
  <w:abstractNum w:abstractNumId="2">
    <w:nsid w:val="7A6D8D3C"/>
    <w:multiLevelType w:val="hybridMultilevel"/>
    <w:lvl w:ilvl="0">
      <w:lvlJc w:val="left"/>
      <w:lvlText w:val="1"/>
      <w:numFmt w:val="bullet"/>
      <w:start w:val="1"/>
    </w:lvl>
  </w:abstractNum>
  <w:abstractNum w:abstractNumId="3">
    <w:nsid w:val="4B588F54"/>
    <w:multiLevelType w:val="hybridMultilevel"/>
    <w:lvl w:ilvl="0">
      <w:lvlJc w:val="left"/>
      <w:lvlText w:val="2"/>
      <w:numFmt w:val="bullet"/>
      <w:start w:val="1"/>
    </w:lvl>
  </w:abstractNum>
  <w:abstractNum w:abstractNumId="4">
    <w:nsid w:val="542289EC"/>
    <w:multiLevelType w:val="hybridMultilevel"/>
    <w:lvl w:ilvl="0">
      <w:lvlJc w:val="left"/>
      <w:lvlText w:val="1"/>
      <w:numFmt w:val="bullet"/>
      <w:start w:val="1"/>
    </w:lvl>
  </w:abstractNum>
  <w:abstractNum w:abstractNumId="5">
    <w:nsid w:val="6DE91B18"/>
    <w:multiLevelType w:val="hybridMultilevel"/>
    <w:lvl w:ilvl="0">
      <w:lvlJc w:val="left"/>
      <w:lvlText w:val="2"/>
      <w:numFmt w:val="bullet"/>
      <w:start w:val="1"/>
    </w:lvl>
  </w:abstractNum>
  <w:abstractNum w:abstractNumId="6">
    <w:nsid w:val="38437FDB"/>
    <w:multiLevelType w:val="hybridMultilevel"/>
    <w:lvl w:ilvl="0">
      <w:lvlJc w:val="left"/>
      <w:lvlText w:val="•"/>
      <w:numFmt w:val="bullet"/>
      <w:start w:val="1"/>
    </w:lvl>
  </w:abstractNum>
  <w:abstractNum w:abstractNumId="7">
    <w:nsid w:val="7644A45C"/>
    <w:multiLevelType w:val="hybridMultilevel"/>
    <w:lvl w:ilvl="0">
      <w:lvlJc w:val="left"/>
      <w:lvlText w:val="1"/>
      <w:numFmt w:val="bullet"/>
      <w:start w:val="1"/>
    </w:lvl>
  </w:abstractNum>
  <w:abstractNum w:abstractNumId="8">
    <w:nsid w:val="32FFF902"/>
    <w:multiLevelType w:val="hybridMultilevel"/>
    <w:lvl w:ilvl="0">
      <w:lvlJc w:val="left"/>
      <w:lvlText w:val="•"/>
      <w:numFmt w:val="bullet"/>
      <w:start w:val="1"/>
    </w:lvl>
  </w:abstractNum>
  <w:abstractNum w:abstractNumId="9">
    <w:nsid w:val="684A481A"/>
    <w:multiLevelType w:val="hybridMultilevel"/>
    <w:lvl w:ilvl="0">
      <w:lvlJc w:val="left"/>
      <w:lvlText w:val="•"/>
      <w:numFmt w:val="bullet"/>
      <w:start w:val="1"/>
    </w:lvl>
  </w:abstractNum>
  <w:abstractNum w:abstractNumId="10">
    <w:nsid w:val="579478FE"/>
    <w:multiLevelType w:val="hybridMultilevel"/>
    <w:lvl w:ilvl="0">
      <w:lvlJc w:val="left"/>
      <w:lvlText w:val="•"/>
      <w:numFmt w:val="bullet"/>
      <w:start w:val="1"/>
    </w:lvl>
  </w:abstractNum>
  <w:abstractNum w:abstractNumId="11">
    <w:nsid w:val="749ABB43"/>
    <w:multiLevelType w:val="hybridMultilevel"/>
    <w:lvl w:ilvl="0">
      <w:lvlJc w:val="left"/>
      <w:lvlText w:val="•"/>
      <w:numFmt w:val="bullet"/>
      <w:start w:val="1"/>
    </w:lvl>
  </w:abstractNum>
  <w:abstractNum w:abstractNumId="12">
    <w:nsid w:val="3DC240FB"/>
    <w:multiLevelType w:val="hybridMultilevel"/>
    <w:lvl w:ilvl="0">
      <w:lvlJc w:val="left"/>
      <w:lvlText w:val="•"/>
      <w:numFmt w:val="bullet"/>
      <w:start w:val="1"/>
    </w:lvl>
  </w:abstractNum>
  <w:abstractNum w:abstractNumId="13">
    <w:nsid w:val="1BA026FA"/>
    <w:multiLevelType w:val="hybridMultilevel"/>
    <w:lvl w:ilvl="0">
      <w:lvlJc w:val="left"/>
      <w:lvlText w:val="•"/>
      <w:numFmt w:val="bullet"/>
      <w:start w:val="1"/>
    </w:lvl>
  </w:abstractNum>
  <w:abstractNum w:abstractNumId="14">
    <w:nsid w:val="79A1DEAA"/>
    <w:multiLevelType w:val="hybridMultilevel"/>
    <w:lvl w:ilvl="0">
      <w:lvlJc w:val="left"/>
      <w:lvlText w:val="1"/>
      <w:numFmt w:val="bullet"/>
      <w:start w:val="1"/>
    </w:lvl>
  </w:abstractNum>
  <w:abstractNum w:abstractNumId="15">
    <w:nsid w:val="75C6C33A"/>
    <w:multiLevelType w:val="hybridMultilevel"/>
    <w:lvl w:ilvl="0">
      <w:lvlJc w:val="left"/>
      <w:lvlText w:val="2"/>
      <w:numFmt w:val="bullet"/>
      <w:start w:val="1"/>
    </w:lvl>
  </w:abstractNum>
  <w:abstractNum w:abstractNumId="16">
    <w:nsid w:val="12E685FB"/>
    <w:multiLevelType w:val="hybridMultilevel"/>
    <w:lvl w:ilvl="0">
      <w:lvlJc w:val="left"/>
      <w:lvlText w:val="•"/>
      <w:numFmt w:val="bullet"/>
      <w:start w:val="1"/>
    </w:lvl>
  </w:abstractNum>
  <w:abstractNum w:abstractNumId="17">
    <w:nsid w:val="70C6A529"/>
    <w:multiLevelType w:val="hybridMultilevel"/>
    <w:lvl w:ilvl="0">
      <w:lvlJc w:val="left"/>
      <w:lvlText w:val="•"/>
      <w:numFmt w:val="bullet"/>
      <w:start w:val="1"/>
    </w:lvl>
  </w:abstractNum>
  <w:abstractNum w:abstractNumId="18">
    <w:nsid w:val="520EEDD1"/>
    <w:multiLevelType w:val="hybridMultilevel"/>
    <w:lvl w:ilvl="0">
      <w:lvlJc w:val="left"/>
      <w:lvlText w:val="•"/>
      <w:numFmt w:val="bullet"/>
      <w:start w:val="1"/>
    </w:lvl>
  </w:abstractNum>
  <w:abstractNum w:abstractNumId="19">
    <w:nsid w:val="374A3FE6"/>
    <w:multiLevelType w:val="hybridMultilevel"/>
    <w:lvl w:ilvl="0">
      <w:lvlJc w:val="left"/>
      <w:lvlText w:val="•"/>
      <w:numFmt w:val="bullet"/>
      <w:start w:val="1"/>
    </w:lvl>
  </w:abstractNum>
  <w:abstractNum w:abstractNumId="20">
    <w:nsid w:val="4F4EF005"/>
    <w:multiLevelType w:val="hybridMultilevel"/>
    <w:lvl w:ilvl="0">
      <w:lvlJc w:val="left"/>
      <w:lvlText w:val="•"/>
      <w:numFmt w:val="bullet"/>
      <w:start w:val="1"/>
    </w:lvl>
  </w:abstractNum>
  <w:abstractNum w:abstractNumId="21">
    <w:nsid w:val="23F9C13C"/>
    <w:multiLevelType w:val="hybridMultilevel"/>
    <w:lvl w:ilvl="0">
      <w:lvlJc w:val="left"/>
      <w:lvlText w:val="•"/>
      <w:numFmt w:val="bullet"/>
      <w:start w:val="1"/>
    </w:lvl>
  </w:abstractNum>
  <w:abstractNum w:abstractNumId="22">
    <w:nsid w:val="649BB77C"/>
    <w:multiLevelType w:val="hybridMultilevel"/>
    <w:lvl w:ilvl="0">
      <w:lvlJc w:val="left"/>
      <w:lvlText w:val="•"/>
      <w:numFmt w:val="bullet"/>
      <w:start w:val="1"/>
    </w:lvl>
  </w:abstractNum>
  <w:abstractNum w:abstractNumId="23">
    <w:nsid w:val="275AC794"/>
    <w:multiLevelType w:val="hybridMultilevel"/>
    <w:lvl w:ilvl="0">
      <w:lvlJc w:val="left"/>
      <w:lvlText w:val="•"/>
      <w:numFmt w:val="bullet"/>
      <w:start w:val="1"/>
    </w:lvl>
  </w:abstractNum>
  <w:abstractNum w:abstractNumId="24">
    <w:nsid w:val="39386575"/>
    <w:multiLevelType w:val="hybridMultilevel"/>
    <w:lvl w:ilvl="0">
      <w:lvlJc w:val="left"/>
      <w:lvlText w:val="1"/>
      <w:numFmt w:val="bullet"/>
      <w:start w:val="1"/>
    </w:lvl>
  </w:abstractNum>
  <w:abstractNum w:abstractNumId="25">
    <w:nsid w:val="1CF10FD8"/>
    <w:multiLevelType w:val="hybridMultilevel"/>
    <w:lvl w:ilvl="0">
      <w:lvlJc w:val="left"/>
      <w:lvlText w:val="•"/>
      <w:numFmt w:val="bullet"/>
      <w:start w:val="1"/>
    </w:lvl>
  </w:abstractNum>
  <w:abstractNum w:abstractNumId="26">
    <w:nsid w:val="180115BE"/>
    <w:multiLevelType w:val="hybridMultilevel"/>
    <w:lvl w:ilvl="0">
      <w:lvlJc w:val="left"/>
      <w:lvlText w:val="•"/>
      <w:numFmt w:val="bullet"/>
      <w:start w:val="1"/>
    </w:lvl>
  </w:abstractNum>
  <w:abstractNum w:abstractNumId="27">
    <w:nsid w:val="235BA861"/>
    <w:multiLevelType w:val="hybridMultilevel"/>
    <w:lvl w:ilvl="0">
      <w:lvlJc w:val="left"/>
      <w:lvlText w:val="1"/>
      <w:numFmt w:val="bullet"/>
      <w:start w:val="1"/>
    </w:lvl>
  </w:abstractNum>
  <w:abstractNum w:abstractNumId="28">
    <w:nsid w:val="47398C89"/>
    <w:multiLevelType w:val="hybridMultilevel"/>
    <w:lvl w:ilvl="0">
      <w:lvlJc w:val="left"/>
      <w:lvlText w:val="•"/>
      <w:numFmt w:val="bullet"/>
      <w:start w:val="1"/>
    </w:lvl>
  </w:abstractNum>
  <w:abstractNum w:abstractNumId="29">
    <w:nsid w:val="354FE9F9"/>
    <w:multiLevelType w:val="hybridMultilevel"/>
    <w:lvl w:ilvl="0">
      <w:lvlJc w:val="left"/>
      <w:lvlText w:val="1"/>
      <w:numFmt w:val="bullet"/>
      <w:start w:val="1"/>
    </w:lvl>
  </w:abstractNum>
  <w:abstractNum w:abstractNumId="30">
    <w:nsid w:val="15B5AF5C"/>
    <w:multiLevelType w:val="hybridMultilevel"/>
    <w:lvl w:ilvl="0">
      <w:lvlJc w:val="left"/>
      <w:lvlText w:val="•"/>
      <w:numFmt w:val="bullet"/>
      <w:start w:val="1"/>
    </w:lvl>
  </w:abstractNum>
  <w:abstractNum w:abstractNumId="31">
    <w:nsid w:val="741226BB"/>
    <w:multiLevelType w:val="hybridMultilevel"/>
    <w:lvl w:ilvl="0">
      <w:lvlJc w:val="left"/>
      <w:lvlText w:val="•"/>
      <w:numFmt w:val="bullet"/>
      <w:start w:val="1"/>
    </w:lvl>
  </w:abstractNum>
  <w:abstractNum w:abstractNumId="32">
    <w:nsid w:val="D34B6A8"/>
    <w:multiLevelType w:val="hybridMultilevel"/>
    <w:lvl w:ilvl="0">
      <w:lvlJc w:val="left"/>
      <w:lvlText w:val="1"/>
      <w:numFmt w:val="bullet"/>
      <w:start w:val="1"/>
    </w:lvl>
  </w:abstractNum>
  <w:abstractNum w:abstractNumId="33">
    <w:nsid w:val="10233C99"/>
    <w:multiLevelType w:val="hybridMultilevel"/>
    <w:lvl w:ilvl="0">
      <w:lvlJc w:val="left"/>
      <w:lvlText w:val="•"/>
      <w:numFmt w:val="bullet"/>
      <w:start w:val="1"/>
    </w:lvl>
  </w:abstractNum>
  <w:abstractNum w:abstractNumId="34">
    <w:nsid w:val="3F6AB60F"/>
    <w:multiLevelType w:val="hybridMultilevel"/>
    <w:lvl w:ilvl="0">
      <w:lvlJc w:val="left"/>
      <w:lvlText w:val="•"/>
      <w:numFmt w:val="bullet"/>
      <w:start w:val="1"/>
    </w:lvl>
  </w:abstractNum>
  <w:abstractNum w:abstractNumId="35">
    <w:nsid w:val="61574095"/>
    <w:multiLevelType w:val="hybridMultilevel"/>
    <w:lvl w:ilvl="0">
      <w:lvlJc w:val="left"/>
      <w:lvlText w:val="1"/>
      <w:numFmt w:val="bullet"/>
      <w:start w:val="1"/>
    </w:lvl>
  </w:abstractNum>
  <w:abstractNum w:abstractNumId="36">
    <w:nsid w:val="7E0C57B1"/>
    <w:multiLevelType w:val="hybridMultilevel"/>
    <w:lvl w:ilvl="0">
      <w:lvlJc w:val="left"/>
      <w:lvlText w:val="1"/>
      <w:numFmt w:val="bullet"/>
      <w:start w:val="1"/>
    </w:lvl>
  </w:abstractNum>
  <w:abstractNum w:abstractNumId="37">
    <w:nsid w:val="77AE35EB"/>
    <w:multiLevelType w:val="hybridMultilevel"/>
    <w:lvl w:ilvl="0">
      <w:lvlJc w:val="left"/>
      <w:lvlText w:val="2"/>
      <w:numFmt w:val="bullet"/>
      <w:start w:val="1"/>
    </w:lvl>
  </w:abstractNum>
  <w:abstractNum w:abstractNumId="38">
    <w:nsid w:val="579BE4F1"/>
    <w:multiLevelType w:val="hybridMultilevel"/>
    <w:lvl w:ilvl="0">
      <w:lvlJc w:val="left"/>
      <w:lvlText w:val="(%1)"/>
      <w:numFmt w:val="lowerLetter"/>
      <w:start w:val="1"/>
    </w:lvl>
  </w:abstractNum>
  <w:abstractNum w:abstractNumId="39">
    <w:nsid w:val="310C50B3"/>
    <w:multiLevelType w:val="hybridMultilevel"/>
    <w:lvl w:ilvl="0">
      <w:lvlJc w:val="left"/>
      <w:lvlText w:val="(%1)"/>
      <w:numFmt w:val="lowerLetter"/>
      <w:start w:val="2"/>
    </w:lvl>
  </w:abstractNum>
  <w:abstractNum w:abstractNumId="40">
    <w:nsid w:val="5FF87E05"/>
    <w:multiLevelType w:val="hybridMultilevel"/>
    <w:lvl w:ilvl="0">
      <w:lvlJc w:val="left"/>
      <w:lvlText w:val="1"/>
      <w:numFmt w:val="bullet"/>
      <w:start w:val="1"/>
    </w:lvl>
  </w:abstractNum>
  <w:abstractNum w:abstractNumId="41">
    <w:nsid w:val="2F305DEF"/>
    <w:multiLevelType w:val="hybridMultilevel"/>
    <w:lvl w:ilvl="0">
      <w:lvlJc w:val="left"/>
      <w:lvlText w:val="1"/>
      <w:numFmt w:val="bullet"/>
      <w:start w:val="1"/>
    </w:lvl>
  </w:abstractNum>
  <w:abstractNum w:abstractNumId="42">
    <w:nsid w:val="25A70BF7"/>
    <w:multiLevelType w:val="hybridMultilevel"/>
    <w:lvl w:ilvl="0">
      <w:lvlJc w:val="left"/>
      <w:lvlText w:val="2"/>
      <w:numFmt w:val="bullet"/>
      <w:start w:val="1"/>
    </w:lvl>
  </w:abstractNum>
  <w:abstractNum w:abstractNumId="43">
    <w:nsid w:val="1DBABF00"/>
    <w:multiLevelType w:val="hybridMultilevel"/>
    <w:lvl w:ilvl="0">
      <w:lvlJc w:val="left"/>
      <w:lvlText w:val="%1"/>
      <w:numFmt w:val="decimal"/>
      <w:start w:val="104"/>
    </w:lvl>
  </w:abstractNum>
  <w:abstractNum w:abstractNumId="44">
    <w:nsid w:val="4AD084E9"/>
    <w:multiLevelType w:val="hybridMultilevel"/>
    <w:lvl w:ilvl="0">
      <w:lvlJc w:val="left"/>
      <w:lvlText w:val="(%1)"/>
      <w:numFmt w:val="lowerLetter"/>
      <w:start w:val="2"/>
    </w:lvl>
  </w:abstractNum>
  <w:abstractNum w:abstractNumId="45">
    <w:nsid w:val="1F48EAA1"/>
    <w:multiLevelType w:val="hybridMultilevel"/>
    <w:lvl w:ilvl="0">
      <w:lvlJc w:val="left"/>
      <w:lvlText w:val="•"/>
      <w:numFmt w:val="bullet"/>
      <w:start w:val="1"/>
    </w:lvl>
    <w:lvl w:ilvl="1">
      <w:lvlJc w:val="left"/>
      <w:lvlText w:val="◦"/>
      <w:numFmt w:val="bullet"/>
      <w:start w:val="1"/>
    </w:lvl>
  </w:abstractNum>
  <w:abstractNum w:abstractNumId="46">
    <w:nsid w:val="1381823A"/>
    <w:multiLevelType w:val="hybridMultilevel"/>
    <w:lvl w:ilvl="0">
      <w:lvlJc w:val="left"/>
      <w:lvlText w:val="•"/>
      <w:numFmt w:val="bullet"/>
      <w:start w:val="1"/>
    </w:lvl>
  </w:abstractNum>
  <w:abstractNum w:abstractNumId="47">
    <w:nsid w:val="5DB70AE5"/>
    <w:multiLevelType w:val="hybridMultilevel"/>
    <w:lvl w:ilvl="0">
      <w:lvlJc w:val="left"/>
      <w:lvlText w:val="•"/>
      <w:numFmt w:val="bullet"/>
      <w:start w:val="1"/>
    </w:lvl>
  </w:abstractNum>
  <w:abstractNum w:abstractNumId="48">
    <w:nsid w:val="100F8FCA"/>
    <w:multiLevelType w:val="hybridMultilevel"/>
    <w:lvl w:ilvl="0">
      <w:lvlJc w:val="left"/>
      <w:lvlText w:val="%1."/>
      <w:numFmt w:val="decimal"/>
      <w:start w:val="3"/>
    </w:lvl>
  </w:abstractNum>
  <w:abstractNum w:abstractNumId="49">
    <w:nsid w:val="6590700B"/>
    <w:multiLevelType w:val="hybridMultilevel"/>
    <w:lvl w:ilvl="0">
      <w:lvlJc w:val="left"/>
      <w:lvlText w:val="%1."/>
      <w:numFmt w:val="decimal"/>
      <w:start w:val="4"/>
    </w:lvl>
  </w:abstractNum>
  <w:abstractNum w:abstractNumId="50">
    <w:nsid w:val="15014ACB"/>
    <w:multiLevelType w:val="hybridMultilevel"/>
    <w:lvl w:ilvl="0">
      <w:lvlJc w:val="left"/>
      <w:lvlText w:val="%1."/>
      <w:numFmt w:val="decimal"/>
      <w:start w:val="5"/>
    </w:lvl>
  </w:abstractNum>
  <w:abstractNum w:abstractNumId="51">
    <w:nsid w:val="5F5E7FD0"/>
    <w:multiLevelType w:val="hybridMultilevel"/>
    <w:lvl w:ilvl="0">
      <w:lvlJc w:val="left"/>
      <w:lvlText w:val="%1."/>
      <w:numFmt w:val="decimal"/>
      <w:start w:val="6"/>
    </w:lvl>
  </w:abstractNum>
  <w:abstractNum w:abstractNumId="52">
    <w:nsid w:val="98A3148"/>
    <w:multiLevelType w:val="hybridMultilevel"/>
    <w:lvl w:ilvl="0">
      <w:lvlJc w:val="left"/>
      <w:lvlText w:val="1"/>
      <w:numFmt w:val="bullet"/>
      <w:start w:val="1"/>
    </w:lvl>
  </w:abstractNum>
  <w:abstractNum w:abstractNumId="53">
    <w:nsid w:val="799D0247"/>
    <w:multiLevelType w:val="hybridMultilevel"/>
    <w:lvl w:ilvl="0">
      <w:lvlJc w:val="left"/>
      <w:lvlText w:val="%1."/>
      <w:numFmt w:val="decimal"/>
      <w:start w:val="8"/>
    </w:lvl>
  </w:abstractNum>
  <w:abstractNum w:abstractNumId="54">
    <w:nsid w:val="6B94764"/>
    <w:multiLevelType w:val="hybridMultilevel"/>
    <w:lvl w:ilvl="0">
      <w:lvlJc w:val="left"/>
      <w:lvlText w:val="%1."/>
      <w:numFmt w:val="decimal"/>
      <w:start w:val="9"/>
    </w:lvl>
  </w:abstractNum>
  <w:abstractNum w:abstractNumId="55">
    <w:nsid w:val="42C296BD"/>
    <w:multiLevelType w:val="hybridMultilevel"/>
    <w:lvl w:ilvl="0">
      <w:lvlJc w:val="left"/>
      <w:lvlText w:val="%1."/>
      <w:numFmt w:val="decimal"/>
      <w:start w:val="10"/>
    </w:lvl>
  </w:abstractNum>
  <w:abstractNum w:abstractNumId="56">
    <w:nsid w:val="168E121F"/>
    <w:multiLevelType w:val="hybridMultilevel"/>
    <w:lvl w:ilvl="0">
      <w:lvlJc w:val="left"/>
      <w:lvlText w:val="%1."/>
      <w:numFmt w:val="decimal"/>
      <w:start w:val="11"/>
    </w:lvl>
  </w:abstractNum>
  <w:abstractNum w:abstractNumId="57">
    <w:nsid w:val="1EBA5D23"/>
    <w:multiLevelType w:val="hybridMultilevel"/>
    <w:lvl w:ilvl="0">
      <w:lvlJc w:val="left"/>
      <w:lvlText w:val="%1."/>
      <w:numFmt w:val="decimal"/>
      <w:start w:val="12"/>
    </w:lvl>
  </w:abstractNum>
  <w:abstractNum w:abstractNumId="58">
    <w:nsid w:val="661E3F1E"/>
    <w:multiLevelType w:val="hybridMultilevel"/>
    <w:lvl w:ilvl="0">
      <w:lvlJc w:val="left"/>
      <w:lvlText w:val="%1."/>
      <w:numFmt w:val="decimal"/>
      <w:start w:val="13"/>
    </w:lvl>
  </w:abstractNum>
  <w:abstractNum w:abstractNumId="59">
    <w:nsid w:val="5DC79EA8"/>
    <w:multiLevelType w:val="hybridMultilevel"/>
    <w:lvl w:ilvl="0">
      <w:lvlJc w:val="left"/>
      <w:lvlText w:val="1"/>
      <w:numFmt w:val="bullet"/>
      <w:start w:val="1"/>
    </w:lvl>
  </w:abstractNum>
  <w:abstractNum w:abstractNumId="60">
    <w:nsid w:val="540A471C"/>
    <w:multiLevelType w:val="hybridMultilevel"/>
    <w:lvl w:ilvl="0">
      <w:lvlJc w:val="left"/>
      <w:lvlText w:val="•"/>
      <w:numFmt w:val="bullet"/>
      <w:start w:val="1"/>
    </w:lvl>
  </w:abstractNum>
  <w:abstractNum w:abstractNumId="61">
    <w:nsid w:val="7BD3EE7B"/>
    <w:multiLevelType w:val="hybridMultilevel"/>
    <w:lvl w:ilvl="0">
      <w:lvlJc w:val="left"/>
      <w:lvlText w:val="•"/>
      <w:numFmt w:val="bullet"/>
      <w:start w:val="1"/>
    </w:lvl>
    <w:lvl w:ilvl="1">
      <w:lvlJc w:val="left"/>
      <w:lvlText w:val="◦"/>
      <w:numFmt w:val="bullet"/>
      <w:start w:val="1"/>
    </w:lvl>
  </w:abstractNum>
  <w:abstractNum w:abstractNumId="62">
    <w:nsid w:val="51D9C564"/>
    <w:multiLevelType w:val="hybridMultilevel"/>
    <w:lvl w:ilvl="0">
      <w:lvlJc w:val="left"/>
      <w:lvlText w:val="•"/>
      <w:numFmt w:val="bullet"/>
      <w:start w:val="1"/>
    </w:lvl>
  </w:abstractNum>
  <w:abstractNum w:abstractNumId="63">
    <w:nsid w:val="613EFDC5"/>
    <w:multiLevelType w:val="hybridMultilevel"/>
    <w:lvl w:ilvl="0">
      <w:lvlJc w:val="left"/>
      <w:lvlText w:val="1"/>
      <w:numFmt w:val="bullet"/>
      <w:start w:val="1"/>
    </w:lvl>
  </w:abstractNum>
  <w:abstractNum w:abstractNumId="64">
    <w:nsid w:val="BF72B14"/>
    <w:multiLevelType w:val="hybridMultilevel"/>
    <w:lvl w:ilvl="0">
      <w:lvlJc w:val="left"/>
      <w:lvlText w:val="1"/>
      <w:numFmt w:val="bullet"/>
      <w:start w:val="1"/>
    </w:lvl>
  </w:abstractNum>
  <w:abstractNum w:abstractNumId="65">
    <w:nsid w:val="11447B73"/>
    <w:multiLevelType w:val="hybridMultilevel"/>
    <w:lvl w:ilvl="0">
      <w:lvlJc w:val="left"/>
      <w:lvlText w:val="%1."/>
      <w:numFmt w:val="upperLetter"/>
      <w:start w:val="9"/>
    </w:lvl>
    <w:lvl w:ilvl="1">
      <w:lvlJc w:val="left"/>
      <w:lvlText w:val="%2"/>
      <w:numFmt w:val="upperLetter"/>
      <w:start w:val="1"/>
    </w:lvl>
    <w:lvl w:ilvl="2">
      <w:lvlJc w:val="left"/>
      <w:lvlText w:val="%3."/>
      <w:numFmt w:val="decimal"/>
      <w:start w:val="1"/>
    </w:lvl>
  </w:abstractNum>
  <w:abstractNum w:abstractNumId="66">
    <w:nsid w:val="42963E5A"/>
    <w:multiLevelType w:val="hybridMultilevel"/>
    <w:lvl w:ilvl="0">
      <w:lvlJc w:val="left"/>
      <w:lvlText w:val="•"/>
      <w:numFmt w:val="bullet"/>
      <w:start w:val="1"/>
    </w:lvl>
  </w:abstractNum>
  <w:abstractNum w:abstractNumId="67">
    <w:nsid w:val="A0382C5"/>
    <w:multiLevelType w:val="hybridMultilevel"/>
    <w:lvl w:ilvl="0">
      <w:lvlJc w:val="left"/>
      <w:lvlText w:val="•"/>
      <w:numFmt w:val="bullet"/>
      <w:start w:val="1"/>
    </w:lvl>
  </w:abstractNum>
  <w:abstractNum w:abstractNumId="68">
    <w:nsid w:val="8F2B15E"/>
    <w:multiLevelType w:val="hybridMultilevel"/>
    <w:lvl w:ilvl="0">
      <w:lvlJc w:val="left"/>
      <w:lvlText w:val="%1."/>
      <w:numFmt w:val="upperLetter"/>
      <w:start w:val="2"/>
    </w:lvl>
    <w:lvl w:ilvl="1">
      <w:lvlJc w:val="left"/>
      <w:lvlText w:val="%2."/>
      <w:numFmt w:val="decimal"/>
      <w:start w:val="1"/>
    </w:lvl>
  </w:abstractNum>
  <w:abstractNum w:abstractNumId="69">
    <w:nsid w:val="1A32234B"/>
    <w:multiLevelType w:val="hybridMultilevel"/>
    <w:lvl w:ilvl="0">
      <w:lvlJc w:val="left"/>
      <w:lvlText w:val="•"/>
      <w:numFmt w:val="bullet"/>
      <w:start w:val="1"/>
    </w:lvl>
    <w:lvl w:ilvl="1">
      <w:lvlJc w:val="left"/>
      <w:lvlText w:val="%2."/>
      <w:numFmt w:val="decimal"/>
      <w:start w:val="2"/>
    </w:lvl>
  </w:abstractNum>
  <w:abstractNum w:abstractNumId="70">
    <w:nsid w:val="3B0FD379"/>
    <w:multiLevelType w:val="hybridMultilevel"/>
    <w:lvl w:ilvl="0">
      <w:lvlJc w:val="left"/>
      <w:lvlText w:val="%1."/>
      <w:numFmt w:val="upperLetter"/>
      <w:start w:val="3"/>
    </w:lvl>
    <w:lvl w:ilvl="1">
      <w:lvlJc w:val="left"/>
      <w:lvlText w:val="%2."/>
      <w:numFmt w:val="decimal"/>
      <w:start w:val="1"/>
    </w:lvl>
  </w:abstractNum>
  <w:abstractNum w:abstractNumId="71">
    <w:nsid w:val="68EB2F63"/>
    <w:multiLevelType w:val="hybridMultilevel"/>
    <w:lvl w:ilvl="0">
      <w:lvlJc w:val="left"/>
      <w:lvlText w:val="%1."/>
      <w:numFmt w:val="decimal"/>
      <w:start w:val="2"/>
    </w:lvl>
  </w:abstractNum>
  <w:abstractNum w:abstractNumId="72">
    <w:nsid w:val="4962813B"/>
    <w:multiLevelType w:val="hybridMultilevel"/>
    <w:lvl w:ilvl="0">
      <w:lvlJc w:val="left"/>
      <w:lvlText w:val="%1."/>
      <w:numFmt w:val="decimal"/>
      <w:start w:val="3"/>
    </w:lvl>
  </w:abstractNum>
  <w:abstractNum w:abstractNumId="73">
    <w:nsid w:val="60B6DF70"/>
    <w:multiLevelType w:val="hybridMultilevel"/>
    <w:lvl w:ilvl="0">
      <w:lvlJc w:val="left"/>
      <w:lvlText w:val="%1."/>
      <w:numFmt w:val="decimal"/>
      <w:start w:val="4"/>
    </w:lvl>
  </w:abstractNum>
  <w:abstractNum w:abstractNumId="74">
    <w:nsid w:val="6A5EE64"/>
    <w:multiLevelType w:val="hybridMultilevel"/>
    <w:lvl w:ilvl="0">
      <w:lvlJc w:val="left"/>
      <w:lvlText w:val="%1."/>
      <w:numFmt w:val="upperLetter"/>
      <w:start w:val="4"/>
    </w:lvl>
  </w:abstractNum>
  <w:abstractNum w:abstractNumId="75">
    <w:nsid w:val="14330624"/>
    <w:multiLevelType w:val="hybridMultilevel"/>
    <w:lvl w:ilvl="0">
      <w:lvlJc w:val="left"/>
      <w:lvlText w:val="%1."/>
      <w:numFmt w:val="decimal"/>
      <w:start w:val="1"/>
    </w:lvl>
  </w:abstractNum>
  <w:abstractNum w:abstractNumId="76">
    <w:nsid w:val="7FFFCA11"/>
    <w:multiLevelType w:val="hybridMultilevel"/>
    <w:lvl w:ilvl="0">
      <w:lvlJc w:val="left"/>
      <w:lvlText w:val="%1."/>
      <w:numFmt w:val="decimal"/>
      <w:start w:val="2"/>
    </w:lvl>
  </w:abstractNum>
  <w:abstractNum w:abstractNumId="77">
    <w:nsid w:val="1A27709E"/>
    <w:multiLevelType w:val="hybridMultilevel"/>
    <w:lvl w:ilvl="0">
      <w:lvlJc w:val="left"/>
      <w:lvlText w:val="%1"/>
      <w:numFmt w:val="upperLetter"/>
      <w:start w:val="1"/>
    </w:lvl>
    <w:lvl w:ilvl="1">
      <w:lvlJc w:val="left"/>
      <w:lvlText w:val="%2."/>
      <w:numFmt w:val="decimal"/>
      <w:start w:val="4"/>
    </w:lvl>
  </w:abstractNum>
  <w:abstractNum w:abstractNumId="78">
    <w:nsid w:val="71EA1109"/>
    <w:multiLevelType w:val="hybridMultilevel"/>
    <w:lvl w:ilvl="0">
      <w:lvlJc w:val="left"/>
      <w:lvlText w:val="%1."/>
      <w:numFmt w:val="upperLetter"/>
      <w:start w:val="35"/>
    </w:lvl>
    <w:lvl w:ilvl="1">
      <w:lvlJc w:val="left"/>
      <w:lvlText w:val="%2"/>
      <w:numFmt w:val="decimal"/>
      <w:start w:val="1"/>
    </w:lvl>
  </w:abstractNum>
  <w:abstractNum w:abstractNumId="79">
    <w:nsid w:val="100F59DC"/>
    <w:multiLevelType w:val="hybridMultilevel"/>
    <w:lvl w:ilvl="0">
      <w:lvlJc w:val="left"/>
      <w:lvlText w:val="%1."/>
      <w:numFmt w:val="upperLetter"/>
      <w:start w:val="3"/>
    </w:lvl>
  </w:abstractNum>
  <w:abstractNum w:abstractNumId="80">
    <w:nsid w:val="7FB7E0AA"/>
    <w:multiLevelType w:val="hybridMultilevel"/>
    <w:lvl w:ilvl="0">
      <w:lvlJc w:val="left"/>
      <w:lvlText w:val="%1."/>
      <w:numFmt w:val="upperLetter"/>
      <w:start w:val="61"/>
    </w:lvl>
  </w:abstractNum>
  <w:abstractNum w:abstractNumId="81">
    <w:nsid w:val="6EB5BD4"/>
    <w:multiLevelType w:val="hybridMultilevel"/>
    <w:lvl w:ilvl="0">
      <w:lvlJc w:val="left"/>
      <w:lvlText w:val="%1."/>
      <w:numFmt w:val="upperLetter"/>
      <w:start w:val="1"/>
    </w:lvl>
    <w:lvl w:ilvl="1">
      <w:lvlJc w:val="left"/>
      <w:lvlText w:val="%2."/>
      <w:numFmt w:val="lowerLetter"/>
      <w:start w:val="1"/>
    </w:lvl>
  </w:abstractNum>
  <w:abstractNum w:abstractNumId="82">
    <w:nsid w:val="6F6DD9AC"/>
    <w:multiLevelType w:val="hybridMultilevel"/>
    <w:lvl w:ilvl="0">
      <w:lvlJc w:val="left"/>
      <w:lvlText w:val="%1."/>
      <w:numFmt w:val="decimal"/>
      <w:start w:val="1"/>
    </w:lvl>
    <w:lvl w:ilvl="1">
      <w:lvlJc w:val="left"/>
      <w:lvlText w:val="%2."/>
      <w:numFmt w:val="lowerLetter"/>
      <w:start w:val="1"/>
    </w:lvl>
  </w:abstractNum>
  <w:abstractNum w:abstractNumId="83">
    <w:nsid w:val="94211F2"/>
    <w:multiLevelType w:val="hybridMultilevel"/>
    <w:lvl w:ilvl="0">
      <w:lvlJc w:val="left"/>
      <w:lvlText w:val="%1."/>
      <w:numFmt w:val="decimal"/>
      <w:start w:val="1"/>
    </w:lvl>
    <w:lvl w:ilvl="1">
      <w:lvlJc w:val="left"/>
      <w:lvlText w:val="%2."/>
      <w:numFmt w:val="lowerLetter"/>
      <w:start w:val="1"/>
    </w:lvl>
  </w:abstractNum>
  <w:abstractNum w:abstractNumId="84">
    <w:nsid w:val="885E1B"/>
    <w:multiLevelType w:val="hybridMultilevel"/>
    <w:lvl w:ilvl="0">
      <w:lvlJc w:val="left"/>
      <w:lvlText w:val="•"/>
      <w:numFmt w:val="bullet"/>
      <w:start w:val="1"/>
    </w:lvl>
  </w:abstractNum>
  <w:abstractNum w:abstractNumId="85">
    <w:nsid w:val="76272110"/>
    <w:multiLevelType w:val="hybridMultilevel"/>
    <w:lvl w:ilvl="0">
      <w:lvlJc w:val="left"/>
      <w:lvlText w:val="•"/>
      <w:numFmt w:val="bullet"/>
      <w:start w:val="1"/>
    </w:lvl>
  </w:abstractNum>
  <w:abstractNum w:abstractNumId="86">
    <w:nsid w:val="4C04A8AF"/>
    <w:multiLevelType w:val="hybridMultilevel"/>
    <w:lvl w:ilvl="0">
      <w:lvlJc w:val="left"/>
      <w:lvlText w:val="•"/>
      <w:numFmt w:val="bullet"/>
      <w:start w:val="1"/>
    </w:lvl>
  </w:abstractNum>
  <w:abstractNum w:abstractNumId="87">
    <w:nsid w:val="1716703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27" Type="http://schemas.openxmlformats.org/officeDocument/2006/relationships/image" Target="media/image98.png"/><Relationship Id="rId128" Type="http://schemas.openxmlformats.org/officeDocument/2006/relationships/image" Target="media/image99.png"/><Relationship Id="rId146" Type="http://schemas.openxmlformats.org/officeDocument/2006/relationships/image" Target="media/image100.png"/><Relationship Id="rId147" Type="http://schemas.openxmlformats.org/officeDocument/2006/relationships/image" Target="media/image101.png"/><Relationship Id="rId148" Type="http://schemas.openxmlformats.org/officeDocument/2006/relationships/image" Target="media/image102.png"/><Relationship Id="rId149" Type="http://schemas.openxmlformats.org/officeDocument/2006/relationships/image" Target="media/image103.png"/><Relationship Id="rId150" Type="http://schemas.openxmlformats.org/officeDocument/2006/relationships/image" Target="media/image104.png"/><Relationship Id="rId151" Type="http://schemas.openxmlformats.org/officeDocument/2006/relationships/image" Target="media/image105.png"/><Relationship Id="rId152" Type="http://schemas.openxmlformats.org/officeDocument/2006/relationships/image" Target="media/image106.png"/><Relationship Id="rId153" Type="http://schemas.openxmlformats.org/officeDocument/2006/relationships/image" Target="media/image107.png"/><Relationship Id="rId154" Type="http://schemas.openxmlformats.org/officeDocument/2006/relationships/image" Target="media/image108.png"/><Relationship Id="rId155" Type="http://schemas.openxmlformats.org/officeDocument/2006/relationships/image" Target="media/image109.png"/><Relationship Id="rId156" Type="http://schemas.openxmlformats.org/officeDocument/2006/relationships/image" Target="media/image110.png"/><Relationship Id="rId157" Type="http://schemas.openxmlformats.org/officeDocument/2006/relationships/image" Target="media/image111.png"/><Relationship Id="rId158" Type="http://schemas.openxmlformats.org/officeDocument/2006/relationships/image" Target="media/image112.png"/><Relationship Id="rId159" Type="http://schemas.openxmlformats.org/officeDocument/2006/relationships/image" Target="media/image113.png"/><Relationship Id="rId160" Type="http://schemas.openxmlformats.org/officeDocument/2006/relationships/image" Target="media/image114.png"/><Relationship Id="rId161" Type="http://schemas.openxmlformats.org/officeDocument/2006/relationships/image" Target="media/image115.png"/><Relationship Id="rId162" Type="http://schemas.openxmlformats.org/officeDocument/2006/relationships/image" Target="media/image116.png"/><Relationship Id="rId163" Type="http://schemas.openxmlformats.org/officeDocument/2006/relationships/image" Target="media/image117.png"/><Relationship Id="rId164" Type="http://schemas.openxmlformats.org/officeDocument/2006/relationships/image" Target="media/image118.png"/><Relationship Id="rId165" Type="http://schemas.openxmlformats.org/officeDocument/2006/relationships/image" Target="media/image119.png"/><Relationship Id="rId166" Type="http://schemas.openxmlformats.org/officeDocument/2006/relationships/image" Target="media/image120.png"/><Relationship Id="rId167" Type="http://schemas.openxmlformats.org/officeDocument/2006/relationships/image" Target="media/image121.png"/><Relationship Id="rId168" Type="http://schemas.openxmlformats.org/officeDocument/2006/relationships/image" Target="media/image122.png"/><Relationship Id="rId169" Type="http://schemas.openxmlformats.org/officeDocument/2006/relationships/image" Target="media/image123.png"/><Relationship Id="rId170" Type="http://schemas.openxmlformats.org/officeDocument/2006/relationships/image" Target="media/image124.png"/><Relationship Id="rId171" Type="http://schemas.openxmlformats.org/officeDocument/2006/relationships/image" Target="media/image125.png"/><Relationship Id="rId172" Type="http://schemas.openxmlformats.org/officeDocument/2006/relationships/image" Target="media/image126.png"/><Relationship Id="rId173" Type="http://schemas.openxmlformats.org/officeDocument/2006/relationships/image" Target="media/image127.png"/><Relationship Id="rId174" Type="http://schemas.openxmlformats.org/officeDocument/2006/relationships/image" Target="media/image128.png"/><Relationship Id="rId175" Type="http://schemas.openxmlformats.org/officeDocument/2006/relationships/image" Target="media/image129.png"/><Relationship Id="rId176" Type="http://schemas.openxmlformats.org/officeDocument/2006/relationships/image" Target="media/image130.png"/><Relationship Id="rId177" Type="http://schemas.openxmlformats.org/officeDocument/2006/relationships/image" Target="media/image131.png"/><Relationship Id="rId178" Type="http://schemas.openxmlformats.org/officeDocument/2006/relationships/image" Target="media/image132.png"/><Relationship Id="rId179" Type="http://schemas.openxmlformats.org/officeDocument/2006/relationships/image" Target="media/image133.png"/><Relationship Id="rId180" Type="http://schemas.openxmlformats.org/officeDocument/2006/relationships/image" Target="media/image134.png"/><Relationship Id="rId181" Type="http://schemas.openxmlformats.org/officeDocument/2006/relationships/image" Target="media/image135.png"/><Relationship Id="rId182" Type="http://schemas.openxmlformats.org/officeDocument/2006/relationships/image" Target="media/image136.png"/><Relationship Id="rId183" Type="http://schemas.openxmlformats.org/officeDocument/2006/relationships/image" Target="media/image137.png"/><Relationship Id="rId184" Type="http://schemas.openxmlformats.org/officeDocument/2006/relationships/image" Target="media/image138.png"/><Relationship Id="rId185" Type="http://schemas.openxmlformats.org/officeDocument/2006/relationships/image" Target="media/image139.png"/><Relationship Id="rId186" Type="http://schemas.openxmlformats.org/officeDocument/2006/relationships/image" Target="media/image140.png"/><Relationship Id="rId187" Type="http://schemas.openxmlformats.org/officeDocument/2006/relationships/image" Target="media/image141.png"/><Relationship Id="rId188" Type="http://schemas.openxmlformats.org/officeDocument/2006/relationships/image" Target="media/image142.png"/><Relationship Id="rId189" Type="http://schemas.openxmlformats.org/officeDocument/2006/relationships/image" Target="media/image143.png"/><Relationship Id="rId190" Type="http://schemas.openxmlformats.org/officeDocument/2006/relationships/image" Target="media/image144.png"/><Relationship Id="rId191" Type="http://schemas.openxmlformats.org/officeDocument/2006/relationships/image" Target="media/image145.png"/><Relationship Id="rId192" Type="http://schemas.openxmlformats.org/officeDocument/2006/relationships/image" Target="media/image146.png"/><Relationship Id="rId193" Type="http://schemas.openxmlformats.org/officeDocument/2006/relationships/image" Target="media/image147.png"/><Relationship Id="rId194" Type="http://schemas.openxmlformats.org/officeDocument/2006/relationships/image" Target="media/image148.png"/><Relationship Id="rId195" Type="http://schemas.openxmlformats.org/officeDocument/2006/relationships/image" Target="media/image149.png"/><Relationship Id="rId196" Type="http://schemas.openxmlformats.org/officeDocument/2006/relationships/image" Target="media/image150.png"/><Relationship Id="rId197" Type="http://schemas.openxmlformats.org/officeDocument/2006/relationships/image" Target="media/image151.png"/><Relationship Id="rId198" Type="http://schemas.openxmlformats.org/officeDocument/2006/relationships/image" Target="media/image152.png"/><Relationship Id="rId199" Type="http://schemas.openxmlformats.org/officeDocument/2006/relationships/image" Target="media/image153.png"/><Relationship Id="rId200" Type="http://schemas.openxmlformats.org/officeDocument/2006/relationships/image" Target="media/image154.png"/><Relationship Id="rId201" Type="http://schemas.openxmlformats.org/officeDocument/2006/relationships/image" Target="media/image155.png"/><Relationship Id="rId202" Type="http://schemas.openxmlformats.org/officeDocument/2006/relationships/image" Target="media/image156.png"/><Relationship Id="rId203" Type="http://schemas.openxmlformats.org/officeDocument/2006/relationships/image" Target="media/image157.png"/><Relationship Id="rId204" Type="http://schemas.openxmlformats.org/officeDocument/2006/relationships/image" Target="media/image158.png"/><Relationship Id="rId205" Type="http://schemas.openxmlformats.org/officeDocument/2006/relationships/image" Target="media/image159.png"/><Relationship Id="rId206" Type="http://schemas.openxmlformats.org/officeDocument/2006/relationships/image" Target="media/image160.png"/><Relationship Id="rId207" Type="http://schemas.openxmlformats.org/officeDocument/2006/relationships/image" Target="media/image161.png"/><Relationship Id="rId208" Type="http://schemas.openxmlformats.org/officeDocument/2006/relationships/image" Target="media/image162.png"/><Relationship Id="rId209" Type="http://schemas.openxmlformats.org/officeDocument/2006/relationships/image" Target="media/image163.png"/><Relationship Id="rId210" Type="http://schemas.openxmlformats.org/officeDocument/2006/relationships/image" Target="media/image164.png"/><Relationship Id="rId211" Type="http://schemas.openxmlformats.org/officeDocument/2006/relationships/image" Target="media/image165.png"/><Relationship Id="rId212" Type="http://schemas.openxmlformats.org/officeDocument/2006/relationships/image" Target="media/image166.png"/><Relationship Id="rId213" Type="http://schemas.openxmlformats.org/officeDocument/2006/relationships/image" Target="media/image167.png"/><Relationship Id="rId214" Type="http://schemas.openxmlformats.org/officeDocument/2006/relationships/image" Target="media/image168.png"/><Relationship Id="rId215" Type="http://schemas.openxmlformats.org/officeDocument/2006/relationships/image" Target="media/image169.png"/><Relationship Id="rId216" Type="http://schemas.openxmlformats.org/officeDocument/2006/relationships/image" Target="media/image170.png"/><Relationship Id="rId217" Type="http://schemas.openxmlformats.org/officeDocument/2006/relationships/image" Target="media/image171.png"/><Relationship Id="rId218" Type="http://schemas.openxmlformats.org/officeDocument/2006/relationships/image" Target="media/image172.png"/><Relationship Id="rId219" Type="http://schemas.openxmlformats.org/officeDocument/2006/relationships/image" Target="media/image173.png"/><Relationship Id="rId220" Type="http://schemas.openxmlformats.org/officeDocument/2006/relationships/image" Target="media/image174.png"/><Relationship Id="rId221" Type="http://schemas.openxmlformats.org/officeDocument/2006/relationships/image" Target="media/image175.png"/><Relationship Id="rId222" Type="http://schemas.openxmlformats.org/officeDocument/2006/relationships/image" Target="media/image176.png"/><Relationship Id="rId223" Type="http://schemas.openxmlformats.org/officeDocument/2006/relationships/image" Target="media/image177.png"/><Relationship Id="rId224" Type="http://schemas.openxmlformats.org/officeDocument/2006/relationships/image" Target="media/image178.png"/><Relationship Id="rId225" Type="http://schemas.openxmlformats.org/officeDocument/2006/relationships/image" Target="media/image179.png"/><Relationship Id="rId226" Type="http://schemas.openxmlformats.org/officeDocument/2006/relationships/image" Target="media/image180.png"/><Relationship Id="rId227" Type="http://schemas.openxmlformats.org/officeDocument/2006/relationships/image" Target="media/image181.png"/><Relationship Id="rId228" Type="http://schemas.openxmlformats.org/officeDocument/2006/relationships/image" Target="media/image182.png"/><Relationship Id="rId229" Type="http://schemas.openxmlformats.org/officeDocument/2006/relationships/image" Target="media/image183.png"/><Relationship Id="rId230" Type="http://schemas.openxmlformats.org/officeDocument/2006/relationships/image" Target="media/image184.png"/><Relationship Id="rId231" Type="http://schemas.openxmlformats.org/officeDocument/2006/relationships/image" Target="media/image185.png"/><Relationship Id="rId232" Type="http://schemas.openxmlformats.org/officeDocument/2006/relationships/image" Target="media/image186.png"/><Relationship Id="rId233" Type="http://schemas.openxmlformats.org/officeDocument/2006/relationships/image" Target="media/image187.png"/><Relationship Id="rId234" Type="http://schemas.openxmlformats.org/officeDocument/2006/relationships/image" Target="media/image188.png"/><Relationship Id="rId235" Type="http://schemas.openxmlformats.org/officeDocument/2006/relationships/image" Target="media/image189.png"/><Relationship Id="rId236" Type="http://schemas.openxmlformats.org/officeDocument/2006/relationships/image" Target="media/image190.png"/><Relationship Id="rId237" Type="http://schemas.openxmlformats.org/officeDocument/2006/relationships/image" Target="media/image191.png"/><Relationship Id="rId238" Type="http://schemas.openxmlformats.org/officeDocument/2006/relationships/image" Target="media/image192.png"/><Relationship Id="rId239" Type="http://schemas.openxmlformats.org/officeDocument/2006/relationships/image" Target="media/image193.png"/><Relationship Id="rId240" Type="http://schemas.openxmlformats.org/officeDocument/2006/relationships/image" Target="media/image194.png"/><Relationship Id="rId241" Type="http://schemas.openxmlformats.org/officeDocument/2006/relationships/image" Target="media/image195.png"/><Relationship Id="rId242" Type="http://schemas.openxmlformats.org/officeDocument/2006/relationships/image" Target="media/image196.png"/><Relationship Id="rId243" Type="http://schemas.openxmlformats.org/officeDocument/2006/relationships/image" Target="media/image197.png"/><Relationship Id="rId244" Type="http://schemas.openxmlformats.org/officeDocument/2006/relationships/image" Target="media/image198.png"/><Relationship Id="rId245" Type="http://schemas.openxmlformats.org/officeDocument/2006/relationships/image" Target="media/image199.png"/><Relationship Id="rId246" Type="http://schemas.openxmlformats.org/officeDocument/2006/relationships/image" Target="media/image200.png"/><Relationship Id="rId247" Type="http://schemas.openxmlformats.org/officeDocument/2006/relationships/image" Target="media/image201.png"/><Relationship Id="rId248" Type="http://schemas.openxmlformats.org/officeDocument/2006/relationships/image" Target="media/image202.png"/><Relationship Id="rId249" Type="http://schemas.openxmlformats.org/officeDocument/2006/relationships/image" Target="media/image203.png"/><Relationship Id="rId250" Type="http://schemas.openxmlformats.org/officeDocument/2006/relationships/image" Target="media/image204.png"/><Relationship Id="rId251" Type="http://schemas.openxmlformats.org/officeDocument/2006/relationships/image" Target="media/image205.png"/><Relationship Id="rId252" Type="http://schemas.openxmlformats.org/officeDocument/2006/relationships/image" Target="media/image206.png"/><Relationship Id="rId253" Type="http://schemas.openxmlformats.org/officeDocument/2006/relationships/image" Target="media/image207.png"/><Relationship Id="rId254" Type="http://schemas.openxmlformats.org/officeDocument/2006/relationships/image" Target="media/image208.png"/><Relationship Id="rId255" Type="http://schemas.openxmlformats.org/officeDocument/2006/relationships/image" Target="media/image209.png"/><Relationship Id="rId256" Type="http://schemas.openxmlformats.org/officeDocument/2006/relationships/image" Target="media/image210.png"/><Relationship Id="rId257" Type="http://schemas.openxmlformats.org/officeDocument/2006/relationships/image" Target="media/image211.png"/><Relationship Id="rId258" Type="http://schemas.openxmlformats.org/officeDocument/2006/relationships/image" Target="media/image212.png"/><Relationship Id="rId259" Type="http://schemas.openxmlformats.org/officeDocument/2006/relationships/image" Target="media/image213.png"/><Relationship Id="rId260" Type="http://schemas.openxmlformats.org/officeDocument/2006/relationships/image" Target="media/image214.png"/><Relationship Id="rId261" Type="http://schemas.openxmlformats.org/officeDocument/2006/relationships/image" Target="media/image215.png"/><Relationship Id="rId262" Type="http://schemas.openxmlformats.org/officeDocument/2006/relationships/image" Target="media/image216.png"/><Relationship Id="rId263" Type="http://schemas.openxmlformats.org/officeDocument/2006/relationships/image" Target="media/image217.png"/><Relationship Id="rId264" Type="http://schemas.openxmlformats.org/officeDocument/2006/relationships/image" Target="media/image218.png"/><Relationship Id="rId265" Type="http://schemas.openxmlformats.org/officeDocument/2006/relationships/image" Target="media/image219.png"/><Relationship Id="rId266" Type="http://schemas.openxmlformats.org/officeDocument/2006/relationships/image" Target="media/image220.png"/><Relationship Id="rId267" Type="http://schemas.openxmlformats.org/officeDocument/2006/relationships/image" Target="media/image221.jpeg"/><Relationship Id="rId268" Type="http://schemas.openxmlformats.org/officeDocument/2006/relationships/image" Target="media/image222.jpeg"/><Relationship Id="rId269" Type="http://schemas.openxmlformats.org/officeDocument/2006/relationships/image" Target="media/image223.jpeg"/><Relationship Id="rId270" Type="http://schemas.openxmlformats.org/officeDocument/2006/relationships/image" Target="media/image224.jpeg"/><Relationship Id="rId271" Type="http://schemas.openxmlformats.org/officeDocument/2006/relationships/image" Target="media/image225.png"/><Relationship Id="rId272" Type="http://schemas.openxmlformats.org/officeDocument/2006/relationships/image" Target="media/image226.png"/><Relationship Id="rId273" Type="http://schemas.openxmlformats.org/officeDocument/2006/relationships/image" Target="media/image227.png"/><Relationship Id="rId274" Type="http://schemas.openxmlformats.org/officeDocument/2006/relationships/image" Target="media/image228.png"/><Relationship Id="rId275" Type="http://schemas.openxmlformats.org/officeDocument/2006/relationships/image" Target="media/image229.png"/><Relationship Id="rId276" Type="http://schemas.openxmlformats.org/officeDocument/2006/relationships/image" Target="media/image230.png"/><Relationship Id="rId277" Type="http://schemas.openxmlformats.org/officeDocument/2006/relationships/image" Target="media/image231.png"/><Relationship Id="rId105" Type="http://schemas.openxmlformats.org/officeDocument/2006/relationships/hyperlink" Target="https://www.sec.gov/Archives/edgar/data/96869/000009686921000016/ex31restatedcertificateo.htm" TargetMode="External"/><Relationship Id="rId106" Type="http://schemas.openxmlformats.org/officeDocument/2006/relationships/hyperlink" Target="https://www.sec.gov/Archives/edgar/data/96869/000009686923000006/exhibit44descriptionofsecu.htm" TargetMode="External"/><Relationship Id="rId107" Type="http://schemas.openxmlformats.org/officeDocument/2006/relationships/hyperlink" Target="https://www.sec.gov/Archives/edgar/data/96869/000119312519119877/d718363dex46.htm" TargetMode="External"/><Relationship Id="rId108" Type="http://schemas.openxmlformats.org/officeDocument/2006/relationships/hyperlink" Target="https://www.sec.gov/Archives/edgar/data/96869/0000096869-98-000002.txt" TargetMode="External"/><Relationship Id="rId109" Type="http://schemas.openxmlformats.org/officeDocument/2006/relationships/hyperlink" Target="https://www.sec.gov/Archives/edgar/data/96869/000119312509042772/dex1010.htm" TargetMode="External"/><Relationship Id="rId110" Type="http://schemas.openxmlformats.org/officeDocument/2006/relationships/hyperlink" Target="https://www.sec.gov/Archives/edgar/data/96869/000102140802004535/dex1016.txt" TargetMode="External"/><Relationship Id="rId111" Type="http://schemas.openxmlformats.org/officeDocument/2006/relationships/hyperlink" Target="https://www.sec.gov/Archives/edgar/data/96869/000119312505051499/dex1021.htm" TargetMode="External"/><Relationship Id="rId112" Type="http://schemas.openxmlformats.org/officeDocument/2006/relationships/hyperlink" Target="https://www.sec.gov/Archives/edgar/data/96869/000119312505051499/dex1023.htm" TargetMode="External"/><Relationship Id="rId113" Type="http://schemas.openxmlformats.org/officeDocument/2006/relationships/hyperlink" Target="https://www.sec.gov/Archives/edgar/data/96869/000119312505051499/dex1022.htm" TargetMode="External"/><Relationship Id="rId114" Type="http://schemas.openxmlformats.org/officeDocument/2006/relationships/hyperlink" Target="https://www.sec.gov/Archives/edgar/data/96869/000119312506118520/dex1024.htm" TargetMode="External"/><Relationship Id="rId115" Type="http://schemas.openxmlformats.org/officeDocument/2006/relationships/hyperlink" Target="https://www.sec.gov/Archives/edgar/data/96869/000119312508138009/dex1028.htm" TargetMode="External"/><Relationship Id="rId116" Type="http://schemas.openxmlformats.org/officeDocument/2006/relationships/hyperlink" Target="https://www.sec.gov/Archives/edgar/data/96869/000119312509170594/dex1025.htm" TargetMode="External"/><Relationship Id="rId117" Type="http://schemas.openxmlformats.org/officeDocument/2006/relationships/hyperlink" Target="https://www.sec.gov/Archives/edgar/data/96869/000119312513246605/d549609dex1027.htm" TargetMode="External"/><Relationship Id="rId118" Type="http://schemas.openxmlformats.org/officeDocument/2006/relationships/hyperlink" Target="https://www.sec.gov/Archives/edgar/data/96869/000009686914000009/exhibit1029tmvamendments20.htm" TargetMode="External"/><Relationship Id="rId119" Type="http://schemas.openxmlformats.org/officeDocument/2006/relationships/hyperlink" Target="https://www.sec.gov/Archives/edgar/data/96869/000119312514270067/d758856dex1030.htm" TargetMode="External"/><Relationship Id="rId120" Type="http://schemas.openxmlformats.org/officeDocument/2006/relationships/hyperlink" Target="https://www.sec.gov/Archives/edgar/data/96869/000009686915000003/exhibit1034calpineagreemen.htm" TargetMode="External"/><Relationship Id="rId121" Type="http://schemas.openxmlformats.org/officeDocument/2006/relationships/hyperlink" Target="https://www.sec.gov/Archives/edgar/data/96869/000009686915000010/ex1035q32015.htm" TargetMode="External"/><Relationship Id="rId122" Type="http://schemas.openxmlformats.org/officeDocument/2006/relationships/hyperlink" Target="https://www.sec.gov/Archives/edgar/data/96869/000009686916000017/ex1037limitedliabilityagre.htm" TargetMode="External"/><Relationship Id="rId123" Type="http://schemas.openxmlformats.org/officeDocument/2006/relationships/hyperlink" Target="https://www.sec.gov/Archives/edgar/data/96869/000009686916000019/ex1038llagreementoftrc-mrc1.htm" TargetMode="External"/><Relationship Id="rId124" Type="http://schemas.openxmlformats.org/officeDocument/2006/relationships/hyperlink" Target="https://www.sec.gov/Archives/edgar/data/96869/000009686917000002/exhibit1039centennialredem.htm" TargetMode="External"/><Relationship Id="rId125" Type="http://schemas.openxmlformats.org/officeDocument/2006/relationships/hyperlink" Target="https://www.sec.gov/Archives/edgar/data/96869/000009686917000002/exhibit1040firstamendmentt.htm" TargetMode="External"/><Relationship Id="rId126" Type="http://schemas.openxmlformats.org/officeDocument/2006/relationships/hyperlink" Target="https://www.sec.gov/Archives/edgar/data/96869/000009686917000002/exhibit1041secondamendment.htm" TargetMode="External"/><Relationship Id="rId129" Type="http://schemas.openxmlformats.org/officeDocument/2006/relationships/hyperlink" Target="https://www.sec.gov/Archives/edgar/data/96869/000009686918000015/ex1042trcmrc3llc.htm" TargetMode="External"/><Relationship Id="rId130" Type="http://schemas.openxmlformats.org/officeDocument/2006/relationships/hyperlink" Target="https://www.sec.gov/Archives/edgar/data/96869/000009686919000004/exhibit1043201810k.htm" TargetMode="External"/><Relationship Id="rId131" Type="http://schemas.openxmlformats.org/officeDocument/2006/relationships/hyperlink" Target="https://www.sec.gov/Archives/edgar/data/96869/000009686919000004/exhibit1044201810k.htm" TargetMode="External"/><Relationship Id="rId132" Type="http://schemas.openxmlformats.org/officeDocument/2006/relationships/hyperlink" Target="https://www.sec.gov/Archives/edgar/data/96869/000009686920000007/exhibit1047-gregbseverance.htm" TargetMode="External"/><Relationship Id="rId133" Type="http://schemas.openxmlformats.org/officeDocument/2006/relationships/hyperlink" Target="https://www.sec.gov/Archives/edgar/data/0000096869/000009686921000011/ex1048mrc4llc.htm" TargetMode="External"/><Relationship Id="rId134" Type="http://schemas.openxmlformats.org/officeDocument/2006/relationships/hyperlink" Target="https://www.sec.gov/Archives/edgar/data/96869/000009686922000005/exhibit1048centennialcrf.htm" TargetMode="External"/><Relationship Id="rId135" Type="http://schemas.openxmlformats.org/officeDocument/2006/relationships/hyperlink" Target="https://www.sec.gov/Archives/edgar/data/96869/000009686922000005/exhibit1050trc-mrcmultii.htm" TargetMode="External"/><Relationship Id="rId136" Type="http://schemas.openxmlformats.org/officeDocument/2006/relationships/hyperlink" Target="https://www.sec.gov/Archives/edgar/data/96869/000009686922000009/ex1051mrc5.htm" TargetMode="External"/><Relationship Id="rId137" Type="http://schemas.openxmlformats.org/officeDocument/2006/relationships/hyperlink" Target="https://www.sec.gov/Archives/edgar/data/96869/000119312523280777/d518195dex1001.htm" TargetMode="External"/><Relationship Id="rId138" Type="http://schemas.openxmlformats.org/officeDocument/2006/relationships/hyperlink" Target="https://www.sec.gov/Archives/edgar/data/96869/000119312524076651/d796643dex1001.htm" TargetMode="External"/><Relationship Id="rId139" Type="http://schemas.openxmlformats.org/officeDocument/2006/relationships/hyperlink" Target="https://www.sec.gov/Archives/edgar/data/96869/000009686924000014/trcdpllc.htm" TargetMode="External"/><Relationship Id="rId140" Type="http://schemas.openxmlformats.org/officeDocument/2006/relationships/hyperlink" Target="https://www.sec.gov/Archives/edgar/data/96869/000119312525024064/d930665dex1001.htm" TargetMode="External"/><Relationship Id="rId141" Type="http://schemas.openxmlformats.org/officeDocument/2006/relationships/hyperlink" Target="https://www.sec.gov/Archives/edgar/data/96869/000119312525240902/d916357dex1001.htm" TargetMode="External"/><Relationship Id="rId142" Type="http://schemas.openxmlformats.org/officeDocument/2006/relationships/hyperlink" Target="https://www.sec.gov/Archives/edgar/data/96869/000119312524253871/d901734dex1001.htm" TargetMode="External"/><Relationship Id="rId143" Type="http://schemas.openxmlformats.org/officeDocument/2006/relationships/hyperlink" Target="https://www.sec.gov/Archives/edgar/data/96869/000009686925000032/a2023stockincentiveplan.htm" TargetMode="External"/><Relationship Id="rId144" Type="http://schemas.openxmlformats.org/officeDocument/2006/relationships/hyperlink" Target="https://www.sec.gov/Archives/edgar/data/96869/000009686925000032/tejonranchrestrictedstoc.htm" TargetMode="External"/><Relationship Id="rId145" Type="http://schemas.openxmlformats.org/officeDocument/2006/relationships/hyperlink" Target="https://www.sec.gov/Archives/edgar/data/96869/000009686924000005/exh97clawbackpolic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2026-03-19T11:11:11Z</dcterms:created>
  <dcterms:modified xsi:type="dcterms:W3CDTF">2026-03-19T11:11:11Z</dcterms:modified>
</cp:coreProperties>
</file>