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99" w:lineRule="exact"/>
        <w:rPr>
          <w:sz w:val="24"/>
          <w:szCs w:val="24"/>
          <w:color w:val="auto"/>
        </w:rPr>
      </w:pPr>
    </w:p>
    <w:p>
      <w:pPr>
        <w:jc w:val="center"/>
        <w:ind w:left="4420" w:right="2280" w:hanging="2088"/>
        <w:spacing w:after="0" w:line="267" w:lineRule="auto"/>
        <w:tabs>
          <w:tab w:leader="none" w:pos="2491"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June 30, 2022</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1"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83185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TEJON RANCH CO.</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77-0196136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P.O. Box 1000, Tejon Ranch, California 93243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(661) 248-3000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420" w:type="dxa"/>
            <w:vAlign w:val="bottom"/>
            <w:tcBorders>
              <w:top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81" w:lineRule="exact"/>
        <w:rPr>
          <w:sz w:val="24"/>
          <w:szCs w:val="24"/>
          <w:color w:val="auto"/>
        </w:rPr>
      </w:pPr>
    </w:p>
    <w:p>
      <w:pPr>
        <w:jc w:val="both"/>
        <w:ind w:left="20" w:right="6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61" w:lineRule="exact"/>
        <w:rPr>
          <w:sz w:val="24"/>
          <w:szCs w:val="24"/>
          <w:color w:val="auto"/>
        </w:rPr>
      </w:pPr>
    </w:p>
    <w:p>
      <w:pPr>
        <w:ind w:left="20" w:right="12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93" w:lineRule="exact"/>
        <w:rPr>
          <w:sz w:val="24"/>
          <w:szCs w:val="24"/>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1" w:right="359" w:bottom="1440" w:gutter="0" w:footer="0" w:header="0"/>
        </w:sectPr>
      </w:pPr>
    </w:p>
    <w:p>
      <w:pPr>
        <w:spacing w:after="0" w:line="90" w:lineRule="exact"/>
        <w:rPr>
          <w:sz w:val="24"/>
          <w:szCs w:val="24"/>
          <w:color w:val="auto"/>
        </w:rPr>
      </w:pPr>
    </w:p>
    <w:p>
      <w:pPr>
        <w:ind w:left="24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62" w:lineRule="exact"/>
        <w:rPr>
          <w:sz w:val="24"/>
          <w:szCs w:val="24"/>
          <w:color w:val="auto"/>
        </w:rPr>
      </w:pPr>
    </w:p>
    <w:p>
      <w:pPr>
        <w:sectPr>
          <w:pgSz w:w="11900" w:h="16838" w:orient="portrait"/>
          <w:cols w:equalWidth="0" w:num="2">
            <w:col w:w="4800" w:space="720"/>
            <w:col w:w="5720"/>
          </w:cols>
          <w:pgMar w:left="300" w:top="781" w:right="359" w:bottom="1440" w:gutter="0" w:footer="0" w:header="0"/>
          <w:type w:val="continuous"/>
        </w:sectPr>
      </w:pPr>
    </w:p>
    <w:p>
      <w:pPr>
        <w:ind w:left="2460"/>
        <w:spacing w:after="0" w:line="150"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74" w:lineRule="exact"/>
        <w:rPr>
          <w:sz w:val="24"/>
          <w:szCs w:val="24"/>
          <w:color w:val="auto"/>
        </w:rPr>
      </w:pPr>
    </w:p>
    <w:p>
      <w:pPr>
        <w:sectPr>
          <w:pgSz w:w="11900" w:h="16838" w:orient="portrait"/>
          <w:cols w:equalWidth="0" w:num="2">
            <w:col w:w="4260" w:space="720"/>
            <w:col w:w="6260"/>
          </w:cols>
          <w:pgMar w:left="300" w:top="781" w:right="359" w:bottom="1440" w:gutter="0" w:footer="0" w:header="0"/>
          <w:type w:val="continuous"/>
        </w:sectPr>
      </w:pPr>
    </w:p>
    <w:p>
      <w:pPr>
        <w:jc w:val="center"/>
        <w:ind w:right="-23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40"/>
          </w:cols>
          <w:pgMar w:left="300" w:top="781" w:right="359" w:bottom="1440" w:gutter="0" w:footer="0" w:header="0"/>
          <w:type w:val="continuous"/>
        </w:sectPr>
      </w:pPr>
    </w:p>
    <w:p>
      <w:pPr>
        <w:spacing w:after="0" w:line="169" w:lineRule="exact"/>
        <w:rPr>
          <w:sz w:val="24"/>
          <w:szCs w:val="24"/>
          <w:color w:val="auto"/>
        </w:rPr>
      </w:pPr>
    </w:p>
    <w:p>
      <w:pPr>
        <w:ind w:left="20" w:right="180"/>
        <w:spacing w:after="0" w:line="15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4"/>
          <w:szCs w:val="24"/>
          <w:color w:val="auto"/>
        </w:rPr>
      </w:pPr>
    </w:p>
    <w:p>
      <w:pPr>
        <w:ind w:left="20"/>
        <w:spacing w:after="0" w:line="15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the Company’s outstanding shares of Common Stock on July 31, 2022 was 26,491,770.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PART I.</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FINANCIAL INFORMATION</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Operations for the Three and Six Months Ended June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Comprehensive Income for the Three and Six Months Ended June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Balance Sheets as of June 30, 2022 (unaudited) and December 31,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Cash Flows for the Six Months Ended June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 of Changes in Equity and Noncontrolling Interests for the Three and Six Months Ended June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0" w:type="dxa"/>
            <w:vAlign w:val="bottom"/>
          </w:tcPr>
          <w:p>
            <w:pPr>
              <w:spacing w:after="0"/>
              <w:rPr>
                <w:sz w:val="1"/>
                <w:szCs w:val="1"/>
                <w:color w:val="auto"/>
              </w:rPr>
            </w:pPr>
          </w:p>
        </w:tc>
      </w:tr>
      <w:tr>
        <w:trPr>
          <w:trHeight w:val="870"/>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0"/>
        </w:trPr>
        <w:tc>
          <w:tcPr>
            <w:tcW w:w="45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10,354</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27,692</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Corporate expenses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11,587</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26,221</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income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other income</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18"/>
        </w:trPr>
        <w:tc>
          <w:tcPr>
            <w:tcW w:w="4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(Loss) income from operations before equity in earnings of unconsolidated</w:t>
            </w:r>
          </w:p>
        </w:tc>
        <w:tc>
          <w:tcPr>
            <w:tcW w:w="10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 expense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common stockholders, basic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0.14</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common stockholders, diluted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income</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comprehensive (loss) gain:</w:t>
      </w:r>
    </w:p>
    <w:p>
      <w:pPr>
        <w:spacing w:after="0" w:line="23" w:lineRule="exact"/>
        <w:rPr>
          <w:sz w:val="20"/>
          <w:szCs w:val="20"/>
          <w:color w:val="auto"/>
        </w:rPr>
      </w:pPr>
    </w:p>
    <w:p>
      <w:pPr>
        <w:ind w:left="280"/>
        <w:spacing w:after="0" w:line="282" w:lineRule="auto"/>
        <w:rPr>
          <w:sz w:val="20"/>
          <w:szCs w:val="20"/>
          <w:color w:val="auto"/>
        </w:rPr>
      </w:pPr>
      <w:r>
        <w:rPr>
          <w:rFonts w:ascii="Times New Roman" w:cs="Times New Roman" w:eastAsia="Times New Roman" w:hAnsi="Times New Roman"/>
          <w:sz w:val="14"/>
          <w:szCs w:val="14"/>
          <w:color w:val="auto"/>
        </w:rPr>
        <w:t>Unrealized loss on available-for-sale securities Unrealized gain on interest rate swap</w:t>
      </w:r>
    </w:p>
    <w:p>
      <w:pPr>
        <w:spacing w:after="0" w:line="20" w:lineRule="exact"/>
        <w:rPr>
          <w:sz w:val="20"/>
          <w:szCs w:val="20"/>
          <w:color w:val="auto"/>
        </w:rPr>
      </w:pPr>
      <w:r>
        <w:rPr>
          <w:sz w:val="20"/>
          <w:szCs w:val="20"/>
          <w:color w:val="auto"/>
        </w:rPr>
        <w:br w:type="column"/>
      </w:r>
    </w:p>
    <w:p>
      <w:pPr>
        <w:jc w:val="center"/>
        <w:ind w:right="304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TEJON RANCH CO. AND SUBSIDIARIES UNAUDITED CONSOLIDATED STATEMENTS OF COMPREHENSIVE INCOME </w:t>
      </w:r>
      <w:r>
        <w:rPr>
          <w:rFonts w:ascii="Times New Roman" w:cs="Times New Roman" w:eastAsia="Times New Roman" w:hAnsi="Times New Roman"/>
          <w:sz w:val="14"/>
          <w:szCs w:val="14"/>
          <w:color w:val="auto"/>
        </w:rPr>
        <w:t>(In thousands)</w:t>
      </w:r>
    </w:p>
    <w:p>
      <w:pPr>
        <w:spacing w:after="0" w:line="356" w:lineRule="exact"/>
        <w:rPr>
          <w:sz w:val="20"/>
          <w:szCs w:val="20"/>
          <w:color w:val="auto"/>
        </w:rPr>
      </w:pPr>
    </w:p>
    <w:tbl>
      <w:tblPr>
        <w:tblLayout w:type="fixed"/>
        <w:tblInd w:w="2200" w:type="dxa"/>
        <w:tblCellMar>
          <w:top w:w="0" w:type="dxa"/>
          <w:left w:w="0" w:type="dxa"/>
          <w:bottom w:w="0" w:type="dxa"/>
          <w:right w:w="0" w:type="dxa"/>
        </w:tblCellMar>
      </w:tblPr>
      <w:tr>
        <w:trPr>
          <w:trHeight w:val="184"/>
        </w:trPr>
        <w:tc>
          <w:tcPr>
            <w:tcW w:w="25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75"/>
        </w:trPr>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5"/>
                <w:szCs w:val="15"/>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353"/>
        </w:trPr>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2"/>
        </w:trPr>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-462915</wp:posOffset>
            </wp:positionV>
            <wp:extent cx="7161530"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-227330</wp:posOffset>
            </wp:positionV>
            <wp:extent cx="716153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20" w:space="140"/>
            <w:col w:w="8220"/>
          </w:cols>
          <w:pgMar w:left="300" w:top="728" w:right="319" w:bottom="1440" w:gutter="0" w:footer="0" w:header="0"/>
        </w:sectPr>
      </w:pPr>
    </w:p>
    <w:tbl>
      <w:tblPr>
        <w:tblLayout w:type="fixed"/>
        <w:tblInd w:w="0" w:type="dxa"/>
        <w:tblCellMar>
          <w:top w:w="0" w:type="dxa"/>
          <w:left w:w="0" w:type="dxa"/>
          <w:bottom w:w="0" w:type="dxa"/>
          <w:right w:w="0" w:type="dxa"/>
        </w:tblCellMar>
      </w:tblPr>
      <w:tr>
        <w:trPr>
          <w:trHeight w:val="154"/>
        </w:trPr>
        <w:tc>
          <w:tcPr>
            <w:tcW w:w="5260" w:type="dxa"/>
            <w:vAlign w:val="bottom"/>
            <w:tcBorders>
              <w:top w:val="single" w:sz="8" w:color="CCEEFF"/>
            </w:tcBorders>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Other comprehensive gain before taxes</w:t>
            </w:r>
          </w:p>
        </w:tc>
        <w:tc>
          <w:tcPr>
            <w:tcW w:w="5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1,549</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4,034</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1,774</w:t>
            </w:r>
          </w:p>
        </w:tc>
      </w:tr>
      <w:tr>
        <w:trPr>
          <w:trHeight w:val="180"/>
        </w:trPr>
        <w:tc>
          <w:tcPr>
            <w:tcW w:w="5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Expense for income taxes related to other comprehensive income items</w:t>
            </w: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171"/>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gain (loss)</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interests</w:t>
            </w: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common stockholders</w:t>
            </w: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3,043</w:t>
            </w:r>
          </w:p>
        </w:tc>
      </w:tr>
      <w:tr>
        <w:trPr>
          <w:trHeight w:val="20"/>
        </w:trPr>
        <w:tc>
          <w:tcPr>
            <w:tcW w:w="5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84"/>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(unaudited)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36,195</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Marketable securities - available-for-sale</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17,301</w:t>
            </w:r>
          </w:p>
        </w:tc>
        <w:tc>
          <w:tcPr>
            <w:tcW w:w="0" w:type="dxa"/>
            <w:vAlign w:val="bottom"/>
          </w:tcPr>
          <w:p>
            <w:pPr>
              <w:spacing w:after="0"/>
              <w:rPr>
                <w:sz w:val="1"/>
                <w:szCs w:val="1"/>
                <w:color w:val="auto"/>
              </w:rPr>
            </w:pPr>
          </w:p>
        </w:tc>
      </w:tr>
      <w:tr>
        <w:trPr>
          <w:trHeight w:val="138"/>
        </w:trPr>
        <w:tc>
          <w:tcPr>
            <w:tcW w:w="7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Real estate development (includes $113,627 at June 30, 2022 and $112,063 at December 31, 2021, attributable to Centennial</w:t>
            </w: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Founders, LLC, Note 15)</w:t>
            </w:r>
          </w:p>
        </w:tc>
        <w:tc>
          <w:tcPr>
            <w:tcW w:w="1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319,030</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50,699</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joint ventures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43,418</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water assets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50,997</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546,036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Taxes Payable</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15,595</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48,155</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gains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14,468</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89,525</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Tejon Ranch Co. Stockholders’ Equity</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Common stock, $0.50 par value per share:</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Authorized shares - 30,000,000</w:t>
            </w: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Issued and outstanding shares - 26,484,947 at June 30, 2022 and 26,400,921 at December 31, 2021</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344,936</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Retained earnings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93,475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89,835</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Tejon Ranch Co. Stockholders’ Equity</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441,149</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4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464,309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456,511</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548,305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546,036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80" w:type="dxa"/>
            <w:vAlign w:val="bottom"/>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376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by operating activities: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0" w:type="dxa"/>
            <w:vAlign w:val="bottom"/>
          </w:tcPr>
          <w:p>
            <w:pPr>
              <w:spacing w:after="0"/>
              <w:rPr>
                <w:sz w:val="1"/>
                <w:szCs w:val="1"/>
                <w:color w:val="auto"/>
              </w:rPr>
            </w:pPr>
          </w:p>
        </w:tc>
      </w:tr>
      <w:tr>
        <w:trPr>
          <w:trHeight w:val="180"/>
        </w:trPr>
        <w:tc>
          <w:tcPr>
            <w:tcW w:w="5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premium/discount of marketable securities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80"/>
        </w:trPr>
        <w:tc>
          <w:tcPr>
            <w:tcW w:w="5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retirement plan expense (benefit)</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Non-cash profits recognized from land contribution</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0" w:type="dxa"/>
            <w:vAlign w:val="bottom"/>
          </w:tcPr>
          <w:p>
            <w:pPr>
              <w:spacing w:after="0"/>
              <w:rPr>
                <w:sz w:val="1"/>
                <w:szCs w:val="1"/>
                <w:color w:val="auto"/>
              </w:rPr>
            </w:pPr>
          </w:p>
        </w:tc>
      </w:tr>
      <w:tr>
        <w:trPr>
          <w:trHeight w:val="180"/>
        </w:trPr>
        <w:tc>
          <w:tcPr>
            <w:tcW w:w="5120" w:type="dxa"/>
            <w:vAlign w:val="bottom"/>
          </w:tcPr>
          <w:p>
            <w:pPr>
              <w:ind w:left="520"/>
              <w:spacing w:after="0" w:line="181" w:lineRule="exact"/>
              <w:rPr>
                <w:sz w:val="20"/>
                <w:szCs w:val="20"/>
                <w:color w:val="auto"/>
              </w:rPr>
            </w:pPr>
            <w:r>
              <w:rPr>
                <w:rFonts w:ascii="Times New Roman" w:cs="Times New Roman" w:eastAsia="Times New Roman" w:hAnsi="Times New Roman"/>
                <w:sz w:val="14"/>
                <w:szCs w:val="14"/>
                <w:color w:val="auto"/>
              </w:rPr>
              <w:t>Profit from water sales</w:t>
            </w:r>
            <w:r>
              <w:rPr>
                <w:rFonts w:ascii="Times New Roman" w:cs="Times New Roman" w:eastAsia="Times New Roman" w:hAnsi="Times New Roman"/>
                <w:sz w:val="18"/>
                <w:szCs w:val="18"/>
                <w:color w:val="auto"/>
                <w:vertAlign w:val="superscript"/>
              </w:rPr>
              <w:t>1</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4"/>
                <w:szCs w:val="14"/>
                <w:color w:val="auto"/>
              </w:rPr>
              <w:t>Profit from land sales</w:t>
            </w:r>
            <w:r>
              <w:rPr>
                <w:rFonts w:ascii="Times New Roman" w:cs="Times New Roman" w:eastAsia="Times New Roman" w:hAnsi="Times New Roman"/>
                <w:sz w:val="18"/>
                <w:szCs w:val="18"/>
                <w:color w:val="auto"/>
                <w:vertAlign w:val="superscript"/>
              </w:rPr>
              <w:t>2</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0" w:type="dxa"/>
            <w:vAlign w:val="bottom"/>
          </w:tcPr>
          <w:p>
            <w:pPr>
              <w:spacing w:after="0"/>
              <w:rPr>
                <w:sz w:val="1"/>
                <w:szCs w:val="1"/>
                <w:color w:val="auto"/>
              </w:rPr>
            </w:pPr>
          </w:p>
        </w:tc>
      </w:tr>
      <w:tr>
        <w:trPr>
          <w:trHeight w:val="180"/>
        </w:trPr>
        <w:tc>
          <w:tcPr>
            <w:tcW w:w="5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Excess tax shortfall from stock-based compensation</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 fee write-off</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 of earnings from unconsolidated joint ventures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Receivables, inventories, prepaids and other assets, net</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liabilities</w:t>
            </w:r>
          </w:p>
        </w:tc>
        <w:tc>
          <w:tcPr>
            <w:tcW w:w="26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Funds invested in marketable securities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and equipment expenditures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real estate/assets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 of equity from unconsolidated joint ventures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Proceeds from water sales</w:t>
            </w:r>
            <w:r>
              <w:rPr>
                <w:rFonts w:ascii="Times New Roman" w:cs="Times New Roman" w:eastAsia="Times New Roman" w:hAnsi="Times New Roman"/>
                <w:sz w:val="18"/>
                <w:szCs w:val="18"/>
                <w:color w:val="auto"/>
                <w:vertAlign w:val="superscript"/>
              </w:rPr>
              <w:t>1</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in water assets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tcPr>
          <w:p>
            <w:pPr>
              <w:ind w:left="280"/>
              <w:spacing w:after="0" w:line="181" w:lineRule="exact"/>
              <w:rPr>
                <w:sz w:val="20"/>
                <w:szCs w:val="20"/>
                <w:color w:val="auto"/>
              </w:rPr>
            </w:pPr>
            <w:r>
              <w:rPr>
                <w:rFonts w:ascii="Times New Roman" w:cs="Times New Roman" w:eastAsia="Times New Roman" w:hAnsi="Times New Roman"/>
                <w:sz w:val="14"/>
                <w:szCs w:val="14"/>
                <w:color w:val="auto"/>
              </w:rPr>
              <w:t>Net proceeds from land sales</w:t>
            </w:r>
            <w:r>
              <w:rPr>
                <w:rFonts w:ascii="Times New Roman" w:cs="Times New Roman" w:eastAsia="Times New Roman" w:hAnsi="Times New Roman"/>
                <w:sz w:val="18"/>
                <w:szCs w:val="18"/>
                <w:color w:val="auto"/>
                <w:vertAlign w:val="superscript"/>
              </w:rPr>
              <w:t>2</w:t>
            </w:r>
          </w:p>
        </w:tc>
        <w:tc>
          <w:tcPr>
            <w:tcW w:w="26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Borrowings of long-term debt</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12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Interest rate swap settlement</w:t>
            </w:r>
            <w:r>
              <w:rPr>
                <w:rFonts w:ascii="Times New Roman" w:cs="Times New Roman" w:eastAsia="Times New Roman" w:hAnsi="Times New Roman"/>
                <w:sz w:val="18"/>
                <w:szCs w:val="18"/>
                <w:color w:val="auto"/>
                <w:vertAlign w:val="superscript"/>
              </w:rPr>
              <w:t>3</w:t>
            </w:r>
          </w:p>
        </w:tc>
        <w:tc>
          <w:tcPr>
            <w:tcW w:w="2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 on vested stock grants</w:t>
            </w:r>
          </w:p>
        </w:tc>
        <w:tc>
          <w:tcPr>
            <w:tcW w:w="26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2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6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37,398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55,320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6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2049"/>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1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2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18,364</w:t>
            </w:r>
          </w:p>
        </w:tc>
        <w:tc>
          <w:tcPr>
            <w:tcW w:w="100" w:type="dxa"/>
            <w:vAlign w:val="bottom"/>
          </w:tcPr>
          <w:p>
            <w:pPr>
              <w:spacing w:after="0"/>
              <w:rPr>
                <w:sz w:val="15"/>
                <w:szCs w:val="15"/>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40,478</w:t>
            </w: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(Shown in Other Assets)</w:t>
            </w:r>
          </w:p>
        </w:tc>
        <w:tc>
          <w:tcPr>
            <w:tcW w:w="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19,567</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41,281</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current liabilities</w:t>
            </w: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long-term water assets included in current liabilities</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vMerge w:val="restart"/>
          </w:tcPr>
          <w:p>
            <w:pPr>
              <w:ind w:left="280"/>
              <w:spacing w:after="0" w:line="182" w:lineRule="exact"/>
              <w:rPr>
                <w:sz w:val="20"/>
                <w:szCs w:val="20"/>
                <w:color w:val="auto"/>
              </w:rPr>
            </w:pPr>
            <w:r>
              <w:rPr>
                <w:rFonts w:ascii="Times New Roman" w:cs="Times New Roman" w:eastAsia="Times New Roman" w:hAnsi="Times New Roman"/>
                <w:sz w:val="14"/>
                <w:szCs w:val="14"/>
                <w:color w:val="auto"/>
              </w:rPr>
              <w:t>Contribution to unconsolidated joint venture</w:t>
            </w:r>
            <w:r>
              <w:rPr>
                <w:rFonts w:ascii="Times New Roman" w:cs="Times New Roman" w:eastAsia="Times New Roman" w:hAnsi="Times New Roman"/>
                <w:sz w:val="18"/>
                <w:szCs w:val="18"/>
                <w:color w:val="auto"/>
                <w:vertAlign w:val="superscript"/>
              </w:rPr>
              <w:t>2</w:t>
            </w:r>
          </w:p>
        </w:tc>
        <w:tc>
          <w:tcPr>
            <w:tcW w:w="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80" w:type="dxa"/>
            <w:vAlign w:val="bottom"/>
            <w:tcBorders>
              <w:top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5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8,464</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tcBorders>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4"/>
                <w:szCs w:val="14"/>
                <w:color w:val="auto"/>
              </w:rPr>
              <w:t>Long term deferred profit on land contribution</w:t>
            </w:r>
            <w:r>
              <w:rPr>
                <w:rFonts w:ascii="Times New Roman" w:cs="Times New Roman" w:eastAsia="Times New Roman" w:hAnsi="Times New Roman"/>
                <w:sz w:val="18"/>
                <w:szCs w:val="18"/>
                <w:color w:val="auto"/>
                <w:vertAlign w:val="superscript"/>
              </w:rPr>
              <w:t>2</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20" w:right="220"/>
        <w:spacing w:after="0" w:line="232" w:lineRule="auto"/>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w:t>
      </w:r>
    </w:p>
    <w:p>
      <w:pPr>
        <w:ind w:left="20" w:right="140"/>
        <w:spacing w:after="0" w:line="234" w:lineRule="auto"/>
        <w:rPr>
          <w:sz w:val="20"/>
          <w:szCs w:val="20"/>
          <w:color w:val="auto"/>
        </w:rPr>
      </w:pPr>
      <w:r>
        <w:rPr>
          <w:rFonts w:ascii="Times New Roman" w:cs="Times New Roman" w:eastAsia="Times New Roman" w:hAnsi="Times New Roman"/>
          <w:sz w:val="13"/>
          <w:szCs w:val="13"/>
          <w:color w:val="auto"/>
        </w:rPr>
        <w:t>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6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3"/>
          <w:szCs w:val="13"/>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$4.0 million in 2022, this cash inflow is appropriately classified in the Company’s investing activities. The profit of $1.6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15" w:lineRule="exact"/>
        <w:rPr>
          <w:sz w:val="20"/>
          <w:szCs w:val="20"/>
          <w:color w:val="auto"/>
        </w:rPr>
      </w:pPr>
    </w:p>
    <w:p>
      <w:pPr>
        <w:ind w:left="20" w:right="40"/>
        <w:spacing w:after="0" w:line="232" w:lineRule="auto"/>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In determining the classification of cash inflows and outflows related to land development costs,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w:t>
      </w:r>
    </w:p>
    <w:p>
      <w:pPr>
        <w:ind w:left="20" w:right="140"/>
        <w:spacing w:after="0" w:line="234" w:lineRule="auto"/>
        <w:rPr>
          <w:sz w:val="20"/>
          <w:szCs w:val="20"/>
          <w:color w:val="auto"/>
        </w:rPr>
      </w:pPr>
      <w:r>
        <w:rPr>
          <w:rFonts w:ascii="Times New Roman" w:cs="Times New Roman" w:eastAsia="Times New Roman" w:hAnsi="Times New Roman"/>
          <w:sz w:val="13"/>
          <w:szCs w:val="13"/>
          <w:color w:val="auto"/>
        </w:rPr>
        <w:t>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64" w:lineRule="exact"/>
        <w:rPr>
          <w:sz w:val="20"/>
          <w:szCs w:val="20"/>
          <w:color w:val="auto"/>
        </w:rPr>
      </w:pPr>
    </w:p>
    <w:p>
      <w:pPr>
        <w:jc w:val="both"/>
        <w:ind w:left="20" w:right="20"/>
        <w:spacing w:after="0" w:line="241" w:lineRule="auto"/>
        <w:rPr>
          <w:sz w:val="20"/>
          <w:szCs w:val="20"/>
          <w:color w:val="auto"/>
        </w:rPr>
      </w:pPr>
      <w:r>
        <w:rPr>
          <w:rFonts w:ascii="Times New Roman" w:cs="Times New Roman" w:eastAsia="Times New Roman" w:hAnsi="Times New Roman"/>
          <w:sz w:val="13"/>
          <w:szCs w:val="13"/>
          <w:color w:val="auto"/>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$4.7 million in 2022, this cash inflow is appropriately classified in the Company’s investing activities. The profit of related to land development costs incurred in prior periods is appropriately being deducted from operating activities for the current period. The Company has and will continue to apply this methodology to land sale transactions that meet this fact pattern.</w:t>
      </w:r>
    </w:p>
    <w:p>
      <w:pPr>
        <w:spacing w:after="0" w:line="163"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3"/>
          <w:szCs w:val="13"/>
          <w:color w:val="auto"/>
        </w:rPr>
        <w:t>In June 2021, the Company contributed land with a fair value of $8.5 million to TRC-MRC 4, LLC an unconsolidated joint venture formed to pursue the development, construction, leasing, and management of a 630,000 square foot industrial building on the Company's property at TRCC-East. The total cost of the land was $2.9 million. The Company recognized $2.8 million in profit and deferred $2.8 million of profit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206" w:lineRule="exact"/>
        <w:rPr>
          <w:sz w:val="20"/>
          <w:szCs w:val="20"/>
          <w:color w:val="auto"/>
        </w:rPr>
      </w:pPr>
    </w:p>
    <w:p>
      <w:pPr>
        <w:jc w:val="both"/>
        <w:ind w:left="20" w:right="20"/>
        <w:spacing w:after="0" w:line="208" w:lineRule="auto"/>
        <w:rPr>
          <w:sz w:val="20"/>
          <w:szCs w:val="20"/>
          <w:color w:val="auto"/>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The Company had an interest rate swap agreement with Wells Fargo Bank, N.A. to reduce its exposure to fluctuations in the floating interest rate tied to the London Inter-Bank Offered Rate, or LIBOR, under a term note with Wells Fargo. The hedging relationship qualified as an effective cash flow hedge at the initial assessment, based upon a regression analysis, and is recorded at fair value. On June 27, 2022, the Company terminated the interest rate swap agreement with Wells Fargo and received a $1,123,200 cash termination fee from Wells Fargo. See Interest rate swap liability (Note 10) for further discussion.</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 OF CHANGES IN EQUITY AND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26,473,349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345,166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447,513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462,882</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26,484,947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464,309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26,336,115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83,432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446,148</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26,343,864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86,254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449,758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26,400,921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344,936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89,835</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441,149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26,484,947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26,276,830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26,343,864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86,254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35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BASIS OF PRESENTATION</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0"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periods ended June 30, 2022 and December 31, 2021 include the consolidation of Centennial Founders, LLC’s statement of operations within the resort/residential real estate development segment and statements of cash flows. The Company’s June 30, 2022 and December 31, 2021 balance sheets and statements of changes in equity and noncontrolling interests are presented on a consolidated basis, including the consolidation of Centennial Founders, LLC.</w:t>
      </w:r>
    </w:p>
    <w:p>
      <w:pPr>
        <w:spacing w:after="0" w:line="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4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 Please refer to Item 2. Management’s Discussion and Analysis of Financial Condition and Results of Operations for further discussion.</w:t>
      </w:r>
    </w:p>
    <w:p>
      <w:pPr>
        <w:spacing w:after="0" w:line="3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further information and a summary of significant accounting policies, refer to the Consolidated Financial Statements and notes thereto included in the Company’s Annual Report on Form 10-K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8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Restricted cash is included in Prepaid expenses and other current assets within the Consolidated Balance Sheets and primarily relate to funds held in escrow. The Company had $1,203,000 of restricted cash as of June 30,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new Accounting Standards Update, or ASU, is applicable to our consolidated financial statements as of June 30, 2022.</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 (EPS)</w:t>
      </w:r>
    </w:p>
    <w:p>
      <w:pPr>
        <w:spacing w:after="0" w:line="8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 average number of shares of common stock outstanding and the weighted average number of shares outstanding assuming the issuance of common stock upon exercise of stock options, warrants to purchase common stock, and the vesting of restricted stock grants per ASC Topic 260,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3480" w:type="dxa"/>
            <w:vAlign w:val="bottom"/>
            <w:gridSpan w:val="4"/>
          </w:tcPr>
          <w:p>
            <w:pPr>
              <w:ind w:left="8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380" w:type="dxa"/>
            <w:vAlign w:val="bottom"/>
            <w:gridSpan w:val="3"/>
          </w:tcPr>
          <w:p>
            <w:pPr>
              <w:jc w:val="right"/>
              <w:ind w:right="8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w:t>
            </w: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0"/>
        </w:trPr>
        <w:tc>
          <w:tcPr>
            <w:tcW w:w="442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26,480,405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26,343,353</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26,456,330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26,328,620</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47,507</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68,177</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57,665</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63,930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26,527,912</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26,411,530</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26,513,995</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26,392,550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420" w:type="dxa"/>
            <w:vAlign w:val="bottom"/>
          </w:tcPr>
          <w:p>
            <w:pPr>
              <w:spacing w:after="0"/>
              <w:rPr>
                <w:sz w:val="24"/>
                <w:szCs w:val="24"/>
                <w:color w:val="auto"/>
              </w:rPr>
            </w:pPr>
          </w:p>
        </w:tc>
        <w:tc>
          <w:tcPr>
            <w:tcW w:w="16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0" w:name="page11"/>
    <w:bookmarkEnd w:id="10"/>
    <w:p>
      <w:pPr>
        <w:ind w:left="280" w:hanging="275"/>
        <w:spacing w:after="0"/>
        <w:tabs>
          <w:tab w:leader="none" w:pos="28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40" w:type="dxa"/>
            <w:vAlign w:val="bottom"/>
            <w:vMerge w:val="restart"/>
          </w:tcPr>
          <w:p>
            <w:pPr>
              <w:jc w:val="center"/>
              <w:ind w:left="1009"/>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2200" w:type="dxa"/>
            <w:vAlign w:val="bottom"/>
            <w:gridSpan w:val="5"/>
          </w:tcPr>
          <w:p>
            <w:pPr>
              <w:ind w:left="540"/>
              <w:spacing w:after="0"/>
              <w:rPr>
                <w:sz w:val="20"/>
                <w:szCs w:val="20"/>
                <w:color w:val="auto"/>
              </w:rPr>
            </w:pPr>
            <w:r>
              <w:rPr>
                <w:rFonts w:ascii="Times New Roman" w:cs="Times New Roman" w:eastAsia="Times New Roman" w:hAnsi="Times New Roman"/>
                <w:sz w:val="14"/>
                <w:szCs w:val="14"/>
                <w:color w:val="auto"/>
              </w:rPr>
              <w:t>June 30, 2022</w:t>
            </w:r>
          </w:p>
        </w:tc>
        <w:tc>
          <w:tcPr>
            <w:tcW w:w="260" w:type="dxa"/>
            <w:vAlign w:val="bottom"/>
          </w:tcPr>
          <w:p>
            <w:pPr>
              <w:spacing w:after="0"/>
              <w:rPr>
                <w:sz w:val="16"/>
                <w:szCs w:val="16"/>
                <w:color w:val="auto"/>
              </w:rPr>
            </w:pPr>
          </w:p>
        </w:tc>
        <w:tc>
          <w:tcPr>
            <w:tcW w:w="21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500" w:type="dxa"/>
            <w:vAlign w:val="bottom"/>
            <w:gridSpan w:val="2"/>
          </w:tcPr>
          <w:p>
            <w:pPr>
              <w:jc w:val="center"/>
              <w:ind w:left="749"/>
              <w:spacing w:after="0"/>
              <w:rPr>
                <w:sz w:val="20"/>
                <w:szCs w:val="20"/>
                <w:color w:val="auto"/>
              </w:rPr>
            </w:pPr>
            <w:r>
              <w:rPr>
                <w:rFonts w:ascii="Times New Roman" w:cs="Times New Roman" w:eastAsia="Times New Roman" w:hAnsi="Times New Roman"/>
                <w:sz w:val="14"/>
                <w:szCs w:val="14"/>
                <w:color w:val="auto"/>
                <w:w w:val="99"/>
              </w:rPr>
              <w:t>Hierarchy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5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Certificates of deposit</w:t>
            </w:r>
          </w:p>
        </w:tc>
        <w:tc>
          <w:tcPr>
            <w:tcW w:w="2240" w:type="dxa"/>
            <w:vAlign w:val="bottom"/>
            <w:tcBorders>
              <w:top w:val="single" w:sz="8" w:color="CCEEFF"/>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U.S. Treasury and agency notes</w:t>
            </w:r>
          </w:p>
        </w:tc>
        <w:tc>
          <w:tcPr>
            <w:tcW w:w="2240" w:type="dxa"/>
            <w:vAlign w:val="bottom"/>
            <w:tcBorders>
              <w:bottom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more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Corporate notes</w:t>
            </w:r>
          </w:p>
        </w:tc>
        <w:tc>
          <w:tcPr>
            <w:tcW w:w="2240" w:type="dxa"/>
            <w:vAlign w:val="bottom"/>
            <w:tcBorders>
              <w:top w:val="single" w:sz="8" w:color="CCEEFF"/>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Municipal notes</w:t>
            </w:r>
          </w:p>
        </w:tc>
        <w:tc>
          <w:tcPr>
            <w:tcW w:w="2240" w:type="dxa"/>
            <w:vAlign w:val="bottom"/>
            <w:tcBorders>
              <w:bottom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ASC Topic 326, "Financial Instruments - Credit Losses," requires the Company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June 30, 2022, the Company has not recorded any credit losses.</w:t>
      </w:r>
    </w:p>
    <w:p>
      <w:pPr>
        <w:spacing w:after="0" w:line="4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At June 30, 2022, the fair market value of marketable securities was $186,000 below their cost basis. The Company’s gross unrealized holding gains equaled $1,000 and gross unrealized holding losses equaled $187,000. As of June 30, 2022, the adjustment to accumulated other comprehensive loss reflected a decline in market value of $177,000, including estimated taxes of $50,000.</w:t>
      </w:r>
    </w:p>
    <w:p>
      <w:pPr>
        <w:spacing w:after="0" w:line="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elected to exclude applicable accrued interest from both the fair value and the amortized cost basis of the available-for-sale debt securities, and separately present the accrued interest receivable balance per ASC Topic 326. The accrued interest receivables balance totaled $147,000 as of June 30, 2022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Treasury and agency notes</w:t>
      </w:r>
    </w:p>
    <w:p>
      <w:pPr>
        <w:spacing w:after="0" w:line="8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unrealized losses on the Company's investments in U.S. Treasury and agency notes at June 30, 2022 and December 31, 2021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June 30, 2022 and December 31, 2021, the Company did not intend to sell these securities and it is not more-likely-than-not that the Company would be required to sell these securities before recovery of their cost basis. Therefore, these investments did not require an ACL as of June 30, 2022 and December 31, 2021.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auto"/>
        </w:rPr>
        <w:t>Corporate notes</w:t>
      </w:r>
    </w:p>
    <w:p>
      <w:pPr>
        <w:spacing w:after="0" w:line="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June 30, 2022 and December 31, 2021, the Company did not intend to sell these securities and it is not more-likely-than-not that the Company would be required to sell these securities before recovery of their cost basis. Therefore, these investments did not require an ACL as of June 30, 2022 and December 31,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summarize the maturities, at par, of marketable securities as of:</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79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June 30, 2022</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8,503</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17,997</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6"/>
        </w:trPr>
        <w:tc>
          <w:tcPr>
            <w:tcW w:w="79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71"/>
        </w:trPr>
        <w:tc>
          <w:tcPr>
            <w:tcW w:w="7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color w:val="auto"/>
              </w:rPr>
              <w:t>December 31,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r>
      <w:tr>
        <w:trPr>
          <w:trHeight w:val="171"/>
        </w:trPr>
        <w:tc>
          <w:tcPr>
            <w:tcW w:w="79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10,930</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investments in corporate notes are with companies that have an investment grade rating from Standard &amp; Poor’s as of June 30, 2022.</w:t>
      </w:r>
    </w:p>
    <w:p>
      <w:pPr>
        <w:spacing w:after="0" w:line="81" w:lineRule="exact"/>
        <w:rPr>
          <w:sz w:val="20"/>
          <w:szCs w:val="20"/>
          <w:color w:val="auto"/>
        </w:rPr>
      </w:pPr>
    </w:p>
    <w:p>
      <w:pPr>
        <w:ind w:left="280" w:hanging="275"/>
        <w:spacing w:after="0"/>
        <w:tabs>
          <w:tab w:leader="none" w:pos="28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 ESTATE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June 30, 2022</w:t>
            </w:r>
          </w:p>
        </w:tc>
        <w:tc>
          <w:tcPr>
            <w:tcW w:w="340" w:type="dxa"/>
            <w:vAlign w:val="bottom"/>
          </w:tcPr>
          <w:p>
            <w:pPr>
              <w:spacing w:after="0"/>
              <w:rPr>
                <w:sz w:val="16"/>
                <w:szCs w:val="16"/>
                <w:color w:val="auto"/>
              </w:rPr>
            </w:pPr>
          </w:p>
        </w:tc>
        <w:tc>
          <w:tcPr>
            <w:tcW w:w="19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Village</w:t>
            </w:r>
          </w:p>
        </w:tc>
        <w:tc>
          <w:tcPr>
            <w:tcW w:w="288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150,668</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Centennial</w:t>
            </w:r>
          </w:p>
        </w:tc>
        <w:tc>
          <w:tcPr>
            <w:tcW w:w="2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112,063</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Grapevine</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37,922</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4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18,377</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319,030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w:t>
            </w:r>
          </w:p>
        </w:tc>
        <w:tc>
          <w:tcPr>
            <w:tcW w:w="2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88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20,589</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24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17,301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2" w:name="page13"/>
    <w:bookmarkEnd w:id="12"/>
    <w:p>
      <w:pPr>
        <w:ind w:left="280" w:hanging="275"/>
        <w:spacing w:after="0"/>
        <w:tabs>
          <w:tab w:leader="none" w:pos="2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WATER ASSETS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has secured State Water Project, or SWP, entitlements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the Company's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to 2044 and includes a Company option to extend the contract for an additional 35 years. The purchase cost of water in 2022 is $861 per acre-foot. The purchase cost is subject to annual cost increases based on the greater of the consumer price index or 3%.</w:t>
      </w:r>
    </w:p>
    <w:p>
      <w:pPr>
        <w:spacing w:after="0" w:line="1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4"/>
          <w:szCs w:val="14"/>
          <w:color w:val="auto"/>
        </w:rPr>
        <w:t>Water assets will ultimately be sold to water districts servicing the Company’s commercial/industrial and resort/residential real estate developments, and for the Company's own use in its agricultural operations. Interim uses may include the sale of the temporary “right-of-use” of portions of this water to third-party users on an annual basis until this water is fully allocated to Company uses, as previously described.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 revenues and cost of sales were as follows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June 30, 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June 30, 2021</w:t>
            </w:r>
          </w:p>
        </w:tc>
      </w:tr>
      <w:tr>
        <w:trPr>
          <w:trHeight w:val="17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Acre-Feet Sold</w:t>
            </w: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10,596</w:t>
            </w:r>
          </w:p>
        </w:tc>
      </w:tr>
      <w:tr>
        <w:trPr>
          <w:trHeight w:val="71"/>
        </w:trPr>
        <w:tc>
          <w:tcPr>
            <w:tcW w:w="6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11,862</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7,918</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costs assigned to water assets held for future use were as follows ($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June 30, 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2021</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Water available for banking, sales, or internal use</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26,879</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Company’s carrying amounts of its purchased water contracts were as follows ($ 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June 30, 2022</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Dudley-Ridge water rights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Nickel water rights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Tulare Lake Basin water rights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(14,384)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26,879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27,899</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50,997</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3" w:name="page14"/>
    <w:bookmarkEnd w:id="13"/>
    <w:p>
      <w:pPr>
        <w:ind w:right="220"/>
        <w:spacing w:after="0" w:line="270" w:lineRule="auto"/>
        <w:rPr>
          <w:sz w:val="20"/>
          <w:szCs w:val="20"/>
          <w:color w:val="auto"/>
        </w:rPr>
      </w:pPr>
      <w:r>
        <w:rPr>
          <w:rFonts w:ascii="Times New Roman" w:cs="Times New Roman" w:eastAsia="Times New Roman" w:hAnsi="Times New Roman"/>
          <w:sz w:val="14"/>
          <w:szCs w:val="14"/>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acre-feet, unaudited)</w:t>
            </w:r>
          </w:p>
        </w:tc>
        <w:tc>
          <w:tcPr>
            <w:tcW w:w="26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June 30, 2022</w:t>
            </w:r>
          </w:p>
        </w:tc>
        <w:tc>
          <w:tcPr>
            <w:tcW w:w="24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6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held for future use</w:t>
            </w:r>
          </w:p>
        </w:tc>
        <w:tc>
          <w:tcPr>
            <w:tcW w:w="2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r>
      <w:tr>
        <w:trPr>
          <w:trHeight w:val="18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54,314</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56,189</w:t>
            </w:r>
          </w:p>
        </w:tc>
      </w:tr>
      <w:tr>
        <w:trPr>
          <w:trHeight w:val="180"/>
        </w:trPr>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Company water bank</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50,349</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50,349</w:t>
            </w:r>
          </w:p>
        </w:tc>
      </w:tr>
      <w:tr>
        <w:trPr>
          <w:trHeight w:val="18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100" w:type="dxa"/>
            <w:vAlign w:val="bottom"/>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r>
      <w:tr>
        <w:trPr>
          <w:trHeight w:val="171"/>
        </w:trPr>
        <w:tc>
          <w:tcPr>
            <w:tcW w:w="6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water held for future use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108,667</w:t>
            </w:r>
          </w:p>
        </w:tc>
        <w:tc>
          <w:tcPr>
            <w:tcW w:w="1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110,741</w:t>
            </w: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water contracts</w:t>
            </w: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80"/>
        </w:trPr>
        <w:tc>
          <w:tcPr>
            <w:tcW w:w="6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Water Contracts (Dudley-Ridge, Nickel and Tulare)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10,137</w:t>
            </w:r>
          </w:p>
        </w:tc>
      </w:tr>
      <w:tr>
        <w:trPr>
          <w:trHeight w:val="18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15,547</w:t>
            </w:r>
          </w:p>
        </w:tc>
      </w:tr>
      <w:tr>
        <w:trPr>
          <w:trHeight w:val="180"/>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5,749</w:t>
            </w:r>
          </w:p>
        </w:tc>
      </w:tr>
      <w:tr>
        <w:trPr>
          <w:trHeight w:val="171"/>
        </w:trPr>
        <w:tc>
          <w:tcPr>
            <w:tcW w:w="6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100" w:type="dxa"/>
            <w:vAlign w:val="bottom"/>
            <w:shd w:val="clear" w:color="auto" w:fill="CCEEFF"/>
          </w:tcPr>
          <w:p>
            <w:pPr>
              <w:spacing w:after="0"/>
              <w:rPr>
                <w:sz w:val="14"/>
                <w:szCs w:val="14"/>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31,433</w:t>
            </w:r>
          </w:p>
        </w:tc>
      </w:tr>
      <w:tr>
        <w:trPr>
          <w:trHeight w:val="17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140,100</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142,174</w:t>
            </w:r>
          </w:p>
        </w:tc>
      </w:tr>
      <w:tr>
        <w:trPr>
          <w:trHeight w:val="20"/>
        </w:trPr>
        <w:tc>
          <w:tcPr>
            <w:tcW w:w="62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2022 is $1,224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ACCRUED LIABILITIES AND OTHER</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 consisted of the following:</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June 30, 2022</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paid personal leave</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LINE OF CREDIT AND LONG-TERM DEBT</w:t>
            </w: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5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consisted of the following:</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June 30,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440" w:type="dxa"/>
            <w:vAlign w:val="bottom"/>
            <w:tcBorders>
              <w:top w:val="single" w:sz="8" w:color="auto"/>
            </w:tcBorders>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line-of-credit and current maturities of long-term debt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deferred loan costs</w:t>
            </w:r>
          </w:p>
        </w:tc>
        <w:tc>
          <w:tcPr>
            <w:tcW w:w="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44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On June 30, 2022, the Company entered into a variable rate term note, or New Term Note, and a new Revolving Line of Credit Note, or New RLC, with Bank of America, N.A, or collectively the New Credit Facility. The New Term Loan provided a principal amount of $49,080,000 and a maturity date of June 28, 2032, which was used to pay off the existing Wells Fargo Amended Term Note. The Company evaluated the debt exchange under Accounting Standards Codification (ASC) 470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determined that the exchange should be treated as a debt extinguishment. The amount of New RLC under the New Credit Facility is $45,000,000.</w:t>
      </w:r>
    </w:p>
    <w:p>
      <w:pPr>
        <w:spacing w:after="0" w:line="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New Term Note had a $49,080,000 balance as of June 30, 2022.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28, 2032. The New Credit Facility is secured by the Company's farmland and farm assets, which include equipment, crops and crop receivables; the PEF power plant lease and lease site; and related accounts and other rights to payment and inventory.</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New RLC had no outstanding balance as of June 30, 2022. At the Company’s option, the interest rate on this line of credit can float at 1.37% over a selected the Daily SOFR rate or can be fixed at 1.37% above Term SOFR for a fixed rate term. During the term of this RLC (which matures in June 2032), the Company can borrow at any time and partially or wholly repay any outstanding borrowings and then re-borrow, as necessary.</w:t>
      </w:r>
    </w:p>
    <w:p>
      <w:pPr>
        <w:spacing w:after="0" w:line="282" w:lineRule="exact"/>
        <w:rPr>
          <w:sz w:val="20"/>
          <w:szCs w:val="20"/>
          <w:color w:val="auto"/>
        </w:rPr>
      </w:pPr>
    </w:p>
    <w:p>
      <w:pPr>
        <w:ind w:left="280" w:hanging="275"/>
        <w:spacing w:after="0"/>
        <w:tabs>
          <w:tab w:leader="none" w:pos="28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consisted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20" w:type="dxa"/>
            <w:vAlign w:val="bottom"/>
          </w:tcPr>
          <w:p>
            <w:pPr>
              <w:spacing w:after="0"/>
              <w:rPr>
                <w:sz w:val="16"/>
                <w:szCs w:val="16"/>
                <w:color w:val="auto"/>
              </w:rPr>
            </w:pPr>
          </w:p>
        </w:tc>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June 30, 2022</w:t>
            </w:r>
          </w:p>
        </w:tc>
        <w:tc>
          <w:tcPr>
            <w:tcW w:w="340" w:type="dxa"/>
            <w:vAlign w:val="bottom"/>
          </w:tcPr>
          <w:p>
            <w:pPr>
              <w:spacing w:after="0"/>
              <w:rPr>
                <w:sz w:val="16"/>
                <w:szCs w:val="16"/>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71"/>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liability</w:t>
            </w: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 liability (Note 10)</w:t>
            </w:r>
          </w:p>
        </w:tc>
        <w:tc>
          <w:tcPr>
            <w:tcW w:w="4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 liability</w:t>
            </w:r>
          </w:p>
        </w:tc>
        <w:tc>
          <w:tcPr>
            <w:tcW w:w="4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7,847</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Excess joint venture distributions and other</w:t>
            </w: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w:t>
            </w:r>
          </w:p>
        </w:tc>
      </w:tr>
      <w:tr>
        <w:trPr>
          <w:trHeight w:val="196"/>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captions presented in the table above, please refer to the respective Notes to Unaudited Consolidated Financial Statements for further detail.</w:t>
      </w:r>
    </w:p>
    <w:p>
      <w:pPr>
        <w:spacing w:after="0" w:line="134" w:lineRule="exact"/>
        <w:rPr>
          <w:sz w:val="20"/>
          <w:szCs w:val="20"/>
          <w:color w:val="auto"/>
        </w:rPr>
      </w:pPr>
    </w:p>
    <w:p>
      <w:pPr>
        <w:ind w:left="280" w:hanging="275"/>
        <w:spacing w:after="0"/>
        <w:tabs>
          <w:tab w:leader="none" w:pos="28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COMPENSATION - RESTRICTED STOCK AND PERFORMANCE SHARE GRANTS</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share price, or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Times New Roman" w:cs="Times New Roman" w:eastAsia="Times New Roman" w:hAnsi="Times New Roman"/>
          <w:sz w:val="14"/>
          <w:szCs w:val="14"/>
          <w:i w:val="1"/>
          <w:iCs w:val="1"/>
          <w:color w:val="auto"/>
        </w:rPr>
        <w:t>Monte Carlo</w:t>
      </w:r>
      <w:r>
        <w:rPr>
          <w:rFonts w:ascii="Times New Roman" w:cs="Times New Roman" w:eastAsia="Times New Roman" w:hAnsi="Times New Roman"/>
          <w:sz w:val="14"/>
          <w:szCs w:val="14"/>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Performance Condition Grants as of the six months ended June 30,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20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Performance Condition Grants</w:t>
            </w:r>
          </w:p>
        </w:tc>
      </w:tr>
      <w:tr>
        <w:trPr>
          <w:trHeight w:val="171"/>
        </w:trPr>
        <w:tc>
          <w:tcPr>
            <w:tcW w:w="20" w:type="dxa"/>
            <w:vAlign w:val="bottom"/>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 performance</w:t>
            </w:r>
          </w:p>
        </w:tc>
        <w:tc>
          <w:tcPr>
            <w:tcW w:w="8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performance</w:t>
            </w:r>
          </w:p>
        </w:tc>
        <w:tc>
          <w:tcPr>
            <w:tcW w:w="8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453,747</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 performance</w:t>
            </w:r>
          </w:p>
        </w:tc>
        <w:tc>
          <w:tcPr>
            <w:tcW w:w="8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342,411</w:t>
            </w:r>
          </w:p>
        </w:tc>
        <w:tc>
          <w:tcPr>
            <w:tcW w:w="20" w:type="dxa"/>
            <w:vAlign w:val="bottom"/>
          </w:tcPr>
          <w:p>
            <w:pPr>
              <w:spacing w:after="0"/>
              <w:rPr>
                <w:sz w:val="15"/>
                <w:szCs w:val="15"/>
                <w:color w:val="auto"/>
              </w:rPr>
            </w:pPr>
          </w:p>
        </w:tc>
      </w:tr>
      <w:tr>
        <w:trPr>
          <w:trHeight w:val="67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180" w:type="dxa"/>
            <w:vAlign w:val="bottom"/>
          </w:tcPr>
          <w:p>
            <w:pPr>
              <w:jc w:val="right"/>
              <w:ind w:right="5469"/>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8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The following is a summary of the Company’s stock grant activity, both time and performance share grants, assuming target achievement for outstanding performance grants for the six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2022:</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8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June 30, 2022</w:t>
            </w:r>
          </w:p>
        </w:tc>
      </w:tr>
      <w:tr>
        <w:trPr>
          <w:trHeight w:val="171"/>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Beginning of Period at Target Achievement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683,645</w:t>
            </w:r>
          </w:p>
        </w:tc>
      </w:tr>
      <w:tr>
        <w:trPr>
          <w:trHeight w:val="180"/>
        </w:trPr>
        <w:tc>
          <w:tcPr>
            <w:tcW w:w="8880" w:type="dxa"/>
            <w:vAlign w:val="bottom"/>
          </w:tcPr>
          <w:p>
            <w:pPr>
              <w:spacing w:after="0"/>
              <w:rPr>
                <w:sz w:val="20"/>
                <w:szCs w:val="20"/>
                <w:color w:val="auto"/>
              </w:rPr>
            </w:pPr>
            <w:r>
              <w:rPr>
                <w:rFonts w:ascii="Times New Roman" w:cs="Times New Roman" w:eastAsia="Times New Roman" w:hAnsi="Times New Roman"/>
                <w:sz w:val="14"/>
                <w:szCs w:val="14"/>
                <w:color w:val="auto"/>
              </w:rPr>
              <w:t>New Stock Grants/Additional Shares due to Achievement in Excess of Target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60,078</w:t>
            </w:r>
          </w:p>
        </w:tc>
      </w:tr>
      <w:tr>
        <w:trPr>
          <w:trHeight w:val="18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Grants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(128,893)</w:t>
            </w:r>
          </w:p>
        </w:tc>
      </w:tr>
      <w:tr>
        <w:trPr>
          <w:trHeight w:val="180"/>
        </w:trPr>
        <w:tc>
          <w:tcPr>
            <w:tcW w:w="8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Expired/Forfeited Grants</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(14,291)</w:t>
            </w:r>
          </w:p>
        </w:tc>
      </w:tr>
      <w:tr>
        <w:trPr>
          <w:trHeight w:val="196"/>
        </w:trPr>
        <w:tc>
          <w:tcPr>
            <w:tcW w:w="8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End of Period at Target Achievement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600,539</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assumptions used to determine the price for the Company’s market-based Performance Condition Grants for the six months ended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12/12/2019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03/11/2020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12/11/2020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03/18/2021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03/17/2022</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12/31/2023</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03/18/2024</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12/16/2024</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03/17/2025</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price at target achievement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$20.43</w:t>
            </w:r>
          </w:p>
        </w:tc>
      </w:tr>
      <w:tr>
        <w:trPr>
          <w:trHeight w:val="212"/>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17.28%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30.30%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31.54%</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1.69%</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0.58%</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0.19%</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0.33%</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0.92%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2.13%</w:t>
            </w:r>
          </w:p>
        </w:tc>
      </w:tr>
      <w:tr>
        <w:trPr>
          <w:trHeight w:val="212"/>
        </w:trPr>
        <w:tc>
          <w:tcPr>
            <w:tcW w:w="4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$15.59</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$21.48</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$21.75</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6,327</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81,716</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10,905</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3,536</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13,338</w:t>
            </w: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$76</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$480</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$57</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$205</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$76</w:t>
            </w:r>
          </w:p>
        </w:tc>
        <w:tc>
          <w:tcPr>
            <w:tcW w:w="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$290</w:t>
            </w:r>
          </w:p>
        </w:tc>
      </w:tr>
    </w:tbl>
    <w:p>
      <w:pPr>
        <w:spacing w:after="0" w:line="1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unamortized cost associated with unvested stock grants and the weighted average period over which it is expected to be recognized as of June 30, 2022 were $2,200,000 and 9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0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Under the Non-Employee Director Stock Incentive Plan, or NDSI Plan, each non-employee director receives a portion of his or her annual compensation in stock. The stock is granted at the end of each quarter based on the quarter-end stock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compensation costs for the Company's 1998 Stock Incentive Plan, or the Employee Plan, and NDSI Plan for the following periods: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Employee Plan:</w:t>
            </w:r>
          </w:p>
        </w:tc>
        <w:tc>
          <w:tcPr>
            <w:tcW w:w="34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Expensed</w:t>
            </w:r>
          </w:p>
        </w:tc>
        <w:tc>
          <w:tcPr>
            <w:tcW w:w="34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Capitalized</w:t>
            </w:r>
          </w:p>
        </w:tc>
        <w:tc>
          <w:tcPr>
            <w:tcW w:w="34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NDSI Plan - Expensed</w:t>
            </w:r>
          </w:p>
        </w:tc>
        <w:tc>
          <w:tcPr>
            <w:tcW w:w="34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 Compensation Costs</w:t>
            </w:r>
          </w:p>
        </w:tc>
        <w:tc>
          <w:tcPr>
            <w:tcW w:w="34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16</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16" w:name="page17"/>
    <w:bookmarkEnd w:id="16"/>
    <w:p>
      <w:pPr>
        <w:ind w:left="360" w:hanging="355"/>
        <w:spacing w:after="0"/>
        <w:tabs>
          <w:tab w:leader="none" w:pos="3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RATE SWAP</w:t>
      </w:r>
    </w:p>
    <w:p>
      <w:pPr>
        <w:spacing w:after="0" w:line="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In October 2014, the Company entered into an interest rate swap agreement to reduce its exposure to fluctuations in the floating interest rate tied to the London Inter-Bank Offered Rate, or LIBOR, under the term note with Wells Fargo, or the Term Note.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 Changes in fair value, including accrued interest and adjustments for non-performance risk, that qualify as cash flow hedges are classified in accumulated other comprehensive income, or AOCI. Amounts classified in AOCI are subsequently reclassified into earnings in the period during which the hedged transactions affect earnings.</w:t>
      </w:r>
    </w:p>
    <w:p>
      <w:pPr>
        <w:spacing w:after="0" w:line="4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On June 27, 2022, the Company terminated the related amended interest rate swap agreement with Wells Fargo and received a $1,123,000 cash termination fee from Wells Fargo. The amounts in AOCI were not reclassified into earnings upon the termination of the interest rate swap but will be released into earnings over the depreciable life of the constructed asset or when the asset is sold.</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June 30, 2022, the Company entered into a variable rate term note, or New Term Note, with Bank of America, N.A. On the same day, the Company entered into a new interest rate swap agreement to reduce its exposure to fluctuations in the floating interest rate tied to SOFR under the New Term Note. Per ASC 815, an entity may apply the shortcut method to hedging relationships that meet all of the conditions under ASC 815. The Company performed an initial assessment of the hedging relationship and determined it is appropriate to apply the shortcut method as all conditions were met. The new interest rate swap qualified as an effective cash flow hedge under the guidance of ASC 815. Applying the shortcut method allows the Company to assume that it has a perfectly effective hedging relationship, therefore there is no need for the Company to perform any quantitative assessments of whether the hedge is highly effective.</w:t>
      </w:r>
    </w:p>
    <w:p>
      <w:pPr>
        <w:spacing w:after="0" w:line="4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As of June 30, 2022, the fair value of the interest rate swap agreement equated its cost basis and as such no mark-to-market adjustment was recorded by the Company. The Company had the following outstanding interest rate swap agreement designated as an interest rate cash flow hedge as of June 30, 2022 and December 31, 2021 ($ in thousands):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June 30, 2022</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2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Weighted Average Interest Pay</w:t>
            </w: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r>
      <w:tr>
        <w:trPr>
          <w:trHeight w:val="191"/>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Effective Date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Maturity Date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Fair Value Hierarchy</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Notional Amount</w:t>
            </w: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30, 2022</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28, 2032</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$49,080</w:t>
            </w:r>
          </w:p>
        </w:tc>
      </w:tr>
      <w:tr>
        <w:trPr>
          <w:trHeight w:val="339"/>
        </w:trPr>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color w:val="auto"/>
              </w:rPr>
              <w:t>December 31, 2021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Weighted Average Interest Pay</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84"/>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Effective Date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Maturity Date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Fair Value Hierarchy</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Notional Amount</w:t>
            </w:r>
          </w:p>
        </w:tc>
      </w:tr>
      <w:tr>
        <w:trPr>
          <w:trHeight w:val="171"/>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July 5, 2019</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5, 2029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2</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$50,837</w:t>
            </w:r>
          </w:p>
        </w:tc>
      </w:tr>
    </w:tbl>
    <w:p>
      <w:pPr>
        <w:spacing w:after="0" w:line="185" w:lineRule="exact"/>
        <w:rPr>
          <w:sz w:val="20"/>
          <w:szCs w:val="20"/>
          <w:color w:val="auto"/>
        </w:rPr>
      </w:pPr>
    </w:p>
    <w:p>
      <w:pPr>
        <w:ind w:left="360" w:hanging="355"/>
        <w:spacing w:after="0"/>
        <w:tabs>
          <w:tab w:leader="none" w:pos="3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Company’s provision for income taxes as of June 30, 2022 has been calculated by applying an estimate of the annual effective tax rate for the full year to “ordinary” income or loss (pre-tax income or loss excluding unusual or infrequently occurring discrete items). For the six months ended June 30, 2022, the Company’s income tax expense was $3,041,000 compared to $1,139,000 for the six months ended June 30, 2021. Effective tax rates were 45% and 39% for the six months ended June 30, 2022 and 2021, respectively. As of June 30, 2022, the Company had income tax payables of $2,176,000. The Company classifies interest and penalties incurred on tax payments as income tax expense.</w:t>
      </w:r>
    </w:p>
    <w:p>
      <w:pPr>
        <w:spacing w:after="0" w:line="3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For the six months ended June 30, 2022, the Company’s effective tax rate was above statutory tax rates as a result of permanent differences related to Section 162(m) limitations and discrete tax expense associated with interest rate swap termination proceeds. The Section 162(m) compensation deduction limitations occurred as a result of changes in tax law arising from the 2017 Tax Cuts Jobs Act. The discrete item was primarily triggered after the Company terminated an existing interest rate swap position that was in a net asset position and as a result, received proceeds of $1,123,000.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7" w:name="page18"/>
    <w:bookmarkEnd w:id="17"/>
    <w:p>
      <w:pPr>
        <w:ind w:right="8220" w:firstLine="5"/>
        <w:spacing w:after="0" w:line="357" w:lineRule="auto"/>
        <w:tabs>
          <w:tab w:leader="none" w:pos="354"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Water Contracts</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has secured water contracts that are encumbered by the Company's land. These water contracts require minimum annual payments, for which $13,004,000 is expected to be paid in 2022.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$277,288,000 as of June 30, 2022.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Conservancy Payments</w:t>
      </w:r>
    </w:p>
    <w:p>
      <w:pPr>
        <w:spacing w:after="0" w:line="85"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As of June 30, 2022, the Company has fulfilled its financial obligations to the Tejon Ranch Conservancy as prescribed in the Conservation Agreement that was entered into with five major environmental organizations in 2008.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June 30, 2022, the net savings resulting from exiting the contract during this future time period will more than offset the incentive payment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Facilities Districts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4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June 30, 2022, there were no additional improvement funds remaining from the West CFD bonds. There are $15,647,940 of additional improvement funds remaining within the East CFD bonds for reimbursement of public infrastructure costs during future years. During fiscal 2022, the Company expects to pay approximately $3,247,000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tax assessment of each individual property sold or leased is not determinable at this time because it is based on the current tax rate of the property at the time of sale or at the time it is leased to a third-party. Accordingly, the Company was not required to recognize an obligation on June 30, 2022.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color w:val="auto"/>
        </w:rPr>
        <w:t>Centennial</w:t>
      </w:r>
    </w:p>
    <w:p>
      <w:pPr>
        <w:spacing w:after="0" w:line="7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4"/>
          <w:szCs w:val="14"/>
          <w:color w:val="auto"/>
        </w:rPr>
        <w:t>On April 30, 2019, the Los Angeles County Board of Supervisors granted final entitlement approval for the Centennial project. On May 15, 2019, Climate Resolve filed an action in Los Angeles Superior Court (the Climate Resolve Action), pursuant to the California Environmental Quality Act, or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Center for Biological Diversity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5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w:t>
      </w:r>
    </w:p>
    <w:p>
      <w:pPr>
        <w:spacing w:after="0" w:line="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w:t>
      </w:r>
    </w:p>
    <w:p>
      <w:pPr>
        <w:spacing w:after="0" w:line="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On November 30, 2021, the Company together with Ranchcorp and Centennial, entered into a Settlement Agreement with Climate Resolve. Pursuant to the Settlement Agreement, the Company has agreed: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a full copy of which is attached to the 2021 Annual Report on Form 10-K. In exchange, Climate Resolve filed a request for dismissal of the Climate Resolve Action with prejudice from the Los Angeles County Superior Court. On December 3, 2021, the Los Angeles Superior Court granted and entered Climate Resolve’s dismissal with prejudice concluding the Climate Resolve Action. On December 1, 2021, the Los Angeles Superior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the Los Angeles County Superior Court heard CBD/CNPS Motion for Reconsideration and issued its decision granting CBD/CNPS prevailing party status in the Climate Resolve Action. The Los Angeles County Superior Court set a tentative hearing date of February 25, 2022 concerning the entry of final judgment and awarding of appropriate remedies. Upon mutual request of the parties and approval by the Court, the February 25, 2022 hearing date has been extended to September 7, 2022. Prior to and subsequent of final judgment being entered, appellate litigation may follow. To the extent there may be an adverse outcome of the claims still pending as described above, the monetary value cannot be estimated at this time.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Proceedings Incidental to Business</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9" w:name="page20"/>
    <w:bookmarkEnd w:id="19"/>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RETIREMENT PLANS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2022.</w:t>
      </w:r>
    </w:p>
    <w:p>
      <w:pPr>
        <w:spacing w:after="0" w:line="3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June 30, 2022, the investment mix was approximately 20% equity, 79% debt, and 1% money market funds. At December 31, 2021, the investment mix was approximately 35% equity, 64% debt, and 1% money market funds. Equity investments comprise of value, growth, large cap, small cap and international stock funds. Debt investments consist of U.S. Treasury securities and investment grade corporate debt. A weighted average discount rate of 2.8% was used in determining the net periodic pension cost for fiscal 2022 and 2021. The assumed expected long-term rate of return on plan assets is 7.3% for both fiscal 2022 and 2021. The long-term rate of return on Benefit Plan assets is based on the historical returns within the plan and expectations for future returns.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Total pension and retirement earnings for the Benefit Plan was as follows: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73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120" w:type="dxa"/>
            <w:vAlign w:val="bottom"/>
            <w:tcBorders>
              <w:bottom w:val="single" w:sz="8" w:color="auto"/>
            </w:tcBorders>
          </w:tcPr>
          <w:p>
            <w:pPr>
              <w:spacing w:after="0"/>
              <w:rPr>
                <w:sz w:val="23"/>
                <w:szCs w:val="23"/>
                <w:color w:val="auto"/>
              </w:rPr>
            </w:pP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2021</w:t>
            </w:r>
          </w:p>
        </w:tc>
      </w:tr>
      <w:tr>
        <w:trPr>
          <w:trHeight w:val="16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(cost)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0"/>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periodic pension earnings</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The pension and retirement expense for the SERP was as follows:</w:t>
            </w:r>
          </w:p>
        </w:tc>
        <w:tc>
          <w:tcPr>
            <w:tcW w:w="2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3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amortization and other</w:t>
            </w:r>
          </w:p>
        </w:tc>
        <w:tc>
          <w:tcPr>
            <w:tcW w:w="2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pension expense</w:t>
            </w:r>
          </w:p>
        </w:tc>
        <w:tc>
          <w:tcPr>
            <w:tcW w:w="2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Times New Roman" w:cs="Times New Roman" w:eastAsia="Times New Roman" w:hAnsi="Times New Roman"/>
                <w:sz w:val="14"/>
                <w:szCs w:val="14"/>
                <w:color w:val="auto"/>
              </w:rPr>
              <w:t>20</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0" w:name="page21"/>
    <w:bookmarkEnd w:id="20"/>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REPORTING SEGMENTS AND RELATED INFORMATION</w:t>
      </w:r>
    </w:p>
    <w:p>
      <w:pPr>
        <w:spacing w:after="0" w:line="85"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Commercial/Industrial</w:t>
      </w:r>
    </w:p>
    <w:p>
      <w:pPr>
        <w:spacing w:after="0" w:line="85"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for discussion of unconsolidated joint ventures. The following table summarizes revenues, expenses and operating income from this segment for the periods ended: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71"/>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Borders>
              <w:bottom w:val="single" w:sz="8" w:color="auto"/>
            </w:tcBorders>
          </w:tcPr>
          <w:p>
            <w:pPr>
              <w:spacing w:after="0"/>
              <w:rPr>
                <w:sz w:val="14"/>
                <w:szCs w:val="14"/>
                <w:color w:val="auto"/>
              </w:rPr>
            </w:pPr>
          </w:p>
        </w:tc>
      </w:tr>
      <w:tr>
        <w:trPr>
          <w:trHeight w:val="171"/>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10,354</w:t>
            </w:r>
          </w:p>
        </w:tc>
      </w:tr>
      <w:tr>
        <w:trPr>
          <w:trHeight w:val="18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 and equity in earnings of unconsolidated joint ventures</w:t>
            </w: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11,660</w:t>
            </w:r>
          </w:p>
        </w:tc>
      </w:tr>
      <w:tr>
        <w:trPr>
          <w:trHeight w:val="18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Commercial/industrial expenses</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6,264</w:t>
            </w:r>
          </w:p>
        </w:tc>
      </w:tr>
      <w:tr>
        <w:trPr>
          <w:trHeight w:val="196"/>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commercial/industrial and unconsolidated joint ventures</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Resort/Residential</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$423,000 and $439,000 for the three months ended June 30, 2022 and 2021, respectively, and $846,000 and $992,000 for the six months ended June 30, 2022 and 2021.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Mineral Resources</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w:t>
            </w:r>
          </w:p>
        </w:tc>
      </w:tr>
      <w:tr>
        <w:trPr>
          <w:trHeight w:val="18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9,300</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mineral resources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Farming</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Farming revenues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2,576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r>
      <w:tr>
        <w:trPr>
          <w:trHeight w:val="18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Farming expenses</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649"/>
              <w:spacing w:after="0"/>
              <w:rPr>
                <w:sz w:val="20"/>
                <w:szCs w:val="20"/>
                <w:color w:val="auto"/>
              </w:rPr>
            </w:pPr>
            <w:r>
              <w:rPr>
                <w:rFonts w:ascii="Times New Roman" w:cs="Times New Roman" w:eastAsia="Times New Roman" w:hAnsi="Times New Roman"/>
                <w:sz w:val="14"/>
                <w:szCs w:val="14"/>
                <w:color w:val="auto"/>
              </w:rPr>
              <w:t>5,224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w:t>
            </w:r>
          </w:p>
        </w:tc>
      </w:tr>
      <w:tr>
        <w:trPr>
          <w:trHeight w:val="196"/>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farming</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7"/>
              </w:rPr>
              <w:t>(1,541)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Ranch Operations</w:t>
      </w:r>
    </w:p>
    <w:p>
      <w:pPr>
        <w:spacing w:after="0" w:line="8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r>
      <w:tr>
        <w:trPr>
          <w:trHeight w:val="180"/>
        </w:trPr>
        <w:tc>
          <w:tcPr>
            <w:tcW w:w="5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Ranch operations expenses</w:t>
            </w: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w:t>
            </w: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ranch operations</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INVESTMENT IN UNCONSOLIDATED AND CONSOLIDATED JOINT VENTURES</w:t>
      </w:r>
    </w:p>
    <w:p>
      <w:pPr>
        <w:spacing w:after="0" w:line="13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2022 was $38,632,000. Equity in earnings from unconsolidated joint ventures was $2,876,000 for the six months ended June 30, 2022. The unconsolidated joint ventures have not been consolidated as of June 30, 2022, because the Company does not control the investments. The Company’s current joint ventures are as follows:</w:t>
      </w:r>
    </w:p>
    <w:p>
      <w:pPr>
        <w:spacing w:after="0" w:line="98" w:lineRule="exact"/>
        <w:rPr>
          <w:sz w:val="20"/>
          <w:szCs w:val="20"/>
          <w:color w:val="auto"/>
        </w:rPr>
      </w:pPr>
    </w:p>
    <w:p>
      <w:pPr>
        <w:ind w:left="360" w:right="140" w:hanging="260"/>
        <w:spacing w:after="0" w:line="264" w:lineRule="auto"/>
        <w:tabs>
          <w:tab w:leader="none" w:pos="3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$26,029,000 as of June 30, 2022.</w:t>
      </w:r>
    </w:p>
    <w:p>
      <w:pPr>
        <w:spacing w:after="0" w:line="98" w:lineRule="exact"/>
        <w:rPr>
          <w:rFonts w:ascii="Times New Roman" w:cs="Times New Roman" w:eastAsia="Times New Roman" w:hAnsi="Times New Roman"/>
          <w:sz w:val="14"/>
          <w:szCs w:val="14"/>
          <w:color w:val="auto"/>
        </w:rPr>
      </w:pPr>
    </w:p>
    <w:p>
      <w:pPr>
        <w:ind w:left="360" w:right="220" w:hanging="260"/>
        <w:spacing w:after="0" w:line="270" w:lineRule="auto"/>
        <w:tabs>
          <w:tab w:leader="none" w:pos="3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Majestic Realty Co. – Majestic Realty Co., or Majestic, is a privately-held developer and owner of real estate projects throughout the United States. The Company has formed six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29" w:lineRule="exact"/>
        <w:rPr>
          <w:rFonts w:ascii="Times New Roman" w:cs="Times New Roman" w:eastAsia="Times New Roman" w:hAnsi="Times New Roman"/>
          <w:sz w:val="14"/>
          <w:szCs w:val="14"/>
          <w:color w:val="auto"/>
        </w:rPr>
      </w:pPr>
    </w:p>
    <w:p>
      <w:pPr>
        <w:ind w:left="760" w:right="300" w:hanging="246"/>
        <w:spacing w:after="0" w:line="287" w:lineRule="auto"/>
        <w:tabs>
          <w:tab w:leader="none" w:pos="75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29, 2022, TRC-MRC 5 LLC was formed to pursue the development, construction, lease-up, and management of an approximately 446,400 square foot industrial building located within TRCC-East.</w:t>
      </w:r>
    </w:p>
    <w:p>
      <w:pPr>
        <w:spacing w:after="0" w:line="39" w:lineRule="exact"/>
        <w:rPr>
          <w:rFonts w:ascii="Times New Roman" w:cs="Times New Roman" w:eastAsia="Times New Roman" w:hAnsi="Times New Roman"/>
          <w:sz w:val="14"/>
          <w:szCs w:val="14"/>
          <w:color w:val="auto"/>
        </w:rPr>
      </w:pPr>
    </w:p>
    <w:p>
      <w:pPr>
        <w:ind w:left="760" w:right="380" w:hanging="246"/>
        <w:spacing w:after="0" w:line="287" w:lineRule="auto"/>
        <w:tabs>
          <w:tab w:leader="none" w:pos="75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we formed TRC-MRC Multi I, LLC, to pursue the development, construction, lease-up, and management of approximately 495 multi-family rental units located within TRCC-East.</w:t>
      </w:r>
    </w:p>
    <w:p>
      <w:pPr>
        <w:spacing w:after="0" w:line="39" w:lineRule="exact"/>
        <w:rPr>
          <w:rFonts w:ascii="Times New Roman" w:cs="Times New Roman" w:eastAsia="Times New Roman" w:hAnsi="Times New Roman"/>
          <w:sz w:val="14"/>
          <w:szCs w:val="14"/>
          <w:color w:val="auto"/>
        </w:rPr>
      </w:pPr>
    </w:p>
    <w:p>
      <w:pPr>
        <w:ind w:left="760" w:hanging="246"/>
        <w:spacing w:after="0" w:line="259" w:lineRule="auto"/>
        <w:tabs>
          <w:tab w:leader="none" w:pos="75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TRC-MRC 4 LLC was formed to pursue the development, construction, lease-up, and management of a 629,274 square foot industrial building located within TRCC-East. Construction of the building has begun with completion expected in 2022. The construction is being financed by a $47,500,000 construction loan that had an outstanding balance of $30,088,000 as of June 30, 2022. The construction loan is individually and collectively guaranteed by the Company and Majestic. In 2021, the Company contributed land with a fair value of $8,464,000 to TRC-MRC 4, LLC. The total cost of the land was $2,895,000. The Company recognized profit of $2,785,000 and deferred profit of $2,785,000 after applying the five-step revenue recognition model in accordance with ASC Topic 606 — Revenue From Contracts With Customers and ASC Topic 323, Investments — Equity Method and Joint Ventures. The Company's investment in this joint venture was $4,663,000 as of June 30, 2022.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ind w:left="760" w:hanging="246"/>
        <w:spacing w:after="0" w:line="261" w:lineRule="auto"/>
        <w:tabs>
          <w:tab w:leader="none" w:pos="75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building is 100% leased as of June 30, 2022. In March 2019, the joint venture entered into a promissory note with a financial institution to finance the construction of the building. The note matures on May 1, 2030 and had an outstanding principal balance of $34,913,000 as of June 30, 2022. On April 1, 2019, the Company contributed land with a fair value of $5,854,000 to TRC-MRC 3, LLC in accordance with the limited liability agreement. The Company's investment in this joint venture was $531,000 as of June 30, 2022.</w:t>
      </w:r>
    </w:p>
    <w:p>
      <w:pPr>
        <w:spacing w:after="0" w:line="58" w:lineRule="exact"/>
        <w:rPr>
          <w:rFonts w:ascii="Times New Roman" w:cs="Times New Roman" w:eastAsia="Times New Roman" w:hAnsi="Times New Roman"/>
          <w:sz w:val="14"/>
          <w:szCs w:val="14"/>
          <w:color w:val="auto"/>
        </w:rPr>
      </w:pPr>
    </w:p>
    <w:p>
      <w:pPr>
        <w:ind w:left="760" w:hanging="246"/>
        <w:spacing w:after="0" w:line="258" w:lineRule="auto"/>
        <w:tabs>
          <w:tab w:leader="none" w:pos="75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$22,937,000 as of June 30, 2022. The building is 100% leased as of June 30, 2022. Since its inception, the Company has received excess distributions resulting in a deficit balance in its investment of $1,329,000.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61" w:lineRule="exact"/>
        <w:rPr>
          <w:rFonts w:ascii="Times New Roman" w:cs="Times New Roman" w:eastAsia="Times New Roman" w:hAnsi="Times New Roman"/>
          <w:sz w:val="14"/>
          <w:szCs w:val="14"/>
          <w:color w:val="auto"/>
        </w:rPr>
      </w:pPr>
    </w:p>
    <w:p>
      <w:pPr>
        <w:ind w:left="760" w:right="120" w:hanging="246"/>
        <w:spacing w:after="0" w:line="257" w:lineRule="auto"/>
        <w:tabs>
          <w:tab w:leader="none" w:pos="75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2016, TRC-MRC 1, LLC was formed to develop and operate an approximately 480,480 square foot industrial building at TRCC-East. The building is 100% leased as of June 30, 2022. Since its inception, the Company has received excess distributions resulting in a deficit balance in its investment of $1,777,000.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$23,097,000 was outstanding as of June 30, 2022. During the first quarter we received notice from a tenant of plans to vacate their current space, concurrently, we received a request from a second tenant wanting to move into a larger space. These two events will free up approximately 240,000 square feet of space during the first quarter of 2023.</w:t>
      </w:r>
    </w:p>
    <w:p>
      <w:pPr>
        <w:spacing w:after="0" w:line="63" w:lineRule="exact"/>
        <w:rPr>
          <w:rFonts w:ascii="Times New Roman" w:cs="Times New Roman" w:eastAsia="Times New Roman" w:hAnsi="Times New Roman"/>
          <w:sz w:val="14"/>
          <w:szCs w:val="14"/>
          <w:color w:val="auto"/>
        </w:rPr>
      </w:pPr>
    </w:p>
    <w:p>
      <w:pPr>
        <w:ind w:left="260" w:right="220" w:hanging="255"/>
        <w:spacing w:after="0" w:line="287"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Rockefeller Joint Ventures – The Company has two active joint ventures with Rockefeller Group Development Corporation, or Rockefeller. At June 30, 2022, the Company’s combined equity investment balance in these two joint ventures was $7,409,000.</w:t>
      </w:r>
    </w:p>
    <w:p>
      <w:pPr>
        <w:spacing w:after="0" w:line="39" w:lineRule="exact"/>
        <w:rPr>
          <w:rFonts w:ascii="Times New Roman" w:cs="Times New Roman" w:eastAsia="Times New Roman" w:hAnsi="Times New Roman"/>
          <w:sz w:val="14"/>
          <w:szCs w:val="14"/>
          <w:color w:val="auto"/>
        </w:rPr>
      </w:pPr>
    </w:p>
    <w:p>
      <w:pPr>
        <w:ind w:left="760" w:right="60" w:hanging="246"/>
        <w:spacing w:after="0" w:line="264" w:lineRule="auto"/>
        <w:tabs>
          <w:tab w:leader="none" w:pos="75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18-19 West LLC was formed in August 2009 through the contribution of 61.5 acres of land by the Company that is being held for future development. The Company owns a 50% interest in this joint venture, and the joint venture is being accounted for under the equity method due to both members having significant participating rights in the management of the venture. In 2021, a third-party purchased the land from the joint venture for $15,213,000. The cash proceeds from the sale were distributed to the partners in the first quarter of 2022 and we are in the process dissolving this entity.</w:t>
      </w:r>
    </w:p>
    <w:p>
      <w:pPr>
        <w:spacing w:after="0" w:line="44" w:lineRule="exact"/>
        <w:rPr>
          <w:rFonts w:ascii="Times New Roman" w:cs="Times New Roman" w:eastAsia="Times New Roman" w:hAnsi="Times New Roman"/>
          <w:sz w:val="14"/>
          <w:szCs w:val="14"/>
          <w:color w:val="auto"/>
        </w:rPr>
      </w:pPr>
    </w:p>
    <w:p>
      <w:pPr>
        <w:ind w:left="760" w:hanging="246"/>
        <w:spacing w:after="0" w:line="239" w:lineRule="auto"/>
        <w:tabs>
          <w:tab w:leader="none" w:pos="75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was formed in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June 30, 2022, the outstanding balance of the term note was $28,249,000. The Company and Rockefeller guarantee the performance of the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3" w:name="page24"/>
    <w:bookmarkEnd w:id="23"/>
    <w:p>
      <w:pPr>
        <w:ind w:left="260" w:right="340" w:hanging="255"/>
        <w:spacing w:after="0" w:line="271"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 Centennial Founders, LLC, or CFL, is a joint venture with TRI Pointe Homes to pursue the entitlement and development of land that the Company owns in Los Angeles County. As of June 30, 2022, the Company owned 93.17% of CFL.</w:t>
      </w:r>
    </w:p>
    <w:p>
      <w:pPr>
        <w:spacing w:after="0" w:line="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2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Unaudited condensed statement of operations for the six months ended June 30, 2022 and condensed balance sheet information of the Company’s unconsolidated joint ventures as of June 30, 2022 and December 31, 2021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49,469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18-19 West, LLC</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53,692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38,922</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0" w:right="260" w:hanging="1"/>
        <w:spacing w:after="0" w:line="239" w:lineRule="auto"/>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for TRCC/Rock Outlet Center are presented net of non-cash tenant allowance amortization of $0.3 million and $0.3 million as of the three months ended June 30, 2022 and June 30, 2021,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87,797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18-19 West, LLC</w:t>
            </w:r>
          </w:p>
        </w:tc>
        <w:tc>
          <w:tcPr>
            <w:tcW w:w="7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96,466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66,852</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20" w:right="20" w:hanging="1"/>
        <w:spacing w:after="0" w:line="255" w:lineRule="auto"/>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for TRCC/Rock Outlet Center are presented net of non-cash tenant allowance amortization of $0.6 million and $0.6 million as of the six months ended June 30,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6"/>
              </w:rPr>
              <w:t>Joint Venture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TRC</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6"/>
              </w:rPr>
              <w:t>Joint Venture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TRC</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Pr>
          <w:p>
            <w:pPr>
              <w:spacing w:after="0"/>
              <w:rPr>
                <w:sz w:val="16"/>
                <w:szCs w:val="16"/>
                <w:color w:val="auto"/>
              </w:rPr>
            </w:pPr>
          </w:p>
        </w:tc>
        <w:tc>
          <w:tcPr>
            <w:tcW w:w="9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6"/>
                <w:szCs w:val="16"/>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80" w:type="dxa"/>
            <w:vAlign w:val="bottom"/>
          </w:tcPr>
          <w:p>
            <w:pPr>
              <w:spacing w:after="0"/>
              <w:rPr>
                <w:sz w:val="16"/>
                <w:szCs w:val="16"/>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6"/>
                <w:szCs w:val="16"/>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85,290</w:t>
            </w:r>
          </w:p>
        </w:tc>
        <w:tc>
          <w:tcPr>
            <w:tcW w:w="28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(14,848)</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58,859</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22,915</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18-19 West,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60,028</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(28,249)</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30,945</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61,927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24,454</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(23,097)</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24,964</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20,720</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(22,937)</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36,929</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(34,913)</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39,501</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(30,088)</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25,671</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9,319</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0" w:type="dxa"/>
            <w:vAlign w:val="bottom"/>
          </w:tcPr>
          <w:p>
            <w:pPr>
              <w:spacing w:after="0"/>
              <w:rPr>
                <w:sz w:val="1"/>
                <w:szCs w:val="1"/>
                <w:color w:val="auto"/>
              </w:rPr>
            </w:pPr>
          </w:p>
        </w:tc>
      </w:tr>
      <w:tr>
        <w:trPr>
          <w:trHeight w:val="171"/>
        </w:trPr>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267,306</w:t>
            </w:r>
          </w:p>
        </w:tc>
        <w:tc>
          <w:tcPr>
            <w:tcW w:w="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(153,750)</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103,695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38,632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(141,917)</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110,034</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43,418</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160" w:type="dxa"/>
            <w:vAlign w:val="bottom"/>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102,033</w:t>
            </w:r>
          </w:p>
        </w:tc>
        <w:tc>
          <w:tcPr>
            <w:tcW w:w="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101,835</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100,261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60" w:hanging="241"/>
        <w:spacing w:after="0"/>
        <w:tabs>
          <w:tab w:leader="none" w:pos="2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is consolidated within the Company's financial statements.</w:t>
      </w:r>
    </w:p>
    <w:p>
      <w:pPr>
        <w:spacing w:after="0" w:line="16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7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residential,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4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Officer/Chief Financial Officer is one of nine directors at WRMWSD. As of June 30, 2022, the Company paid $2,190,000 for these water contracts and related costs.</w:t>
      </w:r>
    </w:p>
    <w:p>
      <w:pPr>
        <w:spacing w:after="0" w:line="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SUBSEQUENT EVENTS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of 2022, the Company sold 58 acres of industrial land, located at TRCC East, to a major multinational corporation for gross consideration of $22,000,000.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MANAGEMENT'S DISCUSSION AND ANALYSIS OF FINANCIAL CONDITION AND RESULTS OF OPERATIONS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Forward-Looking Statements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impact of COVID-19 on the Company, its customers and suppliers, and global economic conditions,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including the development, distribution, efficacy and acceptance of vaccines and related mandates,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Business Objectives and Strategies</w:t>
      </w:r>
    </w:p>
    <w:p>
      <w:pPr>
        <w:spacing w:after="0" w:line="74"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have been approved to collectively include up to 35,278 housing units, and more than 35 million square feet of commercial space. Over the next few years, it is possible that we will be engaged in continuous litigation defending the entitlements of our master planned developments.</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are currently executing on value creation as we are engaged in construction, commercial sales, and leasing at our fully operational commercial/industrial center Tejon Ranch Commerce Center, or TRCC. In January 2021, the Kern County Board of Supervisors approved two Conditional Use Permits, authorizing development of multi-family apartment uses within the Tejon Ranch Commerce Center, on a 27-acre site located immediately north of the Outlets at Tejon. This authorization allows the Company to develop up to a maximum of 495 multi-family residences, in thirteen apartment buildings, as well as approximately 6,500 square feet of community amenity space and we anticipate construction beginning late 2022. All of these efforts are supported by diverse revenue streams generated from other operations including: farming, mineral resources, and our various joint ventures.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006EBF"/>
        </w:rPr>
        <w:t>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operate in five reporting segments: commercial/industrial real estate development; resort/residential real estate development; mineral resources; farming; and ranch operations.</w:t>
      </w:r>
    </w:p>
    <w:p>
      <w:pPr>
        <w:spacing w:after="0" w:line="83"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the power plant lease and communications leases.</w:t>
      </w:r>
    </w:p>
    <w:p>
      <w:pPr>
        <w:spacing w:after="0" w:line="40"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At the heart of the commercial/industrial real estate development segment is TRCC, a 20 million square foot commercial/industrial development on Interstate 5 just north of the Los Angeles basin.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38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joint ventures with Rockefeller Development Group, or Rockefeller:</w:t>
      </w:r>
    </w:p>
    <w:p>
      <w:pPr>
        <w:spacing w:after="0" w:line="14" w:lineRule="exact"/>
        <w:rPr>
          <w:rFonts w:ascii="Times New Roman" w:cs="Times New Roman" w:eastAsia="Times New Roman" w:hAnsi="Times New Roman"/>
          <w:sz w:val="14"/>
          <w:szCs w:val="14"/>
          <w:color w:val="auto"/>
        </w:rPr>
      </w:pPr>
    </w:p>
    <w:p>
      <w:pPr>
        <w:ind w:left="1020" w:right="120" w:hanging="251"/>
        <w:spacing w:after="0" w:line="236" w:lineRule="auto"/>
        <w:tabs>
          <w:tab w:leader="none" w:pos="101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18-19 West LLC owns 61.5 acres of land for future development within TRCC-West. In 2019, our 18-19 West LLC joint venture entered into a land purchase option with the same third-party who purchased the Five West building and land. In November 2021, the third-party exercised the land option and purchased the land from the joint venture for $15,213,000; and</w:t>
      </w:r>
    </w:p>
    <w:p>
      <w:pPr>
        <w:spacing w:after="0" w:line="6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operates the Outlets at Tejon, a net leasable 326,000 square foot shopping experience in TRCC-East;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 joint ventures with Majestic Realty Co., or Majestic, to develop, manage, and operate industrial buildings within TRCC:</w:t>
      </w:r>
    </w:p>
    <w:p>
      <w:pPr>
        <w:spacing w:after="0" w:line="7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1, LLC operates a 480,480 square foot industrial building in TRCC-East, which was completed during 2017 and is fully leased;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2, LLC owns and operates a 651,909 square foot building in TRCC-West that is fully leased;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3, LLC operates a 579,040 square foot industrial building in TRCC-East that is fully leased; and</w:t>
      </w:r>
    </w:p>
    <w:p>
      <w:pPr>
        <w:spacing w:after="0" w:line="72"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4, LLC was formed in 2021 to pursue the development, construction, leasing and management of a 629,274 square foot industrial building in TRCC-East. Grading on the site has been substantially completed and construction of the building has begun. The building is expected to be completed during the second half of 2022.</w:t>
      </w:r>
    </w:p>
    <w:p>
      <w:pPr>
        <w:spacing w:after="0" w:line="28" w:lineRule="exact"/>
        <w:rPr>
          <w:rFonts w:ascii="Times New Roman" w:cs="Times New Roman" w:eastAsia="Times New Roman" w:hAnsi="Times New Roman"/>
          <w:sz w:val="14"/>
          <w:szCs w:val="14"/>
          <w:color w:val="auto"/>
        </w:rPr>
      </w:pPr>
    </w:p>
    <w:p>
      <w:pPr>
        <w:ind w:left="1020" w:right="120" w:hanging="251"/>
        <w:spacing w:after="0" w:line="287" w:lineRule="auto"/>
        <w:tabs>
          <w:tab w:leader="none" w:pos="101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TRC-MRC 5 LLC was formed in March 29, 2022 to pursue the development, construction, lease-up, and management of an approximately 446,400 square foot industrial building located within TRCC-East. The project is currently in its initial planning and design phases with construction set to commence in 2023.</w:t>
      </w:r>
    </w:p>
    <w:p>
      <w:pPr>
        <w:spacing w:after="0" w:line="28" w:lineRule="exact"/>
        <w:rPr>
          <w:rFonts w:ascii="Times New Roman" w:cs="Times New Roman" w:eastAsia="Times New Roman" w:hAnsi="Times New Roman"/>
          <w:sz w:val="14"/>
          <w:szCs w:val="14"/>
          <w:color w:val="auto"/>
        </w:rPr>
      </w:pPr>
    </w:p>
    <w:p>
      <w:pPr>
        <w:ind w:left="1020" w:right="80" w:hanging="251"/>
        <w:spacing w:after="0" w:line="287" w:lineRule="auto"/>
        <w:tabs>
          <w:tab w:leader="none" w:pos="1017" w:val="left"/>
        </w:tabs>
        <w:numPr>
          <w:ilvl w:val="1"/>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TRC-MRC Multi I, LLC was formed in February 2022 with Majestic for the development, leasing and management of approximately 495 multi-family residential community. The development would be located on an approximately 23-acre site located immediately north of the Outlets at Tejon.</w:t>
      </w:r>
    </w:p>
    <w:p>
      <w:pPr>
        <w:spacing w:after="0" w:line="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the land entitlement and development process internally and through a joint venture. Our active developments within this segment are Mountain Village at Tejon Ranch, or MV, Centennial at Tejon Ranch, or Centennial, and Grapevine at Tejon Ranch, or Grapevine.</w:t>
      </w:r>
    </w:p>
    <w:p>
      <w:pPr>
        <w:spacing w:after="0" w:line="29" w:lineRule="exact"/>
        <w:rPr>
          <w:sz w:val="20"/>
          <w:szCs w:val="20"/>
          <w:color w:val="auto"/>
        </w:rPr>
      </w:pPr>
    </w:p>
    <w:p>
      <w:pPr>
        <w:ind w:left="520" w:right="4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2" w:right="339" w:bottom="1440" w:gutter="0" w:footer="0" w:header="0"/>
        </w:sectPr>
      </w:pPr>
    </w:p>
    <w:bookmarkStart w:id="27" w:name="page28"/>
    <w:bookmarkEnd w:id="27"/>
    <w:p>
      <w:pPr>
        <w:ind w:left="520" w:right="100" w:hanging="260"/>
        <w:spacing w:after="0" w:line="24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Centennial had entitlements approved in December 2018 and received legislative approvals in April 2019 from the Los Angeles County Board of Supervisors. See Note 12 (Commitments and Contingencies) of the Notes to Unaudited Consolidated Financial Statements for additional information related to current litigation; and</w:t>
      </w:r>
    </w:p>
    <w:p>
      <w:pPr>
        <w:spacing w:after="0" w:line="48" w:lineRule="exact"/>
        <w:rPr>
          <w:rFonts w:ascii="Times New Roman" w:cs="Times New Roman" w:eastAsia="Times New Roman" w:hAnsi="Times New Roman"/>
          <w:sz w:val="14"/>
          <w:szCs w:val="14"/>
          <w:color w:val="auto"/>
        </w:rPr>
      </w:pPr>
    </w:p>
    <w:p>
      <w:pPr>
        <w:ind w:left="520" w:right="100" w:hanging="260"/>
        <w:spacing w:after="0" w:line="25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The 4,643 acres designated for mixed-use development will include housing, retail, commercial, and industrial components.</w:t>
      </w:r>
    </w:p>
    <w:p>
      <w:pPr>
        <w:spacing w:after="0" w:line="29" w:lineRule="exact"/>
        <w:rPr>
          <w:rFonts w:ascii="Times New Roman" w:cs="Times New Roman" w:eastAsia="Times New Roman" w:hAnsi="Times New Roman"/>
          <w:sz w:val="14"/>
          <w:szCs w:val="14"/>
          <w:color w:val="auto"/>
        </w:rPr>
      </w:pPr>
    </w:p>
    <w:p>
      <w:pPr>
        <w:ind w:left="520" w:right="100" w:hanging="260"/>
        <w:spacing w:after="0" w:line="25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northeast of Grapevine is Grapevine North, a 7,655-acre development area, that is currently used for agricultural purposes. Identified as a development area in the Tejon Ranch Conservation and Land Use Agreement, or RWA, Grapevine North presents a significant opportunity for future development. Grapevine North may feature mixed use community development similar to Grapevine at Tejon Ranch, or other development uses as appropriate based upon market conditions at the time.</w:t>
      </w:r>
    </w:p>
    <w:p>
      <w:pPr>
        <w:spacing w:after="0" w:line="51"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Please refer to our Annual Report on Form 10-K for the year ended December 31, 2021, for a more detailed description of our active developments within the resort/residential real estate development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mineral resources segment generates revenues from oil and gas royalty leases, rock and aggregate mining leases, a lease with National Cement Company of California Inc., and water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farming segment produces revenues from the sale of wine grapes, almonds, and pistachios.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Lastly, the ranch operations segment consists of game management revenues and ancillary land uses such as grazing leases and filming.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Summary of 2022 Performance</w:t>
      </w:r>
    </w:p>
    <w:p>
      <w:pPr>
        <w:spacing w:after="0" w:line="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2022, the Company had a net loss attributable to common stockholders of $667,000 compared to net income of $2,822,000 for the three months ended June 30, 2021. Because of the timing of land and water sales, the Company's commercial real estate and mineral resources segments experienced operating profit declines, over the comparative period, of $2,774,000 and $1,465,000, respectively. Offsetting those declines was a decrease in income tax expense of $1,123,000.</w:t>
      </w:r>
    </w:p>
    <w:p>
      <w:pPr>
        <w:spacing w:after="0" w:line="4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For the first six months of 2022, we had net income attributable to common stockholders of $3,640,000 compared to $1,767,000 during the first six months of 2021. The Company's mineral resources and commercial real estate segments experienced operating profit improvements of $1,217,000 and $1,163,000, respectively, resulting from stronger margins associated with water and land sales.</w:t>
      </w:r>
    </w:p>
    <w:p>
      <w:pPr>
        <w:spacing w:after="0" w:line="1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Critical Accounting Estimates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2022, our critical accounting policies have not changed since the filing of our Annual Report on Form 10-K for the year ended December 31, 2021.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006EBF"/>
        </w:rPr>
        <w:t>Results of Operations by Segment</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Real Estate – Commercial/Industrial:</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51"/>
        </w:trPr>
        <w:tc>
          <w:tcPr>
            <w:tcW w:w="2260" w:type="dxa"/>
            <w:vAlign w:val="bottom"/>
            <w:tcBorders>
              <w:top w:val="single" w:sz="8" w:color="006EBF"/>
            </w:tcBorders>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60" w:type="dxa"/>
            <w:vAlign w:val="bottom"/>
          </w:tcPr>
          <w:p>
            <w:pPr>
              <w:spacing w:after="0"/>
              <w:rPr>
                <w:sz w:val="24"/>
                <w:szCs w:val="24"/>
                <w:color w:val="auto"/>
              </w:rPr>
            </w:pPr>
          </w:p>
        </w:tc>
        <w:tc>
          <w:tcPr>
            <w:tcW w:w="184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Change</w:t>
            </w:r>
          </w:p>
        </w:tc>
        <w:tc>
          <w:tcPr>
            <w:tcW w:w="1260" w:type="dxa"/>
            <w:vAlign w:val="bottom"/>
          </w:tcPr>
          <w:p>
            <w:pPr>
              <w:spacing w:after="0"/>
              <w:rPr>
                <w:sz w:val="24"/>
                <w:szCs w:val="24"/>
                <w:color w:val="auto"/>
              </w:rPr>
            </w:pPr>
          </w:p>
        </w:tc>
      </w:tr>
      <w:tr>
        <w:trPr>
          <w:trHeight w:val="17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8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Landscaping and other</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80"/>
        </w:trPr>
        <w:tc>
          <w:tcPr>
            <w:tcW w:w="4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sale</w:t>
            </w:r>
          </w:p>
        </w:tc>
        <w:tc>
          <w:tcPr>
            <w:tcW w:w="3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4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4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1"/>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1"/>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0"/>
        </w:trPr>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80" w:hanging="255"/>
        <w:spacing w:after="0" w:line="264"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$2,462,000 for the three months ended June 30, 2022, a decrease of $5,664,000, or 70%, from $8,126,000 for the three months ended June 30, 2021. The decrease is attributed to the absence of land sales during the second quarter of 2022 whereas in 2021, the Company contributed land to its TRC-MRC 4 joint venture and recognized $5,679,000 in land sales revenues. Lastly, the Company in 2021 received a one time lease termination payment from a tenant at TRCC resulting in a decrease in revenues for the current year.</w:t>
      </w:r>
    </w:p>
    <w:p>
      <w:pPr>
        <w:spacing w:after="0" w:line="44"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$1,822,000 for the three months ended June 30, 2022, a decrease of $2,890,000, or 61%, from $4,712,000 for the three months ended June 30, 2021. This decrease is primarily attributed to the absence of the cost of sales in 2022 when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color w:val="auto"/>
              </w:rPr>
              <w:t>Change</w:t>
            </w:r>
          </w:p>
        </w:tc>
        <w:tc>
          <w:tcPr>
            <w:tcW w:w="1020" w:type="dxa"/>
            <w:vAlign w:val="bottom"/>
            <w:tcBorders>
              <w:bottom w:val="single" w:sz="8" w:color="auto"/>
            </w:tcBorders>
          </w:tcPr>
          <w:p>
            <w:pPr>
              <w:spacing w:after="0"/>
              <w:rPr>
                <w:sz w:val="16"/>
                <w:szCs w:val="16"/>
                <w:color w:val="auto"/>
              </w:rPr>
            </w:pPr>
          </w:p>
        </w:tc>
      </w:tr>
      <w:tr>
        <w:trPr>
          <w:trHeight w:val="17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Commercial revenues</w:t>
            </w: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Pastoria Energy Facility</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TRCC Leasing</w:t>
            </w: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r>
      <w:tr>
        <w:trPr>
          <w:trHeight w:val="180"/>
        </w:trPr>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Commercial leases</w:t>
            </w: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Communication leases</w:t>
            </w:r>
          </w:p>
        </w:tc>
        <w:tc>
          <w:tcPr>
            <w:tcW w:w="1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Landscaping and other</w:t>
            </w: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Land sale</w:t>
            </w:r>
          </w:p>
        </w:tc>
        <w:tc>
          <w:tcPr>
            <w:tcW w:w="1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commercial revenues</w:t>
            </w: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 expenses</w:t>
            </w:r>
          </w:p>
        </w:tc>
        <w:tc>
          <w:tcPr>
            <w:tcW w:w="1160" w:type="dxa"/>
            <w:vAlign w:val="bottom"/>
            <w:tcBorders>
              <w:bottom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5,253</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0"/>
        </w:trPr>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220" w:hanging="255"/>
        <w:spacing w:after="0" w:line="287"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$9,811,000 for the first six months of 2022, a decrease of $543,000, or 5%, from $10,354,000 for the first six months of 2021. The decrease is primarily attributed to selling a smaller land parcel in 2022 when compared to 2021. This decrease was partially offset by an increase in developer fees.</w:t>
      </w:r>
    </w:p>
    <w:p>
      <w:pPr>
        <w:spacing w:after="0" w:line="28" w:lineRule="exact"/>
        <w:rPr>
          <w:rFonts w:ascii="Times New Roman" w:cs="Times New Roman" w:eastAsia="Times New Roman" w:hAnsi="Times New Roman"/>
          <w:sz w:val="14"/>
          <w:szCs w:val="14"/>
          <w:color w:val="auto"/>
        </w:rPr>
      </w:pPr>
    </w:p>
    <w:p>
      <w:pPr>
        <w:ind w:left="260" w:right="300" w:hanging="255"/>
        <w:spacing w:after="0" w:line="287"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$4,558,000 during the first six months of 2022, a decrease of $1,706,000, or 27%, from $6,264,000 during the first six months of 2021. The decrease is primarily attributed to selling a smaller land parcel in 2022 when compared to the previous period.</w:t>
      </w:r>
    </w:p>
    <w:p>
      <w:pPr>
        <w:spacing w:after="0" w:line="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logistics operators currently located within TRCC have demonstrated success in serving all of California and the western region of the United States, and the Company showcases their success in its marketing efforts. We expect to continue to focus our marketing strategy for TRCC-East and TRCC-West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Foreign Trade Zone, or FTZ, designation allows businesses to secure the many benefits and cost reductions associated with streamlined movement of goods in and out of the trade zone. This FTZ designation is further supplemented by the Advance Kern Incentive Program, or AKIP, adopted by the Kern County Board of Supervisors. AKIP is aimed to expand and enhance the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believe that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within our joint ventures.</w:t>
      </w:r>
    </w:p>
    <w:p>
      <w:pPr>
        <w:spacing w:after="0" w:line="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Strong demand for large distribution facilities is driving development farther east in a search for large, entitled parcels.</w:t>
      </w:r>
    </w:p>
    <w:p>
      <w:pPr>
        <w:spacing w:after="0" w:line="4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2022, historically tight market conditions continued to exist throughout the Inland Empire. Vacancy rates ticked up 20 basis points to 0.5% but is still 70 basis points below the mark from one year ago. Average asking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30" w:name="page31"/>
    <w:bookmarkEnd w:id="30"/>
    <w:p>
      <w:pPr>
        <w:ind w:right="100"/>
        <w:spacing w:after="0" w:line="287" w:lineRule="auto"/>
        <w:rPr>
          <w:sz w:val="20"/>
          <w:szCs w:val="20"/>
          <w:color w:val="auto"/>
        </w:rPr>
      </w:pPr>
      <w:r>
        <w:rPr>
          <w:rFonts w:ascii="Times New Roman" w:cs="Times New Roman" w:eastAsia="Times New Roman" w:hAnsi="Times New Roman"/>
          <w:sz w:val="14"/>
          <w:szCs w:val="14"/>
          <w:color w:val="auto"/>
        </w:rPr>
        <w:t>rents posted a record-high rate, a 21% jump quarter over quarter and 79% increase from one year ago. Demand for Inland Empire logistics space continues to be strong, as net absorption reached 3.7 million square feet. As lease rates increase in the Inland Empire, we may experience greater pricing advantages due to our lower land basis.</w:t>
      </w:r>
    </w:p>
    <w:p>
      <w:pPr>
        <w:spacing w:after="0" w:line="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2022, vacancy rates in the San Fernando Valley and Ventura County were unchanged at 0.5% quarter over quarter and 80 basis points below its mark from one year ago. Average asking rates continued to climb with a 22% jump from prior quarter. There is currently 622,000 square feet of industrial space under construction within this market.</w:t>
      </w:r>
    </w:p>
    <w:p>
      <w:pPr>
        <w:spacing w:after="0" w:line="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 The Company's TRC-MRC 4 joint venture is currently constructing a 629,274 square foot industrial building while Scannell Properties, a third-party land purchaser, is building a 252,000 square foot industrial building.</w:t>
      </w:r>
    </w:p>
    <w:p>
      <w:pPr>
        <w:spacing w:after="0" w:line="4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future costs tied to specific absorption transactions in any given year.</w:t>
      </w:r>
    </w:p>
    <w:p>
      <w:pPr>
        <w:spacing w:after="0" w:line="4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Resort/Residential: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the preliminary stages of property development for this segment; hence, no revenues or profits are attributed to this segment.</w:t>
      </w:r>
    </w:p>
    <w:p>
      <w:pPr>
        <w:spacing w:after="0" w:line="7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$423,000 for the three months ended June 30, 2022, a decrease of $16,000, or 4%, from $439,000 for the six months ended June 30, 2021. The decrease is attributed to additional payroll capitalized to qualifying real estate development projects.</w:t>
      </w:r>
    </w:p>
    <w:p>
      <w:pPr>
        <w:spacing w:after="0" w:line="2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$846,000 for the first six months of 2022, a decrease of $146,000, or 15%, from $992,000 for the first six months of 2021. The decrease is attributed to additional payroll capitalized to qualifying real estate development projects.</w:t>
      </w:r>
    </w:p>
    <w:p>
      <w:pPr>
        <w:spacing w:after="0" w:line="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 Most of the expenditures and capital investment to be incurred within our resort/residential real estate segment are expected to continue to focus on the mixed use master planned communities of Centennial, Grapevine, and Mountain Village.</w:t>
      </w:r>
    </w:p>
    <w:p>
      <w:pPr>
        <w:spacing w:after="0" w:line="37" w:lineRule="exact"/>
        <w:rPr>
          <w:sz w:val="20"/>
          <w:szCs w:val="20"/>
          <w:color w:val="auto"/>
        </w:rPr>
      </w:pPr>
    </w:p>
    <w:p>
      <w:pPr>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40"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 an 8,010-acre development area located on the San Joaquin Valley floor area of our lands, adjacent to TRCC. Upon completion of Grapevine, the community will include 12,000 homes, 5.1 million square feet for commercial development, and more than 3,367 acres of open space and parks.</w:t>
      </w:r>
    </w:p>
    <w:p>
      <w:pPr>
        <w:spacing w:after="0" w:line="28"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 a fully entitled project that obtained final map approvals in 2021 for 401 residential lots and parcels for hospitality, amenities, and public uses. The timing of the MV development in the coming years will depend on the strength of both the economy and the real estate market, including both primary and second home markets. In moving the project forward, we will focus on consumer and market research studies, and fine tuning of development business plans.</w:t>
      </w:r>
    </w:p>
    <w:p>
      <w:pPr>
        <w:spacing w:after="0" w:line="2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Mineral Resources: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1180" w:type="dxa"/>
            <w:vAlign w:val="bottom"/>
            <w:tcBorders>
              <w:top w:val="single" w:sz="8" w:color="006EBF"/>
            </w:tcBorders>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left="260" w:right="200" w:hanging="255"/>
        <w:spacing w:after="0" w:line="270"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$4,131,000 for the three months ended June 30, 2022, a decrease of $3,273,000, or 44%, from $7,404,000 for the three months ended June 30, 2021. The reduction in revenues is primarily attributed to the timing of water sales, which were mostly completed during the first quarter of 2022. Comparatively, the Company sold 1,500 and 4,715 acre-feet of water as of the three months ended June 30, 2022 and 2021, respectively.</w:t>
      </w:r>
    </w:p>
    <w:p>
      <w:pPr>
        <w:spacing w:after="0" w:line="50"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$2,445,000 for the three months ended June 30, 2022, a decrease of $1,808,000, or 43%, from $4,253,000 for the six months ended June 30, 2021. This decrease is consistent with reduced water sales volume when compared to the prior period.</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Change</w:t>
            </w:r>
          </w:p>
        </w:tc>
        <w:tc>
          <w:tcPr>
            <w:tcW w:w="1160" w:type="dxa"/>
            <w:vAlign w:val="bottom"/>
            <w:tcBorders>
              <w:bottom w:val="single" w:sz="8" w:color="auto"/>
            </w:tcBorders>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118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118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12,407</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3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16,099</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9,602</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6,497</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60" w:hanging="255"/>
        <w:spacing w:after="0" w:line="264"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$16,099,000 for the first six months of 2022, an increase of $1,519,000, or 10%, from $14,580,000 for the first six months of 2021. The dry 2021/2022 winter diminished water availability in California and eventually resulted in a SWP allocation of 5%. As a result, the Company generated $545,000 in additional water sales revenues in 2022, as a result of improved pricing. Comparatively the Company sold 8,470 and 10,596 acre-feet of water as of June 30, 2022 and 2021, respectively. The remainder of the increase is attributed to the timing of property tax reimbursements from our mineral leases and increased production in the Company's oil and mineral leases as well as higher oil prices.</w:t>
      </w:r>
    </w:p>
    <w:p>
      <w:pPr>
        <w:spacing w:after="0" w:line="55" w:lineRule="exact"/>
        <w:rPr>
          <w:rFonts w:ascii="Times New Roman" w:cs="Times New Roman" w:eastAsia="Times New Roman" w:hAnsi="Times New Roman"/>
          <w:sz w:val="14"/>
          <w:szCs w:val="14"/>
          <w:color w:val="auto"/>
        </w:rPr>
      </w:pPr>
    </w:p>
    <w:p>
      <w:pPr>
        <w:ind w:left="260" w:right="360" w:hanging="255"/>
        <w:spacing w:after="0" w:line="287"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$9,602,000 for the first six months of 2022, an increase of $302,000, or 3%, when compared to the same period in 2021. The increase is primarily attributed to increases in property taxes and general overhead costs.</w:t>
      </w:r>
    </w:p>
    <w:p>
      <w:pPr>
        <w:spacing w:after="0" w:line="2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 anticipated changes arise in the future related to groundwater management in California, such as limits on groundwater pumping in overdrafted water basins outside of our lands, we believe that our water assets, including water banking operations, ground water recharge programs, and access to water contracts like those we have purchased in the past, will become even more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important and valuable in servicing our projects and providing opportunities for water sales to third parties. We do not expect any further water sales for the remainder of the year.</w:t>
      </w:r>
    </w:p>
    <w:p>
      <w:pPr>
        <w:spacing w:after="0" w:line="12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4"/>
          <w:szCs w:val="14"/>
          <w:color w:val="auto"/>
        </w:rPr>
        <w:t>The price per barrel of oil has increased over 48% from December 31, 2021 levels leading to increases in production, with the expectation of more wells returning into production in the near future. Prices for oil,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such as current conflicts in Eastern Europe.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Farming: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Hay</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71"/>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20"/>
        </w:trPr>
        <w:tc>
          <w:tcPr>
            <w:tcW w:w="3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140" w:hanging="255"/>
        <w:spacing w:after="0" w:line="270"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were $1,921,000 for the three months ended June 30, 2022, an increase of $1,642,000, or 589%, from $279,000 during the same period in 2021. The improvement is primarily attributed to the timing of the 2021 almond crop sales. Comparatively we sold 722,032 and 44,000 pounds of almonds as of the three months ended June 30, 2022 and 2021, respectively.</w:t>
      </w:r>
    </w:p>
    <w:p>
      <w:pPr>
        <w:spacing w:after="0" w:line="50" w:lineRule="exact"/>
        <w:rPr>
          <w:rFonts w:ascii="Times New Roman" w:cs="Times New Roman" w:eastAsia="Times New Roman" w:hAnsi="Times New Roman"/>
          <w:sz w:val="14"/>
          <w:szCs w:val="14"/>
          <w:color w:val="auto"/>
        </w:rPr>
      </w:pPr>
    </w:p>
    <w:p>
      <w:pPr>
        <w:ind w:left="260" w:right="300" w:hanging="255"/>
        <w:spacing w:after="0" w:line="287"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$3,462,000 for the three months ended June 30, 2022, an increase of $2,259,000, or 188%, from $1,203,000 during the same period in 2021. The increase in expenses resulted from the additional cost of sales related to the increase in almond sales when compared to prior year and higher water costs.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Change</w:t>
            </w:r>
          </w:p>
        </w:tc>
        <w:tc>
          <w:tcPr>
            <w:tcW w:w="1140" w:type="dxa"/>
            <w:vAlign w:val="bottom"/>
            <w:tcBorders>
              <w:bottom w:val="single" w:sz="8" w:color="auto"/>
            </w:tcBorders>
          </w:tcPr>
          <w:p>
            <w:pPr>
              <w:spacing w:after="0"/>
              <w:rPr>
                <w:sz w:val="16"/>
                <w:szCs w:val="16"/>
                <w:color w:val="auto"/>
              </w:rPr>
            </w:pP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Farming revenues</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Almonds</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436 %</w:t>
            </w:r>
          </w:p>
        </w:tc>
      </w:tr>
      <w:tr>
        <w:trPr>
          <w:trHeight w:val="180"/>
        </w:trPr>
        <w:tc>
          <w:tcPr>
            <w:tcW w:w="3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Pistachios</w:t>
            </w:r>
          </w:p>
        </w:tc>
        <w:tc>
          <w:tcPr>
            <w:tcW w:w="1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Wine grapes</w:t>
            </w:r>
          </w:p>
        </w:tc>
        <w:tc>
          <w:tcPr>
            <w:tcW w:w="1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Hay</w:t>
            </w:r>
          </w:p>
        </w:tc>
        <w:tc>
          <w:tcPr>
            <w:tcW w:w="1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1"/>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farming revenues</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191 %</w:t>
            </w:r>
          </w:p>
        </w:tc>
      </w:tr>
      <w:tr>
        <w:trPr>
          <w:trHeight w:val="171"/>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farming expenses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 income from farming</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20"/>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260" w:right="160" w:hanging="255"/>
        <w:spacing w:after="0" w:line="287"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were $2,576,000 for the first six months of 2022, an increase of $1,690,000, or 191%, from $886,000 during the same period in 2021. The improvement is primarily attributed to the timing of 2021 almond crop sales. Comparatively we sold 991,392 and 204,996 pounds of almonds as of the six months ended June 30, 2022 and 2021, respectively.</w:t>
      </w:r>
    </w:p>
    <w:p>
      <w:pPr>
        <w:spacing w:after="0" w:line="39" w:lineRule="exact"/>
        <w:rPr>
          <w:rFonts w:ascii="Times New Roman" w:cs="Times New Roman" w:eastAsia="Times New Roman" w:hAnsi="Times New Roman"/>
          <w:sz w:val="14"/>
          <w:szCs w:val="14"/>
          <w:color w:val="auto"/>
        </w:rPr>
      </w:pPr>
    </w:p>
    <w:p>
      <w:pPr>
        <w:ind w:left="260" w:right="200" w:hanging="255"/>
        <w:spacing w:after="0" w:line="270"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$5,224,000 for the first six months of 2022, an increase of $2,543,000, or 95%, from $2,681,000 when compared to the same period in 2021. The increase in expenses is primarily attributed to an increase in the amount of almonds sold. In addition, the Company is also incurring higher fixed water costs resulting from increased costs associated with maintaining local water district infrastructure and high State Water Project fixed water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3" w:name="page34"/>
    <w:bookmarkEnd w:id="33"/>
    <w:p>
      <w:pPr>
        <w:ind w:right="60"/>
        <w:spacing w:after="0" w:line="264" w:lineRule="auto"/>
        <w:rPr>
          <w:sz w:val="20"/>
          <w:szCs w:val="20"/>
          <w:color w:val="auto"/>
        </w:rPr>
      </w:pPr>
      <w:r>
        <w:rPr>
          <w:rFonts w:ascii="Times New Roman" w:cs="Times New Roman" w:eastAsia="Times New Roman" w:hAnsi="Times New Roman"/>
          <w:sz w:val="14"/>
          <w:szCs w:val="14"/>
          <w:color w:val="auto"/>
        </w:rPr>
        <w:t>Our almond, pistachio, and wine grape crop sales are highly seasonal with most of our sales occurring during the third and fourth quarters. Nut and grape crop markets are particularly sensitive to the size of each year’s world crop and the demand for those crops. As witnessed in 2020, large crop yields in California and abroad can rapidly depress prices. Tariffs from India, which is a major customer of almonds and pistachios, can make American products less competitive and push customers to switch to another producing country. The strengthening of the U.S. Dollar also makes our crops less attractive to foreign buyers.</w:t>
      </w:r>
    </w:p>
    <w:p>
      <w:pPr>
        <w:spacing w:after="0" w:line="3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Weather conditions can also impact the number of tree and vine dormant hours, which are integral to tree and vine growth. We will not know the impact of current weather conditions on 2022 production until the summer of 2022. We experienced a warm winter, which reduces the number of chilling hours for our pistachio and almond trees. In the past, this has had a very adverse effect on pistachio yields. The current SWP allocation of 5% alone is inadequate for our farming needs. As such, management will use a portion of the Company's water sources to cover any shortfall and may incur additional water delivery charges, which will increase overall 2022 crop production costs.</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Labor shortages are increasing the cost of labor for the Company’s farming segment, while supply chain disruptions such as shortages of drivers for trucking companies and availability of food grade containers are impacting our ability to deliver goods to customers. Because a majority of the Company's almonds are sold to customers in India and China, it is very likely that there will be continued sales delays given the current disruption in the global supply chain network. The Company, along with the rest of the farming industry, is experiencing increased costs for chemicals, herbicides, and fertilizers. For the remainder of 2022, we expect these issues to have an adverse effect on the Company's farming operations.</w:t>
      </w:r>
    </w:p>
    <w:p>
      <w:pPr>
        <w:spacing w:after="0" w:line="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Ranch Operations: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1160" w:type="dxa"/>
            <w:vAlign w:val="bottom"/>
            <w:tcBorders>
              <w:top w:val="single" w:sz="8" w:color="006EBF"/>
            </w:tcBorders>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72"/>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Ranch Operations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r>
    </w:tbl>
    <w:p>
      <w:pPr>
        <w:ind w:left="100" w:hanging="81"/>
        <w:spacing w:after="0" w:line="202" w:lineRule="auto"/>
        <w:tabs>
          <w:tab w:leader="none" w:pos="100" w:val="left"/>
        </w:tabs>
        <w:numPr>
          <w:ilvl w:val="1"/>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Game management and other revenues consist of revenues from hunting, filming, high desert hunt club (a premier upland bird hunting club), and other ancillary activities.</w:t>
      </w:r>
    </w:p>
    <w:p>
      <w:pPr>
        <w:spacing w:after="0" w:line="319" w:lineRule="exact"/>
        <w:rPr>
          <w:rFonts w:ascii="Times New Roman" w:cs="Times New Roman" w:eastAsia="Times New Roman" w:hAnsi="Times New Roman"/>
          <w:sz w:val="17"/>
          <w:szCs w:val="17"/>
          <w:color w:val="auto"/>
          <w:vertAlign w:val="superscript"/>
        </w:rPr>
      </w:pPr>
    </w:p>
    <w:p>
      <w:pPr>
        <w:ind w:left="260" w:right="520" w:hanging="255"/>
        <w:spacing w:after="0" w:line="287"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were $755,000 for the three months ended June 30, 2022, a decrease of $74,000, or 9%, from $829,000 for the same period in 2021. The decrease is primarily attributed to a drought clause that reduced the number of cattle that are able to graze on the Company's land, thereby reducing grazing lease revenues.</w:t>
      </w:r>
    </w:p>
    <w:p>
      <w:pPr>
        <w:spacing w:after="0" w:line="18" w:lineRule="exact"/>
        <w:rPr>
          <w:rFonts w:ascii="Times New Roman" w:cs="Times New Roman" w:eastAsia="Times New Roman" w:hAnsi="Times New Roman"/>
          <w:sz w:val="14"/>
          <w:szCs w:val="14"/>
          <w:color w:val="auto"/>
        </w:rPr>
      </w:pPr>
    </w:p>
    <w:p>
      <w:pPr>
        <w:ind w:left="260" w:right="180" w:hanging="255"/>
        <w:spacing w:after="0" w:line="278"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$1,250,000 for the three months ended June 30, 2022, an increase of $108,000, or 9%, from $1,142,000 for the same period in 2021. This increase is primarily attributed to an increase in repairs and maintenance costs resulting from a shift in business strategy. Historically, the Company has maintained property grounds using internal sources, during 2022 we began outsourcing this effort which is attributing to the aforementioned increase in repairs and maintenance costs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-911225</wp:posOffset>
            </wp:positionV>
            <wp:extent cx="47294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color w:val="auto"/>
              </w:rPr>
              <w:t>Change</w:t>
            </w:r>
          </w:p>
        </w:tc>
        <w:tc>
          <w:tcPr>
            <w:tcW w:w="1080" w:type="dxa"/>
            <w:vAlign w:val="bottom"/>
            <w:tcBorders>
              <w:bottom w:val="single" w:sz="8" w:color="auto"/>
            </w:tcBorders>
          </w:tcPr>
          <w:p>
            <w:pPr>
              <w:spacing w:after="0"/>
              <w:rPr>
                <w:sz w:val="16"/>
                <w:szCs w:val="16"/>
                <w:color w:val="auto"/>
              </w:rPr>
            </w:pP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2"/>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Ranch Operations</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r>
    </w:tbl>
    <w:p>
      <w:pPr>
        <w:ind w:left="120" w:hanging="80"/>
        <w:spacing w:after="0" w:line="208" w:lineRule="auto"/>
        <w:tabs>
          <w:tab w:leader="none" w:pos="120" w:val="left"/>
        </w:tabs>
        <w:numPr>
          <w:ilvl w:val="1"/>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Game management and other revenues consist of revenues from hunting, filming, high desert hunt club (a premier upland bird hunting club), and other ancillary activities.</w:t>
      </w:r>
    </w:p>
    <w:p>
      <w:pPr>
        <w:spacing w:after="0" w:line="315" w:lineRule="exact"/>
        <w:rPr>
          <w:rFonts w:ascii="Times New Roman" w:cs="Times New Roman" w:eastAsia="Times New Roman" w:hAnsi="Times New Roman"/>
          <w:sz w:val="18"/>
          <w:szCs w:val="18"/>
          <w:color w:val="auto"/>
          <w:vertAlign w:val="superscript"/>
        </w:rPr>
      </w:pPr>
    </w:p>
    <w:p>
      <w:pPr>
        <w:ind w:left="260" w:right="60" w:hanging="255"/>
        <w:spacing w:after="0" w:line="287"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were $1,803,000 for the first six months of 2022, a decrease of $69,000, or 4%, from $1,872,000 for the same period in 2021. The decrease is primarily attributed to a drought clause that reduced the number of cattle that are able to graze on the Company's land, thereby reducing grazing lease revenues.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$2,565,000 for the first six months of 2022, an increase of $236,000, or 10%, from $2,329,000 for the same period in 2021. This increase is primarily attributed</w:t>
      </w:r>
    </w:p>
    <w:p>
      <w:pPr>
        <w:spacing w:after="0" w:line="40" w:lineRule="exact"/>
        <w:rPr>
          <w:rFonts w:ascii="Times New Roman" w:cs="Times New Roman" w:eastAsia="Times New Roman" w:hAnsi="Times New Roman"/>
          <w:sz w:val="14"/>
          <w:szCs w:val="14"/>
          <w:color w:val="auto"/>
        </w:rPr>
      </w:pPr>
    </w:p>
    <w:p>
      <w:pPr>
        <w:ind w:left="260" w:right="30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increase in repairs and maintenance costs resulting from a shift in business strategy. Historically, the Company has maintained property grounds using internal sources, during 2022 we began outsourcing this effort which is attributing to the aforementioned increase in repairs and maintenance costs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-948690</wp:posOffset>
            </wp:positionV>
            <wp:extent cx="45072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07230" cy="698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Corporate and Other:</w:t>
      </w:r>
    </w:p>
    <w:p>
      <w:pPr>
        <w:spacing w:after="0" w:line="8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Corporate general and administrative costs were $2,185,000 for the three months ended June 30, 2022, a decrease of $179,000, or 8%, from $2,364,000 for the same period in 2021. The decrease is primarily attributed to a decrease in payroll and stock compensation, net of capitalization, of $95,000 as a result of the Company switching from a performance-based stock compensation plan to a market-based stock compensation plan. The Company also had a $44,000 reduction in insurance expense as a result of a refund.</w:t>
      </w:r>
    </w:p>
    <w:p>
      <w:pPr>
        <w:spacing w:after="0" w:line="3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Corporate general and administrative costs were $4,600,000 for the first six months of 2022, a decrease of $55,000, or 1%, from $4,655,000 for the same period in 2021. The decrease is primarily attributed to lower depreciation and amortization costs.</w:t>
      </w:r>
    </w:p>
    <w:p>
      <w:pPr>
        <w:spacing w:after="0" w:line="8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On November 2021, the Company's 18-19 West joint venture sold its land for $15,213,000. In 2022, the Company received excess distributions and recognized long-term deferred gains, associated with the 18-19 West joint venture of $925,000.</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3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Joint Ventures: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18-19 West,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260" w:right="40" w:hanging="255"/>
        <w:spacing w:after="0" w:line="287"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were $1,663,000 for the three months ended June 30, 2022, an increase of $298,000, from $1,365,000 during the same period in 2021. The improvement is primarily attributed to the Company's Petro joint venture that saw improved fuel and non-fuel operating margins in 2022.</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Six Months Ended June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color w:val="auto"/>
              </w:rPr>
              <w:t>Change</w:t>
            </w:r>
          </w:p>
        </w:tc>
        <w:tc>
          <w:tcPr>
            <w:tcW w:w="1300" w:type="dxa"/>
            <w:vAlign w:val="bottom"/>
            <w:tcBorders>
              <w:bottom w:val="single" w:sz="8" w:color="auto"/>
            </w:tcBorders>
          </w:tcPr>
          <w:p>
            <w:pPr>
              <w:spacing w:after="0"/>
              <w:rPr>
                <w:sz w:val="16"/>
                <w:szCs w:val="16"/>
                <w:color w:val="auto"/>
              </w:rPr>
            </w:pPr>
          </w:p>
        </w:tc>
      </w:tr>
      <w:tr>
        <w:trPr>
          <w:trHeight w:val="171"/>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18-19 West,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20"/>
        </w:trPr>
        <w:tc>
          <w:tcPr>
            <w:tcW w:w="3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260" w:right="80" w:hanging="255"/>
        <w:spacing w:after="0" w:line="270"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were $2,876,000 for the six months ended June 30, 2022, an increase of $1,570,000, or 120%, from $1,306,000 during the same period in 2021. The improvement is primarily attributed to the Company's Petro joint venture that saw improvements in both fuel and non-fuel operating margins. Additionally, the joint venture's full-service restaurants were open during the first quarter of 2022, but were closed due to COVID-19 mandates during the same period in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"Non-GAAP Financial Measures" for further financial discussion of the results of our joint ventures.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General Outlook</w:t>
      </w:r>
    </w:p>
    <w:p>
      <w:pPr>
        <w:spacing w:after="0" w:line="74"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4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2021,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Income Taxes</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For the six months ended June 30, 2022, the Company had net income tax expense of $3,041,000 compared to $1,139,000 for the six months ended June 30, 2021. The effective tax rates approximated 45% and 39% for the six months ended June 30, 2022 and 2021, respectively. As of June 30, 2022, income tax payables were $2,213,000. The Company classifies interest and penalties incurred on tax payments as income tax expenses. The Company's effective tax rates were higher than statutory rates primarily because of permanent differences related to Section 162(m) limitations and discrete tax expense associated with interest rate swap termination proceeds. The Section 162(m) compensation deduction limitations occurred due to changes in tax law arising from the 2017 Tax Cuts Jobs Act. The discrete item was primarily triggered after the Company terminated an existing interest rate swap position that was in a net asset position and as a result, received proceeds of $1,123,000.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Cash Flow and Liquidity</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30"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4"/>
          <w:szCs w:val="14"/>
          <w:color w:val="auto"/>
        </w:rPr>
        <w:t>To enhance shareholder value over the long-term, we expect to continue to make investments in our real estate segments to secure land entitlement approvals, build infrastructure for our developments,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40" w:lineRule="exact"/>
        <w:rPr>
          <w:sz w:val="20"/>
          <w:szCs w:val="20"/>
          <w:color w:val="auto"/>
        </w:rPr>
      </w:pPr>
    </w:p>
    <w:p>
      <w:pPr>
        <w:ind w:right="1940"/>
        <w:spacing w:after="0" w:line="398" w:lineRule="auto"/>
        <w:rPr>
          <w:sz w:val="20"/>
          <w:szCs w:val="20"/>
          <w:color w:val="auto"/>
        </w:rPr>
      </w:pPr>
      <w:r>
        <w:rPr>
          <w:rFonts w:ascii="Times New Roman" w:cs="Times New Roman" w:eastAsia="Times New Roman" w:hAnsi="Times New Roman"/>
          <w:sz w:val="14"/>
          <w:szCs w:val="14"/>
          <w:color w:val="auto"/>
        </w:rPr>
        <w:t>Our cash, cash equivalents and marketable securities totaled $45,549,000 as of June 30, 2022, a decrease of $1,629,000 from $47,178,000 as of December 31, 2021. The following table shows our cash flow activities for the six months ended June 30,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(9,846)</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six months of 2022, the Company's operations provided $2,658,000 primarily as a result of distributions of earnings from unconsolidated joint ventures and an increase in net income.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six months of 2021, the Company's operations used $1,095,000 primarily to fund crop cultural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six months of 2022, investing activities used $18,427,000. The Company made capital expenditures, inclusive of capitalized interest and payroll (exclusive of stock compensation),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$12,288,000, which includes predevelopment activities for our master planned communities; $1,292,000 consisting of permitting efforts for MV; $420,000 consisting of permitting efforts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Grapevine, and costs related to litigation defense for Centennial of $2,067,000. At TRCC, we spent $4,480,000 on infrastructure improvements and planning on the residential community at TRCC-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 Within our farming segment, we spent $3,690,000 which includes cultural costs for orchards not currently in production and replacing machinery and equipment. Lastly, the Company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$988,000 to acquire water assets. The Company had marketable securities maturities of $20,322,000 and reinvested $36,783,000. Lastly, the Company received proceeds of $2,899,000, $3,973,000,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$4,438,000, from joint venture distributions, water sales, and land sales, respectively.</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During the first six months of 2021, investing activities used $9,846,000. The Company made capital expenditures, inclusive of capitalized interest and payroll (exclusive of stock compensation), of $11,414,000, which includes predevelopment activities for our master planned communities; $2,235,000 consisting of planning and permitting primarily related to the preparation of final maps for Phase 1 of MV; expenditures relating to litigation of $618,000 for Grapevine, and costs related to litigation defense for Centennial of $1,184,000. At TRCC, we spent $2,136,000 on infrastructure improvements, qualifying costs related to land development and the residential community at TRCC-East. Within our farming segment, we spent $4,812,000 developing new almond orchards and grape vineyards, which includes cultural costs for 2021 for orchards not currently in production and replacing machinery and equipment. Lastly, the Company used $2,415,000 to acquire water assets and invested $7,842,000 into marketable securities. The cash outlays previously mentioned were offset by water sales proceeds of $5,874,000, joint venture distributions of $5,096,000 primarily attributed to the sale of land to TRC-MRC 4 and proceeds from matured marketable securities of $1,400,000.</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2" w:right="359" w:bottom="1440" w:gutter="0" w:footer="0" w:header="0"/>
        </w:sectPr>
      </w:pPr>
    </w:p>
    <w:bookmarkStart w:id="37" w:name="page38"/>
    <w:bookmarkEnd w:id="37"/>
    <w:p>
      <w:pPr>
        <w:ind w:right="80"/>
        <w:spacing w:after="0" w:line="287" w:lineRule="auto"/>
        <w:rPr>
          <w:sz w:val="20"/>
          <w:szCs w:val="20"/>
          <w:color w:val="auto"/>
        </w:rPr>
      </w:pPr>
      <w:r>
        <w:rPr>
          <w:rFonts w:ascii="Times New Roman" w:cs="Times New Roman" w:eastAsia="Times New Roman" w:hAnsi="Times New Roman"/>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estimated capital investment, inclusive of capitalized interest and payroll, for the remainder of 2022 is primarily related to our real estate projects. These estimated investments include approximately $8,236,000 of infrastructure development at TRCC-East to support continued commercial retail and industrial development and to expand water facilities to support future anticipated absorption. We also plan to continue to invest in cultural costs tied to new almond orchards and vineyards, and to replace farm equipment. The farm investments are part of a long-term farm management program to redevelop declining orchards and vineyards to maintain and improve future farm revenues. Lastly, we expect to invest up to $4,734,000 for land planning, litigation/appeals, federal and state agency permitting activities, and development activities at MV, Centennial, and Grapevine during the remainder of 2022.</w:t>
      </w:r>
    </w:p>
    <w:p>
      <w:pPr>
        <w:spacing w:after="0" w:line="4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six months ended June 30, 2022 and 2021, was $1,154,000 and $1,242,000, respectively, and is classified within real estate development. We also capitalized payroll costs related to development, pre-construction, and construction projects which aggregated $1,311,100 and $1,238,000 for the six months ended June 30, 2022 and 2021, respectively. Expenditures for repairs and maintenance are expensed as incurred.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7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During the first six months of 2022, financing activities used $2,062,000, which was attributable to long-term debt service of $50,962,000, tax payments on vested share grants of $1,122,000, offset by debt issuance of $49,080,000 and proceeds from interest rate swap termination of $1,123,000.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six months of 2021, financing activities used $3,098,000, which was attributable to long-term debt service of $2,132,000 and tax payments on vested share grants of $966,000.</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the Company's experience, the Company believes it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41"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Capital Structure and Financial Condition</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At June 30, 2022, total capitalization at book value was $515,210,000, consisting of $50,901,000 of debt and $464,309,000 of equity, resulting in a debt-to-total-capitalization ratio of approximately 9.9%.</w:t>
      </w:r>
    </w:p>
    <w:p>
      <w:pPr>
        <w:spacing w:after="0" w:line="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 On June 27, 2022, the Company paid off the Amended Term Note and terminated the related interest rate swap agreement with Wells Fargo and received a $1,123,200 cash termination fee from Wells Fargo for the interest rate swap.</w:t>
      </w:r>
    </w:p>
    <w:p>
      <w:pPr>
        <w:spacing w:after="0" w:line="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On June 30, 2022, the Company entered into a variable rate term note, or New Term Note, and a New Revolving Line of Credit Note, or New RLC, with Bank of America, N.A, (Lender) or collectively the New Credit Facility. The New Term Loan provides a principal amount of $49,080,000 and a maturity date of June 28, 2032, which was used to pay off the existing Wells Fargo Amended Term Note. The Company evaluated the exchange under ASC 470 and determined that the exchange should be treated as a debt extinguishment. The amount of New RLC under the New Credit Facility is $45,000,000. As a subfacility under the New RLC, the Lender agrees to provide up to $10,000,000 of capacity to issue standby letters of credit. The Company currently has $4,393,000 outstanding on a standby letter of credit (see Off-Balance Sheet Arrangements section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below for further discussion). The Company can issue an additional $5,607,000 in standby letters of credit. The allocation of the credit availability to a letter of credit does not incur an interest cost.</w:t>
      </w:r>
    </w:p>
    <w:p>
      <w:pPr>
        <w:spacing w:after="0" w:line="7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New Term Note had a $49,080,000 balance as of June 30, 2022.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28, 2032. The New Credit Facility is secured by the Company's farmland and farm assets, which include equipment, crops and crop receivables; the PEF power plant lease and lease site; and related accounts and other rights to payment and inventory.</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New RLC had no outstanding balance as of June 30, 2022. At the Company’s option, the interest rate on this line of credit can float at 1.37% over a selected the Daily SOFR rate or can be fixed at 1.37% above Term SOFR for a fixed rate term. During the term of this RLC (which matures in June 2032), the Company can borrow at any time and partially or wholly repay any outstanding borrowings and then re-borrow, as necessary.</w:t>
      </w:r>
    </w:p>
    <w:p>
      <w:pPr>
        <w:spacing w:after="0" w:line="9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Any future borrowings under the New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New RLC is subject to compliance with certain financial covenants and making certain representations and warranties, which are typical in this type of borrowing arrangement.</w:t>
      </w:r>
    </w:p>
    <w:p>
      <w:pPr>
        <w:spacing w:after="0" w:line="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New Credit Facility requires compliance with two financial covenants: (a) total liabilities divided by tangible net worth not greater than 0.75 to 1.0 at each quarter end; (b) a debt service coverage ratio not less than 1.25 to 1.00 as of each quarter end on a rolling four quarter basis.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2022 and December 31, 2021, the Company was in compliance with all financial covenants.</w:t>
      </w:r>
    </w:p>
    <w:p>
      <w:pPr>
        <w:spacing w:after="0" w:line="7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New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make a change in capital ownership, or incur liens on any assets.</w:t>
      </w:r>
    </w:p>
    <w:p>
      <w:pPr>
        <w:spacing w:after="0" w:line="2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New Credit Facility contains customary events of default, including: failure to make required payments; failure to comply with terms of the New Credit Facility; bankruptcy and insolvency. The New Credit Facility contains other customary terms and conditions, including representations and warranties, which are typical for credit facilities of this type.</w:t>
      </w:r>
    </w:p>
    <w:p>
      <w:pPr>
        <w:spacing w:after="0" w:line="2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also has a $4,750,000 promissory note agreement whose principal and interest due monthly began October 1, 2013. The interest rate on this promissory note is 4.25% per annum, with principal and interest payments ending on September 1, 2028. The balance as of June 30, 2022 was $1,821,000.</w:t>
      </w:r>
    </w:p>
    <w:p>
      <w:pPr>
        <w:spacing w:after="0" w:line="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4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May 2022, we filed an updated shelf registration statement on Form S-3, which went effective in May 2022. Under the shelf registration statement, we may offer and sell in the future one or more offerings not to exceed $200,000,000,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45"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Although we have a strong liquidity position at June 30, 2022 with $45,549,000 in cash and securities and $45,000,000 available on our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9" w:name="page40"/>
    <w:bookmarkEnd w:id="39"/>
    <w:p>
      <w:pPr>
        <w:ind w:right="80"/>
        <w:spacing w:after="0" w:line="287" w:lineRule="auto"/>
        <w:rPr>
          <w:sz w:val="20"/>
          <w:szCs w:val="20"/>
          <w:color w:val="auto"/>
        </w:rPr>
      </w:pPr>
      <w:r>
        <w:rPr>
          <w:rFonts w:ascii="Times New Roman" w:cs="Times New Roman" w:eastAsia="Times New Roman" w:hAnsi="Times New Roman"/>
          <w:sz w:val="14"/>
          <w:szCs w:val="14"/>
          <w:color w:val="auto"/>
        </w:rPr>
        <w:t>financing at favorable terms. We believe we have adequate capital resources to fund our cash needs and our capital investment requirements in the near-term as described earlier in the cash flow and liquidity discussions.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Contractual Cash Obligations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commercial commitments as of June 30, 2022, to be paid over the next five years and thereafter:</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4"/>
                <w:szCs w:val="14"/>
                <w:color w:val="auto"/>
              </w:rPr>
              <w:t>Payments Due by Period</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One Year or Less</w:t>
            </w:r>
          </w:p>
        </w:tc>
        <w:tc>
          <w:tcPr>
            <w:tcW w:w="22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 2-3</w:t>
            </w:r>
          </w:p>
        </w:tc>
        <w:tc>
          <w:tcPr>
            <w:tcW w:w="22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 4-5</w:t>
            </w:r>
          </w:p>
        </w:tc>
        <w:tc>
          <w:tcPr>
            <w:tcW w:w="22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Thereafter</w:t>
            </w:r>
          </w:p>
        </w:tc>
      </w:tr>
      <w:tr>
        <w:trPr>
          <w:trHeight w:val="16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Estimated water payments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215,531</w:t>
            </w:r>
          </w:p>
        </w:tc>
      </w:tr>
      <w:tr>
        <w:trPr>
          <w:trHeight w:val="180"/>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41,440</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on long-term debt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w:t>
            </w:r>
          </w:p>
        </w:tc>
      </w:tr>
      <w:tr>
        <w:trPr>
          <w:trHeight w:val="180"/>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contract commitments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Defined Benefit Plan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r>
      <w:tr>
        <w:trPr>
          <w:trHeight w:val="180"/>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SERP</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r>
      <w:tr>
        <w:trPr>
          <w:trHeight w:val="18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fees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365,717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35,784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36,526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271,166</w:t>
            </w: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above includes only those contracts that include fixed or minimum obligations. It does not include normal purchases, which are made in the ordinary course of business.</w:t>
      </w:r>
    </w:p>
    <w:p>
      <w:pPr>
        <w:spacing w:after="0" w:line="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40"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4"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006EBF"/>
              </w:rPr>
              <w:t>Off-Balance Sheet Arrangements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71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shows contingent obligations we have with respect to certain bonds issued by the CFDs: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4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color w:val="auto"/>
              </w:rPr>
              <w:t>Amount of Commitment Expiration Per Period</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71"/>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&lt; 1 year</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2 -3 Years</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4 -5 Years</w:t>
            </w:r>
          </w:p>
        </w:tc>
        <w:tc>
          <w:tcPr>
            <w:tcW w:w="18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After 5 Years</w:t>
            </w:r>
          </w:p>
        </w:tc>
      </w:tr>
      <w:tr>
        <w:trPr>
          <w:trHeight w:val="16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Commercial Commitments: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Standby letter of credit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other commercial commitments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June 30, 2022, that the letter of credit will likely never be drawn upon. This letter of credit is for a two-year period and will be renewed in two-year intervals as necessary. The annual cost related to the letter of credit is approximately $68,000. The tax assessment of each individual property sold or leased within each CFD is not determinable at this time because it is based on the current tax rate of the property at the time of sale or at the time it is leased to a third-party. Accordingly, the Company is not required to recognize an obligation as of June 30, 2022.</w:t>
      </w:r>
    </w:p>
    <w:p>
      <w:pPr>
        <w:spacing w:after="0" w:line="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As of June 30, 2022, aggregate outstanding debt of unconsolidated joint ventures was $153,750,000. We provided a guarantee on $139,284,000 of this debt, relating to our joint ventures with Rockefeller and Majestic. Because of positive cash flow generation within the Rockefeller and Majestic joint ventures, we, as of June 30, 2022, do not expect the guarantee to be called upon. We do not provide a guarantee on the $14,466,000 of debt related to our joint venture with TA/Petro.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006EBF"/>
        </w:rPr>
        <w:t>Non-GAAP Financial Measures</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180"/>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Our share of interest expense from unconsolidated joint ventures</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net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18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Our share of depreciation and amortization from unconsolidated joint ventures</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4,288</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6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10,354</w:t>
            </w: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Expenses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Commercial/Industrial operating income</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3,414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5,253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4,090</w:t>
            </w:r>
          </w:p>
        </w:tc>
      </w:tr>
      <w:tr>
        <w:trPr>
          <w:trHeight w:val="171"/>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Plus: Commercial/Industrial depreciation and amortization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0"/>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Plus: General, administrative, cost of sales and other expenses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r>
      <w:tr>
        <w:trPr>
          <w:trHeight w:val="18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Other revenues including land sales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r>
      <w:tr>
        <w:trPr>
          <w:trHeight w:val="17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1,672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3,608</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258"/>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Pr>
          <w:p>
            <w:pPr>
              <w:spacing w:after="0"/>
              <w:rPr>
                <w:sz w:val="22"/>
                <w:szCs w:val="22"/>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22"/>
                <w:szCs w:val="22"/>
                <w:color w:val="auto"/>
              </w:rPr>
            </w:pPr>
          </w:p>
        </w:tc>
        <w:tc>
          <w:tcPr>
            <w:tcW w:w="26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Communication leases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commercial leases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2021</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of unconsolidated joint ventures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of unconsolidated joint ventures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unconsolidated joint ventures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unconsolidated joint ventures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4,434</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 of unconsolidated joint ventures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QUANTITATIVE AND QUALITATIVE DISCLOSURES ABOUT MARKET RISK</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Market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exposure to financial market risks includes changes to interest rates and credit risks related to marketable securities, interest rates related to our outstanding indebtedness and trade receivables.</w:t>
      </w:r>
    </w:p>
    <w:p>
      <w:pPr>
        <w:spacing w:after="0" w:line="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9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New RLC had no outstanding balance as of June 30, 2022. At the Company’s option, the interest rate on this line of credit can float at 1.37% over a selected the Daily SOFR rate or can be fixed at 1.37% above Term SOFR for a fixed rate term. During the term of this RLC (which matures in June 2032), the Company can borrow at any time and partially or wholly repay any outstanding borrowings and then re-borrow, as necessary.</w:t>
      </w:r>
    </w:p>
    <w:p>
      <w:pPr>
        <w:spacing w:after="0" w:line="4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4"/>
          <w:szCs w:val="14"/>
          <w:color w:val="auto"/>
        </w:rPr>
        <w:t>We are exposed to interest rate risk on our long-term debt. Long-term debt consists of two term loans, one of which has a balance of $49,080,000 as of June 30, 2022 and is tied to the daily secured overnight financing rate, or SOFR, plus a margin of 1.55 percentage points. The interest rate for the term of the New Term Note has been fixed through the use of an interest rate swap at a rate of</w:t>
      </w:r>
    </w:p>
    <w:p>
      <w:pPr>
        <w:spacing w:after="0" w:line="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4"/>
          <w:szCs w:val="14"/>
          <w:color w:val="auto"/>
        </w:rPr>
        <w:t>4.62%. The outstanding balance on the second term loan as of June 30, 2022 was $1,821,000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43"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3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Thereafter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$9,357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$18,014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$27,371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0.66%</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1.87%</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($4.75M note)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$129</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$265</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$289</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$302</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(New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$618</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$1,589</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$41,938</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$49,080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$49,080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 December 31,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Thereafter</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0"/>
        </w:trPr>
        <w:tc>
          <w:tcPr>
            <w:tcW w:w="248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$9,834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$10,590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$10,983</w:t>
            </w:r>
          </w:p>
        </w:tc>
        <w:tc>
          <w:tcPr>
            <w:tcW w:w="0" w:type="dxa"/>
            <w:vAlign w:val="bottom"/>
          </w:tcPr>
          <w:p>
            <w:pPr>
              <w:spacing w:after="0"/>
              <w:rPr>
                <w:sz w:val="1"/>
                <w:szCs w:val="1"/>
                <w:color w:val="auto"/>
              </w:rPr>
            </w:pPr>
          </w:p>
        </w:tc>
      </w:tr>
      <w:tr>
        <w:trPr>
          <w:trHeight w:val="180"/>
        </w:trPr>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0.20%</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0.20%</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($4.75M note)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$254</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$277</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$302</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$1,947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($70.0M note)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$4,221</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$4,429</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$4,624</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$4,825</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$5,038</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$27,700</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$50,837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$50,837</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Commodity Price Exposure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Farming inventories and accounts receivables are exposed to adverse price fluctuations. Farming inventories consists of farming cultural and processing costs associated with crop production.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Farming inventory costs are recorded as incurred. Historically, these costs have been recovered through crop sales occurring after harvest.</w:t>
      </w:r>
    </w:p>
    <w:p>
      <w:pPr>
        <w:spacing w:after="0" w:line="6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$2,751,000 of accounts receivable outstanding at June 30, 2022, $471,381, or 17%, pertains to pistachio sales receivables that are at risk to changing prices.</w:t>
      </w:r>
    </w:p>
    <w:p>
      <w:pPr>
        <w:spacing w:after="0" w:line="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price estimated for the remaining accounts receivable for pistachios recorded at June 30, 2022 was $2.14 per pound and compared to $2.04 at December 31, 2021 levels. For each $0.01 change in the price per pound of pistachios, our receivable for pistachios increases or decreases by $2,000. Although the final price per pound of pistachios, and therefore the extent of the risk is presently unknown, pricing over the past three years has ranged from $1.98 to $2.14.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CONTROLS AND PROCEDURES</w:t>
      </w:r>
    </w:p>
    <w:p>
      <w:pPr>
        <w:spacing w:after="0" w:line="96" w:lineRule="exact"/>
        <w:rPr>
          <w:sz w:val="20"/>
          <w:szCs w:val="20"/>
          <w:color w:val="auto"/>
        </w:rPr>
      </w:pPr>
    </w:p>
    <w:p>
      <w:pPr>
        <w:ind w:left="440" w:hanging="435"/>
        <w:spacing w:after="0"/>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1" w:lineRule="exact"/>
        <w:rPr>
          <w:sz w:val="20"/>
          <w:szCs w:val="20"/>
          <w:color w:val="auto"/>
        </w:rPr>
      </w:pPr>
    </w:p>
    <w:p>
      <w:pPr>
        <w:ind w:left="440" w:hanging="435"/>
        <w:spacing w:after="0"/>
        <w:tabs>
          <w:tab w:leader="none" w:pos="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 Legal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Note 12 (Commitments and Contingencies) in the Notes to Unaudited Consolidated Financial Statements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1A. Risk Factors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Part I, Item 1A in our most recent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Unregistered Sales of Equity Securities and Use of Proceeds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Defaults Upon Senior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Mine Safety Disclosures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5. 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6EBF"/>
                <w:w w:val="98"/>
              </w:rPr>
              <w:t>Item 6. Exhibits:</w:t>
            </w:r>
          </w:p>
        </w:tc>
        <w:tc>
          <w:tcPr>
            <w:tcW w:w="89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1000" w:type="dxa"/>
            <w:vAlign w:val="bottom"/>
            <w:tcBorders>
              <w:top w:val="single" w:sz="8" w:color="006EBF"/>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6"/>
                <w:szCs w:val="16"/>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71">
              <w:r>
                <w:rPr>
                  <w:rFonts w:ascii="Times New Roman" w:cs="Times New Roman" w:eastAsia="Times New Roman" w:hAnsi="Times New Roman"/>
                  <w:sz w:val="14"/>
                  <w:szCs w:val="14"/>
                  <w:color w:val="auto"/>
                </w:rPr>
                <w:t>Restated Certificate of Incorporation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w:t>
            </w:r>
          </w:p>
        </w:tc>
      </w:tr>
      <w:tr>
        <w:trPr>
          <w:trHeight w:val="18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5"/>
                <w:szCs w:val="15"/>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72">
              <w:r>
                <w:rPr>
                  <w:rFonts w:ascii="Times New Roman" w:cs="Times New Roman" w:eastAsia="Times New Roman" w:hAnsi="Times New Roman"/>
                  <w:sz w:val="14"/>
                  <w:szCs w:val="14"/>
                  <w:color w:val="auto"/>
                </w:rPr>
                <w:t>Amended and Restated Bylaws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w:t>
            </w:r>
          </w:p>
        </w:tc>
      </w:tr>
      <w:tr>
        <w:trPr>
          <w:trHeight w:val="18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5"/>
                <w:szCs w:val="15"/>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73">
              <w:r>
                <w:rPr>
                  <w:rFonts w:ascii="Times New Roman" w:cs="Times New Roman" w:eastAsia="Times New Roman" w:hAnsi="Times New Roman"/>
                  <w:sz w:val="14"/>
                  <w:szCs w:val="14"/>
                  <w:color w:val="auto"/>
                </w:rPr>
                <w:t>Registration and Reimbursement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w:t>
            </w:r>
          </w:p>
        </w:tc>
      </w:tr>
      <w:tr>
        <w:trPr>
          <w:trHeight w:val="18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5"/>
                <w:szCs w:val="15"/>
                <w:color w:val="auto"/>
              </w:rPr>
            </w:pPr>
          </w:p>
        </w:tc>
        <w:tc>
          <w:tcPr>
            <w:tcW w:w="8900" w:type="dxa"/>
            <w:vAlign w:val="bottom"/>
          </w:tcPr>
          <w:p>
            <w:pPr>
              <w:ind w:left="60"/>
              <w:spacing w:after="0"/>
              <w:rPr>
                <w:rFonts w:ascii="Times New Roman" w:cs="Times New Roman" w:eastAsia="Times New Roman" w:hAnsi="Times New Roman"/>
                <w:sz w:val="14"/>
                <w:szCs w:val="14"/>
                <w:color w:val="auto"/>
              </w:rPr>
            </w:pPr>
            <w:hyperlink r:id="rId74">
              <w:r>
                <w:rPr>
                  <w:rFonts w:ascii="Times New Roman" w:cs="Times New Roman" w:eastAsia="Times New Roman" w:hAnsi="Times New Roman"/>
                  <w:sz w:val="14"/>
                  <w:szCs w:val="14"/>
                  <w:color w:val="auto"/>
                </w:rPr>
                <w:t>Form of Indenture for Debt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37</w:t>
            </w:r>
          </w:p>
        </w:tc>
      </w:tr>
      <w:tr>
        <w:trPr>
          <w:trHeight w:val="142"/>
        </w:trPr>
        <w:tc>
          <w:tcPr>
            <w:tcW w:w="11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89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Water Service Contract with Wheeler Ridge-Maricopa Water Storage District (without exhibits), amendments originally filed under Item 11 to</w:t>
            </w:r>
          </w:p>
        </w:tc>
        <w:tc>
          <w:tcPr>
            <w:tcW w:w="1200" w:type="dxa"/>
            <w:vAlign w:val="bottom"/>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Registrant's Annual Report on Form 10-K</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6</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10.7</w:t>
            </w:r>
          </w:p>
        </w:tc>
        <w:tc>
          <w:tcPr>
            <w:tcW w:w="8900" w:type="dxa"/>
            <w:vAlign w:val="bottom"/>
          </w:tcPr>
          <w:p>
            <w:pPr>
              <w:ind w:left="60"/>
              <w:spacing w:after="0"/>
              <w:rPr>
                <w:rFonts w:ascii="Times New Roman" w:cs="Times New Roman" w:eastAsia="Times New Roman" w:hAnsi="Times New Roman"/>
                <w:sz w:val="14"/>
                <w:szCs w:val="14"/>
                <w:color w:val="auto"/>
              </w:rPr>
            </w:pPr>
            <w:hyperlink r:id="rId75">
              <w:r>
                <w:rPr>
                  <w:rFonts w:ascii="Times New Roman" w:cs="Times New Roman" w:eastAsia="Times New Roman" w:hAnsi="Times New Roman"/>
                  <w:sz w:val="14"/>
                  <w:szCs w:val="14"/>
                  <w:color w:val="auto"/>
                </w:rPr>
                <w:t>*Severance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8900" w:type="dxa"/>
            <w:vAlign w:val="bottom"/>
          </w:tcPr>
          <w:p>
            <w:pPr>
              <w:ind w:left="60"/>
              <w:spacing w:after="0"/>
              <w:rPr>
                <w:rFonts w:ascii="Times New Roman" w:cs="Times New Roman" w:eastAsia="Times New Roman" w:hAnsi="Times New Roman"/>
                <w:sz w:val="14"/>
                <w:szCs w:val="14"/>
                <w:color w:val="auto"/>
              </w:rPr>
            </w:pPr>
            <w:hyperlink r:id="rId75">
              <w:r>
                <w:rPr>
                  <w:rFonts w:ascii="Times New Roman" w:cs="Times New Roman" w:eastAsia="Times New Roman" w:hAnsi="Times New Roman"/>
                  <w:sz w:val="14"/>
                  <w:szCs w:val="14"/>
                  <w:color w:val="auto"/>
                </w:rPr>
                <w:t>*Director Compensation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4"/>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10.9</w:t>
            </w:r>
          </w:p>
        </w:tc>
        <w:tc>
          <w:tcPr>
            <w:tcW w:w="8900" w:type="dxa"/>
            <w:vAlign w:val="bottom"/>
          </w:tcPr>
          <w:p>
            <w:pPr>
              <w:ind w:left="60"/>
              <w:spacing w:after="0"/>
              <w:rPr>
                <w:rFonts w:ascii="Times New Roman" w:cs="Times New Roman" w:eastAsia="Times New Roman" w:hAnsi="Times New Roman"/>
                <w:sz w:val="14"/>
                <w:szCs w:val="14"/>
                <w:color w:val="auto"/>
              </w:rPr>
            </w:pPr>
            <w:hyperlink r:id="rId76">
              <w:r>
                <w:rPr>
                  <w:rFonts w:ascii="Times New Roman" w:cs="Times New Roman" w:eastAsia="Times New Roman" w:hAnsi="Times New Roman"/>
                  <w:sz w:val="14"/>
                  <w:szCs w:val="14"/>
                  <w:color w:val="auto"/>
                </w:rPr>
                <w:t>*Amended and Restated Non-Employee Director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8</w:t>
            </w:r>
          </w:p>
        </w:tc>
      </w:tr>
      <w:tr>
        <w:trPr>
          <w:trHeight w:val="272"/>
        </w:trPr>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10.9(1)</w:t>
            </w:r>
          </w:p>
        </w:tc>
        <w:tc>
          <w:tcPr>
            <w:tcW w:w="8900" w:type="dxa"/>
            <w:vAlign w:val="bottom"/>
          </w:tcPr>
          <w:p>
            <w:pPr>
              <w:ind w:left="60"/>
              <w:spacing w:after="0"/>
              <w:rPr>
                <w:rFonts w:ascii="Times New Roman" w:cs="Times New Roman" w:eastAsia="Times New Roman" w:hAnsi="Times New Roman"/>
                <w:sz w:val="14"/>
                <w:szCs w:val="14"/>
                <w:color w:val="auto"/>
              </w:rPr>
            </w:pPr>
            <w:hyperlink r:id="rId75">
              <w:r>
                <w:rPr>
                  <w:rFonts w:ascii="Times New Roman" w:cs="Times New Roman" w:eastAsia="Times New Roman" w:hAnsi="Times New Roman"/>
                  <w:sz w:val="14"/>
                  <w:szCs w:val="14"/>
                  <w:color w:val="auto"/>
                </w:rPr>
                <w:t>*Stock Option Agreement Pursuant to the Non-Employee Director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10.10</w:t>
            </w:r>
          </w:p>
        </w:tc>
        <w:tc>
          <w:tcPr>
            <w:tcW w:w="8900" w:type="dxa"/>
            <w:vAlign w:val="bottom"/>
          </w:tcPr>
          <w:p>
            <w:pPr>
              <w:ind w:left="60"/>
              <w:spacing w:after="0"/>
              <w:rPr>
                <w:rFonts w:ascii="Times New Roman" w:cs="Times New Roman" w:eastAsia="Times New Roman" w:hAnsi="Times New Roman"/>
                <w:sz w:val="14"/>
                <w:szCs w:val="14"/>
                <w:color w:val="auto"/>
              </w:rPr>
            </w:pPr>
            <w:hyperlink r:id="rId77">
              <w:r>
                <w:rPr>
                  <w:rFonts w:ascii="Times New Roman" w:cs="Times New Roman" w:eastAsia="Times New Roman" w:hAnsi="Times New Roman"/>
                  <w:sz w:val="14"/>
                  <w:szCs w:val="14"/>
                  <w:color w:val="auto"/>
                </w:rPr>
                <w:t>*Amended and Restated 1998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9</w:t>
            </w:r>
          </w:p>
        </w:tc>
      </w:tr>
      <w:tr>
        <w:trPr>
          <w:trHeight w:val="180"/>
        </w:trPr>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10.10(1)</w:t>
            </w:r>
          </w:p>
        </w:tc>
        <w:tc>
          <w:tcPr>
            <w:tcW w:w="8900" w:type="dxa"/>
            <w:vAlign w:val="bottom"/>
          </w:tcPr>
          <w:p>
            <w:pPr>
              <w:ind w:left="60"/>
              <w:spacing w:after="0"/>
              <w:rPr>
                <w:rFonts w:ascii="Times New Roman" w:cs="Times New Roman" w:eastAsia="Times New Roman" w:hAnsi="Times New Roman"/>
                <w:sz w:val="14"/>
                <w:szCs w:val="14"/>
                <w:color w:val="auto"/>
              </w:rPr>
            </w:pPr>
            <w:hyperlink r:id="rId75">
              <w:r>
                <w:rPr>
                  <w:rFonts w:ascii="Times New Roman" w:cs="Times New Roman" w:eastAsia="Times New Roman" w:hAnsi="Times New Roman"/>
                  <w:sz w:val="14"/>
                  <w:szCs w:val="14"/>
                  <w:color w:val="auto"/>
                </w:rPr>
                <w:t>*Stock Option Agreement Pursuant to the 1998 Stock Incentive Plan</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10.12</w:t>
            </w:r>
          </w:p>
        </w:tc>
        <w:tc>
          <w:tcPr>
            <w:tcW w:w="8900" w:type="dxa"/>
            <w:vAlign w:val="bottom"/>
          </w:tcPr>
          <w:p>
            <w:pPr>
              <w:ind w:left="60"/>
              <w:spacing w:after="0"/>
              <w:rPr>
                <w:rFonts w:ascii="Times New Roman" w:cs="Times New Roman" w:eastAsia="Times New Roman" w:hAnsi="Times New Roman"/>
                <w:sz w:val="14"/>
                <w:szCs w:val="14"/>
                <w:color w:val="auto"/>
              </w:rPr>
            </w:pPr>
            <w:hyperlink r:id="rId78">
              <w:r>
                <w:rPr>
                  <w:rFonts w:ascii="Times New Roman" w:cs="Times New Roman" w:eastAsia="Times New Roman" w:hAnsi="Times New Roman"/>
                  <w:sz w:val="14"/>
                  <w:szCs w:val="14"/>
                  <w:color w:val="auto"/>
                </w:rPr>
                <w:t>Ground Lease with Pastoria Energy Facility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10</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10.15</w:t>
            </w:r>
          </w:p>
        </w:tc>
        <w:tc>
          <w:tcPr>
            <w:tcW w:w="8900" w:type="dxa"/>
            <w:vAlign w:val="bottom"/>
          </w:tcPr>
          <w:p>
            <w:pPr>
              <w:ind w:left="60"/>
              <w:spacing w:after="0"/>
              <w:rPr>
                <w:rFonts w:ascii="Times New Roman" w:cs="Times New Roman" w:eastAsia="Times New Roman" w:hAnsi="Times New Roman"/>
                <w:sz w:val="14"/>
                <w:szCs w:val="14"/>
                <w:color w:val="auto"/>
              </w:rPr>
            </w:pPr>
            <w:hyperlink r:id="rId79">
              <w:r>
                <w:rPr>
                  <w:rFonts w:ascii="Times New Roman" w:cs="Times New Roman" w:eastAsia="Times New Roman" w:hAnsi="Times New Roman"/>
                  <w:sz w:val="14"/>
                  <w:szCs w:val="14"/>
                  <w:color w:val="auto"/>
                </w:rPr>
                <w:t>Form of Securities Purchase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11</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10.16</w:t>
            </w:r>
          </w:p>
        </w:tc>
        <w:tc>
          <w:tcPr>
            <w:tcW w:w="8900" w:type="dxa"/>
            <w:vAlign w:val="bottom"/>
          </w:tcPr>
          <w:p>
            <w:pPr>
              <w:ind w:left="60"/>
              <w:spacing w:after="0"/>
              <w:rPr>
                <w:rFonts w:ascii="Times New Roman" w:cs="Times New Roman" w:eastAsia="Times New Roman" w:hAnsi="Times New Roman"/>
                <w:sz w:val="14"/>
                <w:szCs w:val="14"/>
                <w:color w:val="auto"/>
              </w:rPr>
            </w:pPr>
            <w:hyperlink r:id="rId80">
              <w:r>
                <w:rPr>
                  <w:rFonts w:ascii="Times New Roman" w:cs="Times New Roman" w:eastAsia="Times New Roman" w:hAnsi="Times New Roman"/>
                  <w:sz w:val="14"/>
                  <w:szCs w:val="14"/>
                  <w:color w:val="auto"/>
                </w:rPr>
                <w:t>Form of Registration Rights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12</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10.17</w:t>
            </w:r>
          </w:p>
        </w:tc>
        <w:tc>
          <w:tcPr>
            <w:tcW w:w="8900" w:type="dxa"/>
            <w:vAlign w:val="bottom"/>
          </w:tcPr>
          <w:p>
            <w:pPr>
              <w:ind w:left="60"/>
              <w:spacing w:after="0"/>
              <w:rPr>
                <w:rFonts w:ascii="Times New Roman" w:cs="Times New Roman" w:eastAsia="Times New Roman" w:hAnsi="Times New Roman"/>
                <w:sz w:val="14"/>
                <w:szCs w:val="14"/>
                <w:color w:val="auto"/>
              </w:rPr>
            </w:pPr>
            <w:hyperlink r:id="rId81">
              <w:r>
                <w:rPr>
                  <w:rFonts w:ascii="Times New Roman" w:cs="Times New Roman" w:eastAsia="Times New Roman" w:hAnsi="Times New Roman"/>
                  <w:sz w:val="14"/>
                  <w:szCs w:val="14"/>
                  <w:color w:val="auto"/>
                </w:rPr>
                <w:t>*2004 Stock Incentive Program</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10.18</w:t>
            </w:r>
          </w:p>
        </w:tc>
        <w:tc>
          <w:tcPr>
            <w:tcW w:w="8900" w:type="dxa"/>
            <w:vAlign w:val="bottom"/>
          </w:tcPr>
          <w:p>
            <w:pPr>
              <w:ind w:left="60"/>
              <w:spacing w:after="0"/>
              <w:rPr>
                <w:rFonts w:ascii="Times New Roman" w:cs="Times New Roman" w:eastAsia="Times New Roman" w:hAnsi="Times New Roman"/>
                <w:sz w:val="14"/>
                <w:szCs w:val="14"/>
                <w:color w:val="auto"/>
              </w:rPr>
            </w:pPr>
            <w:hyperlink r:id="rId82">
              <w:r>
                <w:rPr>
                  <w:rFonts w:ascii="Times New Roman" w:cs="Times New Roman" w:eastAsia="Times New Roman" w:hAnsi="Times New Roman"/>
                  <w:sz w:val="14"/>
                  <w:szCs w:val="14"/>
                  <w:color w:val="auto"/>
                </w:rPr>
                <w:t>*Form of Restricted Stock Agreement for Directors</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10.19</w:t>
            </w:r>
          </w:p>
        </w:tc>
        <w:tc>
          <w:tcPr>
            <w:tcW w:w="8900" w:type="dxa"/>
            <w:vAlign w:val="bottom"/>
          </w:tcPr>
          <w:p>
            <w:pPr>
              <w:ind w:left="60"/>
              <w:spacing w:after="0"/>
              <w:rPr>
                <w:rFonts w:ascii="Times New Roman" w:cs="Times New Roman" w:eastAsia="Times New Roman" w:hAnsi="Times New Roman"/>
                <w:sz w:val="14"/>
                <w:szCs w:val="14"/>
                <w:color w:val="auto"/>
              </w:rPr>
            </w:pPr>
            <w:hyperlink r:id="rId83">
              <w:r>
                <w:rPr>
                  <w:rFonts w:ascii="Times New Roman" w:cs="Times New Roman" w:eastAsia="Times New Roman" w:hAnsi="Times New Roman"/>
                  <w:sz w:val="14"/>
                  <w:szCs w:val="14"/>
                  <w:color w:val="auto"/>
                </w:rPr>
                <w:t>*Form of Restricted Stock Unit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c>
          <w:tcPr>
            <w:tcW w:w="8900" w:type="dxa"/>
            <w:vAlign w:val="bottom"/>
          </w:tcPr>
          <w:p>
            <w:pPr>
              <w:ind w:left="60"/>
              <w:spacing w:after="0"/>
              <w:rPr>
                <w:rFonts w:ascii="Times New Roman" w:cs="Times New Roman" w:eastAsia="Times New Roman" w:hAnsi="Times New Roman"/>
                <w:sz w:val="14"/>
                <w:szCs w:val="14"/>
                <w:color w:val="auto"/>
              </w:rPr>
            </w:pPr>
            <w:hyperlink r:id="rId84">
              <w:r>
                <w:rPr>
                  <w:rFonts w:ascii="Times New Roman" w:cs="Times New Roman" w:eastAsia="Times New Roman" w:hAnsi="Times New Roman"/>
                  <w:sz w:val="14"/>
                  <w:szCs w:val="14"/>
                  <w:color w:val="auto"/>
                </w:rPr>
                <w:t>Limited Liability Company Agreement of Tejon Mountain Village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14</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10.24</w:t>
            </w:r>
          </w:p>
        </w:tc>
        <w:tc>
          <w:tcPr>
            <w:tcW w:w="8900" w:type="dxa"/>
            <w:vAlign w:val="bottom"/>
          </w:tcPr>
          <w:p>
            <w:pPr>
              <w:ind w:left="60"/>
              <w:spacing w:after="0"/>
              <w:rPr>
                <w:rFonts w:ascii="Times New Roman" w:cs="Times New Roman" w:eastAsia="Times New Roman" w:hAnsi="Times New Roman"/>
                <w:sz w:val="14"/>
                <w:szCs w:val="14"/>
                <w:color w:val="auto"/>
              </w:rPr>
            </w:pPr>
            <w:hyperlink r:id="rId85">
              <w:r>
                <w:rPr>
                  <w:rFonts w:ascii="Times New Roman" w:cs="Times New Roman" w:eastAsia="Times New Roman" w:hAnsi="Times New Roman"/>
                  <w:sz w:val="14"/>
                  <w:szCs w:val="14"/>
                  <w:color w:val="auto"/>
                </w:rPr>
                <w:t>Tejon Ranch Conservation and Land Use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15</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10.25</w:t>
            </w:r>
          </w:p>
        </w:tc>
        <w:tc>
          <w:tcPr>
            <w:tcW w:w="8900" w:type="dxa"/>
            <w:vAlign w:val="bottom"/>
          </w:tcPr>
          <w:p>
            <w:pPr>
              <w:ind w:left="60"/>
              <w:spacing w:after="0"/>
              <w:rPr>
                <w:rFonts w:ascii="Times New Roman" w:cs="Times New Roman" w:eastAsia="Times New Roman" w:hAnsi="Times New Roman"/>
                <w:sz w:val="14"/>
                <w:szCs w:val="14"/>
                <w:color w:val="auto"/>
              </w:rPr>
            </w:pPr>
            <w:hyperlink r:id="rId86">
              <w:r>
                <w:rPr>
                  <w:rFonts w:ascii="Times New Roman" w:cs="Times New Roman" w:eastAsia="Times New Roman" w:hAnsi="Times New Roman"/>
                  <w:sz w:val="14"/>
                  <w:szCs w:val="14"/>
                  <w:color w:val="auto"/>
                </w:rPr>
                <w:t>Second Amended and Restated Limited Liability Agreement of Centennial Founders,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16</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10.26</w:t>
            </w:r>
          </w:p>
        </w:tc>
        <w:tc>
          <w:tcPr>
            <w:tcW w:w="8900" w:type="dxa"/>
            <w:vAlign w:val="bottom"/>
          </w:tcPr>
          <w:p>
            <w:pPr>
              <w:ind w:left="60"/>
              <w:spacing w:after="0"/>
              <w:rPr>
                <w:rFonts w:ascii="Times New Roman" w:cs="Times New Roman" w:eastAsia="Times New Roman" w:hAnsi="Times New Roman"/>
                <w:sz w:val="14"/>
                <w:szCs w:val="14"/>
                <w:color w:val="auto"/>
              </w:rPr>
            </w:pPr>
            <w:hyperlink r:id="rId87">
              <w:r>
                <w:rPr>
                  <w:rFonts w:ascii="Times New Roman" w:cs="Times New Roman" w:eastAsia="Times New Roman" w:hAnsi="Times New Roman"/>
                  <w:sz w:val="14"/>
                  <w:szCs w:val="14"/>
                  <w:color w:val="auto"/>
                </w:rPr>
                <w:t>*Executive Employment Agreement - Allen E. Lyda</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17</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10.27</w:t>
            </w:r>
          </w:p>
        </w:tc>
        <w:tc>
          <w:tcPr>
            <w:tcW w:w="8900" w:type="dxa"/>
            <w:vAlign w:val="bottom"/>
          </w:tcPr>
          <w:p>
            <w:pPr>
              <w:ind w:left="60"/>
              <w:spacing w:after="0"/>
              <w:rPr>
                <w:rFonts w:ascii="Times New Roman" w:cs="Times New Roman" w:eastAsia="Times New Roman" w:hAnsi="Times New Roman"/>
                <w:sz w:val="14"/>
                <w:szCs w:val="14"/>
                <w:color w:val="auto"/>
              </w:rPr>
            </w:pPr>
            <w:hyperlink r:id="rId88">
              <w:r>
                <w:rPr>
                  <w:rFonts w:ascii="Times New Roman" w:cs="Times New Roman" w:eastAsia="Times New Roman" w:hAnsi="Times New Roman"/>
                  <w:sz w:val="14"/>
                  <w:szCs w:val="14"/>
                  <w:color w:val="auto"/>
                </w:rPr>
                <w:t>Limited Liability Company Agreement of TRCC/Rock Outlet Center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18</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10.28</w:t>
            </w:r>
          </w:p>
        </w:tc>
        <w:tc>
          <w:tcPr>
            <w:tcW w:w="8900" w:type="dxa"/>
            <w:vAlign w:val="bottom"/>
          </w:tcPr>
          <w:p>
            <w:pPr>
              <w:ind w:left="60"/>
              <w:spacing w:after="0"/>
              <w:rPr>
                <w:rFonts w:ascii="Times New Roman" w:cs="Times New Roman" w:eastAsia="Times New Roman" w:hAnsi="Times New Roman"/>
                <w:sz w:val="14"/>
                <w:szCs w:val="14"/>
                <w:color w:val="auto"/>
              </w:rPr>
            </w:pPr>
            <w:hyperlink r:id="rId89">
              <w:r>
                <w:rPr>
                  <w:rFonts w:ascii="Times New Roman" w:cs="Times New Roman" w:eastAsia="Times New Roman" w:hAnsi="Times New Roman"/>
                  <w:sz w:val="14"/>
                  <w:szCs w:val="14"/>
                  <w:color w:val="auto"/>
                </w:rPr>
                <w:t>Warrant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19</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10.29</w:t>
            </w:r>
          </w:p>
        </w:tc>
        <w:tc>
          <w:tcPr>
            <w:tcW w:w="8900" w:type="dxa"/>
            <w:vAlign w:val="bottom"/>
          </w:tcPr>
          <w:p>
            <w:pPr>
              <w:ind w:left="60"/>
              <w:spacing w:after="0"/>
              <w:rPr>
                <w:rFonts w:ascii="Times New Roman" w:cs="Times New Roman" w:eastAsia="Times New Roman" w:hAnsi="Times New Roman"/>
                <w:sz w:val="14"/>
                <w:szCs w:val="14"/>
                <w:color w:val="auto"/>
              </w:rPr>
            </w:pPr>
            <w:hyperlink r:id="rId90">
              <w:r>
                <w:rPr>
                  <w:rFonts w:ascii="Times New Roman" w:cs="Times New Roman" w:eastAsia="Times New Roman" w:hAnsi="Times New Roman"/>
                  <w:sz w:val="14"/>
                  <w:szCs w:val="14"/>
                  <w:color w:val="auto"/>
                </w:rPr>
                <w:t>Amendments to Limited Liability Company Agreement of Tejon Mountain Village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20</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10.30</w:t>
            </w:r>
          </w:p>
        </w:tc>
        <w:tc>
          <w:tcPr>
            <w:tcW w:w="8900" w:type="dxa"/>
            <w:vAlign w:val="bottom"/>
          </w:tcPr>
          <w:p>
            <w:pPr>
              <w:ind w:left="60"/>
              <w:spacing w:after="0"/>
              <w:rPr>
                <w:rFonts w:ascii="Times New Roman" w:cs="Times New Roman" w:eastAsia="Times New Roman" w:hAnsi="Times New Roman"/>
                <w:sz w:val="14"/>
                <w:szCs w:val="14"/>
                <w:color w:val="auto"/>
              </w:rPr>
            </w:pPr>
            <w:hyperlink r:id="rId91">
              <w:r>
                <w:rPr>
                  <w:rFonts w:ascii="Times New Roman" w:cs="Times New Roman" w:eastAsia="Times New Roman" w:hAnsi="Times New Roman"/>
                  <w:sz w:val="14"/>
                  <w:szCs w:val="14"/>
                  <w:color w:val="auto"/>
                </w:rPr>
                <w:t>Membership Interest Purchase Agreement - Tejon Mountain Village LLC</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21</w:t>
            </w:r>
          </w:p>
        </w:tc>
      </w:tr>
      <w:tr>
        <w:trPr>
          <w:trHeight w:val="180"/>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10.31</w:t>
            </w:r>
          </w:p>
        </w:tc>
        <w:tc>
          <w:tcPr>
            <w:tcW w:w="8900" w:type="dxa"/>
            <w:vAlign w:val="bottom"/>
          </w:tcPr>
          <w:p>
            <w:pPr>
              <w:ind w:left="60"/>
              <w:spacing w:after="0"/>
              <w:rPr>
                <w:rFonts w:ascii="Times New Roman" w:cs="Times New Roman" w:eastAsia="Times New Roman" w:hAnsi="Times New Roman"/>
                <w:sz w:val="14"/>
                <w:szCs w:val="14"/>
                <w:color w:val="auto"/>
              </w:rPr>
            </w:pPr>
            <w:hyperlink r:id="rId92">
              <w:r>
                <w:rPr>
                  <w:rFonts w:ascii="Times New Roman" w:cs="Times New Roman" w:eastAsia="Times New Roman" w:hAnsi="Times New Roman"/>
                  <w:sz w:val="14"/>
                  <w:szCs w:val="14"/>
                  <w:color w:val="auto"/>
                </w:rPr>
                <w:t>Amended and Restated Credit Agreement</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22</w:t>
            </w:r>
          </w:p>
        </w:tc>
      </w:tr>
      <w:tr>
        <w:trPr>
          <w:trHeight w:val="184"/>
        </w:trPr>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10.32</w:t>
            </w:r>
          </w:p>
        </w:tc>
        <w:tc>
          <w:tcPr>
            <w:tcW w:w="8900" w:type="dxa"/>
            <w:vAlign w:val="bottom"/>
          </w:tcPr>
          <w:p>
            <w:pPr>
              <w:ind w:left="60"/>
              <w:spacing w:after="0"/>
              <w:rPr>
                <w:rFonts w:ascii="Times New Roman" w:cs="Times New Roman" w:eastAsia="Times New Roman" w:hAnsi="Times New Roman"/>
                <w:sz w:val="14"/>
                <w:szCs w:val="14"/>
                <w:color w:val="auto"/>
              </w:rPr>
            </w:pPr>
            <w:hyperlink r:id="rId93">
              <w:r>
                <w:rPr>
                  <w:rFonts w:ascii="Times New Roman" w:cs="Times New Roman" w:eastAsia="Times New Roman" w:hAnsi="Times New Roman"/>
                  <w:sz w:val="14"/>
                  <w:szCs w:val="14"/>
                  <w:color w:val="auto"/>
                </w:rPr>
                <w:t>Term Note</w:t>
              </w:r>
            </w:hyperlink>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25</w:t>
            </w:r>
          </w:p>
        </w:tc>
      </w:tr>
      <w:tr>
        <w:trPr>
          <w:trHeight w:val="66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00" w:type="dxa"/>
            <w:vAlign w:val="bottom"/>
          </w:tcPr>
          <w:p>
            <w:pPr>
              <w:ind w:left="4400"/>
              <w:spacing w:after="0"/>
              <w:rPr>
                <w:sz w:val="20"/>
                <w:szCs w:val="20"/>
                <w:color w:val="auto"/>
              </w:rPr>
            </w:pPr>
            <w:r>
              <w:rPr>
                <w:rFonts w:ascii="Times New Roman" w:cs="Times New Roman" w:eastAsia="Times New Roman" w:hAnsi="Times New Roman"/>
                <w:sz w:val="14"/>
                <w:szCs w:val="14"/>
                <w:color w:val="auto"/>
              </w:rPr>
              <w:t>47</w:t>
            </w:r>
          </w:p>
        </w:tc>
        <w:tc>
          <w:tcPr>
            <w:tcW w:w="12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7" w:name="page48"/>
    <w:bookmarkEnd w:id="47"/>
    <w:tbl>
      <w:tblPr>
        <w:tblLayout w:type="fixed"/>
        <w:tblInd w:w="58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10.33</w:t>
            </w:r>
          </w:p>
        </w:tc>
        <w:tc>
          <w:tcPr>
            <w:tcW w:w="8700" w:type="dxa"/>
            <w:vAlign w:val="bottom"/>
          </w:tcPr>
          <w:p>
            <w:pPr>
              <w:ind w:left="60"/>
              <w:spacing w:after="0"/>
              <w:rPr>
                <w:rFonts w:ascii="Times New Roman" w:cs="Times New Roman" w:eastAsia="Times New Roman" w:hAnsi="Times New Roman"/>
                <w:sz w:val="14"/>
                <w:szCs w:val="14"/>
                <w:color w:val="auto"/>
              </w:rPr>
            </w:pPr>
            <w:hyperlink r:id="rId96">
              <w:r>
                <w:rPr>
                  <w:rFonts w:ascii="Times New Roman" w:cs="Times New Roman" w:eastAsia="Times New Roman" w:hAnsi="Times New Roman"/>
                  <w:sz w:val="14"/>
                  <w:szCs w:val="14"/>
                  <w:color w:val="auto"/>
                </w:rPr>
                <w:t>Revolving Line of Credit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10.34</w:t>
            </w:r>
          </w:p>
        </w:tc>
        <w:tc>
          <w:tcPr>
            <w:tcW w:w="8700" w:type="dxa"/>
            <w:vAlign w:val="bottom"/>
          </w:tcPr>
          <w:p>
            <w:pPr>
              <w:ind w:left="60"/>
              <w:spacing w:after="0"/>
              <w:rPr>
                <w:rFonts w:ascii="Times New Roman" w:cs="Times New Roman" w:eastAsia="Times New Roman" w:hAnsi="Times New Roman"/>
                <w:sz w:val="14"/>
                <w:szCs w:val="14"/>
                <w:color w:val="auto"/>
              </w:rPr>
            </w:pPr>
            <w:hyperlink r:id="rId97">
              <w:r>
                <w:rPr>
                  <w:rFonts w:ascii="Times New Roman" w:cs="Times New Roman" w:eastAsia="Times New Roman" w:hAnsi="Times New Roman"/>
                  <w:sz w:val="14"/>
                  <w:szCs w:val="14"/>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10.35</w:t>
            </w:r>
          </w:p>
        </w:tc>
        <w:tc>
          <w:tcPr>
            <w:tcW w:w="8700" w:type="dxa"/>
            <w:vAlign w:val="bottom"/>
          </w:tcPr>
          <w:p>
            <w:pPr>
              <w:ind w:left="60"/>
              <w:spacing w:after="0"/>
              <w:rPr>
                <w:rFonts w:ascii="Times New Roman" w:cs="Times New Roman" w:eastAsia="Times New Roman" w:hAnsi="Times New Roman"/>
                <w:sz w:val="14"/>
                <w:szCs w:val="14"/>
                <w:color w:val="auto"/>
              </w:rPr>
            </w:pPr>
            <w:hyperlink r:id="rId98">
              <w:r>
                <w:rPr>
                  <w:rFonts w:ascii="Times New Roman" w:cs="Times New Roman" w:eastAsia="Times New Roman" w:hAnsi="Times New Roman"/>
                  <w:sz w:val="14"/>
                  <w:szCs w:val="14"/>
                  <w:color w:val="auto"/>
                </w:rPr>
                <w:t>Water Supply Agreement with Pastoria Energy Facility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10.37</w:t>
            </w:r>
          </w:p>
        </w:tc>
        <w:tc>
          <w:tcPr>
            <w:tcW w:w="8700" w:type="dxa"/>
            <w:vAlign w:val="bottom"/>
          </w:tcPr>
          <w:p>
            <w:pPr>
              <w:ind w:left="60"/>
              <w:spacing w:after="0"/>
              <w:rPr>
                <w:rFonts w:ascii="Times New Roman" w:cs="Times New Roman" w:eastAsia="Times New Roman" w:hAnsi="Times New Roman"/>
                <w:sz w:val="14"/>
                <w:szCs w:val="14"/>
                <w:color w:val="auto"/>
              </w:rPr>
            </w:pPr>
            <w:hyperlink r:id="rId99">
              <w:r>
                <w:rPr>
                  <w:rFonts w:ascii="Times New Roman" w:cs="Times New Roman" w:eastAsia="Times New Roman" w:hAnsi="Times New Roman"/>
                  <w:sz w:val="14"/>
                  <w:szCs w:val="14"/>
                  <w:color w:val="auto"/>
                </w:rPr>
                <w:t>Limited Liability Company Agreement of TRC-MRC 2,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10.38</w:t>
            </w:r>
          </w:p>
        </w:tc>
        <w:tc>
          <w:tcPr>
            <w:tcW w:w="8700" w:type="dxa"/>
            <w:vAlign w:val="bottom"/>
          </w:tcPr>
          <w:p>
            <w:pPr>
              <w:ind w:left="60"/>
              <w:spacing w:after="0"/>
              <w:rPr>
                <w:rFonts w:ascii="Times New Roman" w:cs="Times New Roman" w:eastAsia="Times New Roman" w:hAnsi="Times New Roman"/>
                <w:sz w:val="14"/>
                <w:szCs w:val="14"/>
                <w:color w:val="auto"/>
              </w:rPr>
            </w:pPr>
            <w:hyperlink r:id="rId100">
              <w:r>
                <w:rPr>
                  <w:rFonts w:ascii="Times New Roman" w:cs="Times New Roman" w:eastAsia="Times New Roman" w:hAnsi="Times New Roman"/>
                  <w:sz w:val="14"/>
                  <w:szCs w:val="14"/>
                  <w:color w:val="auto"/>
                </w:rPr>
                <w:t>Limited Liability Company Agreement of TRC-MRC 1,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10.39</w:t>
            </w:r>
          </w:p>
        </w:tc>
        <w:tc>
          <w:tcPr>
            <w:tcW w:w="8700" w:type="dxa"/>
            <w:vAlign w:val="bottom"/>
          </w:tcPr>
          <w:p>
            <w:pPr>
              <w:ind w:left="6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Centennial Founders LLC, Redemption and Withdrawal Agreement - Lewis Tejon Member,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10.40</w:t>
            </w:r>
          </w:p>
        </w:tc>
        <w:tc>
          <w:tcPr>
            <w:tcW w:w="8700" w:type="dxa"/>
            <w:vAlign w:val="bottom"/>
          </w:tcPr>
          <w:p>
            <w:pPr>
              <w:ind w:left="60"/>
              <w:spacing w:after="0"/>
              <w:rPr>
                <w:rFonts w:ascii="Times New Roman" w:cs="Times New Roman" w:eastAsia="Times New Roman" w:hAnsi="Times New Roman"/>
                <w:sz w:val="14"/>
                <w:szCs w:val="14"/>
                <w:color w:val="auto"/>
              </w:rPr>
            </w:pPr>
            <w:hyperlink r:id="rId102">
              <w:r>
                <w:rPr>
                  <w:rFonts w:ascii="Times New Roman" w:cs="Times New Roman" w:eastAsia="Times New Roman" w:hAnsi="Times New Roman"/>
                  <w:sz w:val="14"/>
                  <w:szCs w:val="14"/>
                  <w:color w:val="auto"/>
                </w:rPr>
                <w:t>First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10.41</w:t>
            </w:r>
          </w:p>
        </w:tc>
        <w:tc>
          <w:tcPr>
            <w:tcW w:w="8700" w:type="dxa"/>
            <w:vAlign w:val="bottom"/>
          </w:tcPr>
          <w:p>
            <w:pPr>
              <w:ind w:left="60"/>
              <w:spacing w:after="0"/>
              <w:rPr>
                <w:rFonts w:ascii="Times New Roman" w:cs="Times New Roman" w:eastAsia="Times New Roman" w:hAnsi="Times New Roman"/>
                <w:sz w:val="14"/>
                <w:szCs w:val="14"/>
                <w:color w:val="auto"/>
              </w:rPr>
            </w:pPr>
            <w:hyperlink r:id="rId103">
              <w:r>
                <w:rPr>
                  <w:rFonts w:ascii="Times New Roman" w:cs="Times New Roman" w:eastAsia="Times New Roman" w:hAnsi="Times New Roman"/>
                  <w:sz w:val="14"/>
                  <w:szCs w:val="14"/>
                  <w:color w:val="auto"/>
                </w:rPr>
                <w:t>Second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10.42</w:t>
            </w:r>
          </w:p>
        </w:tc>
        <w:tc>
          <w:tcPr>
            <w:tcW w:w="8700" w:type="dxa"/>
            <w:vAlign w:val="bottom"/>
          </w:tcPr>
          <w:p>
            <w:pPr>
              <w:ind w:left="60"/>
              <w:spacing w:after="0"/>
              <w:rPr>
                <w:rFonts w:ascii="Times New Roman" w:cs="Times New Roman" w:eastAsia="Times New Roman" w:hAnsi="Times New Roman"/>
                <w:sz w:val="14"/>
                <w:szCs w:val="14"/>
                <w:color w:val="auto"/>
              </w:rPr>
            </w:pPr>
            <w:hyperlink r:id="rId104">
              <w:r>
                <w:rPr>
                  <w:rFonts w:ascii="Times New Roman" w:cs="Times New Roman" w:eastAsia="Times New Roman" w:hAnsi="Times New Roman"/>
                  <w:sz w:val="14"/>
                  <w:szCs w:val="14"/>
                  <w:color w:val="auto"/>
                </w:rPr>
                <w:t>Limited Liability Company Agreement of TRC-MRC 3,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10.43</w:t>
            </w:r>
          </w:p>
        </w:tc>
        <w:tc>
          <w:tcPr>
            <w:tcW w:w="8700" w:type="dxa"/>
            <w:vAlign w:val="bottom"/>
          </w:tcPr>
          <w:p>
            <w:pPr>
              <w:ind w:left="60"/>
              <w:spacing w:after="0"/>
              <w:rPr>
                <w:rFonts w:ascii="Times New Roman" w:cs="Times New Roman" w:eastAsia="Times New Roman" w:hAnsi="Times New Roman"/>
                <w:sz w:val="14"/>
                <w:szCs w:val="14"/>
                <w:color w:val="auto"/>
              </w:rPr>
            </w:pPr>
            <w:hyperlink r:id="rId105">
              <w:r>
                <w:rPr>
                  <w:rFonts w:ascii="Times New Roman" w:cs="Times New Roman" w:eastAsia="Times New Roman" w:hAnsi="Times New Roman"/>
                  <w:sz w:val="14"/>
                  <w:szCs w:val="14"/>
                  <w:color w:val="auto"/>
                </w:rPr>
                <w:t>Fourth Amendment to Second Amended and Restated Limited Liability Company Agreement of Centennial Founders,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10.44</w:t>
            </w:r>
          </w:p>
        </w:tc>
        <w:tc>
          <w:tcPr>
            <w:tcW w:w="8700" w:type="dxa"/>
            <w:vAlign w:val="bottom"/>
          </w:tcPr>
          <w:p>
            <w:pPr>
              <w:ind w:left="60"/>
              <w:spacing w:after="0"/>
              <w:rPr>
                <w:rFonts w:ascii="Times New Roman" w:cs="Times New Roman" w:eastAsia="Times New Roman" w:hAnsi="Times New Roman"/>
                <w:sz w:val="14"/>
                <w:szCs w:val="14"/>
                <w:color w:val="auto"/>
              </w:rPr>
            </w:pPr>
            <w:hyperlink r:id="rId106">
              <w:r>
                <w:rPr>
                  <w:rFonts w:ascii="Times New Roman" w:cs="Times New Roman" w:eastAsia="Times New Roman" w:hAnsi="Times New Roman"/>
                  <w:sz w:val="14"/>
                  <w:szCs w:val="14"/>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10.45</w:t>
            </w:r>
          </w:p>
        </w:tc>
        <w:tc>
          <w:tcPr>
            <w:tcW w:w="8700" w:type="dxa"/>
            <w:vAlign w:val="bottom"/>
          </w:tcPr>
          <w:p>
            <w:pPr>
              <w:ind w:left="60"/>
              <w:spacing w:after="0"/>
              <w:rPr>
                <w:rFonts w:ascii="Times New Roman" w:cs="Times New Roman" w:eastAsia="Times New Roman" w:hAnsi="Times New Roman"/>
                <w:sz w:val="14"/>
                <w:szCs w:val="14"/>
                <w:color w:val="auto"/>
              </w:rPr>
            </w:pPr>
            <w:hyperlink r:id="rId107">
              <w:r>
                <w:rPr>
                  <w:rFonts w:ascii="Times New Roman" w:cs="Times New Roman" w:eastAsia="Times New Roman" w:hAnsi="Times New Roman"/>
                  <w:sz w:val="14"/>
                  <w:szCs w:val="14"/>
                  <w:color w:val="auto"/>
                </w:rPr>
                <w:t>Amended Revolving Line of Credit</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10.46</w:t>
            </w:r>
          </w:p>
        </w:tc>
        <w:tc>
          <w:tcPr>
            <w:tcW w:w="8700" w:type="dxa"/>
            <w:vAlign w:val="bottom"/>
          </w:tcPr>
          <w:p>
            <w:pPr>
              <w:ind w:left="60"/>
              <w:spacing w:after="0"/>
              <w:rPr>
                <w:rFonts w:ascii="Times New Roman" w:cs="Times New Roman" w:eastAsia="Times New Roman" w:hAnsi="Times New Roman"/>
                <w:sz w:val="14"/>
                <w:szCs w:val="14"/>
                <w:color w:val="auto"/>
              </w:rPr>
            </w:pPr>
            <w:hyperlink r:id="rId108">
              <w:r>
                <w:rPr>
                  <w:rFonts w:ascii="Times New Roman" w:cs="Times New Roman" w:eastAsia="Times New Roman" w:hAnsi="Times New Roman"/>
                  <w:sz w:val="14"/>
                  <w:szCs w:val="14"/>
                  <w:color w:val="auto"/>
                </w:rPr>
                <w:t>Amended Term Note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35</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10.47</w:t>
            </w:r>
          </w:p>
        </w:tc>
        <w:tc>
          <w:tcPr>
            <w:tcW w:w="8700" w:type="dxa"/>
            <w:vAlign w:val="bottom"/>
          </w:tcPr>
          <w:p>
            <w:pPr>
              <w:ind w:left="60"/>
              <w:spacing w:after="0"/>
              <w:rPr>
                <w:rFonts w:ascii="Times New Roman" w:cs="Times New Roman" w:eastAsia="Times New Roman" w:hAnsi="Times New Roman"/>
                <w:sz w:val="14"/>
                <w:szCs w:val="14"/>
                <w:color w:val="auto"/>
              </w:rPr>
            </w:pPr>
            <w:hyperlink r:id="rId109">
              <w:r>
                <w:rPr>
                  <w:rFonts w:ascii="Times New Roman" w:cs="Times New Roman" w:eastAsia="Times New Roman" w:hAnsi="Times New Roman"/>
                  <w:sz w:val="14"/>
                  <w:szCs w:val="14"/>
                  <w:color w:val="auto"/>
                </w:rPr>
                <w:t>*Executive Officer Severance Agreement - Gregory S. Bielli</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10.48</w:t>
            </w:r>
          </w:p>
        </w:tc>
        <w:tc>
          <w:tcPr>
            <w:tcW w:w="8700" w:type="dxa"/>
            <w:vAlign w:val="bottom"/>
          </w:tcPr>
          <w:p>
            <w:pPr>
              <w:ind w:left="60"/>
              <w:spacing w:after="0"/>
              <w:rPr>
                <w:rFonts w:ascii="Times New Roman" w:cs="Times New Roman" w:eastAsia="Times New Roman" w:hAnsi="Times New Roman"/>
                <w:sz w:val="14"/>
                <w:szCs w:val="14"/>
                <w:color w:val="auto"/>
              </w:rPr>
            </w:pPr>
            <w:hyperlink r:id="rId110">
              <w:r>
                <w:rPr>
                  <w:rFonts w:ascii="Times New Roman" w:cs="Times New Roman" w:eastAsia="Times New Roman" w:hAnsi="Times New Roman"/>
                  <w:sz w:val="14"/>
                  <w:szCs w:val="14"/>
                  <w:color w:val="auto"/>
                </w:rPr>
                <w:t>Limited Liability Company Agreement of TRC-MRC 4,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10.49</w:t>
            </w:r>
          </w:p>
        </w:tc>
        <w:tc>
          <w:tcPr>
            <w:tcW w:w="8700" w:type="dxa"/>
            <w:vAlign w:val="bottom"/>
          </w:tcPr>
          <w:p>
            <w:pPr>
              <w:ind w:left="60"/>
              <w:spacing w:after="0"/>
              <w:rPr>
                <w:rFonts w:ascii="Times New Roman" w:cs="Times New Roman" w:eastAsia="Times New Roman" w:hAnsi="Times New Roman"/>
                <w:sz w:val="14"/>
                <w:szCs w:val="14"/>
                <w:color w:val="auto"/>
              </w:rPr>
            </w:pPr>
            <w:hyperlink r:id="rId111">
              <w:r>
                <w:rPr>
                  <w:rFonts w:ascii="Times New Roman" w:cs="Times New Roman" w:eastAsia="Times New Roman" w:hAnsi="Times New Roman"/>
                  <w:sz w:val="14"/>
                  <w:szCs w:val="14"/>
                  <w:color w:val="auto"/>
                </w:rPr>
                <w:t>Settlement Agreement of CEQA litigation with Climate Resolve</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8700" w:type="dxa"/>
            <w:vAlign w:val="bottom"/>
          </w:tcPr>
          <w:p>
            <w:pPr>
              <w:ind w:left="60"/>
              <w:spacing w:after="0"/>
              <w:rPr>
                <w:rFonts w:ascii="Times New Roman" w:cs="Times New Roman" w:eastAsia="Times New Roman" w:hAnsi="Times New Roman"/>
                <w:sz w:val="14"/>
                <w:szCs w:val="14"/>
                <w:color w:val="auto"/>
              </w:rPr>
            </w:pPr>
            <w:hyperlink r:id="rId112">
              <w:r>
                <w:rPr>
                  <w:rFonts w:ascii="Times New Roman" w:cs="Times New Roman" w:eastAsia="Times New Roman" w:hAnsi="Times New Roman"/>
                  <w:sz w:val="14"/>
                  <w:szCs w:val="14"/>
                  <w:color w:val="auto"/>
                </w:rPr>
                <w:t>Limited Liability Company Agreement of TRC-MRC Multi I,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w:t>
            </w:r>
          </w:p>
        </w:tc>
        <w:tc>
          <w:tcPr>
            <w:tcW w:w="8700" w:type="dxa"/>
            <w:vAlign w:val="bottom"/>
          </w:tcPr>
          <w:p>
            <w:pPr>
              <w:ind w:left="60"/>
              <w:spacing w:after="0"/>
              <w:rPr>
                <w:rFonts w:ascii="Times New Roman" w:cs="Times New Roman" w:eastAsia="Times New Roman" w:hAnsi="Times New Roman"/>
                <w:sz w:val="14"/>
                <w:szCs w:val="14"/>
                <w:color w:val="auto"/>
              </w:rPr>
            </w:pPr>
            <w:hyperlink r:id="rId113">
              <w:r>
                <w:rPr>
                  <w:rFonts w:ascii="Times New Roman" w:cs="Times New Roman" w:eastAsia="Times New Roman" w:hAnsi="Times New Roman"/>
                  <w:sz w:val="14"/>
                  <w:szCs w:val="14"/>
                  <w:color w:val="auto"/>
                </w:rPr>
                <w:t>Limited Liability Company Agreement of TRC-MRC 5, LLC</w:t>
              </w:r>
            </w:hyperlink>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10.52</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Credit Agreement Between Tejon Ranchcorp and Bank of America, N.A.</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Section 302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Pursuant to 18 U.S.C. Section 1350, as Adopted Pursuant to Section 906 of the Sarbanes-Oxley Act of 2002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Furnished</w:t>
            </w:r>
          </w:p>
        </w:tc>
      </w:tr>
      <w:tr>
        <w:trPr>
          <w:trHeight w:val="142"/>
        </w:trPr>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101.INS</w:t>
            </w:r>
          </w:p>
        </w:tc>
        <w:tc>
          <w:tcPr>
            <w:tcW w:w="8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spacing w:after="0"/>
              <w:rPr>
                <w:sz w:val="16"/>
                <w:szCs w:val="16"/>
                <w:color w:val="auto"/>
              </w:rPr>
            </w:pP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document.</w:t>
            </w:r>
          </w:p>
        </w:tc>
        <w:tc>
          <w:tcPr>
            <w:tcW w:w="1340" w:type="dxa"/>
            <w:vAlign w:val="bottom"/>
          </w:tcPr>
          <w:p>
            <w:pPr>
              <w:spacing w:after="0"/>
              <w:rPr>
                <w:sz w:val="16"/>
                <w:szCs w:val="16"/>
                <w:color w:val="auto"/>
              </w:rPr>
            </w:pPr>
          </w:p>
        </w:tc>
      </w:tr>
      <w:tr>
        <w:trPr>
          <w:trHeight w:val="183"/>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101.SCH</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101.CAL</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101.DEF</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101.LAB</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101.PRE</w:t>
            </w:r>
          </w:p>
        </w:tc>
        <w:tc>
          <w:tcPr>
            <w:tcW w:w="8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bl>
    <w:p>
      <w:pPr>
        <w:ind w:left="1040" w:right="4880" w:hanging="137"/>
        <w:spacing w:after="0" w:line="297" w:lineRule="auto"/>
        <w:tabs>
          <w:tab w:leader="none" w:pos="123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 * Management contract, compensatory plan or arrangement.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1</w:t>
            </w: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Quarterly Report on Form 10-Q for the period</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June 30, 2021, is incorporated herein by reference.</w:t>
            </w:r>
          </w:p>
        </w:tc>
      </w:tr>
      <w:tr>
        <w:trPr>
          <w:trHeight w:val="160"/>
        </w:trPr>
        <w:tc>
          <w:tcPr>
            <w:tcW w:w="6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FN 2</w:t>
            </w:r>
          </w:p>
        </w:tc>
        <w:tc>
          <w:tcPr>
            <w:tcW w:w="10640" w:type="dxa"/>
            <w:vAlign w:val="bottom"/>
          </w:tcPr>
          <w:p>
            <w:pPr>
              <w:ind w:left="340"/>
              <w:spacing w:after="0" w:line="159"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99.1 to our Current Report on Form 8-K filed on May 26,</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2020, is incorporated herein by reference.</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5</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20, 2005, is incorporated herein by reference.</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6</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 year</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December 31, 1994, is incorporated herein by reference. This Exhibit was not filed with the Securities and Exchange Commission in an electronic format.</w:t>
            </w:r>
          </w:p>
        </w:tc>
      </w:tr>
      <w:tr>
        <w:trPr>
          <w:trHeight w:val="145"/>
        </w:trPr>
        <w:tc>
          <w:tcPr>
            <w:tcW w:w="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7</w:t>
            </w:r>
          </w:p>
        </w:tc>
        <w:tc>
          <w:tcPr>
            <w:tcW w:w="10640" w:type="dxa"/>
            <w:vAlign w:val="bottom"/>
          </w:tcPr>
          <w:p>
            <w:pPr>
              <w:ind w:left="3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 year</w:t>
            </w:r>
          </w:p>
        </w:tc>
      </w:tr>
      <w:tr>
        <w:trPr>
          <w:trHeight w:val="184"/>
        </w:trPr>
        <w:tc>
          <w:tcPr>
            <w:tcW w:w="640" w:type="dxa"/>
            <w:vAlign w:val="bottom"/>
          </w:tcPr>
          <w:p>
            <w:pPr>
              <w:spacing w:after="0"/>
              <w:rPr>
                <w:sz w:val="16"/>
                <w:szCs w:val="16"/>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ended December 31, 1997, is incorporated herein by reference.</w:t>
            </w:r>
          </w:p>
        </w:tc>
      </w:tr>
      <w:tr>
        <w:trPr>
          <w:trHeight w:val="675"/>
        </w:trPr>
        <w:tc>
          <w:tcPr>
            <w:tcW w:w="640" w:type="dxa"/>
            <w:vAlign w:val="bottom"/>
          </w:tcPr>
          <w:p>
            <w:pPr>
              <w:spacing w:after="0"/>
              <w:rPr>
                <w:sz w:val="24"/>
                <w:szCs w:val="24"/>
                <w:color w:val="auto"/>
              </w:rPr>
            </w:pPr>
          </w:p>
        </w:tc>
        <w:tc>
          <w:tcPr>
            <w:tcW w:w="10640" w:type="dxa"/>
            <w:vAlign w:val="bottom"/>
          </w:tcPr>
          <w:p>
            <w:pPr>
              <w:ind w:left="4940"/>
              <w:spacing w:after="0"/>
              <w:rPr>
                <w:sz w:val="20"/>
                <w:szCs w:val="20"/>
                <w:color w:val="auto"/>
              </w:rPr>
            </w:pPr>
            <w:r>
              <w:rPr>
                <w:rFonts w:ascii="Times New Roman" w:cs="Times New Roman" w:eastAsia="Times New Roman" w:hAnsi="Times New Roman"/>
                <w:sz w:val="14"/>
                <w:szCs w:val="14"/>
                <w:color w:val="auto"/>
              </w:rPr>
              <w:t>48</w:t>
            </w:r>
          </w:p>
        </w:tc>
      </w:tr>
      <w:tr>
        <w:trPr>
          <w:trHeight w:val="87"/>
        </w:trPr>
        <w:tc>
          <w:tcPr>
            <w:tcW w:w="640" w:type="dxa"/>
            <w:vAlign w:val="bottom"/>
            <w:tcBorders>
              <w:bottom w:val="single" w:sz="8" w:color="9A9A9A"/>
            </w:tcBorders>
          </w:tcPr>
          <w:p>
            <w:pPr>
              <w:spacing w:after="0"/>
              <w:rPr>
                <w:sz w:val="7"/>
                <w:szCs w:val="7"/>
                <w:color w:val="auto"/>
              </w:rPr>
            </w:pPr>
          </w:p>
        </w:tc>
        <w:tc>
          <w:tcPr>
            <w:tcW w:w="106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8</w:t>
            </w: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10.9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2008,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9</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10.10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2008,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10</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10.16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2001,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11</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 May 7,</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2004,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12</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4.2 to our Current Report on Form 8-K filed on May 7,</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2004,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13</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10.21-10.23 to our Annual Report on Form 10-K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year ended December 31, 2004,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14</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10.24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24, 2006,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15</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10.28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June 23, 2008,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16</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10.25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June 30, 2009,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17</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10.26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March 31, 2013, for the period ended March 31, 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18</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10.27 to our Current Report on Form 8-K filed on June 4,</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19</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August 8, 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20</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10.29 to our Amended Annual Report on Form 10-K/A</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 the year ended December 31, 2013,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21</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10.30 to our Current Report on Form 8-K filed on July</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22</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10.31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23</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10.34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24</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10.35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June 30, 2015,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25</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10.32 to our Current Report on Form 8-K filed on</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26</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10.37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June 30,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27</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10.38 to our Quarterly Report on Form 10-Q for the</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28</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10.39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2016, is incorporated herein by reference.</w:t>
            </w:r>
          </w:p>
        </w:tc>
      </w:tr>
      <w:tr>
        <w:trPr>
          <w:trHeight w:val="145"/>
        </w:trPr>
        <w:tc>
          <w:tcPr>
            <w:tcW w:w="6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29</w:t>
            </w:r>
          </w:p>
        </w:tc>
        <w:tc>
          <w:tcPr>
            <w:tcW w:w="1060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10.40 to our Annual Report on Form 10-K for the year</w:t>
            </w:r>
          </w:p>
        </w:tc>
      </w:tr>
      <w:tr>
        <w:trPr>
          <w:trHeight w:val="184"/>
        </w:trPr>
        <w:tc>
          <w:tcPr>
            <w:tcW w:w="680" w:type="dxa"/>
            <w:vAlign w:val="bottom"/>
          </w:tcPr>
          <w:p>
            <w:pPr>
              <w:spacing w:after="0"/>
              <w:rPr>
                <w:sz w:val="16"/>
                <w:szCs w:val="16"/>
                <w:color w:val="auto"/>
              </w:rPr>
            </w:pPr>
          </w:p>
        </w:tc>
        <w:tc>
          <w:tcPr>
            <w:tcW w:w="10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2016, is incorporated herein by reference.</w:t>
            </w:r>
          </w:p>
        </w:tc>
      </w:tr>
      <w:tr>
        <w:trPr>
          <w:trHeight w:val="686"/>
        </w:trPr>
        <w:tc>
          <w:tcPr>
            <w:tcW w:w="680" w:type="dxa"/>
            <w:vAlign w:val="bottom"/>
          </w:tcPr>
          <w:p>
            <w:pPr>
              <w:spacing w:after="0"/>
              <w:rPr>
                <w:sz w:val="24"/>
                <w:szCs w:val="24"/>
                <w:color w:val="auto"/>
              </w:rPr>
            </w:pPr>
          </w:p>
        </w:tc>
        <w:tc>
          <w:tcPr>
            <w:tcW w:w="10600" w:type="dxa"/>
            <w:vAlign w:val="bottom"/>
          </w:tcPr>
          <w:p>
            <w:pPr>
              <w:ind w:left="4900"/>
              <w:spacing w:after="0"/>
              <w:rPr>
                <w:sz w:val="20"/>
                <w:szCs w:val="20"/>
                <w:color w:val="auto"/>
              </w:rPr>
            </w:pPr>
            <w:r>
              <w:rPr>
                <w:rFonts w:ascii="Times New Roman" w:cs="Times New Roman" w:eastAsia="Times New Roman" w:hAnsi="Times New Roman"/>
                <w:sz w:val="14"/>
                <w:szCs w:val="14"/>
                <w:color w:val="auto"/>
              </w:rPr>
              <w:t>49</w:t>
            </w:r>
          </w:p>
        </w:tc>
      </w:tr>
      <w:tr>
        <w:trPr>
          <w:trHeight w:val="87"/>
        </w:trPr>
        <w:tc>
          <w:tcPr>
            <w:tcW w:w="680" w:type="dxa"/>
            <w:vAlign w:val="bottom"/>
            <w:tcBorders>
              <w:bottom w:val="single" w:sz="8" w:color="9A9A9A"/>
            </w:tcBorders>
          </w:tcPr>
          <w:p>
            <w:pPr>
              <w:spacing w:after="0"/>
              <w:rPr>
                <w:sz w:val="7"/>
                <w:szCs w:val="7"/>
                <w:color w:val="auto"/>
              </w:rPr>
            </w:pPr>
          </w:p>
        </w:tc>
        <w:tc>
          <w:tcPr>
            <w:tcW w:w="10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30</w:t>
            </w: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10.41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2016,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31</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10.42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2018,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32</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10.43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2018,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33</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10.44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2018,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34</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10.45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35</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10.46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September 30,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36</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10.33 to our Current Report on Form 8-K filed on</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37</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333-231032) as Exhibit 4.6 to our Registration Statement on Form S-3 filed</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on April 25,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38</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10.47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2019,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39</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10.48 to our Quarterly Report on Form 10-Q for the</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period ended March 31, 2021,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40</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10.49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2021,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41</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10.50 to our Annual Report on Form 10-K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December 31, 2021, is incorporated herein by reference.</w:t>
            </w:r>
          </w:p>
        </w:tc>
      </w:tr>
      <w:tr>
        <w:trPr>
          <w:trHeight w:val="145"/>
        </w:trPr>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42</w:t>
            </w:r>
          </w:p>
        </w:tc>
        <w:tc>
          <w:tcPr>
            <w:tcW w:w="106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10.51 to our Quarterly Report on Form 10-Q for the year</w:t>
            </w:r>
          </w:p>
        </w:tc>
      </w:tr>
      <w:tr>
        <w:trPr>
          <w:trHeight w:val="184"/>
        </w:trPr>
        <w:tc>
          <w:tcPr>
            <w:tcW w:w="660" w:type="dxa"/>
            <w:vAlign w:val="bottom"/>
          </w:tcPr>
          <w:p>
            <w:pPr>
              <w:spacing w:after="0"/>
              <w:rPr>
                <w:sz w:val="16"/>
                <w:szCs w:val="16"/>
                <w:color w:val="auto"/>
              </w:rPr>
            </w:pPr>
          </w:p>
        </w:tc>
        <w:tc>
          <w:tcPr>
            <w:tcW w:w="10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ended March 31, 2022, is incorporated herein by reference.</w:t>
            </w:r>
          </w:p>
        </w:tc>
      </w:tr>
      <w:tr>
        <w:trPr>
          <w:trHeight w:val="686"/>
        </w:trPr>
        <w:tc>
          <w:tcPr>
            <w:tcW w:w="660" w:type="dxa"/>
            <w:vAlign w:val="bottom"/>
          </w:tcPr>
          <w:p>
            <w:pPr>
              <w:spacing w:after="0"/>
              <w:rPr>
                <w:sz w:val="24"/>
                <w:szCs w:val="24"/>
                <w:color w:val="auto"/>
              </w:rPr>
            </w:pPr>
          </w:p>
        </w:tc>
        <w:tc>
          <w:tcPr>
            <w:tcW w:w="10620" w:type="dxa"/>
            <w:vAlign w:val="bottom"/>
          </w:tcPr>
          <w:p>
            <w:pPr>
              <w:ind w:left="4920"/>
              <w:spacing w:after="0"/>
              <w:rPr>
                <w:sz w:val="20"/>
                <w:szCs w:val="20"/>
                <w:color w:val="auto"/>
              </w:rPr>
            </w:pPr>
            <w:r>
              <w:rPr>
                <w:rFonts w:ascii="Times New Roman" w:cs="Times New Roman" w:eastAsia="Times New Roman" w:hAnsi="Times New Roman"/>
                <w:sz w:val="14"/>
                <w:szCs w:val="14"/>
                <w:color w:val="auto"/>
              </w:rPr>
              <w:t>50</w:t>
            </w:r>
          </w:p>
        </w:tc>
      </w:tr>
      <w:tr>
        <w:trPr>
          <w:trHeight w:val="87"/>
        </w:trPr>
        <w:tc>
          <w:tcPr>
            <w:tcW w:w="660" w:type="dxa"/>
            <w:vAlign w:val="bottom"/>
            <w:tcBorders>
              <w:bottom w:val="single" w:sz="8" w:color="9A9A9A"/>
            </w:tcBorders>
          </w:tcPr>
          <w:p>
            <w:pPr>
              <w:spacing w:after="0"/>
              <w:rPr>
                <w:sz w:val="7"/>
                <w:szCs w:val="7"/>
                <w:color w:val="auto"/>
              </w:rPr>
            </w:pPr>
          </w:p>
        </w:tc>
        <w:tc>
          <w:tcPr>
            <w:tcW w:w="10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0" w:name="page51"/>
    <w:bookmarkEnd w:id="50"/>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TEJON RANCH CO.</w:t>
      </w:r>
    </w:p>
    <w:p>
      <w:pPr>
        <w:sectPr>
          <w:pgSz w:w="11900" w:h="16838" w:orient="portrait"/>
          <w:cols w:equalWidth="0" w:num="1">
            <w:col w:w="10320"/>
          </w:cols>
          <w:pgMar w:left="300" w:top="728" w:right="12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3"/>
          <w:szCs w:val="13"/>
          <w:color w:val="auto"/>
        </w:rPr>
        <w:t>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Allen E. Lyda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Operating Officer/Chief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ectPr>
          <w:pgSz w:w="11900" w:h="16838" w:orient="portrait"/>
          <w:cols w:equalWidth="0" w:num="2">
            <w:col w:w="4900" w:space="720"/>
            <w:col w:w="4700"/>
          </w:cols>
          <w:pgMar w:left="300" w:top="728" w:right="1279" w:bottom="1440" w:gutter="0" w:footer="0" w:header="0"/>
          <w:type w:val="continuous"/>
        </w:sectPr>
      </w:pP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320"/>
          </w:cols>
          <w:pgMar w:left="300" w:top="728" w:right="1279" w:bottom="1440" w:gutter="0" w:footer="0" w:header="0"/>
          <w:type w:val="continuous"/>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August 3,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Gregory S. Bielli</w:t>
            </w:r>
          </w:p>
        </w:tc>
      </w:tr>
      <w:tr>
        <w:trPr>
          <w:trHeight w:val="167"/>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Gregory S. Bielli</w:t>
            </w:r>
          </w:p>
        </w:tc>
      </w:tr>
      <w:tr>
        <w:trPr>
          <w:trHeight w:val="184"/>
        </w:trPr>
        <w:tc>
          <w:tcPr>
            <w:tcW w:w="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27" w:right="31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Allen E. Lyda, certify that:</w:t>
      </w:r>
    </w:p>
    <w:p>
      <w:pPr>
        <w:spacing w:after="0" w:line="136" w:lineRule="exact"/>
        <w:rPr>
          <w:sz w:val="20"/>
          <w:szCs w:val="20"/>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August 3, 2022</w:t>
            </w:r>
          </w:p>
        </w:tc>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Allen E. Lyda</w:t>
            </w:r>
          </w:p>
        </w:tc>
      </w:tr>
      <w:tr>
        <w:trPr>
          <w:trHeight w:val="167"/>
        </w:trPr>
        <w:tc>
          <w:tcPr>
            <w:tcW w:w="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Allen E. Lyda</w:t>
            </w:r>
          </w:p>
        </w:tc>
      </w:tr>
      <w:tr>
        <w:trPr>
          <w:trHeight w:val="184"/>
        </w:trPr>
        <w:tc>
          <w:tcPr>
            <w:tcW w:w="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Chief Operating Officer/Chief Financial Officer</w:t>
            </w:r>
          </w:p>
        </w:tc>
      </w:tr>
    </w:tbl>
    <w:p>
      <w:pPr>
        <w:sectPr>
          <w:pgSz w:w="11900" w:h="16838" w:orient="portrait"/>
          <w:cols w:equalWidth="0" w:num="1">
            <w:col w:w="11280"/>
          </w:cols>
          <w:pgMar w:left="300" w:top="727" w:right="319" w:bottom="1440" w:gutter="0" w:footer="0" w:header="0"/>
        </w:sectPr>
      </w:pPr>
    </w:p>
    <w:bookmarkStart w:id="104" w:name="page105"/>
    <w:bookmarkEnd w:id="104"/>
    <w:p>
      <w:pPr>
        <w:ind w:left="52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undersigned hereby certifies, in his capacity as an officer of Tejon Ranch Co. (the “Company”), for purposes of 18 U.S.C. Section 1350, as adopted pursuant to Section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 to his own knowledge:</w:t>
      </w:r>
    </w:p>
    <w:p>
      <w:pPr>
        <w:spacing w:after="0" w:line="185"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of the Company on Form 10-Q for the period ended June 30, 2022 fully complies with the requirements of Section 13(a) of the Securities Exchange Act of 1934;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report fairly presents, in all material respects, the financial condition and results of operation of the Company.</w:t>
      </w:r>
    </w:p>
    <w:p>
      <w:pPr>
        <w:spacing w:after="0" w:line="12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09" w:lineRule="exact"/>
        <w:rPr>
          <w:sz w:val="20"/>
          <w:szCs w:val="20"/>
          <w:color w:val="auto"/>
        </w:rPr>
      </w:pPr>
    </w:p>
    <w:p>
      <w:pPr>
        <w:ind w:left="20"/>
        <w:spacing w:after="0"/>
        <w:tabs>
          <w:tab w:leader="none" w:pos="338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August 3, 2022</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Allen E. Lyda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Operating Officer/Chief Financial Officer</w:t>
      </w:r>
    </w:p>
    <w:sectPr>
      <w:pgSz w:w="11900" w:h="16838" w:orient="portrait"/>
      <w:cols w:equalWidth="0" w:num="1">
        <w:col w:w="11120"/>
      </w:cols>
      <w:pgMar w:left="300" w:top="72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1."/>
      <w:numFmt w:val="decimal"/>
      <w:start w:val="4"/>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8"/>
    </w:lvl>
  </w:abstractNum>
  <w:abstractNum w:abstractNumId="6">
    <w:nsid w:val="333AB105"/>
    <w:multiLevelType w:val="hybridMultilevel"/>
    <w:lvl w:ilvl="0">
      <w:lvlJc w:val="left"/>
      <w:lvlText w:val="%1."/>
      <w:numFmt w:val="decimal"/>
      <w:start w:val="9"/>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1"/>
    </w:lvl>
  </w:abstractNum>
  <w:abstractNum w:abstractNumId="9">
    <w:nsid w:val="2D1D5AE9"/>
    <w:multiLevelType w:val="hybridMultilevel"/>
    <w:lvl w:ilvl="0">
      <w:lvlJc w:val="left"/>
      <w:lvlText w:val="%1."/>
      <w:numFmt w:val="decimal"/>
      <w:start w:val="12"/>
    </w:lvl>
  </w:abstractNum>
  <w:abstractNum w:abstractNumId="10">
    <w:nsid w:val="6763845E"/>
    <w:multiLevelType w:val="hybridMultilevel"/>
    <w:lvl w:ilvl="0">
      <w:lvlJc w:val="left"/>
      <w:lvlText w:val="•"/>
      <w:numFmt w:val="bullet"/>
      <w:start w:val="1"/>
    </w:lvl>
    <w:lvl w:ilvl="1">
      <w:lvlJc w:val="left"/>
      <w:lvlText w:val="•"/>
      <w:numFmt w:val="bullet"/>
      <w:start w:val="1"/>
    </w:lvl>
  </w:abstractNum>
  <w:abstractNum w:abstractNumId="11">
    <w:nsid w:val="75A2A8D4"/>
    <w:multiLevelType w:val="hybridMultilevel"/>
    <w:lvl w:ilvl="0">
      <w:lvlJc w:val="left"/>
      <w:lvlText w:val="•"/>
      <w:numFmt w:val="bullet"/>
      <w:start w:val="1"/>
    </w:lvl>
    <w:lvl w:ilvl="1">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5"/>
    </w:lvl>
    <w:lvl w:ilvl="1">
      <w:lvlJc w:val="left"/>
      <w:lvlText w:val="***"/>
      <w:numFmt w:val="bullet"/>
      <w:start w:val="1"/>
    </w:lvl>
  </w:abstractNum>
  <w:abstractNum w:abstractNumId="16">
    <w:nsid w:val="189A769B"/>
    <w:multiLevelType w:val="hybridMultilevel"/>
    <w:lvl w:ilvl="0">
      <w:lvlJc w:val="left"/>
      <w:lvlText w:val="•"/>
      <w:numFmt w:val="bullet"/>
      <w:start w:val="1"/>
    </w:lvl>
    <w:lvl w:ilvl="1">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1"/>
      <w:numFmt w:val="bullet"/>
      <w:start w:val="1"/>
    </w:lvl>
  </w:abstractNum>
  <w:abstractNum w:abstractNumId="27">
    <w:nsid w:val="6CEAF087"/>
    <w:multiLevelType w:val="hybridMultilevel"/>
    <w:lvl w:ilvl="0">
      <w:lvlJc w:val="left"/>
      <w:lvlText w:val="•"/>
      <w:numFmt w:val="bullet"/>
      <w:start w:val="1"/>
    </w:lvl>
    <w:lvl w:ilvl="1">
      <w:lvlJc w:val="left"/>
      <w:lvlText w:val="1"/>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114" Type="http://schemas.openxmlformats.org/officeDocument/2006/relationships/image" Target="media/image66.png"/><Relationship Id="rId115" Type="http://schemas.openxmlformats.org/officeDocument/2006/relationships/image" Target="media/image67.png"/><Relationship Id="rId116" Type="http://schemas.openxmlformats.org/officeDocument/2006/relationships/image" Target="media/image68.png"/><Relationship Id="rId117" Type="http://schemas.openxmlformats.org/officeDocument/2006/relationships/image" Target="media/image69.png"/><Relationship Id="rId118"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1" Type="http://schemas.openxmlformats.org/officeDocument/2006/relationships/image" Target="media/image73.png"/><Relationship Id="rId12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71" Type="http://schemas.openxmlformats.org/officeDocument/2006/relationships/hyperlink" Target="http://www.sec.gov/Archives/edgar/data/96869/000009686921000016/ex31restatedcertificateo.htm" TargetMode="External"/><Relationship Id="rId72" Type="http://schemas.openxmlformats.org/officeDocument/2006/relationships/hyperlink" Target="http://www.sec.gov/Archives/edgar/data/96869/000119312520151616/d937443dex991.htm" TargetMode="External"/><Relationship Id="rId73" Type="http://schemas.openxmlformats.org/officeDocument/2006/relationships/hyperlink" Target="http://www.sec.gov/Archives/edgar/data/96869/000119312505245123/dex41.htm" TargetMode="External"/><Relationship Id="rId74" Type="http://schemas.openxmlformats.org/officeDocument/2006/relationships/hyperlink" Target="http://www.sec.gov/Archives/edgar/data/96869/000119312519119877/d718363dex46.htm" TargetMode="External"/><Relationship Id="rId75" Type="http://schemas.openxmlformats.org/officeDocument/2006/relationships/hyperlink" Target="http://www.sec.gov/Archives/edgar/data/96869/0000096869-98-000002.txt" TargetMode="External"/><Relationship Id="rId76" Type="http://schemas.openxmlformats.org/officeDocument/2006/relationships/hyperlink" Target="http://www.sec.gov/Archives/edgar/data/96869/000119312509042772/dex109.htm" TargetMode="External"/><Relationship Id="rId77" Type="http://schemas.openxmlformats.org/officeDocument/2006/relationships/hyperlink" Target="http://www.sec.gov/Archives/edgar/data/96869/000119312509042772/dex1010.htm" TargetMode="External"/><Relationship Id="rId78" Type="http://schemas.openxmlformats.org/officeDocument/2006/relationships/hyperlink" Target="http://www.sec.gov/Archives/edgar/data/96869/000102140802004535/dex1016.txt" TargetMode="External"/><Relationship Id="rId79" Type="http://schemas.openxmlformats.org/officeDocument/2006/relationships/hyperlink" Target="http://www.sec.gov/Archives/edgar/data/96869/000119312504082310/dex41.htm" TargetMode="External"/><Relationship Id="rId80" Type="http://schemas.openxmlformats.org/officeDocument/2006/relationships/hyperlink" Target="http://www.sec.gov/Archives/edgar/data/96869/000119312504082310/dex42.htm" TargetMode="External"/><Relationship Id="rId81" Type="http://schemas.openxmlformats.org/officeDocument/2006/relationships/hyperlink" Target="http://www.sec.gov/Archives/edgar/data/96869/000119312505051499/dex1021.htm" TargetMode="External"/><Relationship Id="rId82" Type="http://schemas.openxmlformats.org/officeDocument/2006/relationships/hyperlink" Target="http://www.sec.gov/Archives/edgar/data/96869/000119312505051499/dex1023.htm" TargetMode="External"/><Relationship Id="rId83" Type="http://schemas.openxmlformats.org/officeDocument/2006/relationships/hyperlink" Target="http://www.sec.gov/Archives/edgar/data/96869/000119312505051499/dex1022.htm" TargetMode="External"/><Relationship Id="rId84" Type="http://schemas.openxmlformats.org/officeDocument/2006/relationships/hyperlink" Target="http://www.sec.gov/Archives/edgar/data/96869/000119312506118520/dex1024.htm" TargetMode="External"/><Relationship Id="rId85" Type="http://schemas.openxmlformats.org/officeDocument/2006/relationships/hyperlink" Target="http://www.sec.gov/Archives/edgar/data/96869/000119312508138009/dex1028.htm" TargetMode="External"/><Relationship Id="rId86" Type="http://schemas.openxmlformats.org/officeDocument/2006/relationships/hyperlink" Target="http://www.sec.gov/Archives/edgar/data/96869/000119312509170594/dex1025.htm" TargetMode="External"/><Relationship Id="rId87" Type="http://schemas.openxmlformats.org/officeDocument/2006/relationships/hyperlink" Target="http://www.sec.gov/Archives/edgar/data/96869/000144530513001209/exhibit1026-execagreementa.htm" TargetMode="External"/><Relationship Id="rId88" Type="http://schemas.openxmlformats.org/officeDocument/2006/relationships/hyperlink" Target="http://www.sec.gov/Archives/edgar/data/96869/000119312513246605/d549609dex1027.htm" TargetMode="External"/><Relationship Id="rId89" Type="http://schemas.openxmlformats.org/officeDocument/2006/relationships/hyperlink" Target="http://www.sec.gov/Archives/edgar/data/96869/000119312513326495/d581835dex101.htm" TargetMode="External"/><Relationship Id="rId90" Type="http://schemas.openxmlformats.org/officeDocument/2006/relationships/hyperlink" Target="http://www.sec.gov/Archives/edgar/data/96869/000009686914000009/exhibit1029tmvamendments20.htm" TargetMode="External"/><Relationship Id="rId91" Type="http://schemas.openxmlformats.org/officeDocument/2006/relationships/hyperlink" Target="http://www.sec.gov/Archives/edgar/data/96869/000119312514270067/d758856dex1030.htm" TargetMode="External"/><Relationship Id="rId92" Type="http://schemas.openxmlformats.org/officeDocument/2006/relationships/hyperlink" Target="http://www.sec.gov/Archives/edgar/data/96869/000119312514375013/d806135dex1031.htm" TargetMode="External"/><Relationship Id="rId93" Type="http://schemas.openxmlformats.org/officeDocument/2006/relationships/hyperlink" Target="http://www.sec.gov/Archives/edgar/data/96869/000119312514375013/d806135dex1032.htm" TargetMode="External"/><Relationship Id="rId96" Type="http://schemas.openxmlformats.org/officeDocument/2006/relationships/hyperlink" Target="http://www.sec.gov/Archives/edgar/data/96869/000119312514375013/d806135dex1033.htm" TargetMode="External"/><Relationship Id="rId97" Type="http://schemas.openxmlformats.org/officeDocument/2006/relationships/hyperlink" Target="http://www.sec.gov/Archives/edgar/data/96869/000009686915000003/exhibit1034calpineagreemen.htm" TargetMode="External"/><Relationship Id="rId98" Type="http://schemas.openxmlformats.org/officeDocument/2006/relationships/hyperlink" Target="http://www.sec.gov/Archives/edgar/data/96869/000009686915000010/ex1035q32015.htm" TargetMode="External"/><Relationship Id="rId99" Type="http://schemas.openxmlformats.org/officeDocument/2006/relationships/hyperlink" Target="http://www.sec.gov/Archives/edgar/data/96869/000009686916000017/ex1037limitedliabilityagre.htm" TargetMode="External"/><Relationship Id="rId100" Type="http://schemas.openxmlformats.org/officeDocument/2006/relationships/hyperlink" Target="http://www.sec.gov/Archives/edgar/data/96869/000009686916000019/ex1038llagreementoftrc-mrc1.htm" TargetMode="External"/><Relationship Id="rId101" Type="http://schemas.openxmlformats.org/officeDocument/2006/relationships/hyperlink" Target="http://www.sec.gov/Archives/edgar/data/96869/000009686917000002/exhibit1039centennialredem.htm" TargetMode="External"/><Relationship Id="rId102" Type="http://schemas.openxmlformats.org/officeDocument/2006/relationships/hyperlink" Target="http://www.sec.gov/Archives/edgar/data/96869/000009686917000002/exhibit1040firstamendmentt.htm" TargetMode="External"/><Relationship Id="rId103" Type="http://schemas.openxmlformats.org/officeDocument/2006/relationships/hyperlink" Target="http://www.sec.gov/Archives/edgar/data/96869/000009686917000002/exhibit1041secondamendment.htm" TargetMode="External"/><Relationship Id="rId104" Type="http://schemas.openxmlformats.org/officeDocument/2006/relationships/hyperlink" Target="http://www.sec.gov/Archives/edgar/data/96869/000009686918000015/ex1042trcmrc3llc.htm" TargetMode="External"/><Relationship Id="rId105" Type="http://schemas.openxmlformats.org/officeDocument/2006/relationships/hyperlink" Target="http://www.sec.gov/Archives/edgar/data/96869/000009686919000004/exhibit1043201810k.htm" TargetMode="External"/><Relationship Id="rId106" Type="http://schemas.openxmlformats.org/officeDocument/2006/relationships/hyperlink" Target="http://www.sec.gov/Archives/edgar/data/96869/000009686919000004/exhibit1044201810k.htm" TargetMode="External"/><Relationship Id="rId107" Type="http://schemas.openxmlformats.org/officeDocument/2006/relationships/hyperlink" Target="http://www.sec.gov/Archives/edgar/data/96869/000009686919000014/ex1046aloc.htm" TargetMode="External"/><Relationship Id="rId108" Type="http://schemas.openxmlformats.org/officeDocument/2006/relationships/hyperlink" Target="http://www.sec.gov/Archives/edgar/data/96869/000009686919000014/ex1045atn.htm" TargetMode="External"/><Relationship Id="rId109" Type="http://schemas.openxmlformats.org/officeDocument/2006/relationships/hyperlink" Target="http://www.sec.gov/Archives/edgar/data/96869/000009686920000007/exhibit1047-gregbseverance.htm" TargetMode="External"/><Relationship Id="rId110" Type="http://schemas.openxmlformats.org/officeDocument/2006/relationships/hyperlink" Target="http://www.sec.gov/Archives/edgar/data/96869/000009686921000011/ex1048mrc4llc.htm" TargetMode="External"/><Relationship Id="rId111" Type="http://schemas.openxmlformats.org/officeDocument/2006/relationships/hyperlink" Target="http://www.sec.gov/Archives/edgar/data/96869/000009686922000005/exhibit1048centennialcrf.htm" TargetMode="External"/><Relationship Id="rId112" Type="http://schemas.openxmlformats.org/officeDocument/2006/relationships/hyperlink" Target="http://www.sec.gov/Archives/edgar/data/96869/000009686922000005/exhibit1050trc-mrcmultii.htm" TargetMode="External"/><Relationship Id="rId113" Type="http://schemas.openxmlformats.org/officeDocument/2006/relationships/hyperlink" Target="http://www.sec.gov/Archives/edgar/data/96869/000009686922000009/ex1051mrc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2022-08-03T12:56:23Z</dcterms:created>
  <dcterms:modified xsi:type="dcterms:W3CDTF">2022-08-03T12:56:23Z</dcterms:modified>
</cp:coreProperties>
</file>