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63" w:lineRule="exact"/>
        <w:rPr>
          <w:sz w:val="24"/>
          <w:szCs w:val="24"/>
          <w:color w:val="auto"/>
        </w:rPr>
      </w:pPr>
    </w:p>
    <w:p>
      <w:pPr>
        <w:jc w:val="center"/>
        <w:ind w:left="340" w:right="500"/>
        <w:spacing w:after="0" w:line="298" w:lineRule="auto"/>
        <w:rPr>
          <w:sz w:val="20"/>
          <w:szCs w:val="20"/>
          <w:color w:val="auto"/>
        </w:rPr>
      </w:pPr>
      <w:r>
        <w:rPr>
          <w:rFonts w:ascii="Arial" w:cs="Arial" w:eastAsia="Arial" w:hAnsi="Arial"/>
          <w:sz w:val="20"/>
          <w:szCs w:val="20"/>
          <w:color w:val="auto"/>
        </w:rPr>
        <w:t xml:space="preserve">x </w:t>
      </w:r>
      <w:r>
        <w:rPr>
          <w:rFonts w:ascii="Arial" w:cs="Arial" w:eastAsia="Arial" w:hAnsi="Arial"/>
          <w:sz w:val="20"/>
          <w:szCs w:val="20"/>
          <w:b w:val="1"/>
          <w:bCs w:val="1"/>
          <w:color w:val="auto"/>
        </w:rPr>
        <w:t>QUARTERLY REPORT PURSUANT TO SECTION 13 OR 15(d) OF THE SECURITIES EXCHANGE ACT OF 1934</w:t>
      </w:r>
      <w:r>
        <w:rPr>
          <w:rFonts w:ascii="Arial" w:cs="Arial" w:eastAsia="Arial" w:hAnsi="Arial"/>
          <w:sz w:val="20"/>
          <w:szCs w:val="20"/>
          <w:color w:val="auto"/>
        </w:rPr>
        <w:t xml:space="preserve"> For the quarterly period ended March 31, 2019</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780" w:hanging="216"/>
        <w:spacing w:after="0"/>
        <w:tabs>
          <w:tab w:leader="none" w:pos="7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8"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108585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3720"/>
        <w:spacing w:after="0"/>
        <w:rPr>
          <w:sz w:val="20"/>
          <w:szCs w:val="20"/>
          <w:color w:val="auto"/>
        </w:rPr>
      </w:pPr>
      <w:r>
        <w:rPr>
          <w:rFonts w:ascii="Arial" w:cs="Arial" w:eastAsia="Arial" w:hAnsi="Arial"/>
          <w:sz w:val="43"/>
          <w:szCs w:val="43"/>
          <w:b w:val="1"/>
          <w:bCs w:val="1"/>
          <w:color w:val="auto"/>
        </w:rPr>
        <w:t>TEJON RANCH CO.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47" w:lineRule="exact"/>
        <w:rPr>
          <w:sz w:val="24"/>
          <w:szCs w:val="24"/>
          <w:color w:val="auto"/>
        </w:rPr>
      </w:pPr>
    </w:p>
    <w:tbl>
      <w:tblPr>
        <w:tblLayout w:type="fixed"/>
        <w:tblInd w:w="720" w:type="dxa"/>
        <w:tblCellMar>
          <w:top w:w="0" w:type="dxa"/>
          <w:left w:w="0" w:type="dxa"/>
          <w:bottom w:w="0" w:type="dxa"/>
          <w:right w:w="0" w:type="dxa"/>
        </w:tblCellMar>
      </w:tblPr>
      <w:tr>
        <w:trPr>
          <w:trHeight w:val="256"/>
        </w:trPr>
        <w:tc>
          <w:tcPr>
            <w:tcW w:w="5160" w:type="dxa"/>
            <w:vAlign w:val="bottom"/>
          </w:tcPr>
          <w:p>
            <w:pPr>
              <w:jc w:val="center"/>
              <w:ind w:right="890"/>
              <w:spacing w:after="0"/>
              <w:rPr>
                <w:sz w:val="20"/>
                <w:szCs w:val="20"/>
                <w:color w:val="auto"/>
              </w:rPr>
            </w:pPr>
            <w:r>
              <w:rPr>
                <w:rFonts w:ascii="Arial" w:cs="Arial" w:eastAsia="Arial" w:hAnsi="Arial"/>
                <w:sz w:val="20"/>
                <w:szCs w:val="20"/>
                <w:b w:val="1"/>
                <w:bCs w:val="1"/>
                <w:color w:val="auto"/>
                <w:w w:val="88"/>
              </w:rPr>
              <w:t>Delaware</w:t>
            </w:r>
          </w:p>
        </w:tc>
        <w:tc>
          <w:tcPr>
            <w:tcW w:w="4640" w:type="dxa"/>
            <w:vAlign w:val="bottom"/>
          </w:tcPr>
          <w:p>
            <w:pPr>
              <w:jc w:val="right"/>
              <w:ind w:right="1270"/>
              <w:spacing w:after="0"/>
              <w:rPr>
                <w:sz w:val="20"/>
                <w:szCs w:val="20"/>
                <w:color w:val="auto"/>
              </w:rPr>
            </w:pPr>
            <w:r>
              <w:rPr>
                <w:rFonts w:ascii="Arial" w:cs="Arial" w:eastAsia="Arial" w:hAnsi="Arial"/>
                <w:sz w:val="20"/>
                <w:szCs w:val="20"/>
                <w:b w:val="1"/>
                <w:bCs w:val="1"/>
                <w:color w:val="auto"/>
              </w:rPr>
              <w:t>77-0196136</w:t>
            </w:r>
          </w:p>
        </w:tc>
      </w:tr>
      <w:tr>
        <w:trPr>
          <w:trHeight w:val="247"/>
        </w:trPr>
        <w:tc>
          <w:tcPr>
            <w:tcW w:w="5160" w:type="dxa"/>
            <w:vAlign w:val="bottom"/>
          </w:tcPr>
          <w:p>
            <w:pPr>
              <w:jc w:val="center"/>
              <w:ind w:right="89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40" w:type="dxa"/>
            <w:vAlign w:val="bottom"/>
          </w:tcPr>
          <w:p>
            <w:pPr>
              <w:jc w:val="center"/>
              <w:ind w:left="870"/>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591"/>
        </w:trPr>
        <w:tc>
          <w:tcPr>
            <w:tcW w:w="5160" w:type="dxa"/>
            <w:vAlign w:val="bottom"/>
          </w:tcPr>
          <w:p>
            <w:pPr>
              <w:jc w:val="center"/>
              <w:ind w:right="890"/>
              <w:spacing w:after="0"/>
              <w:rPr>
                <w:sz w:val="20"/>
                <w:szCs w:val="20"/>
                <w:color w:val="auto"/>
              </w:rPr>
            </w:pPr>
            <w:r>
              <w:rPr>
                <w:rFonts w:ascii="Arial" w:cs="Arial" w:eastAsia="Arial" w:hAnsi="Arial"/>
                <w:sz w:val="20"/>
                <w:szCs w:val="20"/>
                <w:b w:val="1"/>
                <w:bCs w:val="1"/>
                <w:color w:val="auto"/>
                <w:w w:val="89"/>
              </w:rPr>
              <w:t>P.O. Box 1000, Tejon Ranch, California 93243</w:t>
            </w:r>
          </w:p>
        </w:tc>
        <w:tc>
          <w:tcPr>
            <w:tcW w:w="4640" w:type="dxa"/>
            <w:vAlign w:val="bottom"/>
          </w:tcPr>
          <w:p>
            <w:pPr>
              <w:jc w:val="right"/>
              <w:ind w:right="1130"/>
              <w:spacing w:after="0"/>
              <w:rPr>
                <w:sz w:val="20"/>
                <w:szCs w:val="20"/>
                <w:color w:val="auto"/>
              </w:rPr>
            </w:pPr>
            <w:r>
              <w:rPr>
                <w:rFonts w:ascii="Arial" w:cs="Arial" w:eastAsia="Arial" w:hAnsi="Arial"/>
                <w:sz w:val="20"/>
                <w:szCs w:val="20"/>
                <w:b w:val="1"/>
                <w:bCs w:val="1"/>
                <w:color w:val="auto"/>
              </w:rPr>
              <w:t>(661) 248-3000</w:t>
            </w:r>
          </w:p>
        </w:tc>
      </w:tr>
      <w:tr>
        <w:trPr>
          <w:trHeight w:val="247"/>
        </w:trPr>
        <w:tc>
          <w:tcPr>
            <w:tcW w:w="5160" w:type="dxa"/>
            <w:vAlign w:val="bottom"/>
          </w:tcPr>
          <w:p>
            <w:pPr>
              <w:jc w:val="center"/>
              <w:ind w:right="890"/>
              <w:spacing w:after="0"/>
              <w:rPr>
                <w:sz w:val="20"/>
                <w:szCs w:val="20"/>
                <w:color w:val="auto"/>
              </w:rPr>
            </w:pPr>
            <w:r>
              <w:rPr>
                <w:rFonts w:ascii="Arial" w:cs="Arial" w:eastAsia="Arial" w:hAnsi="Arial"/>
                <w:sz w:val="16"/>
                <w:szCs w:val="16"/>
                <w:b w:val="1"/>
                <w:bCs w:val="1"/>
                <w:color w:val="auto"/>
                <w:w w:val="90"/>
              </w:rPr>
              <w:t>(Address of principal executive offices) (Zip Code)</w:t>
            </w:r>
          </w:p>
        </w:tc>
        <w:tc>
          <w:tcPr>
            <w:tcW w:w="4640" w:type="dxa"/>
            <w:vAlign w:val="bottom"/>
          </w:tcPr>
          <w:p>
            <w:pPr>
              <w:jc w:val="center"/>
              <w:ind w:left="890"/>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bl>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62"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462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7"/>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9"/>
              </w:rPr>
              <w:t>Trading symbol</w:t>
            </w:r>
          </w:p>
        </w:tc>
        <w:tc>
          <w:tcPr>
            <w:tcW w:w="4660" w:type="dxa"/>
            <w:vAlign w:val="bottom"/>
          </w:tcPr>
          <w:p>
            <w:pPr>
              <w:jc w:val="center"/>
              <w:spacing w:after="0"/>
              <w:rPr>
                <w:sz w:val="20"/>
                <w:szCs w:val="20"/>
                <w:color w:val="auto"/>
              </w:rPr>
            </w:pPr>
            <w:r>
              <w:rPr>
                <w:rFonts w:ascii="Arial" w:cs="Arial" w:eastAsia="Arial" w:hAnsi="Arial"/>
                <w:sz w:val="20"/>
                <w:szCs w:val="20"/>
                <w:b w:val="1"/>
                <w:bCs w:val="1"/>
                <w:color w:val="auto"/>
                <w:w w:val="86"/>
              </w:rPr>
              <w:t>Name of each exchange on which registered</w:t>
            </w:r>
          </w:p>
        </w:tc>
      </w:tr>
      <w:tr>
        <w:trPr>
          <w:trHeight w:val="23"/>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4"/>
        </w:trPr>
        <w:tc>
          <w:tcPr>
            <w:tcW w:w="462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Common Stock, $0.50 par value</w:t>
            </w:r>
          </w:p>
        </w:tc>
        <w:tc>
          <w:tcPr>
            <w:tcW w:w="19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TRC</w:t>
            </w:r>
          </w:p>
        </w:tc>
        <w:tc>
          <w:tcPr>
            <w:tcW w:w="4660" w:type="dxa"/>
            <w:vAlign w:val="bottom"/>
          </w:tcPr>
          <w:p>
            <w:pPr>
              <w:jc w:val="center"/>
              <w:spacing w:after="0"/>
              <w:rPr>
                <w:sz w:val="20"/>
                <w:szCs w:val="20"/>
                <w:color w:val="auto"/>
              </w:rPr>
            </w:pPr>
            <w:r>
              <w:rPr>
                <w:rFonts w:ascii="Arial" w:cs="Arial" w:eastAsia="Arial" w:hAnsi="Arial"/>
                <w:sz w:val="20"/>
                <w:szCs w:val="20"/>
                <w:b w:val="1"/>
                <w:bCs w:val="1"/>
                <w:color w:val="auto"/>
                <w:w w:val="88"/>
              </w:rPr>
              <w:t>New York Stock Exchange</w:t>
            </w:r>
          </w:p>
        </w:tc>
      </w:tr>
    </w:tbl>
    <w:p>
      <w:pPr>
        <w:spacing w:after="0" w:line="200" w:lineRule="exact"/>
        <w:rPr>
          <w:sz w:val="24"/>
          <w:szCs w:val="24"/>
          <w:color w:val="auto"/>
        </w:rPr>
      </w:pPr>
    </w:p>
    <w:p>
      <w:pPr>
        <w:spacing w:after="0" w:line="214" w:lineRule="exact"/>
        <w:rPr>
          <w:sz w:val="24"/>
          <w:szCs w:val="24"/>
          <w:color w:val="auto"/>
        </w:rPr>
      </w:pPr>
    </w:p>
    <w:p>
      <w:pPr>
        <w:ind w:left="40"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59" w:lineRule="exact"/>
        <w:rPr>
          <w:sz w:val="24"/>
          <w:szCs w:val="24"/>
          <w:color w:val="auto"/>
        </w:rPr>
      </w:pPr>
    </w:p>
    <w:p>
      <w:pPr>
        <w:ind w:left="40"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386" w:lineRule="exact"/>
        <w:rPr>
          <w:sz w:val="24"/>
          <w:szCs w:val="24"/>
          <w:color w:val="auto"/>
        </w:rPr>
      </w:pPr>
    </w:p>
    <w:p>
      <w:pPr>
        <w:ind w:left="40"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3" w:lineRule="exact"/>
        <w:rPr>
          <w:sz w:val="24"/>
          <w:szCs w:val="24"/>
          <w:color w:val="auto"/>
        </w:rPr>
      </w:pPr>
    </w:p>
    <w:tbl>
      <w:tblPr>
        <w:tblLayout w:type="fixed"/>
        <w:tblInd w:w="16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rPr>
                <w:sz w:val="20"/>
                <w:szCs w:val="20"/>
                <w:color w:val="auto"/>
              </w:rPr>
            </w:pPr>
            <w:r>
              <w:rPr>
                <w:rFonts w:ascii="Arial" w:cs="Arial" w:eastAsia="Arial" w:hAnsi="Arial"/>
                <w:sz w:val="18"/>
                <w:szCs w:val="18"/>
                <w:color w:val="auto"/>
              </w:rPr>
              <w:t>x</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rPr>
                <w:sz w:val="20"/>
                <w:szCs w:val="20"/>
                <w:color w:val="auto"/>
              </w:rPr>
            </w:pPr>
            <w:r>
              <w:rPr>
                <w:rFonts w:ascii="Arial" w:cs="Arial" w:eastAsia="Arial" w:hAnsi="Arial"/>
                <w:sz w:val="18"/>
                <w:szCs w:val="18"/>
                <w:color w:val="auto"/>
              </w:rPr>
              <w:t>x</w:t>
            </w:r>
          </w:p>
        </w:tc>
      </w:tr>
      <w:tr>
        <w:trPr>
          <w:trHeight w:val="324"/>
        </w:trPr>
        <w:tc>
          <w:tcPr>
            <w:tcW w:w="2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6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left="4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4"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the Company’s outstanding shares of Common Stock on April 30, 2019 was 25,949,799.</w:t>
      </w:r>
    </w:p>
    <w:p>
      <w:pPr>
        <w:sectPr>
          <w:pgSz w:w="11900" w:h="16838" w:orient="portrait"/>
          <w:cols w:equalWidth="0" w:num="1">
            <w:col w:w="11320"/>
          </w:cols>
          <w:pgMar w:left="240" w:top="234"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1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38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380" w:type="dxa"/>
            <w:vAlign w:val="bottom"/>
            <w:gridSpan w:val="19"/>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4"/>
              </w:rPr>
              <w:t>Financial Statements</w:t>
            </w:r>
          </w:p>
        </w:tc>
        <w:tc>
          <w:tcPr>
            <w:tcW w:w="740" w:type="dxa"/>
            <w:vAlign w:val="bottom"/>
            <w:tcBorders>
              <w:top w:val="single" w:sz="8" w:color="0000FF"/>
            </w:tcBorders>
            <w:gridSpan w:val="4"/>
          </w:tcPr>
          <w:p>
            <w:pPr>
              <w:spacing w:after="0"/>
              <w:rPr>
                <w:sz w:val="24"/>
                <w:szCs w:val="24"/>
                <w:color w:val="auto"/>
              </w:rPr>
            </w:pPr>
          </w:p>
        </w:tc>
        <w:tc>
          <w:tcPr>
            <w:tcW w:w="720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Operations for the Three Months Ended March 31, 2019 and 2018</w:t>
              </w:r>
            </w:hyperlink>
          </w:p>
        </w:tc>
        <w:tc>
          <w:tcPr>
            <w:tcW w:w="500" w:type="dxa"/>
            <w:vAlign w:val="bottom"/>
            <w:gridSpan w:val="2"/>
          </w:tcPr>
          <w:p>
            <w:pPr>
              <w:jc w:val="center"/>
              <w:ind w:left="3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89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Comprehensive (Loss) Income for the Three Months Ended March 31, 2019 and 2018</w:t>
              </w:r>
            </w:hyperlink>
          </w:p>
        </w:tc>
        <w:tc>
          <w:tcPr>
            <w:tcW w:w="4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March 31, 2019 (unaudited) and December 31, 2018</w:t>
              </w:r>
            </w:hyperlink>
          </w:p>
        </w:tc>
        <w:tc>
          <w:tcPr>
            <w:tcW w:w="500" w:type="dxa"/>
            <w:vAlign w:val="bottom"/>
            <w:gridSpan w:val="2"/>
          </w:tcPr>
          <w:p>
            <w:pPr>
              <w:jc w:val="center"/>
              <w:ind w:left="31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Three Months Ended March 31, 2019 and 2018</w:t>
              </w:r>
            </w:hyperlink>
          </w:p>
        </w:tc>
        <w:tc>
          <w:tcPr>
            <w:tcW w:w="500" w:type="dxa"/>
            <w:vAlign w:val="bottom"/>
            <w:gridSpan w:val="2"/>
          </w:tcPr>
          <w:p>
            <w:pPr>
              <w:jc w:val="center"/>
              <w:ind w:left="31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Unaudited Consolidated Statement of Changes in Equity and Noncontrolling Interests for the Three Months Ended March 31,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 xml:space="preserve">2019 </w:t>
              </w:r>
              <w:r>
                <w:rPr>
                  <w:rFonts w:ascii="Arial" w:cs="Arial" w:eastAsia="Arial" w:hAnsi="Arial"/>
                  <w:sz w:val="18"/>
                  <w:szCs w:val="18"/>
                  <w:color w:val="0000FF"/>
                </w:rPr>
                <w:t>and March 31, 2018</w:t>
              </w:r>
            </w:hyperlink>
          </w:p>
        </w:tc>
        <w:tc>
          <w:tcPr>
            <w:tcW w:w="400" w:type="dxa"/>
            <w:vAlign w:val="bottom"/>
          </w:tcPr>
          <w:p>
            <w:pPr>
              <w:spacing w:after="0"/>
              <w:rPr>
                <w:sz w:val="17"/>
                <w:szCs w:val="17"/>
                <w:color w:val="auto"/>
              </w:rPr>
            </w:pPr>
          </w:p>
        </w:tc>
        <w:tc>
          <w:tcPr>
            <w:tcW w:w="500" w:type="dxa"/>
            <w:vAlign w:val="bottom"/>
            <w:gridSpan w:val="2"/>
          </w:tcPr>
          <w:p>
            <w:pPr>
              <w:jc w:val="center"/>
              <w:ind w:left="310"/>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38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Consolidated Financial Statements</w:t>
              </w:r>
            </w:hyperlink>
          </w:p>
        </w:tc>
        <w:tc>
          <w:tcPr>
            <w:tcW w:w="550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gridSpan w:val="14"/>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2"/>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Quantitative and Qualitative Disclosures About Market Risk</w:t>
              </w:r>
            </w:hyperlink>
          </w:p>
        </w:tc>
        <w:tc>
          <w:tcPr>
            <w:tcW w:w="2120" w:type="dxa"/>
            <w:vAlign w:val="bottom"/>
            <w:gridSpan w:val="2"/>
          </w:tcPr>
          <w:p>
            <w:pPr>
              <w:spacing w:after="0"/>
              <w:rPr>
                <w:sz w:val="24"/>
                <w:szCs w:val="24"/>
                <w:color w:val="auto"/>
              </w:rPr>
            </w:pPr>
          </w:p>
        </w:tc>
        <w:tc>
          <w:tcPr>
            <w:tcW w:w="2980" w:type="dxa"/>
            <w:vAlign w:val="bottom"/>
            <w:gridSpan w:val="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100" w:type="dxa"/>
            <w:vAlign w:val="bottom"/>
            <w:tcBorders>
              <w:left w:val="single" w:sz="8" w:color="0000EE"/>
            </w:tcBorders>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00" w:type="dxa"/>
            <w:vAlign w:val="bottom"/>
            <w:gridSpan w:val="6"/>
          </w:tcPr>
          <w:p>
            <w:pPr>
              <w:spacing w:after="0"/>
              <w:rPr>
                <w:rFonts w:ascii="Arial" w:cs="Arial" w:eastAsia="Arial" w:hAnsi="Arial"/>
                <w:sz w:val="18"/>
                <w:szCs w:val="18"/>
                <w:color w:val="0000EE"/>
                <w:w w:val="83"/>
              </w:rPr>
            </w:pPr>
            <w:hyperlink w:anchor="page58">
              <w:r>
                <w:rPr>
                  <w:rFonts w:ascii="Arial" w:cs="Arial" w:eastAsia="Arial" w:hAnsi="Arial"/>
                  <w:sz w:val="18"/>
                  <w:szCs w:val="18"/>
                  <w:color w:val="0000EE"/>
                  <w:w w:val="83"/>
                </w:rPr>
                <w:t>Controls and Procedures</w:t>
              </w:r>
            </w:hyperlink>
          </w:p>
        </w:tc>
        <w:tc>
          <w:tcPr>
            <w:tcW w:w="2580" w:type="dxa"/>
            <w:vAlign w:val="bottom"/>
            <w:gridSpan w:val="6"/>
          </w:tcPr>
          <w:p>
            <w:pPr>
              <w:spacing w:after="0"/>
              <w:rPr>
                <w:sz w:val="24"/>
                <w:szCs w:val="24"/>
                <w:color w:val="auto"/>
              </w:rPr>
            </w:pPr>
          </w:p>
        </w:tc>
        <w:tc>
          <w:tcPr>
            <w:tcW w:w="5100" w:type="dxa"/>
            <w:vAlign w:val="bottom"/>
            <w:gridSpan w:val="7"/>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OTHER INFORMATION</w:t>
              </w:r>
            </w:hyperlink>
          </w:p>
        </w:tc>
        <w:tc>
          <w:tcPr>
            <w:tcW w:w="756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58">
              <w:r>
                <w:rPr>
                  <w:rFonts w:ascii="Arial" w:cs="Arial" w:eastAsia="Arial" w:hAnsi="Arial"/>
                  <w:sz w:val="18"/>
                  <w:szCs w:val="18"/>
                  <w:color w:val="0000EE"/>
                  <w:w w:val="81"/>
                </w:rPr>
                <w:t>Risk Factors</w:t>
              </w:r>
            </w:hyperlink>
          </w:p>
        </w:tc>
        <w:tc>
          <w:tcPr>
            <w:tcW w:w="400" w:type="dxa"/>
            <w:vAlign w:val="bottom"/>
          </w:tcPr>
          <w:p>
            <w:pPr>
              <w:spacing w:after="0"/>
              <w:rPr>
                <w:sz w:val="24"/>
                <w:szCs w:val="24"/>
                <w:color w:val="auto"/>
              </w:rPr>
            </w:pPr>
          </w:p>
        </w:tc>
        <w:tc>
          <w:tcPr>
            <w:tcW w:w="8140" w:type="dxa"/>
            <w:vAlign w:val="bottom"/>
            <w:gridSpan w:val="1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gridSpan w:val="10"/>
          </w:tcPr>
          <w:p>
            <w:pPr>
              <w:spacing w:after="0"/>
              <w:rPr>
                <w:sz w:val="20"/>
                <w:szCs w:val="20"/>
                <w:color w:val="auto"/>
              </w:rPr>
            </w:pPr>
            <w:r>
              <w:rPr>
                <w:rFonts w:ascii="Arial" w:cs="Arial" w:eastAsia="Arial" w:hAnsi="Arial"/>
                <w:sz w:val="18"/>
                <w:szCs w:val="18"/>
                <w:color w:val="0000FF"/>
                <w:w w:val="87"/>
              </w:rPr>
              <w:t>Defaults Upon Senior Securities</w:t>
            </w:r>
          </w:p>
        </w:tc>
        <w:tc>
          <w:tcPr>
            <w:tcW w:w="2020" w:type="dxa"/>
            <w:vAlign w:val="bottom"/>
            <w:gridSpan w:val="2"/>
          </w:tcPr>
          <w:p>
            <w:pPr>
              <w:spacing w:after="0"/>
              <w:rPr>
                <w:sz w:val="24"/>
                <w:szCs w:val="24"/>
                <w:color w:val="auto"/>
              </w:rPr>
            </w:pPr>
          </w:p>
        </w:tc>
        <w:tc>
          <w:tcPr>
            <w:tcW w:w="5100" w:type="dxa"/>
            <w:vAlign w:val="bottom"/>
            <w:gridSpan w:val="7"/>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2260" w:type="dxa"/>
            <w:vAlign w:val="bottom"/>
            <w:gridSpan w:val="10"/>
          </w:tcPr>
          <w:p>
            <w:pPr>
              <w:spacing w:after="0"/>
              <w:rPr>
                <w:sz w:val="20"/>
                <w:szCs w:val="20"/>
                <w:color w:val="auto"/>
              </w:rPr>
            </w:pPr>
            <w:r>
              <w:rPr>
                <w:rFonts w:ascii="Arial" w:cs="Arial" w:eastAsia="Arial" w:hAnsi="Arial"/>
                <w:sz w:val="18"/>
                <w:szCs w:val="18"/>
                <w:color w:val="0000FF"/>
              </w:rPr>
              <w:t>Mine Safety Disclosures</w:t>
            </w:r>
          </w:p>
        </w:tc>
        <w:tc>
          <w:tcPr>
            <w:tcW w:w="7120" w:type="dxa"/>
            <w:vAlign w:val="bottom"/>
            <w:gridSpan w:val="9"/>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00" w:type="dxa"/>
            <w:vAlign w:val="bottom"/>
            <w:gridSpan w:val="6"/>
          </w:tcPr>
          <w:p>
            <w:pPr>
              <w:spacing w:after="0"/>
              <w:rPr>
                <w:sz w:val="20"/>
                <w:szCs w:val="20"/>
                <w:color w:val="auto"/>
              </w:rPr>
            </w:pPr>
            <w:r>
              <w:rPr>
                <w:rFonts w:ascii="Arial" w:cs="Arial" w:eastAsia="Arial" w:hAnsi="Arial"/>
                <w:sz w:val="18"/>
                <w:szCs w:val="18"/>
                <w:color w:val="0000FF"/>
              </w:rPr>
              <w:t>Other Information</w:t>
            </w:r>
          </w:p>
        </w:tc>
        <w:tc>
          <w:tcPr>
            <w:tcW w:w="7680" w:type="dxa"/>
            <w:vAlign w:val="bottom"/>
            <w:gridSpan w:val="13"/>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4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Exhibits</w:t>
              </w:r>
            </w:hyperlink>
          </w:p>
        </w:tc>
        <w:tc>
          <w:tcPr>
            <w:tcW w:w="700" w:type="dxa"/>
            <w:vAlign w:val="bottom"/>
            <w:gridSpan w:val="2"/>
          </w:tcPr>
          <w:p>
            <w:pPr>
              <w:spacing w:after="0"/>
              <w:rPr>
                <w:sz w:val="24"/>
                <w:szCs w:val="24"/>
                <w:color w:val="auto"/>
              </w:rPr>
            </w:pPr>
          </w:p>
        </w:tc>
        <w:tc>
          <w:tcPr>
            <w:tcW w:w="8140" w:type="dxa"/>
            <w:vAlign w:val="bottom"/>
            <w:gridSpan w:val="1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59</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840" w:type="dxa"/>
            <w:vAlign w:val="bottom"/>
            <w:gridSpan w:val="1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SIGNATURES</w:t>
              </w:r>
            </w:hyperlink>
          </w:p>
        </w:tc>
        <w:tc>
          <w:tcPr>
            <w:tcW w:w="9380" w:type="dxa"/>
            <w:vAlign w:val="bottom"/>
            <w:gridSpan w:val="19"/>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00" w:type="dxa"/>
            <w:vAlign w:val="bottom"/>
            <w:tcBorders>
              <w:top w:val="single" w:sz="8" w:color="0000EE"/>
            </w:tcBorders>
          </w:tcPr>
          <w:p>
            <w:pPr>
              <w:spacing w:after="0"/>
              <w:rPr>
                <w:sz w:val="24"/>
                <w:szCs w:val="24"/>
                <w:color w:val="auto"/>
              </w:rPr>
            </w:pPr>
          </w:p>
        </w:tc>
        <w:tc>
          <w:tcPr>
            <w:tcW w:w="6240" w:type="dxa"/>
            <w:vAlign w:val="bottom"/>
            <w:gridSpan w:val="13"/>
          </w:tcPr>
          <w:p>
            <w:pPr>
              <w:jc w:val="right"/>
              <w:ind w:right="16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 FINANCIAL STATEMENTS</w:t>
      </w:r>
    </w:p>
    <w:p>
      <w:pPr>
        <w:spacing w:after="0" w:line="26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 xml:space="preserve">TEJON RANCH CO. AND SUBSIDIARIES UNAUDITED CONSOLIDATED STATEMENTS OF OPERATIONS </w:t>
      </w:r>
      <w:r>
        <w:rPr>
          <w:rFonts w:ascii="Arial" w:cs="Arial" w:eastAsia="Arial" w:hAnsi="Arial"/>
          <w:sz w:val="22"/>
          <w:szCs w:val="22"/>
          <w:color w:val="auto"/>
        </w:rPr>
        <w:t>(In thousands, except per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300" w:type="dxa"/>
            <w:vAlign w:val="bottom"/>
            <w:gridSpan w:val="5"/>
          </w:tcPr>
          <w:p>
            <w:pPr>
              <w:jc w:val="right"/>
              <w:ind w:right="39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Mineral resources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Farming</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Ranch operations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10,662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Real estate - resort/residential</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Mineral resources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Farming</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Ranch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Corporate expenses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11,694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other income</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 before equity in earnings of unconsolidated joint ventures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 earnings of unconsolidated joint ventures, net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 attributable to common stockholders, basic</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attributable to common stockholders, diluted</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CONSOLIDATED STATEMENTS OF COMPREHENSIVE (LOSS)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300" w:type="dxa"/>
            <w:vAlign w:val="bottom"/>
            <w:gridSpan w:val="5"/>
          </w:tcPr>
          <w:p>
            <w:pPr>
              <w:jc w:val="right"/>
              <w:ind w:right="390"/>
              <w:spacing w:after="0"/>
              <w:rPr>
                <w:sz w:val="20"/>
                <w:szCs w:val="20"/>
                <w:color w:val="auto"/>
              </w:rPr>
            </w:pPr>
            <w:r>
              <w:rPr>
                <w:rFonts w:ascii="Arial" w:cs="Arial" w:eastAsia="Arial" w:hAnsi="Arial"/>
                <w:sz w:val="18"/>
                <w:szCs w:val="18"/>
                <w:color w:val="auto"/>
              </w:rPr>
              <w:t>Three Months Ended March 31,</w:t>
            </w: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Unrealized (loss) gain on interest rate swap</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1,328</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 before taxes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Benefit (provision) for income taxes related to other comprehensive income items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2,265</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 stockholders</w:t>
            </w: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2,267</w:t>
            </w: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March 31, 2019</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2018</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Marketable securities - available-for-sale</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60,270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63,749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96,499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improvements - held for lease, net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18,953</w:t>
            </w:r>
          </w:p>
        </w:tc>
        <w:tc>
          <w:tcPr>
            <w:tcW w:w="0" w:type="dxa"/>
            <w:vAlign w:val="bottom"/>
          </w:tcPr>
          <w:p>
            <w:pPr>
              <w:spacing w:after="0"/>
              <w:rPr>
                <w:sz w:val="1"/>
                <w:szCs w:val="1"/>
                <w:color w:val="auto"/>
              </w:rPr>
            </w:pP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1"/>
              </w:rPr>
              <w:t>Real estate development (includes $101,331 at March 31, 2019 and $100,311 at December 31, 2018,</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attributable to Centennial Founders, LLC, Note 15)</w:t>
            </w:r>
          </w:p>
        </w:tc>
        <w:tc>
          <w:tcPr>
            <w:tcW w:w="2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287,444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283,385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Investments in unconsolidated joint ventures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28,602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water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527,966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529,048</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LIABILITIES AND EQUITY</w:t>
            </w: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Long-term deferred gains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Tejon Ranch Co.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Common stock, $.50 par value per share:</w:t>
            </w: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Authorized shares - 30,000,000</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720"/>
              <w:spacing w:after="0"/>
              <w:rPr>
                <w:sz w:val="20"/>
                <w:szCs w:val="20"/>
                <w:color w:val="auto"/>
              </w:rPr>
            </w:pPr>
            <w:r>
              <w:rPr>
                <w:rFonts w:ascii="Arial" w:cs="Arial" w:eastAsia="Arial" w:hAnsi="Arial"/>
                <w:sz w:val="18"/>
                <w:szCs w:val="18"/>
                <w:color w:val="auto"/>
                <w:w w:val="90"/>
              </w:rPr>
              <w:t>Issued and outstanding shares - 26,020,953 at March 31, 2019 and 25,972,080 at December</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720"/>
              <w:spacing w:after="0"/>
              <w:rPr>
                <w:sz w:val="20"/>
                <w:szCs w:val="20"/>
                <w:color w:val="auto"/>
              </w:rPr>
            </w:pPr>
            <w:r>
              <w:rPr>
                <w:rFonts w:ascii="Arial" w:cs="Arial" w:eastAsia="Arial" w:hAnsi="Arial"/>
                <w:sz w:val="18"/>
                <w:szCs w:val="18"/>
                <w:color w:val="auto"/>
              </w:rPr>
              <w:t>31, 2018</w:t>
            </w:r>
          </w:p>
        </w:tc>
        <w:tc>
          <w:tcPr>
            <w:tcW w:w="2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336,520</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74,647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Tejon Ranch Co. Stockholders’ Equity</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419,313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419,296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434,694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434,672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529,048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9"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9" w:right="239" w:bottom="1440" w:gutter="0" w:footer="0" w:header="0"/>
          <w:type w:val="continuous"/>
        </w:sectPr>
      </w:pPr>
    </w:p>
    <w:bookmarkStart w:id="5" w:name="page6"/>
    <w:bookmarkEnd w:id="5"/>
    <w:p>
      <w:pPr>
        <w:jc w:val="center"/>
        <w:ind w:left="260" w:right="2480"/>
        <w:spacing w:after="0" w:line="256" w:lineRule="auto"/>
        <w:rPr>
          <w:sz w:val="20"/>
          <w:szCs w:val="20"/>
          <w:color w:val="auto"/>
        </w:rPr>
      </w:pPr>
      <w:r>
        <w:rPr>
          <w:rFonts w:ascii="Arial" w:cs="Arial" w:eastAsia="Arial" w:hAnsi="Arial"/>
          <w:sz w:val="22"/>
          <w:szCs w:val="22"/>
          <w:b w:val="1"/>
          <w:bCs w:val="1"/>
          <w:color w:val="auto"/>
        </w:rPr>
        <w:t xml:space="preserve">TEJON RANCH CO. AND SUBSIDIARIES UNAUDITED CONSOLIDATED STATEMENTS OF CASH FLOWS </w:t>
      </w:r>
      <w:r>
        <w:rPr>
          <w:rFonts w:ascii="Arial" w:cs="Arial" w:eastAsia="Arial" w:hAnsi="Arial"/>
          <w:sz w:val="22"/>
          <w:szCs w:val="22"/>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352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Amortization of premium/discount of marketable securities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earnings of unconsolidated joint ventures,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Non-cash retirement plan expense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sale of property plant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Stock compensation expense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Receivables, inventories, prepaids and other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Current liabilities, net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and sales of marketable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14,567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Funds invested in marketable securities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(10,865)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and equipment expenditures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Reimbursement proceeds from Community Facilities District</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unconsolidated joint ventures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Distribution of equity from unconsolidated joint ventures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long-term water assets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Rights offering costs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Taxes on vested stock grants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15,908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capital expenditures included in current liabilities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5"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 CONSOLIDATED STATEMENT OF CHANGES IN EQUITY AND NONCONTROLLING INTERESTS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thousands, except shares outstanding)</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Stock Shares</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Paid-In</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Comprehensive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Noncontrolling</w:t>
            </w: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Total</w:t>
            </w:r>
          </w:p>
        </w:tc>
      </w:tr>
      <w:tr>
        <w:trPr>
          <w:trHeight w:val="230"/>
        </w:trPr>
        <w:tc>
          <w:tcPr>
            <w:tcW w:w="25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Income (Loss)</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24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9"/>
              </w:rPr>
              <w:t>Equity</w:t>
            </w:r>
          </w:p>
        </w:tc>
      </w:tr>
      <w:tr>
        <w:trPr>
          <w:trHeight w:val="27"/>
        </w:trPr>
        <w:tc>
          <w:tcPr>
            <w:tcW w:w="2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25,972,080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336,520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434,672</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124</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w w:val="93"/>
              </w:rPr>
              <w:t>Shares withheld for taxes and tax</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(42,605)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
        </w:trPr>
        <w:tc>
          <w:tcPr>
            <w:tcW w:w="2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26,020,953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13,010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336,813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$ 74,766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419,313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434,694</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25,894,773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12,947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320,167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$ 70,392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426,810</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1,455</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Rights offering costs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issuance</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1,294</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Shares withheld for taxes and tax</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of vested shares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25,941,480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12,971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320,275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$ 71,849</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400,641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429,207</w:t>
            </w:r>
          </w:p>
        </w:tc>
      </w:tr>
      <w:tr>
        <w:trPr>
          <w:trHeight w:val="27"/>
        </w:trPr>
        <w:tc>
          <w:tcPr>
            <w:tcW w:w="2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369"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UNAUDITED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BASIS OF PRESENTATION</w:t>
      </w:r>
    </w:p>
    <w:p>
      <w:pPr>
        <w:spacing w:after="0" w:line="91"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The summarized information of Tejon Ranch Co. and its subsidiaries (the Company, Tejon, we, us and our), provided pursuant to Part I, Item 1 of Form 10-Q, is unaudited and reflects all adjustments which are, in the opinion of the Company’s management, necessary for a fair statement of the results for the interim period. All such adjustments are of a normal recurring nature. We have evaluated subsequent events through the date of issuance of our consolidated financial statements.</w:t>
      </w:r>
    </w:p>
    <w:p>
      <w:pPr>
        <w:spacing w:after="0" w:line="8" w:lineRule="exact"/>
        <w:rPr>
          <w:sz w:val="20"/>
          <w:szCs w:val="20"/>
          <w:color w:val="auto"/>
        </w:rPr>
      </w:pPr>
    </w:p>
    <w:p>
      <w:pPr>
        <w:ind w:right="380"/>
        <w:spacing w:after="0" w:line="291" w:lineRule="auto"/>
        <w:rPr>
          <w:sz w:val="20"/>
          <w:szCs w:val="20"/>
          <w:color w:val="auto"/>
        </w:rPr>
      </w:pPr>
      <w:r>
        <w:rPr>
          <w:rFonts w:ascii="Arial" w:cs="Arial" w:eastAsia="Arial" w:hAnsi="Arial"/>
          <w:sz w:val="19"/>
          <w:szCs w:val="19"/>
          <w:color w:val="auto"/>
        </w:rPr>
        <w:t>The periods ending March 31, 2019 and 2018 include the consolidation of Centennial Founders, LLC’s statement of operations within the resort/residential real estate development segment and statements of cash flows. The Company’s March 31,</w:t>
      </w:r>
    </w:p>
    <w:p>
      <w:pPr>
        <w:spacing w:after="0" w:line="1"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color w:val="auto"/>
        </w:rPr>
        <w:t>2019 and December 31, 2018 balance sheets and statements of changes in equity and noncontrolling interests are presented on a consolidated basis, including the consolidation of Centennial Founders, LLC.</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We use segment profit or loss, along with equity in earnings of unconsolidated joint ventures, as the primary measure of profitability to evaluate operating performance and to allocate capital resources.</w:t>
      </w:r>
    </w:p>
    <w:p>
      <w:pPr>
        <w:spacing w:after="0" w:line="12" w:lineRule="exact"/>
        <w:rPr>
          <w:sz w:val="20"/>
          <w:szCs w:val="20"/>
          <w:color w:val="auto"/>
        </w:rPr>
      </w:pPr>
    </w:p>
    <w:p>
      <w:pPr>
        <w:jc w:val="both"/>
        <w:ind w:right="180"/>
        <w:spacing w:after="0" w:line="311" w:lineRule="auto"/>
        <w:rPr>
          <w:sz w:val="20"/>
          <w:szCs w:val="20"/>
          <w:color w:val="auto"/>
        </w:rPr>
      </w:pPr>
      <w:r>
        <w:rPr>
          <w:rFonts w:ascii="Arial" w:cs="Arial" w:eastAsia="Arial" w:hAnsi="Arial"/>
          <w:sz w:val="19"/>
          <w:szCs w:val="19"/>
          <w:color w:val="auto"/>
        </w:rPr>
        <w:t>The results of the period reported herein are not indicative of the results to be expected for the full year due to the seasonal nature of the Company’s agricultural activities, water activities, and the timing of real estate sales and leasing activities. Historically, the Company’s largest percentages of farming revenues are recognized during the third and fourth quarters of the fiscal year.</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21"/>
          <w:szCs w:val="21"/>
          <w:color w:val="auto"/>
        </w:rPr>
        <w:t>For further information and a summary of significant accounting policies, refer to the Consolidated Financial Statements and notes thereto included in the Company’s Annual Report on Form 10-K for the year ended December 31, 2018.</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Allowance for Credit Losses</w:t>
      </w:r>
    </w:p>
    <w:p>
      <w:pPr>
        <w:spacing w:after="0" w:line="85"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In June 2016, the Financial Accounting Standards Board, or FASB, issued Accounting Standards Update, or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 The ASU is effective for the Company on January 1, 2020, and will be applied as a cumulative adjustment to retained earnings as of the effective date.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801" w:right="279" w:bottom="1440" w:gutter="0" w:footer="0" w:header="0"/>
        </w:sectPr>
      </w:pPr>
    </w:p>
    <w:bookmarkStart w:id="8" w:name="page9"/>
    <w:bookmarkEnd w:id="8"/>
    <w:p>
      <w:pPr>
        <w:ind w:right="40"/>
        <w:spacing w:after="0" w:line="290" w:lineRule="auto"/>
        <w:rPr>
          <w:sz w:val="20"/>
          <w:szCs w:val="20"/>
          <w:color w:val="auto"/>
        </w:rPr>
      </w:pPr>
      <w:r>
        <w:rPr>
          <w:rFonts w:ascii="Arial" w:cs="Arial" w:eastAsia="Arial" w:hAnsi="Arial"/>
          <w:sz w:val="19"/>
          <w:szCs w:val="19"/>
          <w:color w:val="auto"/>
        </w:rPr>
        <w:t>The Company is currently in the process of evaluating the impact of the adoption of this ASU on its consolidated financial statements. The Company's implementation efforts include, but are not limited to, identifying key interpretive issues, assessing its policies and processes, and evaluating related control activities to determine if modifications or enhancements may be required. The Company's accounts receivable balance is primarily composed of crop receivables. Based on historical experience with our current customers and periodic credit evaluations of our customers' financial conditions, we believe our credit risk is minimal. With regards to the marketable securities, as the Company limits its investment to securities with investment grade rating from Moody's or Standard and Poor's, and it generally does not sell securities before recovery of their amortized cost basis, we do not expect this ASU to have any material impact on its accounting of marketable securities.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Fair Value of Financial Instruments</w:t>
      </w:r>
    </w:p>
    <w:p>
      <w:pPr>
        <w:spacing w:after="0" w:line="85"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disclosure of amounts and reasons for transfers between Level 1 and Level 2, and adds new disclosure requirements, such as disclosure of the range and weighted average of significant unobservable inputs used to develop Level 3 fair value measurement. For the Company, the new standard will be effective on January 1, 2020. The Company does not expect this ASU to have any material impact on its consolidated financial statements, as the Company does not have financial instruments classified as Level 3.</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Retirement Benefits</w:t>
      </w:r>
    </w:p>
    <w:p>
      <w:pPr>
        <w:spacing w:after="0" w:line="85" w:lineRule="exact"/>
        <w:rPr>
          <w:sz w:val="20"/>
          <w:szCs w:val="20"/>
          <w:color w:val="auto"/>
        </w:rPr>
      </w:pPr>
    </w:p>
    <w:p>
      <w:pPr>
        <w:ind w:right="180"/>
        <w:spacing w:after="0" w:line="260" w:lineRule="auto"/>
        <w:rPr>
          <w:sz w:val="20"/>
          <w:szCs w:val="20"/>
          <w:color w:val="auto"/>
        </w:rPr>
      </w:pPr>
      <w:r>
        <w:rPr>
          <w:rFonts w:ascii="Arial" w:cs="Arial" w:eastAsia="Arial" w:hAnsi="Arial"/>
          <w:sz w:val="21"/>
          <w:szCs w:val="21"/>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beginning after December 15, 2020. The Company is currently assessing the impact of this ASU on its consolidated financial statements and related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Newly Adopted Accounting Pronouncements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Lease Accounting</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In February 2016, the FASB issued ASU No. 2016-02, "Leases." From the lessee's perspective, the new standard establishes a right-of-use, or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a lessee. From the lessor's perspective, the new standard requires a lessor to classify leases as either sales-type, finance or operating. Entities are prohibited from using a full retrospective transition approach to adopt this guidance, and a modified retrospective approach is required to be used for all leases that exist at or commence after the beginning of the earliest comparative period presented. Entities are permitted to elect a package of expedients where an entity need not reassess (i) whether any expired or existing contracts are or contain leases, (ii) lease classification for any expired or existing leases, or (iii) initial direct costs for any existing leases.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72" w:right="239" w:bottom="1440" w:gutter="0" w:footer="0" w:header="0"/>
        </w:sectPr>
      </w:pPr>
    </w:p>
    <w:bookmarkStart w:id="9" w:name="page10"/>
    <w:bookmarkEnd w:id="9"/>
    <w:p>
      <w:pPr>
        <w:ind w:right="80"/>
        <w:spacing w:after="0" w:line="248" w:lineRule="auto"/>
        <w:rPr>
          <w:sz w:val="20"/>
          <w:szCs w:val="20"/>
          <w:color w:val="auto"/>
        </w:rPr>
      </w:pPr>
      <w:r>
        <w:rPr>
          <w:rFonts w:ascii="Arial" w:cs="Arial" w:eastAsia="Arial" w:hAnsi="Arial"/>
          <w:sz w:val="22"/>
          <w:szCs w:val="22"/>
          <w:color w:val="auto"/>
        </w:rPr>
        <w:t>In January 2018, the FASB issued ASU No. 2018-01, "Land Easement Practical Expedient for Transition to Topic 842," which permits entities to elect a transition practical expedient to not assess land easements that exist or expired before the adoption of the new standard in order to reduce the costs and complexity of complying with the transition provisions. If this practical expedient is elected, entities are effectively allowed to grandfather the accounting for easements entered into prior to the adoption of the new standards.</w:t>
      </w:r>
    </w:p>
    <w:p>
      <w:pPr>
        <w:spacing w:after="0" w:line="138" w:lineRule="exact"/>
        <w:rPr>
          <w:sz w:val="20"/>
          <w:szCs w:val="20"/>
          <w:color w:val="auto"/>
        </w:rPr>
      </w:pPr>
    </w:p>
    <w:p>
      <w:pPr>
        <w:ind w:right="340"/>
        <w:spacing w:after="0" w:line="263" w:lineRule="auto"/>
        <w:rPr>
          <w:sz w:val="20"/>
          <w:szCs w:val="20"/>
          <w:color w:val="auto"/>
        </w:rPr>
      </w:pPr>
      <w:r>
        <w:rPr>
          <w:rFonts w:ascii="Arial" w:cs="Arial" w:eastAsia="Arial" w:hAnsi="Arial"/>
          <w:sz w:val="21"/>
          <w:szCs w:val="21"/>
          <w:color w:val="auto"/>
        </w:rPr>
        <w:t>In July 2018, the FASB issued ASU No. 2018-11, "Targeted Improvements to Leases (Topic 842)," which allows entities to not apply the new leases standard in the comparative periods they present in their financial statements. Under this transition option, entities can continue to apply the legacy guidance in the comparative periods presented in the year they adopt the new standard. ASU No. 2018-11 also provides a practical expedient for lessors to combine the lease and non-lease components under certain circumstances to simplify lessor's implementation of the new guidance.</w:t>
      </w:r>
    </w:p>
    <w:p>
      <w:pPr>
        <w:spacing w:after="0" w:line="12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Accounting Standards Codification Topic 842: Leases, or ASC 842, became effective on January 1, 2019. The Company adopted the new standards using the modified retrospective method on January 1, 2019. The optional transition method was elected during this transition, and comparative information is not restated and will continue to be reported under the legacy guidance. The Company also elected the package of practical expedients and will account for its existing leases under the new guidance without reassessing its prior conclusions of lease identification, lease classification and initial direct costs.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Lessee Impact:</w:t>
      </w:r>
    </w:p>
    <w:p>
      <w:pPr>
        <w:spacing w:after="0" w:line="16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 Company currently leases several office copiers under 48-month lease terms. On January 1, 2019, an operating lease ROU asset and an operating lease liability were recorded on the consolidated balance sheets, both in the amount of $52,000, as a result of adopting the new guidance. The $52,000 was determined by calculating the present value of the future annual cash lease payments using a discount rate of 4.11%. The 4.11% discount rate represents the Company's incremental borrowing rate as of January 1, 2019. The implementation of the new standards did not have any impact on the consolidated statements of operations or the opening balance of retained earnings on the consolidated statements of equity.</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Lessor Impact:</w:t>
      </w:r>
    </w:p>
    <w:p>
      <w:pPr>
        <w:spacing w:after="0" w:line="166" w:lineRule="exact"/>
        <w:rPr>
          <w:sz w:val="20"/>
          <w:szCs w:val="20"/>
          <w:color w:val="auto"/>
        </w:rPr>
      </w:pPr>
    </w:p>
    <w:p>
      <w:pPr>
        <w:jc w:val="both"/>
        <w:ind w:right="200"/>
        <w:spacing w:after="0" w:line="312" w:lineRule="auto"/>
        <w:rPr>
          <w:sz w:val="20"/>
          <w:szCs w:val="20"/>
          <w:color w:val="auto"/>
        </w:rPr>
      </w:pPr>
      <w:r>
        <w:rPr>
          <w:rFonts w:ascii="Arial" w:cs="Arial" w:eastAsia="Arial" w:hAnsi="Arial"/>
          <w:sz w:val="19"/>
          <w:szCs w:val="19"/>
          <w:color w:val="auto"/>
        </w:rPr>
        <w:t>The Company elected the land easement practical expedient upon adoption of the new guidance and is thus permitted to continue its current accounting policy for land easements that exist or expired before the effective date of the adoption. The Company will evaluate new or modified land easements under ASC 842 beginning on the adoption date of the new guidance.</w:t>
      </w:r>
    </w:p>
    <w:p>
      <w:pPr>
        <w:spacing w:after="0" w:line="80"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Additionally, the Company elected the lessor's practical expedient and combined the lease and non-lease components due to the following criteria being met: (i) the timing and pattern of recognizing revenue for the lease components are the same as its associated non-lease components, (ii) the lease component, if accounted for separately, would be classified as an operating lease, and (iii) the lease component is the predominant component within the contract. The Company believes that combining the lease component, which is the lease revenue, and non-lease components such as common area maintenance revenue and provisions of real estate taxes and insurance, will provide more meaningful information as it is more reflective of the predominant component in the lease contracts.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753" w:right="279" w:bottom="1440" w:gutter="0" w:footer="0" w:header="0"/>
        </w:sectPr>
      </w:pPr>
    </w:p>
    <w:bookmarkStart w:id="10" w:name="page11"/>
    <w:bookmarkEnd w:id="10"/>
    <w:p>
      <w:pPr>
        <w:ind w:right="40"/>
        <w:spacing w:after="0" w:line="247" w:lineRule="auto"/>
        <w:rPr>
          <w:sz w:val="20"/>
          <w:szCs w:val="20"/>
          <w:color w:val="auto"/>
        </w:rPr>
      </w:pPr>
      <w:r>
        <w:rPr>
          <w:rFonts w:ascii="Arial" w:cs="Arial" w:eastAsia="Arial" w:hAnsi="Arial"/>
          <w:sz w:val="22"/>
          <w:szCs w:val="22"/>
          <w:color w:val="auto"/>
        </w:rPr>
        <w:t>We expect no significant differences in the timing and pattern of revenue recognition under the new lease guidance for all our existing leases from the lessor's perspective. For new leases originated after the adoption date, we expect to capitalize less initial direct cost, as the definition of initial direct cost is narrower under the new guidance. Certain costs, such as legal costs incurred, were eligible for capitalization under the legacy guidance, but are no longer eligible for capitalization under the new standards. The amounts capitalized as legal costs have been de minimis in the past and would not have a material impact to our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Derivatives and Hedging</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In August 2017, the FASB issued ASU No. 2017-12, "Derivatives and Hedging (Topic 815): Targeted Improvements to Accounting for Hedging Activities," which amends the hedge accounting model and allows entities to better portray the economics of their risk management activities in their financial statements. This guidance eliminates the requirement to separately measure and report hedge ineffectiveness and requires the entire change in the fair value of a hedging instrument to be presented in the same income statement line as hedged item. The Company adopted ASU No. 2017-12 on January 1, 2019 using a modified retrospective approach. The Company utilizes an interest rate swap to hedge its exposure to variable interest rate associated with borrowings based on London Interbank Offered Rate (LIBOR). The interest rate swap is designated as a cash flow hedge, and the hedge has been highly effective since inception. Therefore, no cumulative effective adjustment of previously recognized ineffectiveness was required to be recorded as a result of adopting this new guidance. The adoption of this guidance did not have an impact on the Company's consolidated financial statements.</w:t>
      </w:r>
    </w:p>
    <w:p>
      <w:pPr>
        <w:spacing w:after="0" w:line="25"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In October 2018, the FASB issued ASU No. 2018-16, "Derivatives and Hedging (Topic 815): Inclusion of the Secured Overnight Financing Rate (SOFR) Overnight Index Swap (OIS) Rate as a Benchmark Interest Rate for Hedge Accounting Purposes". This ASU identified SOFR as the preferred reference rate alternative to LIBOR. The Company adopted this new guidance on January 1, 2019, and the adoption did not have an impact on the Company's consolidated financial statements. For a more detailed discussion of the benchmark interest rate, see Part I, Item 1A, "Risk Factors" included in the Annual Report on Form 10-K for the year ended December 31, 2018.</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Reclassification of Certain Tax Effects from Accumulated Other Comprehensive Income</w:t>
      </w:r>
    </w:p>
    <w:p>
      <w:pPr>
        <w:spacing w:after="0" w:line="85"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In February 2018, the FASB issued ASU No. 2018-02, "Income Statement — Reporting Comprehensive Income (Topic 220): Reclassification of Certain Tax Effects from Accumulated Other Comprehensive Income," which allows a reclassification from accumulated other comprehensive income, or AOCI, to retained earnings for stranded tax effects resulting from the U.S. government’s comprehensive tax legislation enacted in December 2017, commonly referred to as U.S. Tax Reform. The guidance became effective for the Company on January 1, 2019, and the Company adopted the provisions of the guidance as of the effective date. The Company did not make an election to reclassify the income tax effects of the U.S Tax Reform from AOCI to retained earnings.</w:t>
      </w:r>
    </w:p>
    <w:p>
      <w:pPr>
        <w:spacing w:after="0" w:line="62"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Please also refer to Critical Accounting Policies in Part I, Item 2 of this report for discussion on changes to critical accounting policies.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53" w:right="259" w:bottom="1440" w:gutter="0" w:footer="0" w:header="0"/>
        </w:sectPr>
      </w:pPr>
    </w:p>
    <w:bookmarkStart w:id="11" w:name="page12"/>
    <w:bookmarkEnd w:id="11"/>
    <w:p>
      <w:pPr>
        <w:spacing w:after="0"/>
        <w:tabs>
          <w:tab w:leader="none" w:pos="360" w:val="left"/>
        </w:tabs>
        <w:rPr>
          <w:sz w:val="20"/>
          <w:szCs w:val="20"/>
          <w:color w:val="auto"/>
        </w:rPr>
      </w:pPr>
      <w:r>
        <w:rPr>
          <w:rFonts w:ascii="Arial" w:cs="Arial" w:eastAsia="Arial" w:hAnsi="Arial"/>
          <w:sz w:val="22"/>
          <w:szCs w:val="22"/>
          <w:b w:val="1"/>
          <w:bCs w:val="1"/>
          <w:color w:val="auto"/>
        </w:rPr>
        <w:t>2.</w:t>
        <w:tab/>
        <w:t>EQUITY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 (EPS)</w:t>
      </w:r>
    </w:p>
    <w:p>
      <w:pPr>
        <w:spacing w:after="0" w:line="91"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Basic net income per share attributable to common stockholders is based upon the weighted average number of shares of common stock outstanding during the year. Diluted net income per share attributable to common stockholders is based upon the weighted average number of shares of common stock outstanding and the weighted average number of shares outstanding assuming the vesting of restricted stock grants per ASC 260, “Earnings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7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22"/>
                <w:szCs w:val="22"/>
                <w:color w:val="auto"/>
              </w:rPr>
              <w:t>Three Months Ended March 31,</w:t>
            </w:r>
          </w:p>
        </w:tc>
        <w:tc>
          <w:tcPr>
            <w:tcW w:w="0" w:type="dxa"/>
            <w:vAlign w:val="bottom"/>
          </w:tcPr>
          <w:p>
            <w:pPr>
              <w:spacing w:after="0"/>
              <w:rPr>
                <w:sz w:val="1"/>
                <w:szCs w:val="1"/>
                <w:color w:val="auto"/>
              </w:rPr>
            </w:pPr>
          </w:p>
        </w:tc>
      </w:tr>
      <w:tr>
        <w:trPr>
          <w:trHeight w:val="291"/>
        </w:trPr>
        <w:tc>
          <w:tcPr>
            <w:tcW w:w="4940" w:type="dxa"/>
            <w:vAlign w:val="bottom"/>
          </w:tcPr>
          <w:p>
            <w:pPr>
              <w:spacing w:after="0"/>
              <w:rPr>
                <w:sz w:val="24"/>
                <w:szCs w:val="24"/>
                <w:color w:val="auto"/>
              </w:rPr>
            </w:pPr>
          </w:p>
        </w:tc>
        <w:tc>
          <w:tcPr>
            <w:tcW w:w="4560" w:type="dxa"/>
            <w:vAlign w:val="bottom"/>
            <w:gridSpan w:val="2"/>
          </w:tcPr>
          <w:p>
            <w:pPr>
              <w:jc w:val="right"/>
              <w:ind w:right="592"/>
              <w:spacing w:after="0"/>
              <w:rPr>
                <w:sz w:val="20"/>
                <w:szCs w:val="20"/>
                <w:color w:val="auto"/>
              </w:rPr>
            </w:pPr>
            <w:r>
              <w:rPr>
                <w:rFonts w:ascii="Arial" w:cs="Arial" w:eastAsia="Arial" w:hAnsi="Arial"/>
                <w:sz w:val="22"/>
                <w:szCs w:val="22"/>
                <w:color w:val="auto"/>
              </w:rPr>
              <w:t>2019</w:t>
            </w:r>
          </w:p>
        </w:tc>
        <w:tc>
          <w:tcPr>
            <w:tcW w:w="120" w:type="dxa"/>
            <w:vAlign w:val="bottom"/>
          </w:tcPr>
          <w:p>
            <w:pPr>
              <w:spacing w:after="0"/>
              <w:rPr>
                <w:sz w:val="24"/>
                <w:szCs w:val="24"/>
                <w:color w:val="auto"/>
              </w:rPr>
            </w:pPr>
          </w:p>
        </w:tc>
        <w:tc>
          <w:tcPr>
            <w:tcW w:w="1800" w:type="dxa"/>
            <w:vAlign w:val="bottom"/>
          </w:tcPr>
          <w:p>
            <w:pPr>
              <w:jc w:val="right"/>
              <w:ind w:right="57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75"/>
        </w:trPr>
        <w:tc>
          <w:tcPr>
            <w:tcW w:w="4940" w:type="dxa"/>
            <w:vAlign w:val="bottom"/>
          </w:tcPr>
          <w:p>
            <w:pPr>
              <w:ind w:left="40"/>
              <w:spacing w:after="0"/>
              <w:rPr>
                <w:sz w:val="20"/>
                <w:szCs w:val="20"/>
                <w:color w:val="auto"/>
              </w:rPr>
            </w:pPr>
            <w:r>
              <w:rPr>
                <w:rFonts w:ascii="Arial" w:cs="Arial" w:eastAsia="Arial" w:hAnsi="Arial"/>
                <w:sz w:val="22"/>
                <w:szCs w:val="22"/>
                <w:color w:val="auto"/>
              </w:rPr>
              <w:t>Weighted average number of shares outstanding:</w:t>
            </w:r>
          </w:p>
        </w:tc>
        <w:tc>
          <w:tcPr>
            <w:tcW w:w="27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940" w:type="dxa"/>
            <w:vAlign w:val="bottom"/>
            <w:shd w:val="clear" w:color="auto" w:fill="CCEEFF"/>
          </w:tcPr>
          <w:p>
            <w:pPr>
              <w:ind w:left="380"/>
              <w:spacing w:after="0"/>
              <w:rPr>
                <w:sz w:val="20"/>
                <w:szCs w:val="20"/>
                <w:color w:val="auto"/>
              </w:rPr>
            </w:pPr>
            <w:r>
              <w:rPr>
                <w:rFonts w:ascii="Arial" w:cs="Arial" w:eastAsia="Arial" w:hAnsi="Arial"/>
                <w:sz w:val="22"/>
                <w:szCs w:val="22"/>
                <w:color w:val="auto"/>
              </w:rPr>
              <w:t>Common stock</w:t>
            </w:r>
          </w:p>
        </w:tc>
        <w:tc>
          <w:tcPr>
            <w:tcW w:w="45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25,992,374</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25,912,819</w:t>
            </w:r>
          </w:p>
        </w:tc>
        <w:tc>
          <w:tcPr>
            <w:tcW w:w="0" w:type="dxa"/>
            <w:vAlign w:val="bottom"/>
          </w:tcPr>
          <w:p>
            <w:pPr>
              <w:spacing w:after="0"/>
              <w:rPr>
                <w:sz w:val="1"/>
                <w:szCs w:val="1"/>
                <w:color w:val="auto"/>
              </w:rPr>
            </w:pPr>
          </w:p>
        </w:tc>
      </w:tr>
      <w:tr>
        <w:trPr>
          <w:trHeight w:val="291"/>
        </w:trPr>
        <w:tc>
          <w:tcPr>
            <w:tcW w:w="4940" w:type="dxa"/>
            <w:vAlign w:val="bottom"/>
            <w:tcBorders>
              <w:bottom w:val="single" w:sz="8" w:color="CCEEFF"/>
            </w:tcBorders>
          </w:tcPr>
          <w:p>
            <w:pPr>
              <w:ind w:left="380"/>
              <w:spacing w:after="0"/>
              <w:rPr>
                <w:sz w:val="20"/>
                <w:szCs w:val="20"/>
                <w:color w:val="auto"/>
              </w:rPr>
            </w:pPr>
            <w:r>
              <w:rPr>
                <w:rFonts w:ascii="Arial" w:cs="Arial" w:eastAsia="Arial" w:hAnsi="Arial"/>
                <w:sz w:val="22"/>
                <w:szCs w:val="22"/>
                <w:color w:val="auto"/>
              </w:rPr>
              <w:t>Common stock equivalents</w:t>
            </w:r>
          </w:p>
        </w:tc>
        <w:tc>
          <w:tcPr>
            <w:tcW w:w="2720" w:type="dxa"/>
            <w:vAlign w:val="bottom"/>
            <w:tcBorders>
              <w:bottom w:val="single" w:sz="8" w:color="CCEEFF"/>
            </w:tcBorders>
          </w:tcPr>
          <w:p>
            <w:pPr>
              <w:spacing w:after="0"/>
              <w:rPr>
                <w:sz w:val="24"/>
                <w:szCs w:val="24"/>
                <w:color w:val="auto"/>
              </w:rPr>
            </w:pPr>
          </w:p>
        </w:tc>
        <w:tc>
          <w:tcPr>
            <w:tcW w:w="18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17,707</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28,509</w:t>
            </w:r>
          </w:p>
        </w:tc>
        <w:tc>
          <w:tcPr>
            <w:tcW w:w="0" w:type="dxa"/>
            <w:vAlign w:val="bottom"/>
          </w:tcPr>
          <w:p>
            <w:pPr>
              <w:spacing w:after="0"/>
              <w:rPr>
                <w:sz w:val="1"/>
                <w:szCs w:val="1"/>
                <w:color w:val="auto"/>
              </w:rPr>
            </w:pPr>
          </w:p>
        </w:tc>
      </w:tr>
      <w:tr>
        <w:trPr>
          <w:trHeight w:val="291"/>
        </w:trPr>
        <w:tc>
          <w:tcPr>
            <w:tcW w:w="4940" w:type="dxa"/>
            <w:vAlign w:val="bottom"/>
            <w:shd w:val="clear" w:color="auto" w:fill="CCEEFF"/>
          </w:tcPr>
          <w:p>
            <w:pPr>
              <w:ind w:left="380"/>
              <w:spacing w:after="0"/>
              <w:rPr>
                <w:sz w:val="20"/>
                <w:szCs w:val="20"/>
                <w:color w:val="auto"/>
              </w:rPr>
            </w:pPr>
            <w:r>
              <w:rPr>
                <w:rFonts w:ascii="Arial" w:cs="Arial" w:eastAsia="Arial" w:hAnsi="Arial"/>
                <w:sz w:val="22"/>
                <w:szCs w:val="22"/>
                <w:color w:val="auto"/>
              </w:rPr>
              <w:t>Diluted shares outstanding</w:t>
            </w:r>
          </w:p>
        </w:tc>
        <w:tc>
          <w:tcPr>
            <w:tcW w:w="4560" w:type="dxa"/>
            <w:vAlign w:val="bottom"/>
            <w:gridSpan w:val="2"/>
            <w:shd w:val="clear" w:color="auto" w:fill="CCEEFF"/>
          </w:tcPr>
          <w:p>
            <w:pPr>
              <w:jc w:val="right"/>
              <w:ind w:right="12"/>
              <w:spacing w:after="0"/>
              <w:rPr>
                <w:sz w:val="20"/>
                <w:szCs w:val="20"/>
                <w:color w:val="auto"/>
              </w:rPr>
            </w:pPr>
            <w:r>
              <w:rPr>
                <w:rFonts w:ascii="Arial" w:cs="Arial" w:eastAsia="Arial" w:hAnsi="Arial"/>
                <w:sz w:val="22"/>
                <w:szCs w:val="22"/>
                <w:color w:val="auto"/>
              </w:rPr>
              <w:t>26,010,081</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25,941,328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756"/>
              <w:spacing w:after="0"/>
              <w:rPr>
                <w:sz w:val="20"/>
                <w:szCs w:val="20"/>
                <w:color w:val="auto"/>
              </w:rPr>
            </w:pPr>
            <w:r>
              <w:rPr>
                <w:rFonts w:ascii="Arial" w:cs="Arial" w:eastAsia="Arial" w:hAnsi="Arial"/>
                <w:sz w:val="18"/>
                <w:szCs w:val="18"/>
                <w:color w:val="auto"/>
              </w:rPr>
              <w:t>12</w:t>
            </w: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7" w:right="239" w:bottom="1440" w:gutter="0" w:footer="0" w:header="0"/>
        </w:sectPr>
      </w:pPr>
    </w:p>
    <w:bookmarkStart w:id="12" w:name="page13"/>
    <w:bookmarkEnd w:id="12"/>
    <w:p>
      <w:pPr>
        <w:ind w:left="440" w:hanging="432"/>
        <w:spacing w:after="0"/>
        <w:tabs>
          <w:tab w:leader="none" w:pos="4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MARKETABLE SECURITIES</w:t>
      </w:r>
    </w:p>
    <w:p>
      <w:pPr>
        <w:spacing w:after="0" w:line="91" w:lineRule="exact"/>
        <w:rPr>
          <w:sz w:val="20"/>
          <w:szCs w:val="20"/>
          <w:color w:val="auto"/>
        </w:rPr>
      </w:pPr>
    </w:p>
    <w:p>
      <w:pPr>
        <w:jc w:val="both"/>
        <w:ind w:right="560"/>
        <w:spacing w:after="0" w:line="302" w:lineRule="auto"/>
        <w:rPr>
          <w:sz w:val="20"/>
          <w:szCs w:val="20"/>
          <w:color w:val="auto"/>
        </w:rPr>
      </w:pPr>
      <w:r>
        <w:rPr>
          <w:rFonts w:ascii="Arial" w:cs="Arial" w:eastAsia="Arial" w:hAnsi="Arial"/>
          <w:sz w:val="19"/>
          <w:szCs w:val="19"/>
          <w:color w:val="auto"/>
        </w:rPr>
        <w:t>ASC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40" w:type="dxa"/>
            <w:vAlign w:val="bottom"/>
          </w:tcPr>
          <w:p>
            <w:pPr>
              <w:ind w:left="40"/>
              <w:spacing w:after="0"/>
              <w:rPr>
                <w:sz w:val="20"/>
                <w:szCs w:val="20"/>
                <w:color w:val="auto"/>
              </w:rPr>
            </w:pPr>
            <w:r>
              <w:rPr>
                <w:rFonts w:ascii="Arial" w:cs="Arial" w:eastAsia="Arial" w:hAnsi="Arial"/>
                <w:sz w:val="20"/>
                <w:szCs w:val="20"/>
                <w:color w:val="auto"/>
              </w:rPr>
              <w:t>($ in thousands)</w:t>
            </w: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340"/>
              <w:spacing w:after="0"/>
              <w:rPr>
                <w:sz w:val="20"/>
                <w:szCs w:val="20"/>
                <w:color w:val="auto"/>
              </w:rPr>
            </w:pPr>
            <w:r>
              <w:rPr>
                <w:rFonts w:ascii="Arial" w:cs="Arial" w:eastAsia="Arial" w:hAnsi="Arial"/>
                <w:sz w:val="20"/>
                <w:szCs w:val="20"/>
                <w:color w:val="auto"/>
              </w:rPr>
              <w:t>March 31, 2019</w:t>
            </w:r>
          </w:p>
        </w:tc>
        <w:tc>
          <w:tcPr>
            <w:tcW w:w="260" w:type="dxa"/>
            <w:vAlign w:val="bottom"/>
          </w:tcPr>
          <w:p>
            <w:pPr>
              <w:spacing w:after="0"/>
              <w:rPr>
                <w:sz w:val="21"/>
                <w:szCs w:val="21"/>
                <w:color w:val="auto"/>
              </w:rPr>
            </w:pPr>
          </w:p>
        </w:tc>
        <w:tc>
          <w:tcPr>
            <w:tcW w:w="2140" w:type="dxa"/>
            <w:vAlign w:val="bottom"/>
            <w:gridSpan w:val="4"/>
          </w:tcPr>
          <w:p>
            <w:pPr>
              <w:jc w:val="right"/>
              <w:ind w:right="321"/>
              <w:spacing w:after="0"/>
              <w:rPr>
                <w:sz w:val="20"/>
                <w:szCs w:val="20"/>
                <w:color w:val="auto"/>
              </w:rPr>
            </w:pPr>
            <w:r>
              <w:rPr>
                <w:rFonts w:ascii="Arial" w:cs="Arial" w:eastAsia="Arial" w:hAnsi="Arial"/>
                <w:sz w:val="20"/>
                <w:szCs w:val="20"/>
                <w:color w:val="auto"/>
                <w:w w:val="96"/>
              </w:rPr>
              <w:t>December 31, 2018</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840" w:type="dxa"/>
            <w:vAlign w:val="bottom"/>
          </w:tcPr>
          <w:p>
            <w:pPr>
              <w:spacing w:after="0"/>
              <w:rPr>
                <w:sz w:val="19"/>
                <w:szCs w:val="19"/>
                <w:color w:val="auto"/>
              </w:rPr>
            </w:pPr>
          </w:p>
        </w:tc>
        <w:tc>
          <w:tcPr>
            <w:tcW w:w="1660" w:type="dxa"/>
            <w:vAlign w:val="bottom"/>
          </w:tcPr>
          <w:p>
            <w:pPr>
              <w:jc w:val="center"/>
              <w:ind w:left="421"/>
              <w:spacing w:after="0" w:line="220" w:lineRule="exact"/>
              <w:rPr>
                <w:sz w:val="20"/>
                <w:szCs w:val="20"/>
                <w:color w:val="auto"/>
              </w:rPr>
            </w:pPr>
            <w:r>
              <w:rPr>
                <w:rFonts w:ascii="Arial" w:cs="Arial" w:eastAsia="Arial" w:hAnsi="Arial"/>
                <w:sz w:val="20"/>
                <w:szCs w:val="20"/>
                <w:color w:val="auto"/>
                <w:w w:val="89"/>
              </w:rPr>
              <w:t>Fair Value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40"/>
              <w:spacing w:after="0"/>
              <w:rPr>
                <w:sz w:val="20"/>
                <w:szCs w:val="20"/>
                <w:color w:val="auto"/>
              </w:rPr>
            </w:pPr>
            <w:r>
              <w:rPr>
                <w:rFonts w:ascii="Arial" w:cs="Arial" w:eastAsia="Arial" w:hAnsi="Arial"/>
                <w:sz w:val="20"/>
                <w:szCs w:val="20"/>
                <w:color w:val="auto"/>
              </w:rPr>
              <w:t>Marketable Securities:</w:t>
            </w:r>
          </w:p>
        </w:tc>
        <w:tc>
          <w:tcPr>
            <w:tcW w:w="1920" w:type="dxa"/>
            <w:vAlign w:val="bottom"/>
            <w:gridSpan w:val="2"/>
          </w:tcPr>
          <w:p>
            <w:pPr>
              <w:jc w:val="center"/>
              <w:ind w:left="181"/>
              <w:spacing w:after="0"/>
              <w:rPr>
                <w:sz w:val="20"/>
                <w:szCs w:val="20"/>
                <w:color w:val="auto"/>
              </w:rPr>
            </w:pPr>
            <w:r>
              <w:rPr>
                <w:rFonts w:ascii="Arial" w:cs="Arial" w:eastAsia="Arial" w:hAnsi="Arial"/>
                <w:sz w:val="20"/>
                <w:szCs w:val="20"/>
                <w:color w:val="auto"/>
                <w:w w:val="93"/>
              </w:rPr>
              <w:t>Hierarchy</w:t>
            </w:r>
          </w:p>
        </w:tc>
        <w:tc>
          <w:tcPr>
            <w:tcW w:w="1000" w:type="dxa"/>
            <w:vAlign w:val="bottom"/>
            <w:gridSpan w:val="2"/>
          </w:tcPr>
          <w:p>
            <w:pPr>
              <w:ind w:left="140"/>
              <w:spacing w:after="0"/>
              <w:rPr>
                <w:sz w:val="20"/>
                <w:szCs w:val="20"/>
                <w:color w:val="auto"/>
              </w:rPr>
            </w:pPr>
            <w:r>
              <w:rPr>
                <w:rFonts w:ascii="Arial" w:cs="Arial" w:eastAsia="Arial" w:hAnsi="Arial"/>
                <w:sz w:val="20"/>
                <w:szCs w:val="20"/>
                <w:color w:val="auto"/>
              </w:rPr>
              <w:t>Cost</w:t>
            </w: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20"/>
                <w:szCs w:val="20"/>
                <w:color w:val="auto"/>
              </w:rPr>
              <w:t>Fair Value</w:t>
            </w:r>
          </w:p>
        </w:tc>
        <w:tc>
          <w:tcPr>
            <w:tcW w:w="26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20"/>
                <w:szCs w:val="20"/>
                <w:color w:val="auto"/>
              </w:rPr>
              <w:t>Cost</w:t>
            </w:r>
          </w:p>
        </w:tc>
        <w:tc>
          <w:tcPr>
            <w:tcW w:w="140" w:type="dxa"/>
            <w:vAlign w:val="bottom"/>
          </w:tcPr>
          <w:p>
            <w:pPr>
              <w:spacing w:after="0"/>
              <w:rPr>
                <w:sz w:val="21"/>
                <w:szCs w:val="21"/>
                <w:color w:val="auto"/>
              </w:rPr>
            </w:pPr>
          </w:p>
        </w:tc>
        <w:tc>
          <w:tcPr>
            <w:tcW w:w="1000" w:type="dxa"/>
            <w:vAlign w:val="bottom"/>
          </w:tcPr>
          <w:p>
            <w:pPr>
              <w:jc w:val="right"/>
              <w:ind w:right="6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3"/>
        </w:trPr>
        <w:tc>
          <w:tcPr>
            <w:tcW w:w="4840" w:type="dxa"/>
            <w:vAlign w:val="bottom"/>
            <w:vMerge w:val="restart"/>
          </w:tcPr>
          <w:p>
            <w:pPr>
              <w:ind w:left="40"/>
              <w:spacing w:after="0"/>
              <w:rPr>
                <w:sz w:val="20"/>
                <w:szCs w:val="20"/>
                <w:color w:val="auto"/>
              </w:rPr>
            </w:pPr>
            <w:r>
              <w:rPr>
                <w:rFonts w:ascii="Arial" w:cs="Arial" w:eastAsia="Arial" w:hAnsi="Arial"/>
                <w:sz w:val="20"/>
                <w:szCs w:val="20"/>
                <w:color w:val="auto"/>
              </w:rPr>
              <w:t>Certificates of deposit</w:t>
            </w:r>
          </w:p>
        </w:tc>
        <w:tc>
          <w:tcPr>
            <w:tcW w:w="1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4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9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248</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4,012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3,991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3,861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3,812</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840" w:type="dxa"/>
            <w:vAlign w:val="bottom"/>
          </w:tcPr>
          <w:p>
            <w:pPr>
              <w:ind w:left="380"/>
              <w:spacing w:after="0"/>
              <w:rPr>
                <w:sz w:val="20"/>
                <w:szCs w:val="20"/>
                <w:color w:val="auto"/>
              </w:rPr>
            </w:pPr>
            <w:r>
              <w:rPr>
                <w:rFonts w:ascii="Arial" w:cs="Arial" w:eastAsia="Arial" w:hAnsi="Arial"/>
                <w:sz w:val="20"/>
                <w:szCs w:val="20"/>
                <w:color w:val="auto"/>
              </w:rPr>
              <w:t>Total Certificates of deposit</w:t>
            </w:r>
          </w:p>
        </w:tc>
        <w:tc>
          <w:tcPr>
            <w:tcW w:w="1660" w:type="dxa"/>
            <w:vAlign w:val="bottom"/>
          </w:tcPr>
          <w:p>
            <w:pPr>
              <w:jc w:val="center"/>
              <w:ind w:left="441"/>
              <w:spacing w:after="0"/>
              <w:rPr>
                <w:sz w:val="20"/>
                <w:szCs w:val="20"/>
                <w:color w:val="auto"/>
              </w:rPr>
            </w:pPr>
            <w:r>
              <w:rPr>
                <w:rFonts w:ascii="Arial" w:cs="Arial" w:eastAsia="Arial" w:hAnsi="Arial"/>
                <w:sz w:val="20"/>
                <w:szCs w:val="20"/>
                <w:color w:val="auto"/>
                <w:w w:val="92"/>
              </w:rPr>
              <w:t>Level 1</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4,012</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3,991</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4,111</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4,060</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U.S. Treasury and agency notes</w:t>
            </w: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4,064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4,058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3,112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3,105</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19,472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19,391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23,564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23,415</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Total U.S. Treasury and agency notes</w:t>
            </w:r>
          </w:p>
        </w:tc>
        <w:tc>
          <w:tcPr>
            <w:tcW w:w="1920" w:type="dxa"/>
            <w:vAlign w:val="bottom"/>
            <w:tcBorders>
              <w:bottom w:val="single" w:sz="8" w:color="CCEEFF"/>
            </w:tcBorders>
            <w:gridSpan w:val="2"/>
            <w:shd w:val="clear" w:color="auto" w:fill="CCEEFF"/>
          </w:tcPr>
          <w:p>
            <w:pPr>
              <w:jc w:val="center"/>
              <w:ind w:left="181"/>
              <w:spacing w:after="0"/>
              <w:rPr>
                <w:sz w:val="20"/>
                <w:szCs w:val="20"/>
                <w:color w:val="auto"/>
              </w:rPr>
            </w:pPr>
            <w:r>
              <w:rPr>
                <w:rFonts w:ascii="Arial" w:cs="Arial" w:eastAsia="Arial" w:hAnsi="Arial"/>
                <w:sz w:val="20"/>
                <w:szCs w:val="20"/>
                <w:color w:val="auto"/>
                <w:w w:val="92"/>
              </w:rPr>
              <w:t>Level 2</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23,538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23,452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26,679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26,524</w:t>
            </w:r>
          </w:p>
        </w:tc>
        <w:tc>
          <w:tcPr>
            <w:tcW w:w="0" w:type="dxa"/>
            <w:vAlign w:val="bottom"/>
          </w:tcPr>
          <w:p>
            <w:pPr>
              <w:spacing w:after="0"/>
              <w:rPr>
                <w:sz w:val="1"/>
                <w:szCs w:val="1"/>
                <w:color w:val="auto"/>
              </w:rPr>
            </w:pPr>
          </w:p>
        </w:tc>
      </w:tr>
      <w:tr>
        <w:trPr>
          <w:trHeight w:val="241"/>
        </w:trPr>
        <w:tc>
          <w:tcPr>
            <w:tcW w:w="4840" w:type="dxa"/>
            <w:vAlign w:val="bottom"/>
          </w:tcPr>
          <w:p>
            <w:pPr>
              <w:ind w:left="40"/>
              <w:spacing w:after="0"/>
              <w:rPr>
                <w:sz w:val="20"/>
                <w:szCs w:val="20"/>
                <w:color w:val="auto"/>
              </w:rPr>
            </w:pPr>
            <w:r>
              <w:rPr>
                <w:rFonts w:ascii="Arial" w:cs="Arial" w:eastAsia="Arial" w:hAnsi="Arial"/>
                <w:sz w:val="20"/>
                <w:szCs w:val="20"/>
                <w:color w:val="auto"/>
              </w:rPr>
              <w:t>Corporate notes</w:t>
            </w:r>
          </w:p>
        </w:tc>
        <w:tc>
          <w:tcPr>
            <w:tcW w:w="16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14,780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14,760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13,696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13,665</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9,383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9,334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12,542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12,431</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1,795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1,797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840" w:type="dxa"/>
            <w:vAlign w:val="bottom"/>
          </w:tcPr>
          <w:p>
            <w:pPr>
              <w:ind w:left="380"/>
              <w:spacing w:after="0"/>
              <w:rPr>
                <w:sz w:val="20"/>
                <w:szCs w:val="20"/>
                <w:color w:val="auto"/>
              </w:rPr>
            </w:pPr>
            <w:r>
              <w:rPr>
                <w:rFonts w:ascii="Arial" w:cs="Arial" w:eastAsia="Arial" w:hAnsi="Arial"/>
                <w:sz w:val="20"/>
                <w:szCs w:val="20"/>
                <w:color w:val="auto"/>
              </w:rPr>
              <w:t>Total Corporate notes</w:t>
            </w:r>
          </w:p>
        </w:tc>
        <w:tc>
          <w:tcPr>
            <w:tcW w:w="1660" w:type="dxa"/>
            <w:vAlign w:val="bottom"/>
          </w:tcPr>
          <w:p>
            <w:pPr>
              <w:jc w:val="center"/>
              <w:ind w:left="441"/>
              <w:spacing w:after="0"/>
              <w:rPr>
                <w:sz w:val="20"/>
                <w:szCs w:val="20"/>
                <w:color w:val="auto"/>
              </w:rPr>
            </w:pPr>
            <w:r>
              <w:rPr>
                <w:rFonts w:ascii="Arial" w:cs="Arial" w:eastAsia="Arial" w:hAnsi="Arial"/>
                <w:sz w:val="20"/>
                <w:szCs w:val="20"/>
                <w:color w:val="auto"/>
                <w:w w:val="92"/>
              </w:rPr>
              <w:t>Level 2</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25,958</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25,891</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26,238</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26,096</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Municipal notes</w:t>
            </w: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2,994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2,982</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6,949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6,936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4,116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4,087</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Total Municipal notes</w:t>
            </w:r>
          </w:p>
        </w:tc>
        <w:tc>
          <w:tcPr>
            <w:tcW w:w="1660" w:type="dxa"/>
            <w:vAlign w:val="bottom"/>
            <w:tcBorders>
              <w:bottom w:val="single" w:sz="8" w:color="CCEEFF"/>
            </w:tcBorders>
            <w:shd w:val="clear" w:color="auto" w:fill="CCEEFF"/>
          </w:tcPr>
          <w:p>
            <w:pPr>
              <w:jc w:val="center"/>
              <w:ind w:left="441"/>
              <w:spacing w:after="0"/>
              <w:rPr>
                <w:sz w:val="20"/>
                <w:szCs w:val="20"/>
                <w:color w:val="auto"/>
              </w:rPr>
            </w:pPr>
            <w:r>
              <w:rPr>
                <w:rFonts w:ascii="Arial" w:cs="Arial" w:eastAsia="Arial" w:hAnsi="Arial"/>
                <w:sz w:val="20"/>
                <w:szCs w:val="20"/>
                <w:color w:val="auto"/>
                <w:w w:val="92"/>
              </w:rPr>
              <w:t>Level 2</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6,949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6,936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7,110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7,069</w:t>
            </w:r>
          </w:p>
        </w:tc>
        <w:tc>
          <w:tcPr>
            <w:tcW w:w="0" w:type="dxa"/>
            <w:vAlign w:val="bottom"/>
          </w:tcPr>
          <w:p>
            <w:pPr>
              <w:spacing w:after="0"/>
              <w:rPr>
                <w:sz w:val="1"/>
                <w:szCs w:val="1"/>
                <w:color w:val="auto"/>
              </w:rPr>
            </w:pPr>
          </w:p>
        </w:tc>
      </w:tr>
      <w:tr>
        <w:trPr>
          <w:trHeight w:val="254"/>
        </w:trPr>
        <w:tc>
          <w:tcPr>
            <w:tcW w:w="48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60,457</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60,270</w:t>
            </w:r>
          </w:p>
        </w:tc>
        <w:tc>
          <w:tcPr>
            <w:tcW w:w="120" w:type="dxa"/>
            <w:vAlign w:val="bottom"/>
          </w:tcPr>
          <w:p>
            <w:pPr>
              <w:spacing w:after="0"/>
              <w:rPr>
                <w:sz w:val="22"/>
                <w:szCs w:val="22"/>
                <w:color w:val="auto"/>
              </w:rPr>
            </w:pPr>
          </w:p>
        </w:tc>
        <w:tc>
          <w:tcPr>
            <w:tcW w:w="2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64,138</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63,749</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140"/>
        <w:spacing w:after="0" w:line="288" w:lineRule="auto"/>
        <w:rPr>
          <w:sz w:val="20"/>
          <w:szCs w:val="20"/>
          <w:color w:val="auto"/>
        </w:rPr>
      </w:pPr>
      <w:r>
        <w:rPr>
          <w:rFonts w:ascii="Arial" w:cs="Arial" w:eastAsia="Arial" w:hAnsi="Arial"/>
          <w:sz w:val="19"/>
          <w:szCs w:val="19"/>
          <w:color w:val="auto"/>
        </w:rPr>
        <w:t>We evaluate our securities for other-than-temporary impairment based on the specific facts and circumstances surrounding each security valued below its cost. Factors considered include the length of time the securities have been valued below cost, the financial condition of the issuer, industry reports related to the issuer, the severity of any decline, our intention not to sell the security, and our assessment as to whether it is not more likely than not that we will be required to sell the security before a recovery of its amortized cost basis. We then segregate the loss between the amounts representing a decrease in cash flows expected to be collected, or the credit loss, which is recognized through earnings, and the balance of the loss, which is recognized through other comprehensive income. At March 31, 2019, the fair market value of investment securities was $187,000 below their cost basis. The Company’s gross unrealized holding gains equaled $3,000 and gross unrealized holding losses equaled $190,000. The Company has determined that any unrealized losses in the portfolio were temporary as of March 31, 2019. As of March 31, 2019, the adjustment to accumulated other comprehensive loss reflected an improvement in market value of $202,000, including estimated taxes of $42,000.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1"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The following tables summarize the maturities, at par, of marketable securities as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22"/>
                <w:szCs w:val="22"/>
                <w:color w:val="auto"/>
                <w:w w:val="90"/>
              </w:rPr>
              <w:t>March 31, 2019</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91"/>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2020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2021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Total</w:t>
            </w:r>
          </w:p>
        </w:tc>
      </w:tr>
      <w:tr>
        <w:trPr>
          <w:trHeight w:val="297"/>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Certificates of deposit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2,212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4,011</w:t>
            </w:r>
          </w:p>
        </w:tc>
      </w:tr>
      <w:tr>
        <w:trPr>
          <w:trHeight w:val="289"/>
        </w:trPr>
        <w:tc>
          <w:tcPr>
            <w:tcW w:w="6940" w:type="dxa"/>
            <w:vAlign w:val="bottom"/>
          </w:tcPr>
          <w:p>
            <w:pPr>
              <w:ind w:left="40"/>
              <w:spacing w:after="0"/>
              <w:rPr>
                <w:sz w:val="20"/>
                <w:szCs w:val="20"/>
                <w:color w:val="auto"/>
              </w:rPr>
            </w:pPr>
            <w:r>
              <w:rPr>
                <w:rFonts w:ascii="Arial" w:cs="Arial" w:eastAsia="Arial" w:hAnsi="Arial"/>
                <w:sz w:val="22"/>
                <w:szCs w:val="22"/>
                <w:color w:val="auto"/>
              </w:rPr>
              <w:t>U.S. Treasury and agency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13,414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10,173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23,587</w:t>
            </w:r>
          </w:p>
        </w:tc>
      </w:tr>
      <w:tr>
        <w:trPr>
          <w:trHeight w:val="306"/>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Corporate notes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11,871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25,971</w:t>
            </w:r>
          </w:p>
        </w:tc>
      </w:tr>
      <w:tr>
        <w:trPr>
          <w:trHeight w:val="291"/>
        </w:trPr>
        <w:tc>
          <w:tcPr>
            <w:tcW w:w="6940" w:type="dxa"/>
            <w:vAlign w:val="bottom"/>
          </w:tcPr>
          <w:p>
            <w:pPr>
              <w:ind w:left="40"/>
              <w:spacing w:after="0"/>
              <w:rPr>
                <w:sz w:val="20"/>
                <w:szCs w:val="20"/>
                <w:color w:val="auto"/>
              </w:rPr>
            </w:pPr>
            <w:r>
              <w:rPr>
                <w:rFonts w:ascii="Arial" w:cs="Arial" w:eastAsia="Arial" w:hAnsi="Arial"/>
                <w:sz w:val="22"/>
                <w:szCs w:val="22"/>
                <w:color w:val="auto"/>
              </w:rPr>
              <w:t>Municipal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4,951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6,951</w:t>
            </w:r>
          </w:p>
        </w:tc>
      </w:tr>
      <w:tr>
        <w:trPr>
          <w:trHeight w:val="291"/>
        </w:trPr>
        <w:tc>
          <w:tcPr>
            <w:tcW w:w="69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32,448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27,672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60,520</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69"/>
        </w:trPr>
        <w:tc>
          <w:tcPr>
            <w:tcW w:w="6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22"/>
                <w:szCs w:val="22"/>
                <w:color w:val="auto"/>
                <w:w w:val="87"/>
              </w:rPr>
              <w:t>December 31, 2018</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91"/>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2020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2021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Total</w:t>
            </w:r>
          </w:p>
        </w:tc>
      </w:tr>
      <w:tr>
        <w:trPr>
          <w:trHeight w:val="297"/>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Certificates of deposit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2,311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4,110</w:t>
            </w:r>
          </w:p>
        </w:tc>
      </w:tr>
      <w:tr>
        <w:trPr>
          <w:trHeight w:val="289"/>
        </w:trPr>
        <w:tc>
          <w:tcPr>
            <w:tcW w:w="6940" w:type="dxa"/>
            <w:vAlign w:val="bottom"/>
          </w:tcPr>
          <w:p>
            <w:pPr>
              <w:ind w:left="40"/>
              <w:spacing w:after="0"/>
              <w:rPr>
                <w:sz w:val="20"/>
                <w:szCs w:val="20"/>
                <w:color w:val="auto"/>
              </w:rPr>
            </w:pPr>
            <w:r>
              <w:rPr>
                <w:rFonts w:ascii="Arial" w:cs="Arial" w:eastAsia="Arial" w:hAnsi="Arial"/>
                <w:sz w:val="22"/>
                <w:szCs w:val="22"/>
                <w:color w:val="auto"/>
              </w:rPr>
              <w:t>U.S. Treasury and agency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17,574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9,174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26,748</w:t>
            </w:r>
          </w:p>
        </w:tc>
      </w:tr>
      <w:tr>
        <w:trPr>
          <w:trHeight w:val="306"/>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Corporate notes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18,671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7,150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26,221</w:t>
            </w:r>
          </w:p>
        </w:tc>
      </w:tr>
      <w:tr>
        <w:trPr>
          <w:trHeight w:val="291"/>
        </w:trPr>
        <w:tc>
          <w:tcPr>
            <w:tcW w:w="6940" w:type="dxa"/>
            <w:vAlign w:val="bottom"/>
          </w:tcPr>
          <w:p>
            <w:pPr>
              <w:ind w:left="40"/>
              <w:spacing w:after="0"/>
              <w:rPr>
                <w:sz w:val="20"/>
                <w:szCs w:val="20"/>
                <w:color w:val="auto"/>
              </w:rPr>
            </w:pPr>
            <w:r>
              <w:rPr>
                <w:rFonts w:ascii="Arial" w:cs="Arial" w:eastAsia="Arial" w:hAnsi="Arial"/>
                <w:sz w:val="22"/>
                <w:szCs w:val="22"/>
                <w:color w:val="auto"/>
              </w:rPr>
              <w:t>Municipal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5,111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7,111</w:t>
            </w:r>
          </w:p>
        </w:tc>
      </w:tr>
      <w:tr>
        <w:trPr>
          <w:trHeight w:val="291"/>
        </w:trPr>
        <w:tc>
          <w:tcPr>
            <w:tcW w:w="69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43,667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20,123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64,190</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 Company’s investments in corporate notes are with companies that have an investment grade rating from Standard &amp; Poor’s.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80" w:type="dxa"/>
            <w:vAlign w:val="bottom"/>
          </w:tcPr>
          <w:p>
            <w:pPr>
              <w:spacing w:after="0"/>
              <w:rPr>
                <w:sz w:val="20"/>
                <w:szCs w:val="20"/>
                <w:color w:val="auto"/>
              </w:rPr>
            </w:pPr>
            <w:r>
              <w:rPr>
                <w:rFonts w:ascii="Arial" w:cs="Arial" w:eastAsia="Arial" w:hAnsi="Arial"/>
                <w:sz w:val="22"/>
                <w:szCs w:val="22"/>
                <w:b w:val="1"/>
                <w:bCs w:val="1"/>
                <w:color w:val="auto"/>
              </w:rPr>
              <w:t>4.   REAL ESTATE</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498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2"/>
                <w:szCs w:val="22"/>
                <w:color w:val="auto"/>
              </w:rPr>
              <w:t>March 31, 2019</w:t>
            </w:r>
          </w:p>
        </w:tc>
        <w:tc>
          <w:tcPr>
            <w:tcW w:w="220" w:type="dxa"/>
            <w:vAlign w:val="bottom"/>
          </w:tcPr>
          <w:p>
            <w:pPr>
              <w:spacing w:after="0"/>
              <w:rPr>
                <w:sz w:val="24"/>
                <w:szCs w:val="24"/>
                <w:color w:val="auto"/>
              </w:rPr>
            </w:pPr>
          </w:p>
        </w:tc>
        <w:tc>
          <w:tcPr>
            <w:tcW w:w="2080" w:type="dxa"/>
            <w:vAlign w:val="bottom"/>
          </w:tcPr>
          <w:p>
            <w:pPr>
              <w:jc w:val="right"/>
              <w:ind w:right="192"/>
              <w:spacing w:after="0"/>
              <w:rPr>
                <w:sz w:val="20"/>
                <w:szCs w:val="20"/>
                <w:color w:val="auto"/>
              </w:rPr>
            </w:pPr>
            <w:r>
              <w:rPr>
                <w:rFonts w:ascii="Arial" w:cs="Arial" w:eastAsia="Arial" w:hAnsi="Arial"/>
                <w:sz w:val="22"/>
                <w:szCs w:val="22"/>
                <w:color w:val="auto"/>
                <w:w w:val="91"/>
              </w:rPr>
              <w:t>December 31, 2018</w:t>
            </w:r>
          </w:p>
        </w:tc>
        <w:tc>
          <w:tcPr>
            <w:tcW w:w="0" w:type="dxa"/>
            <w:vAlign w:val="bottom"/>
          </w:tcPr>
          <w:p>
            <w:pPr>
              <w:spacing w:after="0"/>
              <w:rPr>
                <w:sz w:val="1"/>
                <w:szCs w:val="1"/>
                <w:color w:val="auto"/>
              </w:rPr>
            </w:pPr>
          </w:p>
        </w:tc>
      </w:tr>
      <w:tr>
        <w:trPr>
          <w:trHeight w:val="275"/>
        </w:trPr>
        <w:tc>
          <w:tcPr>
            <w:tcW w:w="4980" w:type="dxa"/>
            <w:vAlign w:val="bottom"/>
          </w:tcPr>
          <w:p>
            <w:pPr>
              <w:ind w:left="40"/>
              <w:spacing w:after="0"/>
              <w:rPr>
                <w:sz w:val="20"/>
                <w:szCs w:val="20"/>
                <w:color w:val="auto"/>
              </w:rPr>
            </w:pPr>
            <w:r>
              <w:rPr>
                <w:rFonts w:ascii="Arial" w:cs="Arial" w:eastAsia="Arial" w:hAnsi="Arial"/>
                <w:sz w:val="22"/>
                <w:szCs w:val="22"/>
                <w:color w:val="auto"/>
              </w:rPr>
              <w:t>Real estate development</w:t>
            </w:r>
          </w:p>
        </w:tc>
        <w:tc>
          <w:tcPr>
            <w:tcW w:w="174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9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Mountain Village</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138,521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137,571</w:t>
            </w:r>
          </w:p>
        </w:tc>
        <w:tc>
          <w:tcPr>
            <w:tcW w:w="0" w:type="dxa"/>
            <w:vAlign w:val="bottom"/>
          </w:tcPr>
          <w:p>
            <w:pPr>
              <w:spacing w:after="0"/>
              <w:rPr>
                <w:sz w:val="1"/>
                <w:szCs w:val="1"/>
                <w:color w:val="auto"/>
              </w:rPr>
            </w:pPr>
          </w:p>
        </w:tc>
      </w:tr>
      <w:tr>
        <w:trPr>
          <w:trHeight w:val="289"/>
        </w:trPr>
        <w:tc>
          <w:tcPr>
            <w:tcW w:w="4980" w:type="dxa"/>
            <w:vAlign w:val="bottom"/>
          </w:tcPr>
          <w:p>
            <w:pPr>
              <w:ind w:left="180"/>
              <w:spacing w:after="0"/>
              <w:rPr>
                <w:sz w:val="20"/>
                <w:szCs w:val="20"/>
                <w:color w:val="auto"/>
              </w:rPr>
            </w:pPr>
            <w:r>
              <w:rPr>
                <w:rFonts w:ascii="Arial" w:cs="Arial" w:eastAsia="Arial" w:hAnsi="Arial"/>
                <w:sz w:val="22"/>
                <w:szCs w:val="22"/>
                <w:color w:val="auto"/>
              </w:rPr>
              <w:t>Centennial</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jc w:val="right"/>
              <w:ind w:right="12"/>
              <w:spacing w:after="0"/>
              <w:rPr>
                <w:sz w:val="20"/>
                <w:szCs w:val="20"/>
                <w:color w:val="auto"/>
              </w:rPr>
            </w:pPr>
            <w:r>
              <w:rPr>
                <w:rFonts w:ascii="Arial" w:cs="Arial" w:eastAsia="Arial" w:hAnsi="Arial"/>
                <w:sz w:val="22"/>
                <w:szCs w:val="22"/>
                <w:color w:val="auto"/>
              </w:rPr>
              <w:t>101,331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100,311</w:t>
            </w:r>
          </w:p>
        </w:tc>
        <w:tc>
          <w:tcPr>
            <w:tcW w:w="0" w:type="dxa"/>
            <w:vAlign w:val="bottom"/>
          </w:tcPr>
          <w:p>
            <w:pPr>
              <w:spacing w:after="0"/>
              <w:rPr>
                <w:sz w:val="1"/>
                <w:szCs w:val="1"/>
                <w:color w:val="auto"/>
              </w:rPr>
            </w:pPr>
          </w:p>
        </w:tc>
      </w:tr>
      <w:tr>
        <w:trPr>
          <w:trHeight w:val="306"/>
        </w:trPr>
        <w:tc>
          <w:tcPr>
            <w:tcW w:w="49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Grapevine</w:t>
            </w:r>
          </w:p>
        </w:tc>
        <w:tc>
          <w:tcPr>
            <w:tcW w:w="1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31,896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31,175</w:t>
            </w:r>
          </w:p>
        </w:tc>
        <w:tc>
          <w:tcPr>
            <w:tcW w:w="0" w:type="dxa"/>
            <w:vAlign w:val="bottom"/>
          </w:tcPr>
          <w:p>
            <w:pPr>
              <w:spacing w:after="0"/>
              <w:rPr>
                <w:sz w:val="1"/>
                <w:szCs w:val="1"/>
                <w:color w:val="auto"/>
              </w:rPr>
            </w:pPr>
          </w:p>
        </w:tc>
      </w:tr>
      <w:tr>
        <w:trPr>
          <w:trHeight w:val="291"/>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Tejon Ranch Commerce Center</w:t>
            </w:r>
          </w:p>
        </w:tc>
        <w:tc>
          <w:tcPr>
            <w:tcW w:w="17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15,696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14,328</w:t>
            </w:r>
          </w:p>
        </w:tc>
        <w:tc>
          <w:tcPr>
            <w:tcW w:w="0" w:type="dxa"/>
            <w:vAlign w:val="bottom"/>
          </w:tcPr>
          <w:p>
            <w:pPr>
              <w:spacing w:after="0"/>
              <w:rPr>
                <w:sz w:val="1"/>
                <w:szCs w:val="1"/>
                <w:color w:val="auto"/>
              </w:rPr>
            </w:pPr>
          </w:p>
        </w:tc>
      </w:tr>
      <w:tr>
        <w:trPr>
          <w:trHeight w:val="291"/>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Real estate development</w:t>
            </w:r>
          </w:p>
        </w:tc>
        <w:tc>
          <w:tcPr>
            <w:tcW w:w="17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287,444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283,385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80" w:type="dxa"/>
            <w:vAlign w:val="bottom"/>
            <w:shd w:val="clear" w:color="auto" w:fill="CCEEFF"/>
          </w:tcPr>
          <w:p>
            <w:pPr>
              <w:ind w:left="40"/>
              <w:spacing w:after="0"/>
              <w:rPr>
                <w:sz w:val="20"/>
                <w:szCs w:val="20"/>
                <w:color w:val="auto"/>
              </w:rPr>
            </w:pPr>
            <w:r>
              <w:rPr>
                <w:rFonts w:ascii="Arial" w:cs="Arial" w:eastAsia="Arial" w:hAnsi="Arial"/>
                <w:sz w:val="22"/>
                <w:szCs w:val="22"/>
                <w:color w:val="auto"/>
              </w:rPr>
              <w:t>Real estate and improvements - held for lease</w:t>
            </w:r>
          </w:p>
        </w:tc>
        <w:tc>
          <w:tcPr>
            <w:tcW w:w="1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980" w:type="dxa"/>
            <w:vAlign w:val="bottom"/>
          </w:tcPr>
          <w:p>
            <w:pPr>
              <w:ind w:left="180"/>
              <w:spacing w:after="0"/>
              <w:rPr>
                <w:sz w:val="20"/>
                <w:szCs w:val="20"/>
                <w:color w:val="auto"/>
              </w:rPr>
            </w:pPr>
            <w:r>
              <w:rPr>
                <w:rFonts w:ascii="Arial" w:cs="Arial" w:eastAsia="Arial" w:hAnsi="Arial"/>
                <w:sz w:val="22"/>
                <w:szCs w:val="22"/>
                <w:color w:val="auto"/>
              </w:rPr>
              <w:t>Tejon Ranch Commerce Center</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jc w:val="right"/>
              <w:ind w:right="12"/>
              <w:spacing w:after="0"/>
              <w:rPr>
                <w:sz w:val="20"/>
                <w:szCs w:val="20"/>
                <w:color w:val="auto"/>
              </w:rPr>
            </w:pPr>
            <w:r>
              <w:rPr>
                <w:rFonts w:ascii="Arial" w:cs="Arial" w:eastAsia="Arial" w:hAnsi="Arial"/>
                <w:sz w:val="22"/>
                <w:szCs w:val="22"/>
                <w:color w:val="auto"/>
              </w:rPr>
              <w:t>21,328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21,327</w:t>
            </w:r>
          </w:p>
        </w:tc>
        <w:tc>
          <w:tcPr>
            <w:tcW w:w="0" w:type="dxa"/>
            <w:vAlign w:val="bottom"/>
          </w:tcPr>
          <w:p>
            <w:pPr>
              <w:spacing w:after="0"/>
              <w:rPr>
                <w:sz w:val="1"/>
                <w:szCs w:val="1"/>
                <w:color w:val="auto"/>
              </w:rPr>
            </w:pPr>
          </w:p>
        </w:tc>
      </w:tr>
      <w:tr>
        <w:trPr>
          <w:trHeight w:val="306"/>
        </w:trPr>
        <w:tc>
          <w:tcPr>
            <w:tcW w:w="49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Less accumulated depreciation</w:t>
            </w:r>
          </w:p>
        </w:tc>
        <w:tc>
          <w:tcPr>
            <w:tcW w:w="17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(2,469)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(2,374)</w:t>
            </w:r>
          </w:p>
        </w:tc>
        <w:tc>
          <w:tcPr>
            <w:tcW w:w="0" w:type="dxa"/>
            <w:vAlign w:val="bottom"/>
          </w:tcPr>
          <w:p>
            <w:pPr>
              <w:spacing w:after="0"/>
              <w:rPr>
                <w:sz w:val="1"/>
                <w:szCs w:val="1"/>
                <w:color w:val="auto"/>
              </w:rPr>
            </w:pPr>
          </w:p>
        </w:tc>
      </w:tr>
      <w:tr>
        <w:trPr>
          <w:trHeight w:val="284"/>
        </w:trPr>
        <w:tc>
          <w:tcPr>
            <w:tcW w:w="4980" w:type="dxa"/>
            <w:vAlign w:val="bottom"/>
          </w:tcPr>
          <w:p>
            <w:pPr>
              <w:ind w:left="40"/>
              <w:spacing w:after="0"/>
              <w:rPr>
                <w:sz w:val="20"/>
                <w:szCs w:val="20"/>
                <w:color w:val="auto"/>
              </w:rPr>
            </w:pPr>
            <w:r>
              <w:rPr>
                <w:rFonts w:ascii="Arial" w:cs="Arial" w:eastAsia="Arial" w:hAnsi="Arial"/>
                <w:sz w:val="22"/>
                <w:szCs w:val="22"/>
                <w:color w:val="auto"/>
                <w:w w:val="99"/>
              </w:rPr>
              <w:t>Real estate and improvements - held for lease, net</w:t>
            </w:r>
          </w:p>
        </w:tc>
        <w:tc>
          <w:tcPr>
            <w:tcW w:w="204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2000" w:type="dxa"/>
            <w:vAlign w:val="bottom"/>
          </w:tcPr>
          <w:p>
            <w:pPr>
              <w:jc w:val="right"/>
              <w:ind w:right="12"/>
              <w:spacing w:after="0"/>
              <w:rPr>
                <w:sz w:val="20"/>
                <w:szCs w:val="20"/>
                <w:color w:val="auto"/>
              </w:rPr>
            </w:pPr>
            <w:r>
              <w:rPr>
                <w:rFonts w:ascii="Arial" w:cs="Arial" w:eastAsia="Arial" w:hAnsi="Arial"/>
                <w:sz w:val="22"/>
                <w:szCs w:val="22"/>
                <w:color w:val="auto"/>
              </w:rPr>
              <w:t>18,859</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80" w:type="dxa"/>
            <w:vAlign w:val="bottom"/>
          </w:tcPr>
          <w:p>
            <w:pPr>
              <w:jc w:val="right"/>
              <w:spacing w:after="0"/>
              <w:rPr>
                <w:sz w:val="20"/>
                <w:szCs w:val="20"/>
                <w:color w:val="auto"/>
              </w:rPr>
            </w:pPr>
            <w:r>
              <w:rPr>
                <w:rFonts w:ascii="Arial" w:cs="Arial" w:eastAsia="Arial" w:hAnsi="Arial"/>
                <w:sz w:val="22"/>
                <w:szCs w:val="22"/>
                <w:color w:val="auto"/>
              </w:rPr>
              <w:t>18,953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740" w:type="dxa"/>
            <w:vAlign w:val="bottom"/>
            <w:vMerge w:val="restart"/>
          </w:tcPr>
          <w:p>
            <w:pPr>
              <w:jc w:val="right"/>
              <w:ind w:right="818"/>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5" w:right="239" w:bottom="1440" w:gutter="0" w:footer="0" w:header="0"/>
        </w:sectPr>
      </w:pPr>
    </w:p>
    <w:bookmarkStart w:id="14" w:name="page15"/>
    <w:bookmarkEnd w:id="14"/>
    <w:p>
      <w:pPr>
        <w:ind w:left="440" w:hanging="432"/>
        <w:spacing w:after="0"/>
        <w:tabs>
          <w:tab w:leader="none" w:pos="4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LONG-TERM WATER ASSETS</w:t>
      </w:r>
    </w:p>
    <w:p>
      <w:pPr>
        <w:spacing w:after="0" w:line="28"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Company-banked water costs also include costs related to the right to receive additional acre-feet of water in the future from the Antelope Valley East Kern Water Agency, or AVEK. The Company has also banked water within an AVEK-owned water bank.</w:t>
      </w:r>
    </w:p>
    <w:p>
      <w:pPr>
        <w:spacing w:after="0" w:line="224"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We have also been purchasing water for future use or sale. In 2008, we purchased 8,393 acre-feet of transferable water and in 2009 we purchased an additional 6,393 acre-feet of transferable water, all of which is now stored in the Company's water bank. We also have secured State Water Project, or SWP, entitlement under long-term SWP water contracts within the Tulare Lake Basin Water Storage District and the Dudley-Ridge Water District, totaling 3,444 acre-feet of SWP entitlement annually, subject to SWP allocations. These contracts extend through 2035 and have been transferred to AVEK for our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16"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The initial term of the water purchase agreement with Nickel runs to 2044 and includes a Company option to extend the contract for an additional 35 years. The purchase cost of water in 2019 is $769 per acre-foot. The purchase cost is subject to annual cost increases based on the greater of the consumer price index or 3%.</w:t>
      </w:r>
    </w:p>
    <w:p>
      <w:pPr>
        <w:spacing w:after="0" w:line="51" w:lineRule="exact"/>
        <w:rPr>
          <w:sz w:val="20"/>
          <w:szCs w:val="20"/>
          <w:color w:val="auto"/>
        </w:rPr>
      </w:pPr>
    </w:p>
    <w:p>
      <w:pPr>
        <w:jc w:val="both"/>
        <w:ind w:right="100"/>
        <w:spacing w:after="0" w:line="312" w:lineRule="auto"/>
        <w:rPr>
          <w:sz w:val="20"/>
          <w:szCs w:val="20"/>
          <w:color w:val="auto"/>
        </w:rPr>
      </w:pPr>
      <w:r>
        <w:rPr>
          <w:rFonts w:ascii="Arial" w:cs="Arial" w:eastAsia="Arial" w:hAnsi="Arial"/>
          <w:sz w:val="19"/>
          <w:szCs w:val="19"/>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just described.</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Water revenues and cost of sales were as follows ($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2"/>
          </w:tcPr>
          <w:p>
            <w:pPr>
              <w:ind w:left="200"/>
              <w:spacing w:after="0"/>
              <w:rPr>
                <w:sz w:val="20"/>
                <w:szCs w:val="20"/>
                <w:color w:val="auto"/>
              </w:rPr>
            </w:pPr>
            <w:r>
              <w:rPr>
                <w:rFonts w:ascii="Arial" w:cs="Arial" w:eastAsia="Arial" w:hAnsi="Arial"/>
                <w:sz w:val="22"/>
                <w:szCs w:val="22"/>
                <w:color w:val="auto"/>
              </w:rPr>
              <w:t>March 31, 2019</w:t>
            </w:r>
          </w:p>
        </w:tc>
        <w:tc>
          <w:tcPr>
            <w:tcW w:w="320" w:type="dxa"/>
            <w:vAlign w:val="bottom"/>
          </w:tcPr>
          <w:p>
            <w:pPr>
              <w:spacing w:after="0"/>
              <w:rPr>
                <w:sz w:val="24"/>
                <w:szCs w:val="24"/>
                <w:color w:val="auto"/>
              </w:rPr>
            </w:pPr>
          </w:p>
        </w:tc>
        <w:tc>
          <w:tcPr>
            <w:tcW w:w="2080" w:type="dxa"/>
            <w:vAlign w:val="bottom"/>
          </w:tcPr>
          <w:p>
            <w:pPr>
              <w:jc w:val="right"/>
              <w:ind w:right="412"/>
              <w:spacing w:after="0"/>
              <w:rPr>
                <w:sz w:val="20"/>
                <w:szCs w:val="20"/>
                <w:color w:val="auto"/>
              </w:rPr>
            </w:pPr>
            <w:r>
              <w:rPr>
                <w:rFonts w:ascii="Arial" w:cs="Arial" w:eastAsia="Arial" w:hAnsi="Arial"/>
                <w:sz w:val="22"/>
                <w:szCs w:val="22"/>
                <w:color w:val="auto"/>
              </w:rPr>
              <w:t>March 31, 2018</w:t>
            </w:r>
          </w:p>
        </w:tc>
      </w:tr>
      <w:tr>
        <w:trPr>
          <w:trHeight w:val="135"/>
        </w:trPr>
        <w:tc>
          <w:tcPr>
            <w:tcW w:w="65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tcPr>
          <w:p>
            <w:pPr>
              <w:spacing w:after="0"/>
              <w:rPr>
                <w:sz w:val="11"/>
                <w:szCs w:val="11"/>
                <w:color w:val="auto"/>
              </w:rPr>
            </w:pPr>
          </w:p>
        </w:tc>
      </w:tr>
      <w:tr>
        <w:trPr>
          <w:trHeight w:val="297"/>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Acre-Feet Sold</w:t>
            </w:r>
          </w:p>
        </w:tc>
        <w:tc>
          <w:tcPr>
            <w:tcW w:w="3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4,445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7,442</w:t>
            </w:r>
          </w:p>
        </w:tc>
      </w:tr>
      <w:tr>
        <w:trPr>
          <w:trHeight w:val="135"/>
        </w:trPr>
        <w:tc>
          <w:tcPr>
            <w:tcW w:w="6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297"/>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Revenues</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7,992</w:t>
            </w:r>
          </w:p>
        </w:tc>
      </w:tr>
      <w:tr>
        <w:trPr>
          <w:trHeight w:val="291"/>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Cost of sales</w:t>
            </w: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3,194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3,679</w:t>
            </w:r>
          </w:p>
        </w:tc>
      </w:tr>
      <w:tr>
        <w:trPr>
          <w:trHeight w:val="29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Profit</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1,832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4,313</w:t>
            </w: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The costs assigned to water assets held for future use were as follows ($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70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March 31, 2019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92"/>
              </w:rPr>
              <w:t>December 31, 2018</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ind w:left="40"/>
              <w:spacing w:after="0"/>
              <w:rPr>
                <w:sz w:val="20"/>
                <w:szCs w:val="20"/>
                <w:color w:val="auto"/>
              </w:rPr>
            </w:pPr>
            <w:r>
              <w:rPr>
                <w:rFonts w:ascii="Arial" w:cs="Arial" w:eastAsia="Arial" w:hAnsi="Arial"/>
                <w:sz w:val="22"/>
                <w:szCs w:val="22"/>
                <w:color w:val="auto"/>
              </w:rPr>
              <w:t>Banked water and water for future delivery</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25,208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24,597</w:t>
            </w:r>
          </w:p>
        </w:tc>
        <w:tc>
          <w:tcPr>
            <w:tcW w:w="0" w:type="dxa"/>
            <w:vAlign w:val="bottom"/>
          </w:tcPr>
          <w:p>
            <w:pPr>
              <w:spacing w:after="0"/>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Transferable water</w:t>
            </w:r>
          </w:p>
        </w:tc>
        <w:tc>
          <w:tcPr>
            <w:tcW w:w="18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2,927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95"/>
        </w:trPr>
        <w:tc>
          <w:tcPr>
            <w:tcW w:w="4700" w:type="dxa"/>
            <w:vAlign w:val="bottom"/>
            <w:shd w:val="clear" w:color="auto" w:fill="CCEEFF"/>
          </w:tcPr>
          <w:p>
            <w:pPr>
              <w:ind w:left="180"/>
              <w:spacing w:after="0"/>
              <w:rPr>
                <w:sz w:val="20"/>
                <w:szCs w:val="20"/>
                <w:color w:val="auto"/>
              </w:rPr>
            </w:pPr>
            <w:r>
              <w:rPr>
                <w:rFonts w:ascii="Arial" w:cs="Arial" w:eastAsia="Arial" w:hAnsi="Arial"/>
                <w:sz w:val="22"/>
                <w:szCs w:val="22"/>
                <w:color w:val="auto"/>
              </w:rPr>
              <w:t>Total water held for future use at cost</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28,135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24,633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598"/>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7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4"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i w:val="1"/>
          <w:iCs w:val="1"/>
          <w:color w:val="auto"/>
        </w:rPr>
        <w:t>Intangible Water Assets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The Company's carrying amounts of its purchased water contracts were as follows ($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22"/>
                <w:szCs w:val="22"/>
                <w:color w:val="auto"/>
              </w:rPr>
              <w:t>March 31, 2019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22"/>
                <w:szCs w:val="22"/>
                <w:color w:val="auto"/>
              </w:rPr>
              <w:t>December 31, 2018</w:t>
            </w:r>
          </w:p>
        </w:tc>
      </w:tr>
      <w:tr>
        <w:trPr>
          <w:trHeight w:val="249"/>
        </w:trPr>
        <w:tc>
          <w:tcPr>
            <w:tcW w:w="4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2"/>
          </w:tcPr>
          <w:p>
            <w:pPr>
              <w:ind w:left="160"/>
              <w:spacing w:after="0" w:line="248" w:lineRule="exact"/>
              <w:rPr>
                <w:sz w:val="20"/>
                <w:szCs w:val="20"/>
                <w:color w:val="auto"/>
              </w:rPr>
            </w:pPr>
            <w:r>
              <w:rPr>
                <w:rFonts w:ascii="Arial" w:cs="Arial" w:eastAsia="Arial" w:hAnsi="Arial"/>
                <w:sz w:val="22"/>
                <w:szCs w:val="22"/>
                <w:color w:val="auto"/>
              </w:rPr>
              <w:t>Accumulated</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72"/>
              <w:spacing w:after="0" w:line="248" w:lineRule="exact"/>
              <w:rPr>
                <w:sz w:val="20"/>
                <w:szCs w:val="20"/>
                <w:color w:val="auto"/>
              </w:rPr>
            </w:pPr>
            <w:r>
              <w:rPr>
                <w:rFonts w:ascii="Arial" w:cs="Arial" w:eastAsia="Arial" w:hAnsi="Arial"/>
                <w:sz w:val="22"/>
                <w:szCs w:val="22"/>
                <w:color w:val="auto"/>
                <w:w w:val="94"/>
              </w:rPr>
              <w:t>Accumulated</w:t>
            </w:r>
          </w:p>
        </w:tc>
      </w:tr>
      <w:tr>
        <w:trPr>
          <w:trHeight w:val="285"/>
        </w:trPr>
        <w:tc>
          <w:tcPr>
            <w:tcW w:w="4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Costs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Depreciation</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Costs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5"/>
              </w:rPr>
              <w:t>Depreciation</w:t>
            </w:r>
          </w:p>
        </w:tc>
      </w:tr>
      <w:tr>
        <w:trPr>
          <w:trHeight w:val="297"/>
        </w:trPr>
        <w:tc>
          <w:tcPr>
            <w:tcW w:w="42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Dudley-Ridge water rights</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12,203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12,203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(3,860)</w:t>
            </w:r>
          </w:p>
        </w:tc>
      </w:tr>
      <w:tr>
        <w:trPr>
          <w:trHeight w:val="289"/>
        </w:trPr>
        <w:tc>
          <w:tcPr>
            <w:tcW w:w="4220" w:type="dxa"/>
            <w:vAlign w:val="bottom"/>
          </w:tcPr>
          <w:p>
            <w:pPr>
              <w:ind w:left="40"/>
              <w:spacing w:after="0"/>
              <w:rPr>
                <w:sz w:val="20"/>
                <w:szCs w:val="20"/>
                <w:color w:val="auto"/>
              </w:rPr>
            </w:pPr>
            <w:r>
              <w:rPr>
                <w:rFonts w:ascii="Arial" w:cs="Arial" w:eastAsia="Arial" w:hAnsi="Arial"/>
                <w:sz w:val="22"/>
                <w:szCs w:val="22"/>
                <w:color w:val="auto"/>
              </w:rPr>
              <w:t>Nickel water rights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18,740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(3,480)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18,740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(3,320)</w:t>
            </w:r>
          </w:p>
        </w:tc>
      </w:tr>
      <w:tr>
        <w:trPr>
          <w:trHeight w:val="299"/>
        </w:trPr>
        <w:tc>
          <w:tcPr>
            <w:tcW w:w="4220" w:type="dxa"/>
            <w:vAlign w:val="bottom"/>
            <w:shd w:val="clear" w:color="auto" w:fill="CCEEFF"/>
          </w:tcPr>
          <w:p>
            <w:pPr>
              <w:ind w:left="40"/>
              <w:spacing w:after="0"/>
              <w:rPr>
                <w:sz w:val="20"/>
                <w:szCs w:val="20"/>
                <w:color w:val="auto"/>
              </w:rPr>
            </w:pPr>
            <w:r>
              <w:rPr>
                <w:rFonts w:ascii="Arial" w:cs="Arial" w:eastAsia="Arial" w:hAnsi="Arial"/>
                <w:sz w:val="22"/>
                <w:szCs w:val="22"/>
                <w:color w:val="auto"/>
              </w:rPr>
              <w:t>Tulare Lake Basin water rights</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5,857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(2,482)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5,857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(2,421)</w:t>
            </w:r>
          </w:p>
        </w:tc>
      </w:tr>
      <w:tr>
        <w:trPr>
          <w:trHeight w:val="291"/>
        </w:trPr>
        <w:tc>
          <w:tcPr>
            <w:tcW w:w="422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36,800</w:t>
            </w:r>
          </w:p>
        </w:tc>
        <w:tc>
          <w:tcPr>
            <w:tcW w:w="42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760" w:type="dxa"/>
            <w:vAlign w:val="bottom"/>
          </w:tcPr>
          <w:p>
            <w:pPr>
              <w:jc w:val="right"/>
              <w:spacing w:after="0"/>
              <w:rPr>
                <w:sz w:val="20"/>
                <w:szCs w:val="20"/>
                <w:color w:val="auto"/>
              </w:rPr>
            </w:pPr>
            <w:r>
              <w:rPr>
                <w:rFonts w:ascii="Arial" w:cs="Arial" w:eastAsia="Arial" w:hAnsi="Arial"/>
                <w:sz w:val="22"/>
                <w:szCs w:val="22"/>
                <w:color w:val="auto"/>
              </w:rPr>
              <w:t>(9,942)</w:t>
            </w:r>
          </w:p>
        </w:tc>
        <w:tc>
          <w:tcPr>
            <w:tcW w:w="100" w:type="dxa"/>
            <w:vAlign w:val="bottom"/>
          </w:tcPr>
          <w:p>
            <w:pPr>
              <w:spacing w:after="0"/>
              <w:rPr>
                <w:sz w:val="24"/>
                <w:szCs w:val="24"/>
                <w:color w:val="auto"/>
              </w:rPr>
            </w:pPr>
          </w:p>
        </w:tc>
        <w:tc>
          <w:tcPr>
            <w:tcW w:w="360" w:type="dxa"/>
            <w:vAlign w:val="bottom"/>
          </w:tcPr>
          <w:p>
            <w:pPr>
              <w:jc w:val="right"/>
              <w:ind w:right="112"/>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36,800</w:t>
            </w:r>
          </w:p>
        </w:tc>
        <w:tc>
          <w:tcPr>
            <w:tcW w:w="32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(9,601)</w:t>
            </w:r>
          </w:p>
        </w:tc>
      </w:tr>
      <w:tr>
        <w:trPr>
          <w:trHeight w:val="297"/>
        </w:trPr>
        <w:tc>
          <w:tcPr>
            <w:tcW w:w="4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22"/>
                <w:szCs w:val="22"/>
                <w:color w:val="auto"/>
              </w:rPr>
              <w:t>Net cost of purchased water contracts</w:t>
            </w:r>
          </w:p>
        </w:tc>
        <w:tc>
          <w:tcPr>
            <w:tcW w:w="3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26,858</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27,199</w:t>
            </w: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r>
      <w:tr>
        <w:trPr>
          <w:trHeight w:val="291"/>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Total cost water held for future use</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28,135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24,633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r>
      <w:tr>
        <w:trPr>
          <w:trHeight w:val="31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investments in water assets</w:t>
            </w:r>
          </w:p>
        </w:tc>
        <w:tc>
          <w:tcPr>
            <w:tcW w:w="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color w:val="auto"/>
              </w:rPr>
              <w:t>54,993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51,832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49"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Water contracts with the Wheeler Ridge Maricopa Water Storage District, or WRMWSD, and the Tejon-Castac Water District, or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740" w:type="dxa"/>
            <w:vAlign w:val="bottom"/>
          </w:tcPr>
          <w:p>
            <w:pPr>
              <w:ind w:left="40"/>
              <w:spacing w:after="0"/>
              <w:rPr>
                <w:sz w:val="20"/>
                <w:szCs w:val="20"/>
                <w:color w:val="auto"/>
              </w:rPr>
            </w:pPr>
            <w:r>
              <w:rPr>
                <w:rFonts w:ascii="Arial" w:cs="Arial" w:eastAsia="Arial" w:hAnsi="Arial"/>
                <w:sz w:val="22"/>
                <w:szCs w:val="22"/>
                <w:color w:val="auto"/>
              </w:rPr>
              <w:t>(in acre-feet, unaudited)</w:t>
            </w:r>
          </w:p>
        </w:tc>
        <w:tc>
          <w:tcPr>
            <w:tcW w:w="2420" w:type="dxa"/>
            <w:vAlign w:val="bottom"/>
            <w:gridSpan w:val="2"/>
          </w:tcPr>
          <w:p>
            <w:pPr>
              <w:ind w:left="460"/>
              <w:spacing w:after="0"/>
              <w:rPr>
                <w:sz w:val="20"/>
                <w:szCs w:val="20"/>
                <w:color w:val="auto"/>
              </w:rPr>
            </w:pPr>
            <w:r>
              <w:rPr>
                <w:rFonts w:ascii="Arial" w:cs="Arial" w:eastAsia="Arial" w:hAnsi="Arial"/>
                <w:sz w:val="22"/>
                <w:szCs w:val="22"/>
                <w:color w:val="auto"/>
              </w:rPr>
              <w:t>March 31, 2019</w:t>
            </w:r>
          </w:p>
        </w:tc>
        <w:tc>
          <w:tcPr>
            <w:tcW w:w="2260" w:type="dxa"/>
            <w:vAlign w:val="bottom"/>
          </w:tcPr>
          <w:p>
            <w:pPr>
              <w:jc w:val="right"/>
              <w:ind w:right="172"/>
              <w:spacing w:after="0"/>
              <w:rPr>
                <w:sz w:val="20"/>
                <w:szCs w:val="20"/>
                <w:color w:val="auto"/>
              </w:rPr>
            </w:pPr>
            <w:r>
              <w:rPr>
                <w:rFonts w:ascii="Arial" w:cs="Arial" w:eastAsia="Arial" w:hAnsi="Arial"/>
                <w:sz w:val="22"/>
                <w:szCs w:val="22"/>
                <w:color w:val="auto"/>
              </w:rPr>
              <w:t>December 31, 2018</w:t>
            </w:r>
          </w:p>
        </w:tc>
        <w:tc>
          <w:tcPr>
            <w:tcW w:w="0" w:type="dxa"/>
            <w:vAlign w:val="bottom"/>
          </w:tcPr>
          <w:p>
            <w:pPr>
              <w:spacing w:after="0"/>
              <w:rPr>
                <w:sz w:val="1"/>
                <w:szCs w:val="1"/>
                <w:color w:val="auto"/>
              </w:rPr>
            </w:pPr>
          </w:p>
        </w:tc>
      </w:tr>
      <w:tr>
        <w:trPr>
          <w:trHeight w:val="275"/>
        </w:trPr>
        <w:tc>
          <w:tcPr>
            <w:tcW w:w="6740" w:type="dxa"/>
            <w:vAlign w:val="bottom"/>
          </w:tcPr>
          <w:p>
            <w:pPr>
              <w:ind w:left="40"/>
              <w:spacing w:after="0"/>
              <w:rPr>
                <w:sz w:val="20"/>
                <w:szCs w:val="20"/>
                <w:color w:val="auto"/>
              </w:rPr>
            </w:pPr>
            <w:r>
              <w:rPr>
                <w:rFonts w:ascii="Arial" w:cs="Arial" w:eastAsia="Arial" w:hAnsi="Arial"/>
                <w:sz w:val="22"/>
                <w:szCs w:val="22"/>
                <w:color w:val="auto"/>
              </w:rPr>
              <w:t>Water held for future use</w:t>
            </w:r>
          </w:p>
        </w:tc>
        <w:tc>
          <w:tcPr>
            <w:tcW w:w="2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AVEK water bank</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13,033</w:t>
            </w: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13,033</w:t>
            </w:r>
          </w:p>
        </w:tc>
        <w:tc>
          <w:tcPr>
            <w:tcW w:w="0" w:type="dxa"/>
            <w:vAlign w:val="bottom"/>
          </w:tcPr>
          <w:p>
            <w:pPr>
              <w:spacing w:after="0"/>
              <w:rPr>
                <w:sz w:val="1"/>
                <w:szCs w:val="1"/>
                <w:color w:val="auto"/>
              </w:rPr>
            </w:pPr>
          </w:p>
        </w:tc>
      </w:tr>
      <w:tr>
        <w:trPr>
          <w:trHeight w:val="289"/>
        </w:trPr>
        <w:tc>
          <w:tcPr>
            <w:tcW w:w="6740" w:type="dxa"/>
            <w:vAlign w:val="bottom"/>
          </w:tcPr>
          <w:p>
            <w:pPr>
              <w:ind w:left="180"/>
              <w:spacing w:after="0"/>
              <w:rPr>
                <w:sz w:val="20"/>
                <w:szCs w:val="20"/>
                <w:color w:val="auto"/>
              </w:rPr>
            </w:pPr>
            <w:r>
              <w:rPr>
                <w:rFonts w:ascii="Arial" w:cs="Arial" w:eastAsia="Arial" w:hAnsi="Arial"/>
                <w:sz w:val="22"/>
                <w:szCs w:val="22"/>
                <w:color w:val="auto"/>
              </w:rPr>
              <w:t>Company water bank</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37,316</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35,793</w:t>
            </w:r>
          </w:p>
        </w:tc>
        <w:tc>
          <w:tcPr>
            <w:tcW w:w="0" w:type="dxa"/>
            <w:vAlign w:val="bottom"/>
          </w:tcPr>
          <w:p>
            <w:pPr>
              <w:spacing w:after="0"/>
              <w:rPr>
                <w:sz w:val="1"/>
                <w:szCs w:val="1"/>
                <w:color w:val="auto"/>
              </w:rPr>
            </w:pPr>
          </w:p>
        </w:tc>
      </w:tr>
      <w:tr>
        <w:trPr>
          <w:trHeight w:val="306"/>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Transferable water</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5,999</w:t>
            </w:r>
          </w:p>
        </w:tc>
        <w:tc>
          <w:tcPr>
            <w:tcW w:w="120" w:type="dxa"/>
            <w:vAlign w:val="bottom"/>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500</w:t>
            </w:r>
          </w:p>
        </w:tc>
        <w:tc>
          <w:tcPr>
            <w:tcW w:w="0" w:type="dxa"/>
            <w:vAlign w:val="bottom"/>
          </w:tcPr>
          <w:p>
            <w:pPr>
              <w:spacing w:after="0"/>
              <w:rPr>
                <w:sz w:val="1"/>
                <w:szCs w:val="1"/>
                <w:color w:val="auto"/>
              </w:rPr>
            </w:pPr>
          </w:p>
        </w:tc>
      </w:tr>
      <w:tr>
        <w:trPr>
          <w:trHeight w:val="282"/>
        </w:trPr>
        <w:tc>
          <w:tcPr>
            <w:tcW w:w="6740" w:type="dxa"/>
            <w:vAlign w:val="bottom"/>
          </w:tcPr>
          <w:p>
            <w:pPr>
              <w:ind w:left="380"/>
              <w:spacing w:after="0"/>
              <w:rPr>
                <w:sz w:val="20"/>
                <w:szCs w:val="20"/>
                <w:color w:val="auto"/>
              </w:rPr>
            </w:pPr>
            <w:r>
              <w:rPr>
                <w:rFonts w:ascii="Arial" w:cs="Arial" w:eastAsia="Arial" w:hAnsi="Arial"/>
                <w:sz w:val="22"/>
                <w:szCs w:val="22"/>
                <w:color w:val="auto"/>
              </w:rPr>
              <w:t>Total water held for future use</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56,348</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49,326</w:t>
            </w:r>
          </w:p>
        </w:tc>
        <w:tc>
          <w:tcPr>
            <w:tcW w:w="0" w:type="dxa"/>
            <w:vAlign w:val="bottom"/>
          </w:tcPr>
          <w:p>
            <w:pPr>
              <w:spacing w:after="0"/>
              <w:rPr>
                <w:sz w:val="1"/>
                <w:szCs w:val="1"/>
                <w:color w:val="auto"/>
              </w:rPr>
            </w:pPr>
          </w:p>
        </w:tc>
      </w:tr>
      <w:tr>
        <w:trPr>
          <w:trHeight w:val="306"/>
        </w:trPr>
        <w:tc>
          <w:tcPr>
            <w:tcW w:w="6740" w:type="dxa"/>
            <w:vAlign w:val="bottom"/>
            <w:shd w:val="clear" w:color="auto" w:fill="CCEEFF"/>
          </w:tcPr>
          <w:p>
            <w:pPr>
              <w:ind w:left="40"/>
              <w:spacing w:after="0"/>
              <w:rPr>
                <w:sz w:val="20"/>
                <w:szCs w:val="20"/>
                <w:color w:val="auto"/>
              </w:rPr>
            </w:pPr>
            <w:r>
              <w:rPr>
                <w:rFonts w:ascii="Arial" w:cs="Arial" w:eastAsia="Arial" w:hAnsi="Arial"/>
                <w:sz w:val="22"/>
                <w:szCs w:val="22"/>
                <w:color w:val="auto"/>
              </w:rPr>
              <w:t>Purchased water contracts</w:t>
            </w: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40" w:type="dxa"/>
            <w:vAlign w:val="bottom"/>
          </w:tcPr>
          <w:p>
            <w:pPr>
              <w:ind w:left="180"/>
              <w:spacing w:after="0"/>
              <w:rPr>
                <w:sz w:val="20"/>
                <w:szCs w:val="20"/>
                <w:color w:val="auto"/>
              </w:rPr>
            </w:pPr>
            <w:r>
              <w:rPr>
                <w:rFonts w:ascii="Arial" w:cs="Arial" w:eastAsia="Arial" w:hAnsi="Arial"/>
                <w:sz w:val="22"/>
                <w:szCs w:val="22"/>
                <w:color w:val="auto"/>
              </w:rPr>
              <w:t>Water Contracts (Dudley-Ridge, Nickel and Tulare)</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10,137</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10,137</w:t>
            </w:r>
          </w:p>
        </w:tc>
        <w:tc>
          <w:tcPr>
            <w:tcW w:w="0" w:type="dxa"/>
            <w:vAlign w:val="bottom"/>
          </w:tcPr>
          <w:p>
            <w:pPr>
              <w:spacing w:after="0"/>
              <w:rPr>
                <w:sz w:val="1"/>
                <w:szCs w:val="1"/>
                <w:color w:val="auto"/>
              </w:rPr>
            </w:pPr>
          </w:p>
        </w:tc>
      </w:tr>
      <w:tr>
        <w:trPr>
          <w:trHeight w:val="306"/>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WRMWSD - Contracts with Company</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15,547</w:t>
            </w: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15,547</w:t>
            </w:r>
          </w:p>
        </w:tc>
        <w:tc>
          <w:tcPr>
            <w:tcW w:w="0" w:type="dxa"/>
            <w:vAlign w:val="bottom"/>
          </w:tcPr>
          <w:p>
            <w:pPr>
              <w:spacing w:after="0"/>
              <w:rPr>
                <w:sz w:val="1"/>
                <w:szCs w:val="1"/>
                <w:color w:val="auto"/>
              </w:rPr>
            </w:pPr>
          </w:p>
        </w:tc>
      </w:tr>
      <w:tr>
        <w:trPr>
          <w:trHeight w:val="289"/>
        </w:trPr>
        <w:tc>
          <w:tcPr>
            <w:tcW w:w="6740" w:type="dxa"/>
            <w:vAlign w:val="bottom"/>
          </w:tcPr>
          <w:p>
            <w:pPr>
              <w:ind w:left="180"/>
              <w:spacing w:after="0"/>
              <w:rPr>
                <w:sz w:val="20"/>
                <w:szCs w:val="20"/>
                <w:color w:val="auto"/>
              </w:rPr>
            </w:pPr>
            <w:r>
              <w:rPr>
                <w:rFonts w:ascii="Arial" w:cs="Arial" w:eastAsia="Arial" w:hAnsi="Arial"/>
                <w:sz w:val="22"/>
                <w:szCs w:val="22"/>
                <w:color w:val="auto"/>
              </w:rPr>
              <w:t>TCWD - Contracts with Company</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5,749</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5,749</w:t>
            </w:r>
          </w:p>
        </w:tc>
        <w:tc>
          <w:tcPr>
            <w:tcW w:w="0" w:type="dxa"/>
            <w:vAlign w:val="bottom"/>
          </w:tcPr>
          <w:p>
            <w:pPr>
              <w:spacing w:after="0"/>
              <w:rPr>
                <w:sz w:val="1"/>
                <w:szCs w:val="1"/>
                <w:color w:val="auto"/>
              </w:rPr>
            </w:pPr>
          </w:p>
        </w:tc>
      </w:tr>
      <w:tr>
        <w:trPr>
          <w:trHeight w:val="289"/>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TCWD - Banked water contracted to Company</w:t>
            </w:r>
          </w:p>
        </w:tc>
        <w:tc>
          <w:tcPr>
            <w:tcW w:w="230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color w:val="auto"/>
              </w:rPr>
              <w:t>54,351</w:t>
            </w:r>
          </w:p>
        </w:tc>
        <w:tc>
          <w:tcPr>
            <w:tcW w:w="120" w:type="dxa"/>
            <w:vAlign w:val="bottom"/>
            <w:shd w:val="clear" w:color="auto" w:fill="CCEEFF"/>
          </w:tcPr>
          <w:p>
            <w:pPr>
              <w:spacing w:after="0"/>
              <w:rPr>
                <w:sz w:val="24"/>
                <w:szCs w:val="24"/>
                <w:color w:val="auto"/>
              </w:rPr>
            </w:pPr>
          </w:p>
        </w:tc>
        <w:tc>
          <w:tcPr>
            <w:tcW w:w="22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52,547</w:t>
            </w:r>
          </w:p>
        </w:tc>
        <w:tc>
          <w:tcPr>
            <w:tcW w:w="0" w:type="dxa"/>
            <w:vAlign w:val="bottom"/>
          </w:tcPr>
          <w:p>
            <w:pPr>
              <w:spacing w:after="0"/>
              <w:rPr>
                <w:sz w:val="1"/>
                <w:szCs w:val="1"/>
                <w:color w:val="auto"/>
              </w:rPr>
            </w:pPr>
          </w:p>
        </w:tc>
      </w:tr>
      <w:tr>
        <w:trPr>
          <w:trHeight w:val="265"/>
        </w:trPr>
        <w:tc>
          <w:tcPr>
            <w:tcW w:w="6740" w:type="dxa"/>
            <w:vAlign w:val="bottom"/>
            <w:shd w:val="clear" w:color="auto" w:fill="CCEEFF"/>
          </w:tcPr>
          <w:p>
            <w:pPr>
              <w:spacing w:after="0"/>
              <w:rPr>
                <w:sz w:val="22"/>
                <w:szCs w:val="22"/>
                <w:color w:val="auto"/>
              </w:rPr>
            </w:pPr>
          </w:p>
        </w:tc>
        <w:tc>
          <w:tcPr>
            <w:tcW w:w="23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22"/>
                <w:szCs w:val="22"/>
                <w:color w:val="auto"/>
              </w:rPr>
              <w:t>Total purchased water contracts</w:t>
            </w:r>
          </w:p>
        </w:tc>
        <w:tc>
          <w:tcPr>
            <w:tcW w:w="23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85,784</w:t>
            </w:r>
          </w:p>
        </w:tc>
        <w:tc>
          <w:tcPr>
            <w:tcW w:w="12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83,980</w:t>
            </w:r>
          </w:p>
        </w:tc>
        <w:tc>
          <w:tcPr>
            <w:tcW w:w="0" w:type="dxa"/>
            <w:vAlign w:val="bottom"/>
          </w:tcPr>
          <w:p>
            <w:pPr>
              <w:spacing w:after="0"/>
              <w:rPr>
                <w:sz w:val="1"/>
                <w:szCs w:val="1"/>
                <w:color w:val="auto"/>
              </w:rPr>
            </w:pPr>
          </w:p>
        </w:tc>
      </w:tr>
      <w:tr>
        <w:trPr>
          <w:trHeight w:val="29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Total water held for future use and purchased water contracts</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142,132</w:t>
            </w:r>
          </w:p>
        </w:tc>
        <w:tc>
          <w:tcPr>
            <w:tcW w:w="12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133,306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The Company entered into a Water Supply Agreement with Pastoria Energy Facility, L.L.C., or PEF in 2015. PEF is our current lessee under a power plant lease. Pursuant to the Water Supply Agreement, PEF may purchase from the Company up to 3,500 acre-feet of water per year from January 1, 2017 through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2019 is $1,120 per acre-foot,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72" w:right="239" w:bottom="1440" w:gutter="0" w:footer="0" w:header="0"/>
        </w:sectPr>
      </w:pPr>
    </w:p>
    <w:bookmarkStart w:id="16" w:name="page17"/>
    <w:bookmarkEnd w:id="16"/>
    <w:p>
      <w:pPr>
        <w:jc w:val="center"/>
        <w:ind w:right="6720" w:firstLine="8"/>
        <w:spacing w:after="0" w:line="455" w:lineRule="auto"/>
        <w:tabs>
          <w:tab w:leader="none" w:pos="4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ACCRUED LIABILITIES AND OTHER </w:t>
      </w:r>
      <w:r>
        <w:rPr>
          <w:rFonts w:ascii="Arial" w:cs="Arial" w:eastAsia="Arial" w:hAnsi="Arial"/>
          <w:sz w:val="19"/>
          <w:szCs w:val="19"/>
          <w:color w:val="auto"/>
        </w:rPr>
        <w:t>Accrued liabilities and other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20" w:type="dxa"/>
            <w:vAlign w:val="bottom"/>
          </w:tcPr>
          <w:p>
            <w:pPr>
              <w:spacing w:after="0"/>
              <w:rPr>
                <w:sz w:val="24"/>
                <w:szCs w:val="24"/>
                <w:color w:val="auto"/>
              </w:rPr>
            </w:pPr>
          </w:p>
        </w:tc>
        <w:tc>
          <w:tcPr>
            <w:tcW w:w="2200" w:type="dxa"/>
            <w:vAlign w:val="bottom"/>
            <w:gridSpan w:val="2"/>
          </w:tcPr>
          <w:p>
            <w:pPr>
              <w:ind w:left="200"/>
              <w:spacing w:after="0"/>
              <w:rPr>
                <w:sz w:val="20"/>
                <w:szCs w:val="20"/>
                <w:color w:val="auto"/>
              </w:rPr>
            </w:pPr>
            <w:r>
              <w:rPr>
                <w:rFonts w:ascii="Arial" w:cs="Arial" w:eastAsia="Arial" w:hAnsi="Arial"/>
                <w:sz w:val="22"/>
                <w:szCs w:val="22"/>
                <w:color w:val="auto"/>
              </w:rPr>
              <w:t>March 31, 2019</w:t>
            </w:r>
          </w:p>
        </w:tc>
        <w:tc>
          <w:tcPr>
            <w:tcW w:w="240" w:type="dxa"/>
            <w:vAlign w:val="bottom"/>
          </w:tcPr>
          <w:p>
            <w:pPr>
              <w:spacing w:after="0"/>
              <w:rPr>
                <w:sz w:val="24"/>
                <w:szCs w:val="24"/>
                <w:color w:val="auto"/>
              </w:rPr>
            </w:pPr>
          </w:p>
        </w:tc>
        <w:tc>
          <w:tcPr>
            <w:tcW w:w="2160" w:type="dxa"/>
            <w:vAlign w:val="bottom"/>
          </w:tcPr>
          <w:p>
            <w:pPr>
              <w:jc w:val="right"/>
              <w:ind w:right="252"/>
              <w:spacing w:after="0"/>
              <w:rPr>
                <w:sz w:val="20"/>
                <w:szCs w:val="20"/>
                <w:color w:val="auto"/>
              </w:rPr>
            </w:pPr>
            <w:r>
              <w:rPr>
                <w:rFonts w:ascii="Arial" w:cs="Arial" w:eastAsia="Arial" w:hAnsi="Arial"/>
                <w:sz w:val="22"/>
                <w:szCs w:val="22"/>
                <w:color w:val="auto"/>
                <w:w w:val="92"/>
              </w:rPr>
              <w:t>December 31, 2018</w:t>
            </w:r>
          </w:p>
        </w:tc>
      </w:tr>
      <w:tr>
        <w:trPr>
          <w:trHeight w:val="29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Accrued vacation</w:t>
            </w:r>
          </w:p>
        </w:tc>
        <w:tc>
          <w:tcPr>
            <w:tcW w:w="3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790</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761</w:t>
            </w:r>
          </w:p>
        </w:tc>
      </w:tr>
      <w:tr>
        <w:trPr>
          <w:trHeight w:val="289"/>
        </w:trPr>
        <w:tc>
          <w:tcPr>
            <w:tcW w:w="6500" w:type="dxa"/>
            <w:vAlign w:val="bottom"/>
          </w:tcPr>
          <w:p>
            <w:pPr>
              <w:ind w:left="40"/>
              <w:spacing w:after="0"/>
              <w:rPr>
                <w:sz w:val="20"/>
                <w:szCs w:val="20"/>
                <w:color w:val="auto"/>
              </w:rPr>
            </w:pPr>
            <w:r>
              <w:rPr>
                <w:rFonts w:ascii="Arial" w:cs="Arial" w:eastAsia="Arial" w:hAnsi="Arial"/>
                <w:sz w:val="22"/>
                <w:szCs w:val="22"/>
                <w:color w:val="auto"/>
              </w:rPr>
              <w:t>Accrued paid personal leave</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428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416</w:t>
            </w:r>
          </w:p>
        </w:tc>
      </w:tr>
      <w:tr>
        <w:trPr>
          <w:trHeight w:val="306"/>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Accrued bonus</w:t>
            </w:r>
          </w:p>
        </w:tc>
        <w:tc>
          <w:tcPr>
            <w:tcW w:w="3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2,071</w:t>
            </w:r>
          </w:p>
        </w:tc>
      </w:tr>
      <w:tr>
        <w:trPr>
          <w:trHeight w:val="297"/>
        </w:trPr>
        <w:tc>
          <w:tcPr>
            <w:tcW w:w="6500" w:type="dxa"/>
            <w:vAlign w:val="bottom"/>
          </w:tcPr>
          <w:p>
            <w:pPr>
              <w:ind w:left="40"/>
              <w:spacing w:after="0" w:line="297" w:lineRule="exact"/>
              <w:rPr>
                <w:sz w:val="20"/>
                <w:szCs w:val="20"/>
                <w:color w:val="auto"/>
              </w:rPr>
            </w:pPr>
            <w:r>
              <w:rPr>
                <w:rFonts w:ascii="Arial" w:cs="Arial" w:eastAsia="Arial" w:hAnsi="Arial"/>
                <w:sz w:val="22"/>
                <w:szCs w:val="22"/>
                <w:color w:val="auto"/>
              </w:rPr>
              <w:t>Property tax payable</w:t>
            </w:r>
            <w:r>
              <w:rPr>
                <w:rFonts w:ascii="Arial" w:cs="Arial" w:eastAsia="Arial" w:hAnsi="Arial"/>
                <w:sz w:val="28"/>
                <w:szCs w:val="28"/>
                <w:color w:val="auto"/>
                <w:vertAlign w:val="superscript"/>
              </w:rPr>
              <w:t>1</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1,022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331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327</w:t>
            </w:r>
          </w:p>
        </w:tc>
      </w:tr>
      <w:tr>
        <w:trPr>
          <w:trHeight w:val="291"/>
        </w:trPr>
        <w:tc>
          <w:tcPr>
            <w:tcW w:w="6500" w:type="dxa"/>
            <w:vAlign w:val="bottom"/>
          </w:tcPr>
          <w:p>
            <w:pPr>
              <w:spacing w:after="0"/>
              <w:rPr>
                <w:sz w:val="24"/>
                <w:szCs w:val="24"/>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3,218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3,575</w:t>
            </w: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California property taxes are paid every April and December.</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00" w:type="dxa"/>
            <w:vAlign w:val="bottom"/>
          </w:tcPr>
          <w:p>
            <w:pPr>
              <w:spacing w:after="0"/>
              <w:rPr>
                <w:sz w:val="20"/>
                <w:szCs w:val="20"/>
                <w:color w:val="auto"/>
              </w:rPr>
            </w:pPr>
            <w:r>
              <w:rPr>
                <w:rFonts w:ascii="Arial" w:cs="Arial" w:eastAsia="Arial" w:hAnsi="Arial"/>
                <w:sz w:val="22"/>
                <w:szCs w:val="22"/>
                <w:b w:val="1"/>
                <w:bCs w:val="1"/>
                <w:color w:val="auto"/>
              </w:rPr>
              <w:t>7.   LINE OF CREDIT AND LONG-TERM DEBT</w:t>
            </w: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38"/>
        </w:trPr>
        <w:tc>
          <w:tcPr>
            <w:tcW w:w="6500" w:type="dxa"/>
            <w:vAlign w:val="bottom"/>
          </w:tcPr>
          <w:p>
            <w:pPr>
              <w:spacing w:after="0"/>
              <w:rPr>
                <w:sz w:val="20"/>
                <w:szCs w:val="20"/>
                <w:color w:val="auto"/>
              </w:rPr>
            </w:pPr>
            <w:r>
              <w:rPr>
                <w:rFonts w:ascii="Arial" w:cs="Arial" w:eastAsia="Arial" w:hAnsi="Arial"/>
                <w:sz w:val="22"/>
                <w:szCs w:val="22"/>
                <w:color w:val="auto"/>
              </w:rPr>
              <w:t>Debt consists of the following:</w:t>
            </w: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16"/>
        </w:trPr>
        <w:tc>
          <w:tcPr>
            <w:tcW w:w="65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20" w:type="dxa"/>
            <w:vAlign w:val="bottom"/>
          </w:tcPr>
          <w:p>
            <w:pPr>
              <w:spacing w:after="0"/>
              <w:rPr>
                <w:sz w:val="24"/>
                <w:szCs w:val="24"/>
                <w:color w:val="auto"/>
              </w:rPr>
            </w:pPr>
          </w:p>
        </w:tc>
        <w:tc>
          <w:tcPr>
            <w:tcW w:w="2200" w:type="dxa"/>
            <w:vAlign w:val="bottom"/>
            <w:gridSpan w:val="2"/>
          </w:tcPr>
          <w:p>
            <w:pPr>
              <w:ind w:left="200"/>
              <w:spacing w:after="0"/>
              <w:rPr>
                <w:sz w:val="20"/>
                <w:szCs w:val="20"/>
                <w:color w:val="auto"/>
              </w:rPr>
            </w:pPr>
            <w:r>
              <w:rPr>
                <w:rFonts w:ascii="Arial" w:cs="Arial" w:eastAsia="Arial" w:hAnsi="Arial"/>
                <w:sz w:val="22"/>
                <w:szCs w:val="22"/>
                <w:color w:val="auto"/>
              </w:rPr>
              <w:t>March 31, 2019</w:t>
            </w:r>
          </w:p>
        </w:tc>
        <w:tc>
          <w:tcPr>
            <w:tcW w:w="240" w:type="dxa"/>
            <w:vAlign w:val="bottom"/>
          </w:tcPr>
          <w:p>
            <w:pPr>
              <w:spacing w:after="0"/>
              <w:rPr>
                <w:sz w:val="24"/>
                <w:szCs w:val="24"/>
                <w:color w:val="auto"/>
              </w:rPr>
            </w:pPr>
          </w:p>
        </w:tc>
        <w:tc>
          <w:tcPr>
            <w:tcW w:w="2160" w:type="dxa"/>
            <w:vAlign w:val="bottom"/>
          </w:tcPr>
          <w:p>
            <w:pPr>
              <w:jc w:val="right"/>
              <w:ind w:right="252"/>
              <w:spacing w:after="0"/>
              <w:rPr>
                <w:sz w:val="20"/>
                <w:szCs w:val="20"/>
                <w:color w:val="auto"/>
              </w:rPr>
            </w:pPr>
            <w:r>
              <w:rPr>
                <w:rFonts w:ascii="Arial" w:cs="Arial" w:eastAsia="Arial" w:hAnsi="Arial"/>
                <w:sz w:val="22"/>
                <w:szCs w:val="22"/>
                <w:color w:val="auto"/>
                <w:w w:val="92"/>
              </w:rPr>
              <w:t>December 31, 2018</w:t>
            </w:r>
          </w:p>
        </w:tc>
      </w:tr>
      <w:tr>
        <w:trPr>
          <w:trHeight w:val="29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Notes payable</w:t>
            </w:r>
          </w:p>
        </w:tc>
        <w:tc>
          <w:tcPr>
            <w:tcW w:w="320" w:type="dxa"/>
            <w:vAlign w:val="bottom"/>
            <w:tcBorders>
              <w:top w:val="single" w:sz="8" w:color="auto"/>
            </w:tcBorders>
            <w:shd w:val="clear" w:color="auto" w:fill="CCEEFF"/>
          </w:tcPr>
          <w:p>
            <w:pPr>
              <w:spacing w:after="0"/>
              <w:rPr>
                <w:sz w:val="24"/>
                <w:szCs w:val="24"/>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64,908</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65,901</w:t>
            </w:r>
          </w:p>
        </w:tc>
      </w:tr>
      <w:tr>
        <w:trPr>
          <w:trHeight w:val="291"/>
        </w:trPr>
        <w:tc>
          <w:tcPr>
            <w:tcW w:w="6500" w:type="dxa"/>
            <w:vAlign w:val="bottom"/>
          </w:tcPr>
          <w:p>
            <w:pPr>
              <w:ind w:left="40"/>
              <w:spacing w:after="0"/>
              <w:rPr>
                <w:sz w:val="20"/>
                <w:szCs w:val="20"/>
                <w:color w:val="auto"/>
              </w:rPr>
            </w:pPr>
            <w:r>
              <w:rPr>
                <w:rFonts w:ascii="Arial" w:cs="Arial" w:eastAsia="Arial" w:hAnsi="Arial"/>
                <w:sz w:val="22"/>
                <w:szCs w:val="22"/>
                <w:color w:val="auto"/>
              </w:rPr>
              <w:t>Other borrowings</w:t>
            </w:r>
          </w:p>
        </w:tc>
        <w:tc>
          <w:tcPr>
            <w:tcW w:w="320" w:type="dxa"/>
            <w:vAlign w:val="bottom"/>
          </w:tcPr>
          <w:p>
            <w:pPr>
              <w:spacing w:after="0"/>
              <w:rPr>
                <w:sz w:val="24"/>
                <w:szCs w:val="24"/>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65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22"/>
                <w:szCs w:val="22"/>
                <w:color w:val="auto"/>
              </w:rPr>
              <w:t>Total short-term and long-term debt</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64,908</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65,915</w:t>
            </w:r>
          </w:p>
        </w:tc>
      </w:tr>
      <w:tr>
        <w:trPr>
          <w:trHeight w:val="282"/>
        </w:trPr>
        <w:tc>
          <w:tcPr>
            <w:tcW w:w="6500" w:type="dxa"/>
            <w:vAlign w:val="bottom"/>
          </w:tcPr>
          <w:p>
            <w:pPr>
              <w:ind w:left="40"/>
              <w:spacing w:after="0"/>
              <w:rPr>
                <w:sz w:val="20"/>
                <w:szCs w:val="20"/>
                <w:color w:val="auto"/>
              </w:rPr>
            </w:pPr>
            <w:r>
              <w:rPr>
                <w:rFonts w:ascii="Arial" w:cs="Arial" w:eastAsia="Arial" w:hAnsi="Arial"/>
                <w:sz w:val="22"/>
                <w:szCs w:val="22"/>
                <w:color w:val="auto"/>
              </w:rPr>
              <w:t>Less: line-of-credit and current maturities of long-term debt</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(4,048)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(4,018)</w:t>
            </w:r>
          </w:p>
        </w:tc>
      </w:tr>
      <w:tr>
        <w:trPr>
          <w:trHeight w:val="306"/>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Less: deferred loan costs</w:t>
            </w:r>
          </w:p>
        </w:tc>
        <w:tc>
          <w:tcPr>
            <w:tcW w:w="3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(117)</w:t>
            </w:r>
          </w:p>
        </w:tc>
      </w:tr>
      <w:tr>
        <w:trPr>
          <w:trHeight w:val="284"/>
        </w:trPr>
        <w:tc>
          <w:tcPr>
            <w:tcW w:w="6500" w:type="dxa"/>
            <w:vAlign w:val="bottom"/>
          </w:tcPr>
          <w:p>
            <w:pPr>
              <w:ind w:left="40"/>
              <w:spacing w:after="0"/>
              <w:rPr>
                <w:sz w:val="20"/>
                <w:szCs w:val="20"/>
                <w:color w:val="auto"/>
              </w:rPr>
            </w:pPr>
            <w:r>
              <w:rPr>
                <w:rFonts w:ascii="Arial" w:cs="Arial" w:eastAsia="Arial" w:hAnsi="Arial"/>
                <w:sz w:val="22"/>
                <w:szCs w:val="22"/>
                <w:color w:val="auto"/>
              </w:rPr>
              <w:t>Long-term debt, less current portion</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60,749</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61,780</w:t>
            </w: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0"/>
        <w:spacing w:after="0" w:line="265" w:lineRule="auto"/>
        <w:rPr>
          <w:sz w:val="20"/>
          <w:szCs w:val="20"/>
          <w:color w:val="auto"/>
        </w:rPr>
      </w:pPr>
      <w:r>
        <w:rPr>
          <w:rFonts w:ascii="Arial" w:cs="Arial" w:eastAsia="Arial" w:hAnsi="Arial"/>
          <w:sz w:val="21"/>
          <w:szCs w:val="21"/>
          <w:color w:val="auto"/>
        </w:rPr>
        <w:t>On October 13, 2014, the Company as borrower entered into an Amended and Restated Credit Agreement, a Term Note and a Revolving Line of Credit Note (collectively, the Credit Facility) with Wells Fargo. The Credit Facility added a $70,000,000 term loan, or Term Loan, to the existing $30,000,000 revolving line of credit, or RLC. Funds from the Term Loan were used to finance the Company's purchase of DMB TMV LLC’s interest in TMV LLC in 2014.</w:t>
      </w:r>
    </w:p>
    <w:p>
      <w:pPr>
        <w:spacing w:after="0" w:line="122"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The Term Loan had outstanding balances of $61,561,000 and $62,483,000 as of March 31, 2019 and December 31, 2018, respectively. The interest rate per annum applicable to the Term Loan is LIBOR (as defined in the Term Note) plus a margin of 170 basis points. The interest rate for the term of the Term Note has been fixed through the use of an interest rate swap at a rate of</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4.11%. The Term Loan requires monthly amortization payments pursuant to a schedule set forth in the Term Note, with the final outstanding principal amount due October 5, 2024. The Company may make voluntary prepayments on the Term Loan at any time without penalty (excluding any applicable LIBOR or interest rate swap breakage costs). Each optional prepayment will be applied to reduce the most remote principal payment then unpaid. The Credit Facility is secured by the Company's farmland and farm assets, which include equipment, crops and crop receivables; the PEF power plant lease and lease site; and related accounts and other rights to payment and inventory.</w:t>
      </w:r>
    </w:p>
    <w:p>
      <w:pPr>
        <w:spacing w:after="0" w:line="126" w:lineRule="exact"/>
        <w:rPr>
          <w:sz w:val="20"/>
          <w:szCs w:val="20"/>
          <w:color w:val="auto"/>
        </w:rPr>
      </w:pPr>
    </w:p>
    <w:p>
      <w:pPr>
        <w:ind w:right="180"/>
        <w:spacing w:after="0" w:line="248" w:lineRule="auto"/>
        <w:rPr>
          <w:sz w:val="20"/>
          <w:szCs w:val="20"/>
          <w:color w:val="auto"/>
        </w:rPr>
      </w:pPr>
      <w:r>
        <w:rPr>
          <w:rFonts w:ascii="Arial" w:cs="Arial" w:eastAsia="Arial" w:hAnsi="Arial"/>
          <w:sz w:val="22"/>
          <w:szCs w:val="22"/>
          <w:color w:val="auto"/>
        </w:rPr>
        <w:t>The RLC had no outstanding balance as of March 31, 2019 and December 31, 2018. At the Company’s option, the interest rate on this line of credit can float at 1.50% over a selected LIBOR rate or can be fixed at 1.50% above LIBOR for a fixed rate term. During the term of this RLC (which matures in September 2019), we can borrow at any time and partially or wholly repay any outstanding borrowings and then re-borrow, as necessary. We anticipate renewing the RLC in September 2019 at similar terms as the expiring terms.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7" w:right="239" w:bottom="1440" w:gutter="0" w:footer="0" w:header="0"/>
        </w:sectPr>
      </w:pPr>
    </w:p>
    <w:bookmarkStart w:id="17" w:name="page18"/>
    <w:bookmarkEnd w:id="17"/>
    <w:p>
      <w:pPr>
        <w:ind w:right="40"/>
        <w:spacing w:after="0" w:line="302" w:lineRule="auto"/>
        <w:rPr>
          <w:sz w:val="20"/>
          <w:szCs w:val="20"/>
          <w:color w:val="auto"/>
        </w:rPr>
      </w:pPr>
      <w:r>
        <w:rPr>
          <w:rFonts w:ascii="Arial" w:cs="Arial" w:eastAsia="Arial" w:hAnsi="Arial"/>
          <w:sz w:val="19"/>
          <w:szCs w:val="19"/>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89"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color w:val="auto"/>
        </w:rPr>
        <w:t>The Credit Facility requires compliance with three financial covenants: (i) total liabilities divided by tangible net worth not greater than 0.75 to 1.0 at each quarter end; (ii) a debt service coverage ratio not less than 1.25 to 1.00 as of each quarter end on a rolling four quarter basis; and (iii) maintain liquid assets equal to or greater than $20,000,000, including availability on RLC. At March 31, 2019 and December 31, 2018, we were in compliance with all financial covenants.</w:t>
      </w:r>
    </w:p>
    <w:p>
      <w:pPr>
        <w:spacing w:after="0" w:line="12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13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Credit Facility contains customary events of default, including: failure to make required payments; failure to comply with terms of the Credit Facility; bankruptcy and insolvency; and a change in control without consent of the bank (which consent will not be unreasonably withheld). The Credit Facility contains other customary terms and conditions, including representations and warranties, which are typical for credit facilities of this type.</w:t>
      </w:r>
    </w:p>
    <w:p>
      <w:pPr>
        <w:spacing w:after="0" w:line="134"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In 2013, we entered into a promissory note agreement, secured by real estate, with CMFG Life Insurance Company to pay a principal amount of $4,750,000 with principal and interest due monthly starting on October 1, 2013. The interest rate on this promissory note is 4.25% per annum, with monthly principal and interest payments of $36,000 ending on September 1, 2028. The proceeds from this promissory note were used to eliminate debt that had been previously used to provide long-term financing for a building being leased to Starbucks and provide additional working capital for future investment. The current balance on the note was $3,347,000 on March 31, 2019. The balance of this long-term debt instrument included in "Notes payable" above approximates the fair value of the instrument.</w:t>
      </w:r>
    </w:p>
    <w:p>
      <w:pPr>
        <w:spacing w:after="0" w:line="200" w:lineRule="exact"/>
        <w:rPr>
          <w:sz w:val="20"/>
          <w:szCs w:val="20"/>
          <w:color w:val="auto"/>
        </w:rPr>
      </w:pPr>
    </w:p>
    <w:p>
      <w:pPr>
        <w:spacing w:after="0" w:line="34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OTHER LIABILITIES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Other liabilities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20" w:type="dxa"/>
            <w:vAlign w:val="bottom"/>
          </w:tcPr>
          <w:p>
            <w:pPr>
              <w:spacing w:after="0"/>
              <w:rPr>
                <w:sz w:val="24"/>
                <w:szCs w:val="24"/>
                <w:color w:val="auto"/>
              </w:rPr>
            </w:pPr>
          </w:p>
        </w:tc>
        <w:tc>
          <w:tcPr>
            <w:tcW w:w="2200" w:type="dxa"/>
            <w:vAlign w:val="bottom"/>
            <w:gridSpan w:val="2"/>
          </w:tcPr>
          <w:p>
            <w:pPr>
              <w:ind w:left="200"/>
              <w:spacing w:after="0"/>
              <w:rPr>
                <w:sz w:val="20"/>
                <w:szCs w:val="20"/>
                <w:color w:val="auto"/>
              </w:rPr>
            </w:pPr>
            <w:r>
              <w:rPr>
                <w:rFonts w:ascii="Arial" w:cs="Arial" w:eastAsia="Arial" w:hAnsi="Arial"/>
                <w:sz w:val="22"/>
                <w:szCs w:val="22"/>
                <w:color w:val="auto"/>
              </w:rPr>
              <w:t>March 31, 2019</w:t>
            </w:r>
          </w:p>
        </w:tc>
        <w:tc>
          <w:tcPr>
            <w:tcW w:w="240" w:type="dxa"/>
            <w:vAlign w:val="bottom"/>
          </w:tcPr>
          <w:p>
            <w:pPr>
              <w:spacing w:after="0"/>
              <w:rPr>
                <w:sz w:val="24"/>
                <w:szCs w:val="24"/>
                <w:color w:val="auto"/>
              </w:rPr>
            </w:pPr>
          </w:p>
        </w:tc>
        <w:tc>
          <w:tcPr>
            <w:tcW w:w="2160" w:type="dxa"/>
            <w:vAlign w:val="bottom"/>
          </w:tcPr>
          <w:p>
            <w:pPr>
              <w:jc w:val="right"/>
              <w:ind w:right="252"/>
              <w:spacing w:after="0"/>
              <w:rPr>
                <w:sz w:val="20"/>
                <w:szCs w:val="20"/>
                <w:color w:val="auto"/>
              </w:rPr>
            </w:pPr>
            <w:r>
              <w:rPr>
                <w:rFonts w:ascii="Arial" w:cs="Arial" w:eastAsia="Arial" w:hAnsi="Arial"/>
                <w:sz w:val="22"/>
                <w:szCs w:val="22"/>
                <w:color w:val="auto"/>
                <w:w w:val="92"/>
              </w:rPr>
              <w:t>December 31, 2018</w:t>
            </w:r>
          </w:p>
        </w:tc>
      </w:tr>
      <w:tr>
        <w:trPr>
          <w:trHeight w:val="29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Pension liability (Note 13)</w:t>
            </w:r>
          </w:p>
        </w:tc>
        <w:tc>
          <w:tcPr>
            <w:tcW w:w="3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2,133</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2,148</w:t>
            </w:r>
          </w:p>
        </w:tc>
      </w:tr>
      <w:tr>
        <w:trPr>
          <w:trHeight w:val="297"/>
        </w:trPr>
        <w:tc>
          <w:tcPr>
            <w:tcW w:w="6500" w:type="dxa"/>
            <w:vAlign w:val="bottom"/>
          </w:tcPr>
          <w:p>
            <w:pPr>
              <w:ind w:left="40"/>
              <w:spacing w:after="0" w:line="297" w:lineRule="exact"/>
              <w:rPr>
                <w:sz w:val="20"/>
                <w:szCs w:val="20"/>
                <w:color w:val="auto"/>
              </w:rPr>
            </w:pPr>
            <w:r>
              <w:rPr>
                <w:rFonts w:ascii="Arial" w:cs="Arial" w:eastAsia="Arial" w:hAnsi="Arial"/>
                <w:sz w:val="22"/>
                <w:szCs w:val="22"/>
                <w:color w:val="auto"/>
              </w:rPr>
              <w:t>Interest rate swap liability (Note 10)</w:t>
            </w:r>
            <w:r>
              <w:rPr>
                <w:rFonts w:ascii="Arial" w:cs="Arial" w:eastAsia="Arial" w:hAnsi="Arial"/>
                <w:sz w:val="28"/>
                <w:szCs w:val="28"/>
                <w:color w:val="auto"/>
                <w:vertAlign w:val="superscript"/>
              </w:rPr>
              <w:t>1</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640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Supplemental executive retirement plan liability (Note 13)</w:t>
            </w:r>
          </w:p>
        </w:tc>
        <w:tc>
          <w:tcPr>
            <w:tcW w:w="3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7,750</w:t>
            </w:r>
          </w:p>
        </w:tc>
      </w:tr>
      <w:tr>
        <w:trPr>
          <w:trHeight w:val="291"/>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Excess joint venture distributions and other</w:t>
            </w: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2,763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2,800</w:t>
            </w:r>
          </w:p>
        </w:tc>
      </w:tr>
      <w:tr>
        <w:trPr>
          <w:trHeight w:val="291"/>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2"/>
                <w:szCs w:val="22"/>
                <w:color w:val="auto"/>
              </w:rPr>
              <w:t>Total</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13,245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12,698</w:t>
            </w: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0" w:right="400"/>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Company's interest rate swap had an asset balance of $93,000 as of December 31, 2018 and is recorded under the caption Other Assets on the Consolidated Balance Sheets.</w:t>
      </w:r>
    </w:p>
    <w:p>
      <w:pPr>
        <w:spacing w:after="0" w:line="107"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For the captions presented in the table above, please refer to the respective Notes to Unaudited Consolidated Financial Statements for further detail.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53" w:right="239" w:bottom="1440" w:gutter="0" w:footer="0" w:header="0"/>
        </w:sectPr>
      </w:pPr>
    </w:p>
    <w:bookmarkStart w:id="18" w:name="page19"/>
    <w:bookmarkEnd w:id="18"/>
    <w:p>
      <w:pPr>
        <w:ind w:left="440" w:hanging="432"/>
        <w:spacing w:after="0"/>
        <w:tabs>
          <w:tab w:leader="none" w:pos="4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STOCK COMPENSATION - RESTRICTED STOCK AND PERFORMANCE SHARE GRANTS</w:t>
      </w:r>
    </w:p>
    <w:p>
      <w:pPr>
        <w:spacing w:after="0" w:line="91"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Performance Condition Grants; and performance share grants that include threshold, target, and maximum achievement levels based on the achievement of specific performance milestones, or Performance Milestone Grants. The Company has also granted performance share grants that contain both performance-based and market-based conditions. Compensation cost for these awards is recognized based on either the achievement of the performance-based conditions, if they are considered probable, or if they are not considered probable, on the achievement of the market-based condition. Failure to satisfy the threshold performance conditions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the Company's Performance Condition Grants as of the three months ended March 31,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5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jc w:val="right"/>
              <w:ind w:right="4272"/>
              <w:spacing w:after="0"/>
              <w:rPr>
                <w:sz w:val="20"/>
                <w:szCs w:val="20"/>
                <w:color w:val="auto"/>
              </w:rPr>
            </w:pPr>
            <w:r>
              <w:rPr>
                <w:rFonts w:ascii="Arial" w:cs="Arial" w:eastAsia="Arial" w:hAnsi="Arial"/>
                <w:sz w:val="22"/>
                <w:szCs w:val="22"/>
                <w:color w:val="auto"/>
              </w:rPr>
              <w:t>Performance Condition Grants</w:t>
            </w:r>
          </w:p>
        </w:tc>
      </w:tr>
      <w:tr>
        <w:trPr>
          <w:trHeight w:val="297"/>
        </w:trPr>
        <w:tc>
          <w:tcPr>
            <w:tcW w:w="3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Below threshold performance</w:t>
            </w:r>
          </w:p>
        </w:tc>
        <w:tc>
          <w:tcPr>
            <w:tcW w:w="7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9"/>
        </w:trPr>
        <w:tc>
          <w:tcPr>
            <w:tcW w:w="3500" w:type="dxa"/>
            <w:vAlign w:val="bottom"/>
          </w:tcPr>
          <w:p>
            <w:pPr>
              <w:ind w:left="40"/>
              <w:spacing w:after="0"/>
              <w:rPr>
                <w:sz w:val="20"/>
                <w:szCs w:val="20"/>
                <w:color w:val="auto"/>
              </w:rPr>
            </w:pPr>
            <w:r>
              <w:rPr>
                <w:rFonts w:ascii="Arial" w:cs="Arial" w:eastAsia="Arial" w:hAnsi="Arial"/>
                <w:sz w:val="22"/>
                <w:szCs w:val="22"/>
                <w:color w:val="auto"/>
              </w:rPr>
              <w:t>Threshold performance</w:t>
            </w:r>
          </w:p>
        </w:tc>
        <w:tc>
          <w:tcPr>
            <w:tcW w:w="7920" w:type="dxa"/>
            <w:vAlign w:val="bottom"/>
          </w:tcPr>
          <w:p>
            <w:pPr>
              <w:jc w:val="right"/>
              <w:spacing w:after="0"/>
              <w:rPr>
                <w:sz w:val="20"/>
                <w:szCs w:val="20"/>
                <w:color w:val="auto"/>
              </w:rPr>
            </w:pPr>
            <w:r>
              <w:rPr>
                <w:rFonts w:ascii="Arial" w:cs="Arial" w:eastAsia="Arial" w:hAnsi="Arial"/>
                <w:sz w:val="22"/>
                <w:szCs w:val="22"/>
                <w:color w:val="auto"/>
              </w:rPr>
              <w:t>186,366</w:t>
            </w:r>
          </w:p>
        </w:tc>
      </w:tr>
      <w:tr>
        <w:trPr>
          <w:trHeight w:val="306"/>
        </w:trPr>
        <w:tc>
          <w:tcPr>
            <w:tcW w:w="3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Target performance</w:t>
            </w:r>
          </w:p>
        </w:tc>
        <w:tc>
          <w:tcPr>
            <w:tcW w:w="7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422,264</w:t>
            </w:r>
          </w:p>
        </w:tc>
      </w:tr>
      <w:tr>
        <w:trPr>
          <w:trHeight w:val="280"/>
        </w:trPr>
        <w:tc>
          <w:tcPr>
            <w:tcW w:w="3500" w:type="dxa"/>
            <w:vAlign w:val="bottom"/>
          </w:tcPr>
          <w:p>
            <w:pPr>
              <w:ind w:left="40"/>
              <w:spacing w:after="0"/>
              <w:rPr>
                <w:sz w:val="20"/>
                <w:szCs w:val="20"/>
                <w:color w:val="auto"/>
              </w:rPr>
            </w:pPr>
            <w:r>
              <w:rPr>
                <w:rFonts w:ascii="Arial" w:cs="Arial" w:eastAsia="Arial" w:hAnsi="Arial"/>
                <w:sz w:val="22"/>
                <w:szCs w:val="22"/>
                <w:color w:val="auto"/>
              </w:rPr>
              <w:t>Maximum performance</w:t>
            </w:r>
          </w:p>
        </w:tc>
        <w:tc>
          <w:tcPr>
            <w:tcW w:w="7920" w:type="dxa"/>
            <w:vAlign w:val="bottom"/>
          </w:tcPr>
          <w:p>
            <w:pPr>
              <w:jc w:val="right"/>
              <w:spacing w:after="0"/>
              <w:rPr>
                <w:sz w:val="20"/>
                <w:szCs w:val="20"/>
                <w:color w:val="auto"/>
              </w:rPr>
            </w:pPr>
            <w:r>
              <w:rPr>
                <w:rFonts w:ascii="Arial" w:cs="Arial" w:eastAsia="Arial" w:hAnsi="Arial"/>
                <w:sz w:val="22"/>
                <w:szCs w:val="22"/>
                <w:color w:val="auto"/>
              </w:rPr>
              <w:t>640,981</w:t>
            </w:r>
          </w:p>
        </w:tc>
      </w:tr>
    </w:tbl>
    <w:p>
      <w:pPr>
        <w:spacing w:after="0" w:line="171" w:lineRule="exact"/>
        <w:rPr>
          <w:sz w:val="20"/>
          <w:szCs w:val="20"/>
          <w:color w:val="auto"/>
        </w:rPr>
      </w:pPr>
    </w:p>
    <w:p>
      <w:pPr>
        <w:ind w:right="800"/>
        <w:spacing w:after="0" w:line="287" w:lineRule="auto"/>
        <w:rPr>
          <w:sz w:val="20"/>
          <w:szCs w:val="20"/>
          <w:color w:val="auto"/>
        </w:rPr>
      </w:pPr>
      <w:r>
        <w:rPr>
          <w:rFonts w:ascii="Arial" w:cs="Arial" w:eastAsia="Arial" w:hAnsi="Arial"/>
          <w:sz w:val="21"/>
          <w:szCs w:val="21"/>
          <w:color w:val="auto"/>
        </w:rPr>
        <w:t>The following is a summary of the Company’s stock grant activity, both time and performance unit grants, assuming target achievement for outstanding performance grants for the three months ended March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36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March 31, 2019</w:t>
            </w:r>
          </w:p>
        </w:tc>
        <w:tc>
          <w:tcPr>
            <w:tcW w:w="0" w:type="dxa"/>
            <w:vAlign w:val="bottom"/>
          </w:tcPr>
          <w:p>
            <w:pPr>
              <w:spacing w:after="0"/>
              <w:rPr>
                <w:sz w:val="1"/>
                <w:szCs w:val="1"/>
                <w:color w:val="auto"/>
              </w:rPr>
            </w:pPr>
          </w:p>
        </w:tc>
      </w:tr>
      <w:tr>
        <w:trPr>
          <w:trHeight w:val="297"/>
        </w:trPr>
        <w:tc>
          <w:tcPr>
            <w:tcW w:w="9360" w:type="dxa"/>
            <w:vAlign w:val="bottom"/>
            <w:shd w:val="clear" w:color="auto" w:fill="CCEEFF"/>
          </w:tcPr>
          <w:p>
            <w:pPr>
              <w:ind w:left="40"/>
              <w:spacing w:after="0"/>
              <w:rPr>
                <w:sz w:val="20"/>
                <w:szCs w:val="20"/>
                <w:color w:val="auto"/>
              </w:rPr>
            </w:pPr>
            <w:r>
              <w:rPr>
                <w:rFonts w:ascii="Arial" w:cs="Arial" w:eastAsia="Arial" w:hAnsi="Arial"/>
                <w:sz w:val="22"/>
                <w:szCs w:val="22"/>
                <w:color w:val="auto"/>
              </w:rPr>
              <w:t>Stock Grants Outstanding Beginning of Period at Target Achievement</w:t>
            </w:r>
          </w:p>
        </w:tc>
        <w:tc>
          <w:tcPr>
            <w:tcW w:w="2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538,599</w:t>
            </w:r>
          </w:p>
        </w:tc>
        <w:tc>
          <w:tcPr>
            <w:tcW w:w="0" w:type="dxa"/>
            <w:vAlign w:val="bottom"/>
          </w:tcPr>
          <w:p>
            <w:pPr>
              <w:spacing w:after="0"/>
              <w:rPr>
                <w:sz w:val="1"/>
                <w:szCs w:val="1"/>
                <w:color w:val="auto"/>
              </w:rPr>
            </w:pPr>
          </w:p>
        </w:tc>
      </w:tr>
      <w:tr>
        <w:trPr>
          <w:trHeight w:val="289"/>
        </w:trPr>
        <w:tc>
          <w:tcPr>
            <w:tcW w:w="9360" w:type="dxa"/>
            <w:vAlign w:val="bottom"/>
          </w:tcPr>
          <w:p>
            <w:pPr>
              <w:ind w:left="40"/>
              <w:spacing w:after="0"/>
              <w:rPr>
                <w:sz w:val="20"/>
                <w:szCs w:val="20"/>
                <w:color w:val="auto"/>
              </w:rPr>
            </w:pPr>
            <w:r>
              <w:rPr>
                <w:rFonts w:ascii="Arial" w:cs="Arial" w:eastAsia="Arial" w:hAnsi="Arial"/>
                <w:sz w:val="22"/>
                <w:szCs w:val="22"/>
                <w:color w:val="auto"/>
              </w:rPr>
              <w:t>New Stock Grants/Additional Shares due to Achievement in Excess of Target</w:t>
            </w:r>
          </w:p>
        </w:tc>
        <w:tc>
          <w:tcPr>
            <w:tcW w:w="2060" w:type="dxa"/>
            <w:vAlign w:val="bottom"/>
          </w:tcPr>
          <w:p>
            <w:pPr>
              <w:jc w:val="right"/>
              <w:spacing w:after="0"/>
              <w:rPr>
                <w:sz w:val="20"/>
                <w:szCs w:val="20"/>
                <w:color w:val="auto"/>
              </w:rPr>
            </w:pPr>
            <w:r>
              <w:rPr>
                <w:rFonts w:ascii="Arial" w:cs="Arial" w:eastAsia="Arial" w:hAnsi="Arial"/>
                <w:sz w:val="22"/>
                <w:szCs w:val="22"/>
                <w:color w:val="auto"/>
              </w:rPr>
              <w:t>115,426</w:t>
            </w:r>
          </w:p>
        </w:tc>
        <w:tc>
          <w:tcPr>
            <w:tcW w:w="0" w:type="dxa"/>
            <w:vAlign w:val="bottom"/>
          </w:tcPr>
          <w:p>
            <w:pPr>
              <w:spacing w:after="0"/>
              <w:rPr>
                <w:sz w:val="1"/>
                <w:szCs w:val="1"/>
                <w:color w:val="auto"/>
              </w:rPr>
            </w:pPr>
          </w:p>
        </w:tc>
      </w:tr>
      <w:tr>
        <w:trPr>
          <w:trHeight w:val="306"/>
        </w:trPr>
        <w:tc>
          <w:tcPr>
            <w:tcW w:w="9360" w:type="dxa"/>
            <w:vAlign w:val="bottom"/>
            <w:shd w:val="clear" w:color="auto" w:fill="CCEEFF"/>
          </w:tcPr>
          <w:p>
            <w:pPr>
              <w:ind w:left="40"/>
              <w:spacing w:after="0"/>
              <w:rPr>
                <w:sz w:val="20"/>
                <w:szCs w:val="20"/>
                <w:color w:val="auto"/>
              </w:rPr>
            </w:pPr>
            <w:r>
              <w:rPr>
                <w:rFonts w:ascii="Arial" w:cs="Arial" w:eastAsia="Arial" w:hAnsi="Arial"/>
                <w:sz w:val="22"/>
                <w:szCs w:val="22"/>
                <w:color w:val="auto"/>
              </w:rPr>
              <w:t>Vested Grants</w:t>
            </w:r>
          </w:p>
        </w:tc>
        <w:tc>
          <w:tcPr>
            <w:tcW w:w="2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(82,112)</w:t>
            </w:r>
          </w:p>
        </w:tc>
        <w:tc>
          <w:tcPr>
            <w:tcW w:w="0" w:type="dxa"/>
            <w:vAlign w:val="bottom"/>
          </w:tcPr>
          <w:p>
            <w:pPr>
              <w:spacing w:after="0"/>
              <w:rPr>
                <w:sz w:val="1"/>
                <w:szCs w:val="1"/>
                <w:color w:val="auto"/>
              </w:rPr>
            </w:pPr>
          </w:p>
        </w:tc>
      </w:tr>
      <w:tr>
        <w:trPr>
          <w:trHeight w:val="291"/>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Expired/Forfeited Grants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1"/>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Stock Grants Outstanding End of Period at Target Achievement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571,913</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5620"/>
              <w:spacing w:after="0"/>
              <w:rPr>
                <w:sz w:val="20"/>
                <w:szCs w:val="20"/>
                <w:color w:val="auto"/>
              </w:rPr>
            </w:pPr>
            <w:r>
              <w:rPr>
                <w:rFonts w:ascii="Arial" w:cs="Arial" w:eastAsia="Arial" w:hAnsi="Arial"/>
                <w:sz w:val="18"/>
                <w:szCs w:val="18"/>
                <w:color w:val="auto"/>
              </w:rPr>
              <w:t>19</w:t>
            </w: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936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1" w:right="239" w:bottom="1440" w:gutter="0" w:footer="0" w:header="0"/>
        </w:sectPr>
      </w:pPr>
    </w:p>
    <w:bookmarkStart w:id="19" w:name="page20"/>
    <w:bookmarkEnd w:id="19"/>
    <w:p>
      <w:pPr>
        <w:ind w:right="20"/>
        <w:spacing w:after="0" w:line="288" w:lineRule="auto"/>
        <w:rPr>
          <w:sz w:val="20"/>
          <w:szCs w:val="20"/>
          <w:color w:val="auto"/>
        </w:rPr>
      </w:pPr>
      <w:r>
        <w:rPr>
          <w:rFonts w:ascii="Arial" w:cs="Arial" w:eastAsia="Arial" w:hAnsi="Arial"/>
          <w:sz w:val="19"/>
          <w:szCs w:val="19"/>
          <w:color w:val="auto"/>
        </w:rPr>
        <w:t>The unamortized cost associated with unvested stock grants and the weighted average period over which it is expected to be recognized as of March 31, 2019 were $5,695,000 and 21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we determine based on historic and projected results, the probability of (1) achieving the performance objective and (2) the level of achievement. Based on this information, we determine the fair value of the award and measure the expense over the service period related to these grants. Because the ultimate vesting of all performance grants is tied to the achievement of a performance condition, we estimate whether the performance condition will be met and over what period of time. Ultimately, we adjust compensation cost according to the actual outcome of the performance condition.</w:t>
      </w:r>
    </w:p>
    <w:p>
      <w:pPr>
        <w:spacing w:after="0" w:line="101" w:lineRule="exact"/>
        <w:rPr>
          <w:sz w:val="20"/>
          <w:szCs w:val="20"/>
          <w:color w:val="auto"/>
        </w:rPr>
      </w:pPr>
    </w:p>
    <w:p>
      <w:pPr>
        <w:ind w:right="500"/>
        <w:spacing w:after="0" w:line="343" w:lineRule="auto"/>
        <w:rPr>
          <w:sz w:val="20"/>
          <w:szCs w:val="20"/>
          <w:color w:val="auto"/>
        </w:rPr>
      </w:pPr>
      <w:r>
        <w:rPr>
          <w:rFonts w:ascii="Arial" w:cs="Arial" w:eastAsia="Arial" w:hAnsi="Arial"/>
          <w:sz w:val="19"/>
          <w:szCs w:val="19"/>
          <w:color w:val="auto"/>
        </w:rPr>
        <w:t>Under the Non-Employee Director Stock Incentive Plan, or NDSI Plan, each non-employee director receives his or her annual compensation in stock. The stock is granted at the end of each quarter based on the quarter end stock price.</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stock compensation costs for the Company's 1998 Stock Incentive Plan, or the Employee Plan,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NDSI Plan for the following periods: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29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22"/>
                <w:szCs w:val="22"/>
                <w:color w:val="auto"/>
                <w:w w:val="98"/>
              </w:rPr>
              <w:t>Three Months Ended March 31,</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Employee Plan:</w:t>
            </w:r>
          </w:p>
        </w:tc>
        <w:tc>
          <w:tcPr>
            <w:tcW w:w="29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4240" w:type="dxa"/>
            <w:vAlign w:val="bottom"/>
            <w:shd w:val="clear" w:color="auto" w:fill="CCEEFF"/>
          </w:tcPr>
          <w:p>
            <w:pPr>
              <w:ind w:left="260"/>
              <w:spacing w:after="0"/>
              <w:rPr>
                <w:sz w:val="20"/>
                <w:szCs w:val="20"/>
                <w:color w:val="auto"/>
              </w:rPr>
            </w:pPr>
            <w:r>
              <w:rPr>
                <w:rFonts w:ascii="Arial" w:cs="Arial" w:eastAsia="Arial" w:hAnsi="Arial"/>
                <w:sz w:val="22"/>
                <w:szCs w:val="22"/>
                <w:color w:val="auto"/>
              </w:rPr>
              <w:t>Expensed</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761</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260"/>
              <w:spacing w:after="0"/>
              <w:rPr>
                <w:sz w:val="20"/>
                <w:szCs w:val="20"/>
                <w:color w:val="auto"/>
              </w:rPr>
            </w:pPr>
            <w:r>
              <w:rPr>
                <w:rFonts w:ascii="Arial" w:cs="Arial" w:eastAsia="Arial" w:hAnsi="Arial"/>
                <w:sz w:val="22"/>
                <w:szCs w:val="22"/>
                <w:color w:val="auto"/>
              </w:rPr>
              <w:t>Capitalized</w:t>
            </w:r>
          </w:p>
        </w:tc>
        <w:tc>
          <w:tcPr>
            <w:tcW w:w="29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319</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346</w:t>
            </w:r>
          </w:p>
        </w:tc>
        <w:tc>
          <w:tcPr>
            <w:tcW w:w="0" w:type="dxa"/>
            <w:vAlign w:val="bottom"/>
          </w:tcPr>
          <w:p>
            <w:pPr>
              <w:spacing w:after="0"/>
              <w:rPr>
                <w:sz w:val="1"/>
                <w:szCs w:val="1"/>
                <w:color w:val="auto"/>
              </w:rPr>
            </w:pPr>
          </w:p>
        </w:tc>
      </w:tr>
      <w:tr>
        <w:trPr>
          <w:trHeight w:val="297"/>
        </w:trPr>
        <w:tc>
          <w:tcPr>
            <w:tcW w:w="424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1,107</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NDSI Plan - Expensed</w:t>
            </w:r>
          </w:p>
        </w:tc>
        <w:tc>
          <w:tcPr>
            <w:tcW w:w="29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w:t>
            </w:r>
          </w:p>
        </w:tc>
        <w:tc>
          <w:tcPr>
            <w:tcW w:w="0" w:type="dxa"/>
            <w:vAlign w:val="bottom"/>
          </w:tcPr>
          <w:p>
            <w:pPr>
              <w:spacing w:after="0"/>
              <w:rPr>
                <w:sz w:val="1"/>
                <w:szCs w:val="1"/>
                <w:color w:val="auto"/>
              </w:rPr>
            </w:pPr>
          </w:p>
        </w:tc>
      </w:tr>
      <w:tr>
        <w:trPr>
          <w:trHeight w:val="295"/>
        </w:trPr>
        <w:tc>
          <w:tcPr>
            <w:tcW w:w="424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Stock Compensation Costs</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1,132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278"/>
              <w:spacing w:after="0"/>
              <w:rPr>
                <w:sz w:val="20"/>
                <w:szCs w:val="20"/>
                <w:color w:val="auto"/>
              </w:rPr>
            </w:pPr>
            <w:r>
              <w:rPr>
                <w:rFonts w:ascii="Arial" w:cs="Arial" w:eastAsia="Arial" w:hAnsi="Arial"/>
                <w:sz w:val="18"/>
                <w:szCs w:val="18"/>
                <w:color w:val="auto"/>
              </w:rPr>
              <w:t>20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2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7" w:right="239" w:bottom="1440" w:gutter="0" w:footer="0" w:header="0"/>
        </w:sectPr>
      </w:pPr>
    </w:p>
    <w:bookmarkStart w:id="20" w:name="page21"/>
    <w:bookmarkEnd w:id="20"/>
    <w:p>
      <w:pPr>
        <w:ind w:left="540" w:hanging="532"/>
        <w:spacing w:after="0"/>
        <w:tabs>
          <w:tab w:leader="none" w:pos="54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INTEREST RATE SWAP</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In October 2014, the Company entered into an interest rate swap agreement to hedge cash flows tied to changes in the underlying</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floating interest rate tied to LIBOR for the Term Note as discussed in Note 7 (Line of Credit and Long-Term Debt). During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quarter ended March 31, 2019, our interest rate swap agreement was 100% effective. Changes in fair value, including accrued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interest and adjustments for non-performance risk, that qualify as cash flow hedges are classified in AOCI. Amounts classified in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AOCI are subsequently reclassified into earnings in the period during which the hedged transactions affect earnings. As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March 31, 2019, the fair value of our interest rate swap agreement was less than its cost basis and as such is recorded within Other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Liabilities on the Consolidated Balance Sheets.</w:t>
      </w:r>
    </w:p>
    <w:p>
      <w:pPr>
        <w:spacing w:after="0" w:line="67"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We had the following outstanding interest rate swap agreement designated as an interest rate cash flow hedge as of March 31, 2019 ($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22"/>
                <w:szCs w:val="22"/>
                <w:color w:val="auto"/>
                <w:w w:val="89"/>
              </w:rPr>
              <w:t>Fair Value</w:t>
            </w:r>
          </w:p>
        </w:tc>
        <w:tc>
          <w:tcPr>
            <w:tcW w:w="2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83"/>
        </w:trPr>
        <w:tc>
          <w:tcPr>
            <w:tcW w:w="2100" w:type="dxa"/>
            <w:vAlign w:val="bottom"/>
          </w:tcPr>
          <w:p>
            <w:pPr>
              <w:jc w:val="center"/>
              <w:ind w:right="32"/>
              <w:spacing w:after="0"/>
              <w:rPr>
                <w:sz w:val="20"/>
                <w:szCs w:val="20"/>
                <w:color w:val="auto"/>
              </w:rPr>
            </w:pPr>
            <w:r>
              <w:rPr>
                <w:rFonts w:ascii="Arial" w:cs="Arial" w:eastAsia="Arial" w:hAnsi="Arial"/>
                <w:sz w:val="22"/>
                <w:szCs w:val="22"/>
                <w:color w:val="auto"/>
                <w:w w:val="90"/>
              </w:rPr>
              <w:t>Effective Date</w:t>
            </w:r>
          </w:p>
        </w:tc>
        <w:tc>
          <w:tcPr>
            <w:tcW w:w="2200" w:type="dxa"/>
            <w:vAlign w:val="bottom"/>
          </w:tcPr>
          <w:p>
            <w:pPr>
              <w:jc w:val="center"/>
              <w:spacing w:after="0"/>
              <w:rPr>
                <w:sz w:val="20"/>
                <w:szCs w:val="20"/>
                <w:color w:val="auto"/>
              </w:rPr>
            </w:pPr>
            <w:r>
              <w:rPr>
                <w:rFonts w:ascii="Arial" w:cs="Arial" w:eastAsia="Arial" w:hAnsi="Arial"/>
                <w:sz w:val="22"/>
                <w:szCs w:val="22"/>
                <w:color w:val="auto"/>
                <w:w w:val="93"/>
              </w:rPr>
              <w:t>Maturity Date</w:t>
            </w:r>
          </w:p>
        </w:tc>
        <w:tc>
          <w:tcPr>
            <w:tcW w:w="1840" w:type="dxa"/>
            <w:vAlign w:val="bottom"/>
          </w:tcPr>
          <w:p>
            <w:pPr>
              <w:jc w:val="center"/>
              <w:spacing w:after="0"/>
              <w:rPr>
                <w:sz w:val="20"/>
                <w:szCs w:val="20"/>
                <w:color w:val="auto"/>
              </w:rPr>
            </w:pPr>
            <w:r>
              <w:rPr>
                <w:rFonts w:ascii="Arial" w:cs="Arial" w:eastAsia="Arial" w:hAnsi="Arial"/>
                <w:sz w:val="22"/>
                <w:szCs w:val="22"/>
                <w:color w:val="auto"/>
                <w:w w:val="91"/>
              </w:rPr>
              <w:t>Hierarchy</w:t>
            </w:r>
          </w:p>
        </w:tc>
        <w:tc>
          <w:tcPr>
            <w:tcW w:w="2040" w:type="dxa"/>
            <w:vAlign w:val="bottom"/>
          </w:tcPr>
          <w:p>
            <w:pPr>
              <w:jc w:val="center"/>
              <w:ind w:left="32"/>
              <w:spacing w:after="0"/>
              <w:rPr>
                <w:sz w:val="20"/>
                <w:szCs w:val="20"/>
                <w:color w:val="auto"/>
              </w:rPr>
            </w:pPr>
            <w:r>
              <w:rPr>
                <w:rFonts w:ascii="Arial" w:cs="Arial" w:eastAsia="Arial" w:hAnsi="Arial"/>
                <w:sz w:val="22"/>
                <w:szCs w:val="22"/>
                <w:color w:val="auto"/>
                <w:w w:val="87"/>
              </w:rPr>
              <w:t>Interest Rate</w:t>
            </w:r>
          </w:p>
        </w:tc>
        <w:tc>
          <w:tcPr>
            <w:tcW w:w="1460" w:type="dxa"/>
            <w:vAlign w:val="bottom"/>
          </w:tcPr>
          <w:p>
            <w:pPr>
              <w:jc w:val="center"/>
              <w:ind w:left="172"/>
              <w:spacing w:after="0"/>
              <w:rPr>
                <w:sz w:val="20"/>
                <w:szCs w:val="20"/>
                <w:color w:val="auto"/>
              </w:rPr>
            </w:pPr>
            <w:r>
              <w:rPr>
                <w:rFonts w:ascii="Arial" w:cs="Arial" w:eastAsia="Arial" w:hAnsi="Arial"/>
                <w:sz w:val="22"/>
                <w:szCs w:val="22"/>
                <w:color w:val="auto"/>
                <w:w w:val="89"/>
              </w:rPr>
              <w:t>Fair Value</w:t>
            </w:r>
          </w:p>
        </w:tc>
        <w:tc>
          <w:tcPr>
            <w:tcW w:w="1780" w:type="dxa"/>
            <w:vAlign w:val="bottom"/>
          </w:tcPr>
          <w:p>
            <w:pPr>
              <w:jc w:val="center"/>
              <w:spacing w:after="0"/>
              <w:rPr>
                <w:sz w:val="20"/>
                <w:szCs w:val="20"/>
                <w:color w:val="auto"/>
              </w:rPr>
            </w:pPr>
            <w:r>
              <w:rPr>
                <w:rFonts w:ascii="Arial" w:cs="Arial" w:eastAsia="Arial" w:hAnsi="Arial"/>
                <w:sz w:val="22"/>
                <w:szCs w:val="22"/>
                <w:color w:val="auto"/>
                <w:w w:val="93"/>
              </w:rPr>
              <w:t>Notional Amount</w:t>
            </w:r>
          </w:p>
        </w:tc>
      </w:tr>
      <w:tr>
        <w:trPr>
          <w:trHeight w:val="306"/>
        </w:trPr>
        <w:tc>
          <w:tcPr>
            <w:tcW w:w="210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October 15, 2014</w:t>
            </w:r>
          </w:p>
        </w:tc>
        <w:tc>
          <w:tcPr>
            <w:tcW w:w="22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October 5, 2024</w:t>
            </w:r>
          </w:p>
        </w:tc>
        <w:tc>
          <w:tcPr>
            <w:tcW w:w="18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Level 2</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22"/>
                <w:szCs w:val="22"/>
                <w:color w:val="auto"/>
              </w:rPr>
              <w:t>4.11%</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rPr>
              <w:t>$(640)</w:t>
            </w:r>
          </w:p>
        </w:tc>
        <w:tc>
          <w:tcPr>
            <w:tcW w:w="1780" w:type="dxa"/>
            <w:vAlign w:val="bottom"/>
            <w:shd w:val="clear" w:color="auto" w:fill="CCEEFF"/>
          </w:tcPr>
          <w:p>
            <w:pPr>
              <w:jc w:val="right"/>
              <w:ind w:right="392"/>
              <w:spacing w:after="0"/>
              <w:rPr>
                <w:sz w:val="20"/>
                <w:szCs w:val="20"/>
                <w:color w:val="auto"/>
              </w:rPr>
            </w:pPr>
            <w:r>
              <w:rPr>
                <w:rFonts w:ascii="Arial" w:cs="Arial" w:eastAsia="Arial" w:hAnsi="Arial"/>
                <w:sz w:val="22"/>
                <w:szCs w:val="22"/>
                <w:color w:val="auto"/>
              </w:rPr>
              <w:t>$61,561</w:t>
            </w:r>
          </w:p>
        </w:tc>
      </w:tr>
    </w:tbl>
    <w:p>
      <w:pPr>
        <w:spacing w:after="0" w:line="200" w:lineRule="exact"/>
        <w:rPr>
          <w:sz w:val="20"/>
          <w:szCs w:val="20"/>
          <w:color w:val="auto"/>
        </w:rPr>
      </w:pPr>
    </w:p>
    <w:p>
      <w:pPr>
        <w:spacing w:after="0" w:line="24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91" w:lineRule="exact"/>
        <w:rPr>
          <w:sz w:val="20"/>
          <w:szCs w:val="20"/>
          <w:color w:val="auto"/>
        </w:rPr>
      </w:pPr>
    </w:p>
    <w:p>
      <w:pPr>
        <w:ind w:right="1020"/>
        <w:spacing w:after="0" w:line="291" w:lineRule="auto"/>
        <w:rPr>
          <w:sz w:val="20"/>
          <w:szCs w:val="20"/>
          <w:color w:val="auto"/>
        </w:rPr>
      </w:pPr>
      <w:r>
        <w:rPr>
          <w:rFonts w:ascii="Arial" w:cs="Arial" w:eastAsia="Arial" w:hAnsi="Arial"/>
          <w:sz w:val="19"/>
          <w:szCs w:val="19"/>
          <w:color w:val="auto"/>
        </w:rPr>
        <w:t>For the three months ended March 31, 2019, the Company's income tax expense was $95,000 compared to $526,000 for the three months ended March 31, 2018. Effective tax rates were 43% and 27% for the three months ended March 31,</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9"/>
          <w:szCs w:val="19"/>
          <w:color w:val="auto"/>
        </w:rPr>
        <w:t>2019 and 2018, respectively. The increase in effective tax rates resulted from tax shortfalls associated with stock compensation vesting. As of March 31, 2019, the Company had income tax receivables of $181,000. The Company classifies interest and penalties incurred on tax payments as income tax expense. During the three months ended March 31, 2019, the Company did not make any income tax payments. The Company did not record a provisional adjustment for the three-months ended March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71" w:right="239" w:bottom="1440" w:gutter="0" w:footer="0" w:header="0"/>
        </w:sectPr>
      </w:pPr>
    </w:p>
    <w:bookmarkStart w:id="21" w:name="page22"/>
    <w:bookmarkEnd w:id="21"/>
    <w:p>
      <w:pPr>
        <w:ind w:left="540" w:hanging="532"/>
        <w:spacing w:after="0"/>
        <w:tabs>
          <w:tab w:leader="none" w:pos="54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91"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The Company's land is subject to water contracts with minimum annual payments, for which $10,156,000 is expected to be paid in 2019. So far in 2019, the Company has paid $7,038,000 for its water contracts. These estimated water contract payments consist of SWP, contracts with Wheeler Ridge Maricopa Water Storage District, TCWD, Tulare Lake Basin Water Storage District, Dudley-Ridge Water Storage District and the Nickel water contract. The SWP contracts run through 2035 and the Nickel water contract runs through 2044, with an option to extend an additional 35 years. As discussed in Note 5 (Long-Term Water Assets), we purchased the assignment of a contract to purchase water in late 2013. The assigned water contract is with Nickel and obligates us to purchase 6,693 acre-feet of water annually through the term of the contract. Our contractual obligation for future water payments was $253,040,000 as of March 31, 2019.</w:t>
      </w:r>
    </w:p>
    <w:p>
      <w:pPr>
        <w:spacing w:after="0" w:line="49"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The Company is obligated to make payments of approximately $800,000 per year through 2021 to the Tejon Ranch Conservancy as prescribed in the Conservation Agreement we entered into with five major environmental organizations in 2008. Our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57" w:lineRule="exact"/>
        <w:rPr>
          <w:sz w:val="20"/>
          <w:szCs w:val="20"/>
          <w:color w:val="auto"/>
        </w:rPr>
      </w:pPr>
    </w:p>
    <w:p>
      <w:pPr>
        <w:ind w:right="200"/>
        <w:spacing w:after="0" w:line="263" w:lineRule="auto"/>
        <w:rPr>
          <w:sz w:val="20"/>
          <w:szCs w:val="20"/>
          <w:color w:val="auto"/>
        </w:rPr>
      </w:pPr>
      <w:r>
        <w:rPr>
          <w:rFonts w:ascii="Arial" w:cs="Arial" w:eastAsia="Arial" w:hAnsi="Arial"/>
          <w:sz w:val="21"/>
          <w:szCs w:val="21"/>
          <w:color w:val="auto"/>
        </w:rPr>
        <w:t>The Company exited a consulting contract during the second quarter of 2014 related to the Grapevine Development and is obligated to pay an earned incentive fee at the time of successful receipt of litigated project entitlements and at a value measurement date five-years after litigated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 that can be sold in the future.</w:t>
      </w:r>
    </w:p>
    <w:p>
      <w:pPr>
        <w:spacing w:after="0" w:line="49"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84" w:right="239" w:bottom="1440" w:gutter="0" w:footer="0" w:header="0"/>
        </w:sectPr>
      </w:pPr>
    </w:p>
    <w:bookmarkStart w:id="22" w:name="page23"/>
    <w:bookmarkEnd w:id="22"/>
    <w:p>
      <w:pPr>
        <w:spacing w:after="0" w:line="258" w:lineRule="auto"/>
        <w:rPr>
          <w:sz w:val="20"/>
          <w:szCs w:val="20"/>
          <w:color w:val="auto"/>
        </w:rPr>
      </w:pPr>
      <w:r>
        <w:rPr>
          <w:rFonts w:ascii="Arial" w:cs="Arial" w:eastAsia="Arial" w:hAnsi="Arial"/>
          <w:sz w:val="21"/>
          <w:szCs w:val="21"/>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March 31, 2019 there were no additional improvement funds remaining from the West CFD bonds. There are $4,180,000 in improvement funds within the East CFD bonds for reimbursement of public infrastructure costs during 2019 and future years. During 2019 the Company expects to pay approximately $2,570,000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March 31, 2019.</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Tehachapi Uplands Multiple Species Habitat Conservation Plan Litigation</w:t>
      </w:r>
    </w:p>
    <w:p>
      <w:pPr>
        <w:spacing w:after="0" w:line="85"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6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On April 25, 2019, the TUMSHCP Plaintiffs filed suit against the USFWS in the U.S. District Court for the Central District of California, in Los Angeles (Case No. 2:19-CV-3322), or TUMSHCP Suit. The Company is presently not named as a party in the TUMSHCP Suit. The TUMSHCP Suit seeks to invalidate the TUMSHCP as it pertains to the protection of the California condor (an endangered species), as well as the ITP.</w:t>
      </w:r>
    </w:p>
    <w:p>
      <w:pPr>
        <w:spacing w:after="0" w:line="5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primary allegations in the TUMSHCP Suit are that California condors or their habitat are “Traditional Cultural Properties” within the meaning of the National Historic Preservation Act and that the USFWS failed to adequately consult with affected Native American tribes or their representatives with respect to the impact of the TUMSHCP and ITP on these “Traditional Cultural Properties.”</w:t>
      </w:r>
    </w:p>
    <w:p>
      <w:pPr>
        <w:spacing w:after="0" w:line="53"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 xml:space="preserve">Management considers the allegations in the TUMSHCP Suit to be beyond the scope of the law and regulations referenced in the TUMSHCP Suit, and believes that the issues raised by the TUMSHCP Plaintiffs were adequately addressed by the USFWS during the consultation process with Native American tribes. The Company intends to coordinate closely with the USFWS to vigorously defend this matter. The TUMSHCP Plaintiffs raised essentially the same arguments regarding the Native American consultation process and the California condor in state court litigation. In that litigation, the California Court of Appeal rejected the TUMSHCP Plaintiffs’ arguments as lacking merit. See </w:t>
      </w:r>
      <w:r>
        <w:rPr>
          <w:rFonts w:ascii="Arial" w:cs="Arial" w:eastAsia="Arial" w:hAnsi="Arial"/>
          <w:sz w:val="19"/>
          <w:szCs w:val="19"/>
          <w:i w:val="1"/>
          <w:iCs w:val="1"/>
          <w:color w:val="auto"/>
        </w:rPr>
        <w:t>Center for Biological Diversity, et al.v. Kern County,</w:t>
      </w:r>
      <w:r>
        <w:rPr>
          <w:rFonts w:ascii="Arial" w:cs="Arial" w:eastAsia="Arial" w:hAnsi="Arial"/>
          <w:sz w:val="19"/>
          <w:szCs w:val="19"/>
          <w:color w:val="auto"/>
        </w:rPr>
        <w:t xml:space="preserve"> 2012 WL 1417682 (Case No. F061908). That state appellate court decision was issued on April 25, 2012.</w:t>
      </w:r>
    </w:p>
    <w:p>
      <w:pPr>
        <w:spacing w:after="0" w:line="16" w:lineRule="exact"/>
        <w:rPr>
          <w:sz w:val="20"/>
          <w:szCs w:val="20"/>
          <w:color w:val="auto"/>
        </w:rPr>
      </w:pPr>
    </w:p>
    <w:p>
      <w:pPr>
        <w:ind w:right="1100"/>
        <w:spacing w:after="0" w:line="263" w:lineRule="auto"/>
        <w:rPr>
          <w:sz w:val="20"/>
          <w:szCs w:val="20"/>
          <w:color w:val="auto"/>
        </w:rPr>
      </w:pPr>
      <w:r>
        <w:rPr>
          <w:rFonts w:ascii="Arial" w:cs="Arial" w:eastAsia="Arial" w:hAnsi="Arial"/>
          <w:sz w:val="22"/>
          <w:szCs w:val="22"/>
          <w:color w:val="auto"/>
        </w:rPr>
        <w:t>The Company believes the TUMSHCP Suit does not impede on the ability to start or complete the development of MV development.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72"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i w:val="1"/>
          <w:iCs w:val="1"/>
          <w:color w:val="auto"/>
        </w:rPr>
        <w:t>National Cement</w:t>
      </w:r>
    </w:p>
    <w:p>
      <w:pPr>
        <w:spacing w:after="0" w:line="8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53" w:lineRule="exact"/>
        <w:rPr>
          <w:sz w:val="20"/>
          <w:szCs w:val="20"/>
          <w:color w:val="auto"/>
        </w:rPr>
      </w:pPr>
    </w:p>
    <w:p>
      <w:pPr>
        <w:ind w:right="1020"/>
        <w:spacing w:after="0" w:line="263" w:lineRule="auto"/>
        <w:rPr>
          <w:sz w:val="20"/>
          <w:szCs w:val="20"/>
          <w:color w:val="auto"/>
        </w:rPr>
      </w:pPr>
      <w:r>
        <w:rPr>
          <w:rFonts w:ascii="Arial" w:cs="Arial" w:eastAsia="Arial" w:hAnsi="Arial"/>
          <w:sz w:val="22"/>
          <w:szCs w:val="22"/>
          <w:color w:val="auto"/>
        </w:rPr>
        <w:t>The Company's former tenant Lafarge Corporation, or Lafarge, and current tenant National, continue to remediate these environmental conditions consistent with the RWQCB orders.</w:t>
      </w:r>
    </w:p>
    <w:p>
      <w:pPr>
        <w:spacing w:after="0" w:line="40"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Antelope Valley Groundwater Cases</w:t>
      </w:r>
    </w:p>
    <w:p>
      <w:pPr>
        <w:spacing w:after="0" w:line="85"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On November 29, 2004, a conglomerate of public water suppliers filed a cross-complaint in the Los Angeles Superior Court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and Phelan Pinon Hills Community Services District, filed notices of appeal from the Judgment. The Appeal has been transferred from the Fourth Appellate District to the Fifth Appellate District.</w:t>
      </w:r>
    </w:p>
    <w:p>
      <w:pPr>
        <w:spacing w:after="0" w:line="29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Appellate briefing is scheduled to occur in 2019. 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672" w:right="279" w:bottom="1440" w:gutter="0" w:footer="0" w:header="0"/>
        </w:sectPr>
      </w:pPr>
    </w:p>
    <w:bookmarkStart w:id="24" w:name="page25"/>
    <w:bookmarkEnd w:id="24"/>
    <w:p>
      <w:pPr>
        <w:spacing w:after="0"/>
        <w:rPr>
          <w:sz w:val="20"/>
          <w:szCs w:val="20"/>
          <w:color w:val="auto"/>
        </w:rPr>
      </w:pPr>
      <w:r>
        <w:rPr>
          <w:rFonts w:ascii="Arial" w:cs="Arial" w:eastAsia="Arial" w:hAnsi="Arial"/>
          <w:sz w:val="22"/>
          <w:szCs w:val="22"/>
          <w:i w:val="1"/>
          <w:iCs w:val="1"/>
          <w:color w:val="auto"/>
        </w:rPr>
        <w:t>Summary and Status of Kern Water Bank Lawsuits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On June 3, 2010, the Central Delta and South Delta Water Agencies and several environmental groups, including CBD, or collectively, Central Delta Petitioners, filed a complaint in the Sacramento County Superior Court against the California Department of Water Resources, or DWR, Kern County Water Agency, or KCWA, and a number of “real parties in interest,” including the Company and TCWD, or Central Delta Action.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45"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(ii) and the consideration for the transfer of the KWB property to the KWBA was unconscionable and illusory. This case has been stayed pending the outcome of the Central Delta Action.</w:t>
      </w:r>
    </w:p>
    <w:p>
      <w:pPr>
        <w:spacing w:after="0" w:line="45"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In addition, another lawsuit was filed in Kern County Superior Court on June 3, 2010, by two districts adjacent to the KWB, namely Rosedale Rio Bravo and Buena Vista Water Storage Districts, or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moved to the Sacramento County Superior Court.</w:t>
      </w:r>
    </w:p>
    <w:p>
      <w:pPr>
        <w:spacing w:after="0" w:line="12"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filed an appeal of the Sacramento County Superior Court Judgment, and certain real parties filed a cross-appeal. No party appealed the Kern County Superior Court Judgment in the Rosedale Action.</w:t>
      </w:r>
    </w:p>
    <w:p>
      <w:pPr>
        <w:spacing w:after="0" w:line="6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w:t>
      </w:r>
      <w:r>
        <w:rPr>
          <w:rFonts w:ascii="Arial" w:cs="Arial" w:eastAsia="Arial" w:hAnsi="Arial"/>
          <w:sz w:val="21"/>
          <w:szCs w:val="21"/>
          <w:color w:val="auto"/>
        </w:rPr>
        <w:t>n November 24, 2014, the Sacramento County Superior Court in the Central Delta Action issued a writ of mandate, or 2014 Writ,</w:t>
      </w:r>
      <w:r>
        <w:rPr>
          <w:rFonts w:ascii="Arial" w:cs="Arial" w:eastAsia="Arial" w:hAnsi="Arial"/>
          <w:sz w:val="18"/>
          <w:szCs w:val="18"/>
          <w:color w:val="auto"/>
        </w:rPr>
        <w:t xml:space="preserve"> </w:t>
      </w:r>
      <w:r>
        <w:rPr>
          <w:rFonts w:ascii="Arial" w:cs="Arial" w:eastAsia="Arial" w:hAnsi="Arial"/>
          <w:sz w:val="21"/>
          <w:szCs w:val="21"/>
          <w:color w:val="auto"/>
        </w:rPr>
        <w:t>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Superior Court its return to the 2014 Writ in the Central Delta Action.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72" w:right="239" w:bottom="1440" w:gutter="0" w:footer="0" w:header="0"/>
        </w:sectPr>
      </w:pPr>
    </w:p>
    <w:bookmarkStart w:id="25" w:name="page26"/>
    <w:bookmarkEnd w:id="25"/>
    <w:p>
      <w:pPr>
        <w:ind w:right="160"/>
        <w:spacing w:after="0" w:line="288" w:lineRule="auto"/>
        <w:rPr>
          <w:sz w:val="20"/>
          <w:szCs w:val="20"/>
          <w:color w:val="auto"/>
        </w:rPr>
      </w:pPr>
      <w:r>
        <w:rPr>
          <w:rFonts w:ascii="Arial" w:cs="Arial" w:eastAsia="Arial" w:hAnsi="Arial"/>
          <w:sz w:val="19"/>
          <w:szCs w:val="19"/>
          <w:color w:val="auto"/>
        </w:rPr>
        <w:t>On October 21, 2016, the Central Delta Petitioners and a new party, the Center for Food Safety, or CFS, or collectively, the CFS Petitioners, filed a new lawsuit in Sacramento County Superior Court, or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August 18, 2017, the Sacramento County Superior Court held a hearing on the response to the 2014 Writ and on the CFS petition filed in this action.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we anticipate having a ruling from the Court of Appeal on these consolidated appeals of the CFS Action and the Central Delta Action sometime in 2019 or 2020.</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Grapevine</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On December 6, 2016, the Kern County Board of Supervisors unanimously granted entitlement approval for the Grapevine project (described below). On January 5, 2017, the CBD, and the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 Company is named as real parties in interest in this action. The action alleges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the environmental approvals and require the Company and the County to revise the environmental documentation.</w:t>
      </w:r>
    </w:p>
    <w:p>
      <w:pPr>
        <w:spacing w:after="0" w:line="25"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On July 27, 2018, the court held a hearing on the petitioners’ claims.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 the percent of vehicle trips remaining within the project - actually being lower than the projected ICR levels used in the EIR and that lower ICR levels warranted supplemental traffic, air quality, greenhouse gas emissions, noise, public health and growth inducing impact analyses.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672" w:right="29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9"/>
          <w:szCs w:val="19"/>
          <w:color w:val="auto"/>
        </w:rPr>
        <w:t>On December 11, 2018, the court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 Following the County’s rescission of the Grapevine project approvals, the Company has filed new applications to re-entitle the Grapevine project, or re-entitlement. The re-entitlement application involves processing project approvals that are substantively similar to the Grapevine project that was unanimously approved by the Kern County Board of Supervisors in December of 2016. As part of the re-entitlement, supplemental environmental analysis will be prepared to address the court’s ruling. Following a public comment and review period, the Kern County Planning Commission will hold a hearing to make a recommendation to the Kern County Board of Supervisors on the re-entitlement of the Grapevine project. Thereafter, the Kern County Board of Supervisors will hold a hearing to consider the supplemental environmental analysis and whether to act to approve the re-entitlement of the Grapevine project. We anticipate possible Kern County Board of Supervisors action occurring in late 2019. Following the Board of Supervisors’ action, further litigation could challenge the re-entitlement.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Proceedings Incidental to Business</w:t>
      </w:r>
    </w:p>
    <w:p>
      <w:pPr>
        <w:spacing w:after="0" w:line="85" w:lineRule="exact"/>
        <w:rPr>
          <w:sz w:val="20"/>
          <w:szCs w:val="20"/>
          <w:color w:val="auto"/>
        </w:rPr>
      </w:pPr>
    </w:p>
    <w:p>
      <w:pPr>
        <w:ind w:right="140"/>
        <w:spacing w:after="0" w:line="287" w:lineRule="auto"/>
        <w:rPr>
          <w:sz w:val="20"/>
          <w:szCs w:val="20"/>
          <w:color w:val="auto"/>
        </w:rPr>
      </w:pPr>
      <w:r>
        <w:rPr>
          <w:rFonts w:ascii="Arial" w:cs="Arial" w:eastAsia="Arial" w:hAnsi="Arial"/>
          <w:sz w:val="21"/>
          <w:szCs w:val="21"/>
          <w:color w:val="auto"/>
        </w:rPr>
        <w:t>From time to time, we are involved in other proceedings incidental to our business, including actions relating to employee claims, real estate disputes, contractor disputes and grievance hearings before labor regulatory agencies.</w:t>
      </w:r>
    </w:p>
    <w:p>
      <w:pPr>
        <w:spacing w:after="0" w:line="17"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outcome of these other proceedings is not predictable. However, based on current circumstances, we do not believe that the ultimate resolution of these other proceedings will have a material adverse effect on our financial position, results of operations or cash flows either individually or in the aggregate.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72" w:right="279" w:bottom="1440" w:gutter="0" w:footer="0" w:header="0"/>
        </w:sectPr>
      </w:pPr>
    </w:p>
    <w:bookmarkStart w:id="27" w:name="page28"/>
    <w:bookmarkEnd w:id="27"/>
    <w:p>
      <w:pPr>
        <w:spacing w:after="0"/>
        <w:tabs>
          <w:tab w:leader="none" w:pos="480" w:val="left"/>
        </w:tabs>
        <w:rPr>
          <w:sz w:val="20"/>
          <w:szCs w:val="20"/>
          <w:color w:val="auto"/>
        </w:rPr>
      </w:pPr>
      <w:r>
        <w:rPr>
          <w:rFonts w:ascii="Arial" w:cs="Arial" w:eastAsia="Arial" w:hAnsi="Arial"/>
          <w:sz w:val="22"/>
          <w:szCs w:val="22"/>
          <w:b w:val="1"/>
          <w:bCs w:val="1"/>
          <w:color w:val="auto"/>
        </w:rPr>
        <w:t>13.</w:t>
        <w:tab/>
        <w:t>RETIREMENT PLANS</w:t>
      </w:r>
    </w:p>
    <w:p>
      <w:pPr>
        <w:spacing w:after="0" w:line="91"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or ERISA. In April 2017, the Company froze the Benefit Plan as it relates to future benefit accruals for participants. The Company expects to contribute $165,000 to the Benefit Plan during 2019.</w:t>
      </w:r>
    </w:p>
    <w:p>
      <w:pPr>
        <w:spacing w:after="0" w:line="59"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color w:val="auto"/>
        </w:rPr>
        <w:t>Benefit Plan assets consist of equity, debt and short-term money market investment funds. The Benefit Plan’s current investment policy changed during the third quarter of 2018. The new policy is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funded status improves. At both March 31, 2019 and December 31, 2018, the investment mix was approximately 64% equity, 35% debt, and 1% money market funds. Equity investments consist of a combination of individual equity securities plus value funds, growth funds, large cap funds and international stock funds. Debt investments consist of U.S. Treasury securities and investment grade corporate debt. The weighted average discount rate used in determining the periodic pension cost is 4.2% in 2019 and 2018. The expected long-term rate of return on plan assets is 7.3% and</w:t>
      </w:r>
    </w:p>
    <w:p>
      <w:pPr>
        <w:spacing w:after="0" w:line="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7.5% in 2019 and 2018, respectively. The long-term rate of return on Benefit Plan assets is based on the historical returns within the plan and expectations for future returns.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Total pension and retirement expense for the Benefit Plan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22"/>
                <w:szCs w:val="22"/>
                <w:color w:val="auto"/>
                <w:w w:val="96"/>
              </w:rPr>
              <w:t>Three Months Ended March 31,</w:t>
            </w:r>
          </w:p>
        </w:tc>
      </w:tr>
      <w:tr>
        <w:trPr>
          <w:trHeight w:val="291"/>
        </w:trPr>
        <w:tc>
          <w:tcPr>
            <w:tcW w:w="742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2019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color w:val="auto"/>
              </w:rPr>
              <w:t>2018</w:t>
            </w:r>
          </w:p>
        </w:tc>
      </w:tr>
      <w:tr>
        <w:trPr>
          <w:trHeight w:val="275"/>
        </w:trPr>
        <w:tc>
          <w:tcPr>
            <w:tcW w:w="7420" w:type="dxa"/>
            <w:vAlign w:val="bottom"/>
          </w:tcPr>
          <w:p>
            <w:pPr>
              <w:ind w:left="40"/>
              <w:spacing w:after="0"/>
              <w:rPr>
                <w:sz w:val="20"/>
                <w:szCs w:val="20"/>
                <w:color w:val="auto"/>
              </w:rPr>
            </w:pPr>
            <w:r>
              <w:rPr>
                <w:rFonts w:ascii="Arial" w:cs="Arial" w:eastAsia="Arial" w:hAnsi="Arial"/>
                <w:sz w:val="22"/>
                <w:szCs w:val="22"/>
                <w:color w:val="auto"/>
              </w:rPr>
              <w:t>Earnings (cost) components:</w:t>
            </w: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306"/>
        </w:trPr>
        <w:tc>
          <w:tcPr>
            <w:tcW w:w="7420" w:type="dxa"/>
            <w:vAlign w:val="bottom"/>
            <w:shd w:val="clear" w:color="auto" w:fill="CCEEFF"/>
          </w:tcPr>
          <w:p>
            <w:pPr>
              <w:ind w:left="380"/>
              <w:spacing w:after="0"/>
              <w:rPr>
                <w:sz w:val="20"/>
                <w:szCs w:val="20"/>
                <w:color w:val="auto"/>
              </w:rPr>
            </w:pPr>
            <w:r>
              <w:rPr>
                <w:rFonts w:ascii="Arial" w:cs="Arial" w:eastAsia="Arial" w:hAnsi="Arial"/>
                <w:sz w:val="22"/>
                <w:szCs w:val="22"/>
                <w:color w:val="auto"/>
              </w:rPr>
              <w:t>Interest cost</w:t>
            </w: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w:t>
            </w:r>
          </w:p>
        </w:tc>
      </w:tr>
      <w:tr>
        <w:trPr>
          <w:trHeight w:val="289"/>
        </w:trPr>
        <w:tc>
          <w:tcPr>
            <w:tcW w:w="7420" w:type="dxa"/>
            <w:vAlign w:val="bottom"/>
          </w:tcPr>
          <w:p>
            <w:pPr>
              <w:ind w:left="380"/>
              <w:spacing w:after="0"/>
              <w:rPr>
                <w:sz w:val="20"/>
                <w:szCs w:val="20"/>
                <w:color w:val="auto"/>
              </w:rPr>
            </w:pPr>
            <w:r>
              <w:rPr>
                <w:rFonts w:ascii="Arial" w:cs="Arial" w:eastAsia="Arial" w:hAnsi="Arial"/>
                <w:sz w:val="22"/>
                <w:szCs w:val="22"/>
                <w:color w:val="auto"/>
              </w:rPr>
              <w:t>Expected return on plan assets</w:t>
            </w:r>
          </w:p>
        </w:tc>
        <w:tc>
          <w:tcPr>
            <w:tcW w:w="3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131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306"/>
        </w:trPr>
        <w:tc>
          <w:tcPr>
            <w:tcW w:w="7420" w:type="dxa"/>
            <w:vAlign w:val="bottom"/>
            <w:shd w:val="clear" w:color="auto" w:fill="CCEEFF"/>
          </w:tcPr>
          <w:p>
            <w:pPr>
              <w:ind w:left="380"/>
              <w:spacing w:after="0"/>
              <w:rPr>
                <w:sz w:val="20"/>
                <w:szCs w:val="20"/>
                <w:color w:val="auto"/>
              </w:rPr>
            </w:pPr>
            <w:r>
              <w:rPr>
                <w:rFonts w:ascii="Arial" w:cs="Arial" w:eastAsia="Arial" w:hAnsi="Arial"/>
                <w:sz w:val="22"/>
                <w:szCs w:val="22"/>
                <w:color w:val="auto"/>
              </w:rPr>
              <w:t>Net amortization and deferral</w:t>
            </w:r>
          </w:p>
        </w:tc>
        <w:tc>
          <w:tcPr>
            <w:tcW w:w="3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(16)</w:t>
            </w:r>
          </w:p>
        </w:tc>
      </w:tr>
      <w:tr>
        <w:trPr>
          <w:trHeight w:val="284"/>
        </w:trPr>
        <w:tc>
          <w:tcPr>
            <w:tcW w:w="7420" w:type="dxa"/>
            <w:vAlign w:val="bottom"/>
          </w:tcPr>
          <w:p>
            <w:pPr>
              <w:ind w:left="40"/>
              <w:spacing w:after="0"/>
              <w:rPr>
                <w:sz w:val="20"/>
                <w:szCs w:val="20"/>
                <w:color w:val="auto"/>
              </w:rPr>
            </w:pPr>
            <w:r>
              <w:rPr>
                <w:rFonts w:ascii="Arial" w:cs="Arial" w:eastAsia="Arial" w:hAnsi="Arial"/>
                <w:sz w:val="22"/>
                <w:szCs w:val="22"/>
                <w:color w:val="auto"/>
              </w:rPr>
              <w:t>Total net periodic pension earnings</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w:t>
            </w:r>
          </w:p>
        </w:tc>
      </w:tr>
      <w:tr>
        <w:trPr>
          <w:trHeight w:val="20"/>
        </w:trPr>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as it relates to the accrual of additional benefits.</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The pension and retirement expense for the SERP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22"/>
                <w:szCs w:val="22"/>
                <w:color w:val="auto"/>
                <w:w w:val="96"/>
              </w:rPr>
              <w:t>Three Months Ended March 31,</w:t>
            </w:r>
          </w:p>
        </w:tc>
        <w:tc>
          <w:tcPr>
            <w:tcW w:w="0" w:type="dxa"/>
            <w:vAlign w:val="bottom"/>
          </w:tcPr>
          <w:p>
            <w:pPr>
              <w:spacing w:after="0"/>
              <w:rPr>
                <w:sz w:val="1"/>
                <w:szCs w:val="1"/>
                <w:color w:val="auto"/>
              </w:rPr>
            </w:pPr>
          </w:p>
        </w:tc>
      </w:tr>
      <w:tr>
        <w:trPr>
          <w:trHeight w:val="291"/>
        </w:trPr>
        <w:tc>
          <w:tcPr>
            <w:tcW w:w="416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2019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75"/>
        </w:trPr>
        <w:tc>
          <w:tcPr>
            <w:tcW w:w="4160" w:type="dxa"/>
            <w:vAlign w:val="bottom"/>
          </w:tcPr>
          <w:p>
            <w:pPr>
              <w:ind w:left="40"/>
              <w:spacing w:after="0"/>
              <w:rPr>
                <w:sz w:val="20"/>
                <w:szCs w:val="20"/>
                <w:color w:val="auto"/>
              </w:rPr>
            </w:pPr>
            <w:r>
              <w:rPr>
                <w:rFonts w:ascii="Arial" w:cs="Arial" w:eastAsia="Arial" w:hAnsi="Arial"/>
                <w:sz w:val="22"/>
                <w:szCs w:val="22"/>
                <w:color w:val="auto"/>
              </w:rPr>
              <w:t>Cost components:</w:t>
            </w:r>
          </w:p>
        </w:tc>
        <w:tc>
          <w:tcPr>
            <w:tcW w:w="3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160" w:type="dxa"/>
            <w:vAlign w:val="bottom"/>
            <w:shd w:val="clear" w:color="auto" w:fill="CCEEFF"/>
          </w:tcPr>
          <w:p>
            <w:pPr>
              <w:ind w:left="380"/>
              <w:spacing w:after="0"/>
              <w:rPr>
                <w:sz w:val="20"/>
                <w:szCs w:val="20"/>
                <w:color w:val="auto"/>
              </w:rPr>
            </w:pPr>
            <w:r>
              <w:rPr>
                <w:rFonts w:ascii="Arial" w:cs="Arial" w:eastAsia="Arial" w:hAnsi="Arial"/>
                <w:sz w:val="22"/>
                <w:szCs w:val="22"/>
                <w:color w:val="auto"/>
              </w:rPr>
              <w:t>Interest cost</w:t>
            </w:r>
          </w:p>
        </w:tc>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91"/>
        </w:trPr>
        <w:tc>
          <w:tcPr>
            <w:tcW w:w="4160" w:type="dxa"/>
            <w:vAlign w:val="bottom"/>
            <w:tcBorders>
              <w:bottom w:val="single" w:sz="8" w:color="CCEEFF"/>
            </w:tcBorders>
          </w:tcPr>
          <w:p>
            <w:pPr>
              <w:ind w:left="380"/>
              <w:spacing w:after="0"/>
              <w:rPr>
                <w:sz w:val="20"/>
                <w:szCs w:val="20"/>
                <w:color w:val="auto"/>
              </w:rPr>
            </w:pPr>
            <w:r>
              <w:rPr>
                <w:rFonts w:ascii="Arial" w:cs="Arial" w:eastAsia="Arial" w:hAnsi="Arial"/>
                <w:sz w:val="22"/>
                <w:szCs w:val="22"/>
                <w:color w:val="auto"/>
              </w:rPr>
              <w:t>Net amortization and other</w:t>
            </w:r>
          </w:p>
        </w:tc>
        <w:tc>
          <w:tcPr>
            <w:tcW w:w="3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91"/>
        </w:trPr>
        <w:tc>
          <w:tcPr>
            <w:tcW w:w="416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net periodic pension cost</w:t>
            </w:r>
          </w:p>
        </w:tc>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518"/>
              <w:spacing w:after="0"/>
              <w:rPr>
                <w:sz w:val="20"/>
                <w:szCs w:val="20"/>
                <w:color w:val="auto"/>
              </w:rPr>
            </w:pPr>
            <w:r>
              <w:rPr>
                <w:rFonts w:ascii="Arial" w:cs="Arial" w:eastAsia="Arial" w:hAnsi="Arial"/>
                <w:sz w:val="18"/>
                <w:szCs w:val="18"/>
                <w:color w:val="auto"/>
              </w:rPr>
              <w:t>28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4" w:right="239" w:bottom="1440" w:gutter="0" w:footer="0" w:header="0"/>
        </w:sectPr>
      </w:pPr>
    </w:p>
    <w:bookmarkStart w:id="28" w:name="page29"/>
    <w:bookmarkEnd w:id="28"/>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1"/>
          <w:szCs w:val="21"/>
          <w:b w:val="1"/>
          <w:bCs w:val="1"/>
          <w:color w:val="auto"/>
        </w:rPr>
        <w:t>REPORTING SEGMENTS AND RELATED INFORMATION</w:t>
      </w:r>
    </w:p>
    <w:p>
      <w:pPr>
        <w:spacing w:after="0" w:line="91"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We currently operate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7, "Management's Discussion and Analysis of Financial Condition and Results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Commercial</w:t>
      </w:r>
    </w:p>
    <w:p>
      <w:pPr>
        <w:spacing w:after="0" w:line="85" w:lineRule="exact"/>
        <w:rPr>
          <w:sz w:val="20"/>
          <w:szCs w:val="20"/>
          <w:color w:val="auto"/>
        </w:rPr>
      </w:pPr>
    </w:p>
    <w:p>
      <w:pPr>
        <w:jc w:val="both"/>
        <w:ind w:right="140"/>
        <w:spacing w:after="0" w:line="271" w:lineRule="auto"/>
        <w:rPr>
          <w:sz w:val="20"/>
          <w:szCs w:val="20"/>
          <w:color w:val="auto"/>
        </w:rPr>
      </w:pPr>
      <w:r>
        <w:rPr>
          <w:rFonts w:ascii="Arial" w:cs="Arial" w:eastAsia="Arial" w:hAnsi="Arial"/>
          <w:sz w:val="21"/>
          <w:szCs w:val="21"/>
          <w:color w:val="auto"/>
        </w:rPr>
        <w:t>Commercial revenue consists of land and building leases to tenants at our commercial retail and industrial developments, base and percentage rents from our PEF power plant lease, communication tower rents, and payments from easement leases. The following table summarizes revenues, expenses and operating income from this segment for periods ended: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22"/>
                <w:szCs w:val="22"/>
                <w:color w:val="auto"/>
                <w:w w:val="98"/>
              </w:rPr>
              <w:t>Three Months Ended March 31,</w:t>
            </w:r>
          </w:p>
        </w:tc>
      </w:tr>
      <w:tr>
        <w:trPr>
          <w:trHeight w:val="291"/>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2018</w:t>
            </w:r>
          </w:p>
        </w:tc>
      </w:tr>
      <w:tr>
        <w:trPr>
          <w:trHeight w:val="297"/>
        </w:trPr>
        <w:tc>
          <w:tcPr>
            <w:tcW w:w="71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Commercial revenues</w:t>
            </w: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2,826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2,154</w:t>
            </w:r>
          </w:p>
        </w:tc>
      </w:tr>
      <w:tr>
        <w:trPr>
          <w:trHeight w:val="291"/>
        </w:trPr>
        <w:tc>
          <w:tcPr>
            <w:tcW w:w="718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Equity in earnings of unconsolidated joint ventures</w:t>
            </w: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876</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167</w:t>
            </w:r>
          </w:p>
        </w:tc>
      </w:tr>
      <w:tr>
        <w:trPr>
          <w:trHeight w:val="297"/>
        </w:trPr>
        <w:tc>
          <w:tcPr>
            <w:tcW w:w="7180" w:type="dxa"/>
            <w:vAlign w:val="bottom"/>
            <w:shd w:val="clear" w:color="auto" w:fill="CCEEFF"/>
          </w:tcPr>
          <w:p>
            <w:pPr>
              <w:ind w:left="40"/>
              <w:spacing w:after="0"/>
              <w:rPr>
                <w:sz w:val="20"/>
                <w:szCs w:val="20"/>
                <w:color w:val="auto"/>
              </w:rPr>
            </w:pPr>
            <w:r>
              <w:rPr>
                <w:rFonts w:ascii="Arial" w:cs="Arial" w:eastAsia="Arial" w:hAnsi="Arial"/>
                <w:sz w:val="22"/>
                <w:szCs w:val="22"/>
                <w:color w:val="auto"/>
                <w:w w:val="94"/>
              </w:rPr>
              <w:t>Commercial revenues and equity in earnings of unconsolidated joint ventures</w:t>
            </w: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3,702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2,321</w:t>
            </w:r>
          </w:p>
        </w:tc>
      </w:tr>
      <w:tr>
        <w:trPr>
          <w:trHeight w:val="291"/>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Commercial expenses</w:t>
            </w: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1,792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1,319</w:t>
            </w:r>
          </w:p>
        </w:tc>
      </w:tr>
      <w:tr>
        <w:trPr>
          <w:trHeight w:val="291"/>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Operating results from commercial and unconsolidated joint ventures</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1,910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1,002</w:t>
            </w: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Resort Residential</w:t>
      </w:r>
    </w:p>
    <w:p>
      <w:pPr>
        <w:spacing w:after="0" w:line="85"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The resort/residential real estate development segment is actively involved in the land entitlement and development process internally and through joint ventures. The segment incurs costs and expenses related to its development activities, but currently generates no revenue. The segment produced losses of $648,000 and $415,000 for the three months ended March 31, 2019 and 2018, respectively.</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Mineral Resources</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The mineral resources segment receives oil and mineral royalties from the exploration and development companies that extract or mine the natural resources from our land and receives revenue from water sales. The following table summarizes revenues, expenses and operating results from this segment for periods ended: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22"/>
                <w:szCs w:val="22"/>
                <w:color w:val="auto"/>
                <w:w w:val="98"/>
              </w:rPr>
              <w:t>Three Months Ended March 31,</w:t>
            </w:r>
          </w:p>
        </w:tc>
        <w:tc>
          <w:tcPr>
            <w:tcW w:w="0" w:type="dxa"/>
            <w:vAlign w:val="bottom"/>
          </w:tcPr>
          <w:p>
            <w:pPr>
              <w:spacing w:after="0"/>
              <w:rPr>
                <w:sz w:val="1"/>
                <w:szCs w:val="1"/>
                <w:color w:val="auto"/>
              </w:rPr>
            </w:pPr>
          </w:p>
        </w:tc>
      </w:tr>
      <w:tr>
        <w:trPr>
          <w:trHeight w:val="291"/>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25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46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Mineral resources revenues</w:t>
            </w:r>
          </w:p>
        </w:tc>
        <w:tc>
          <w:tcPr>
            <w:tcW w:w="2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6,132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9,131</w:t>
            </w:r>
          </w:p>
        </w:tc>
        <w:tc>
          <w:tcPr>
            <w:tcW w:w="0" w:type="dxa"/>
            <w:vAlign w:val="bottom"/>
          </w:tcPr>
          <w:p>
            <w:pPr>
              <w:spacing w:after="0"/>
              <w:rPr>
                <w:sz w:val="1"/>
                <w:szCs w:val="1"/>
                <w:color w:val="auto"/>
              </w:rPr>
            </w:pPr>
          </w:p>
        </w:tc>
      </w:tr>
      <w:tr>
        <w:trPr>
          <w:trHeight w:val="291"/>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Mineral resources expenses</w:t>
            </w:r>
          </w:p>
        </w:tc>
        <w:tc>
          <w:tcPr>
            <w:tcW w:w="25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3,832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4,231</w:t>
            </w:r>
          </w:p>
        </w:tc>
        <w:tc>
          <w:tcPr>
            <w:tcW w:w="0" w:type="dxa"/>
            <w:vAlign w:val="bottom"/>
          </w:tcPr>
          <w:p>
            <w:pPr>
              <w:spacing w:after="0"/>
              <w:rPr>
                <w:sz w:val="1"/>
                <w:szCs w:val="1"/>
                <w:color w:val="auto"/>
              </w:rPr>
            </w:pPr>
          </w:p>
        </w:tc>
      </w:tr>
      <w:tr>
        <w:trPr>
          <w:trHeight w:val="295"/>
        </w:trPr>
        <w:tc>
          <w:tcPr>
            <w:tcW w:w="4600" w:type="dxa"/>
            <w:vAlign w:val="bottom"/>
            <w:shd w:val="clear" w:color="auto" w:fill="CCEEFF"/>
          </w:tcPr>
          <w:p>
            <w:pPr>
              <w:ind w:left="40"/>
              <w:spacing w:after="0"/>
              <w:rPr>
                <w:sz w:val="20"/>
                <w:szCs w:val="20"/>
                <w:color w:val="auto"/>
              </w:rPr>
            </w:pPr>
            <w:r>
              <w:rPr>
                <w:rFonts w:ascii="Arial" w:cs="Arial" w:eastAsia="Arial" w:hAnsi="Arial"/>
                <w:sz w:val="22"/>
                <w:szCs w:val="22"/>
                <w:color w:val="auto"/>
              </w:rPr>
              <w:t>Operating results from mineral resources</w:t>
            </w:r>
          </w:p>
        </w:tc>
        <w:tc>
          <w:tcPr>
            <w:tcW w:w="3020" w:type="dxa"/>
            <w:vAlign w:val="bottom"/>
            <w:gridSpan w:val="2"/>
            <w:shd w:val="clear" w:color="auto" w:fill="CCEEFF"/>
          </w:tcPr>
          <w:p>
            <w:pPr>
              <w:jc w:val="right"/>
              <w:ind w:right="192"/>
              <w:spacing w:after="0"/>
              <w:rPr>
                <w:sz w:val="20"/>
                <w:szCs w:val="20"/>
                <w:color w:val="auto"/>
              </w:rPr>
            </w:pPr>
            <w:r>
              <w:rPr>
                <w:rFonts w:ascii="Arial" w:cs="Arial" w:eastAsia="Arial" w:hAnsi="Arial"/>
                <w:sz w:val="22"/>
                <w:szCs w:val="22"/>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2,300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4,900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281"/>
              <w:spacing w:after="0"/>
              <w:rPr>
                <w:sz w:val="20"/>
                <w:szCs w:val="20"/>
                <w:color w:val="auto"/>
              </w:rPr>
            </w:pPr>
            <w:r>
              <w:rPr>
                <w:rFonts w:ascii="Arial" w:cs="Arial" w:eastAsia="Arial" w:hAnsi="Arial"/>
                <w:sz w:val="18"/>
                <w:szCs w:val="18"/>
                <w:color w:val="auto"/>
              </w:rPr>
              <w:t>29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6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3"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i w:val="1"/>
          <w:iCs w:val="1"/>
          <w:color w:val="auto"/>
        </w:rPr>
        <w:t>Farming</w:t>
      </w:r>
    </w:p>
    <w:p>
      <w:pPr>
        <w:spacing w:after="0" w:line="85" w:lineRule="exact"/>
        <w:rPr>
          <w:sz w:val="20"/>
          <w:szCs w:val="20"/>
          <w:color w:val="auto"/>
        </w:rPr>
      </w:pPr>
    </w:p>
    <w:p>
      <w:pPr>
        <w:ind w:right="980"/>
        <w:spacing w:after="0" w:line="287" w:lineRule="auto"/>
        <w:rPr>
          <w:sz w:val="20"/>
          <w:szCs w:val="20"/>
          <w:color w:val="auto"/>
        </w:rPr>
      </w:pPr>
      <w:r>
        <w:rPr>
          <w:rFonts w:ascii="Arial" w:cs="Arial" w:eastAsia="Arial" w:hAnsi="Arial"/>
          <w:sz w:val="21"/>
          <w:szCs w:val="21"/>
          <w:color w:val="auto"/>
        </w:rPr>
        <w:t>The farming segment produces revenues from the sale of almonds, pistachios, wine grapes, and hay. The following table summarizes revenues, expenses and operating results from this segment for periods ended: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7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22"/>
                <w:szCs w:val="22"/>
                <w:color w:val="auto"/>
                <w:w w:val="98"/>
              </w:rPr>
              <w:t>Three Months Ended March 31,</w:t>
            </w:r>
          </w:p>
        </w:tc>
      </w:tr>
      <w:tr>
        <w:trPr>
          <w:trHeight w:val="29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 in thousands)</w:t>
            </w: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2018</w:t>
            </w:r>
          </w:p>
        </w:tc>
      </w:tr>
      <w:tr>
        <w:trPr>
          <w:trHeight w:val="297"/>
        </w:trPr>
        <w:tc>
          <w:tcPr>
            <w:tcW w:w="7140" w:type="dxa"/>
            <w:vAlign w:val="bottom"/>
            <w:shd w:val="clear" w:color="auto" w:fill="CCEEFF"/>
          </w:tcPr>
          <w:p>
            <w:pPr>
              <w:ind w:left="260"/>
              <w:spacing w:after="0"/>
              <w:rPr>
                <w:sz w:val="20"/>
                <w:szCs w:val="20"/>
                <w:color w:val="auto"/>
              </w:rPr>
            </w:pPr>
            <w:r>
              <w:rPr>
                <w:rFonts w:ascii="Arial" w:cs="Arial" w:eastAsia="Arial" w:hAnsi="Arial"/>
                <w:sz w:val="22"/>
                <w:szCs w:val="22"/>
                <w:color w:val="auto"/>
              </w:rPr>
              <w:t>Farming revenues</w:t>
            </w: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815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1,195</w:t>
            </w:r>
          </w:p>
        </w:tc>
      </w:tr>
      <w:tr>
        <w:trPr>
          <w:trHeight w:val="291"/>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22"/>
                <w:szCs w:val="22"/>
                <w:color w:val="auto"/>
              </w:rPr>
              <w:t>Farming expenses</w:t>
            </w: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1,598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97"/>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1,838</w:t>
            </w:r>
          </w:p>
        </w:tc>
      </w:tr>
      <w:tr>
        <w:trPr>
          <w:trHeight w:val="291"/>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Operating results from farming</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(783)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22"/>
                <w:szCs w:val="22"/>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(643)</w:t>
            </w:r>
          </w:p>
        </w:tc>
      </w:tr>
      <w:tr>
        <w:trPr>
          <w:trHeight w:val="20"/>
        </w:trPr>
        <w:tc>
          <w:tcPr>
            <w:tcW w:w="7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Ranch Operations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ranch operations segment consists of game management revenues and ancillary land uses such as grazing leases. The following table summarizes revenues, expenses and operating results from this segment for periods ended:</w:t>
      </w:r>
    </w:p>
    <w:p>
      <w:pPr>
        <w:spacing w:after="0" w:line="84" w:lineRule="exact"/>
        <w:rPr>
          <w:sz w:val="20"/>
          <w:szCs w:val="20"/>
          <w:color w:val="auto"/>
        </w:rPr>
      </w:pPr>
    </w:p>
    <w:tbl>
      <w:tblPr>
        <w:tblLayout w:type="fixed"/>
        <w:tblInd w:w="80" w:type="dxa"/>
        <w:tblCellMar>
          <w:top w:w="0" w:type="dxa"/>
          <w:left w:w="0" w:type="dxa"/>
          <w:bottom w:w="0" w:type="dxa"/>
          <w:right w:w="0" w:type="dxa"/>
        </w:tblCellMar>
      </w:tblPr>
      <w:tr>
        <w:trPr>
          <w:trHeight w:val="285"/>
        </w:trPr>
        <w:tc>
          <w:tcPr>
            <w:tcW w:w="4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w w:val="98"/>
              </w:rPr>
              <w:t>Three Months Ended March 31,</w:t>
            </w:r>
          </w:p>
        </w:tc>
        <w:tc>
          <w:tcPr>
            <w:tcW w:w="0" w:type="dxa"/>
            <w:vAlign w:val="bottom"/>
          </w:tcPr>
          <w:p>
            <w:pPr>
              <w:spacing w:after="0"/>
              <w:rPr>
                <w:sz w:val="1"/>
                <w:szCs w:val="1"/>
                <w:color w:val="auto"/>
              </w:rPr>
            </w:pPr>
          </w:p>
        </w:tc>
      </w:tr>
      <w:tr>
        <w:trPr>
          <w:trHeight w:val="291"/>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 in thousands)</w:t>
            </w:r>
          </w:p>
        </w:tc>
        <w:tc>
          <w:tcPr>
            <w:tcW w:w="25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4500" w:type="dxa"/>
            <w:vAlign w:val="bottom"/>
            <w:shd w:val="clear" w:color="auto" w:fill="CCEEFF"/>
          </w:tcPr>
          <w:p>
            <w:pPr>
              <w:ind w:left="260"/>
              <w:spacing w:after="0"/>
              <w:rPr>
                <w:sz w:val="20"/>
                <w:szCs w:val="20"/>
                <w:color w:val="auto"/>
              </w:rPr>
            </w:pPr>
            <w:r>
              <w:rPr>
                <w:rFonts w:ascii="Arial" w:cs="Arial" w:eastAsia="Arial" w:hAnsi="Arial"/>
                <w:sz w:val="22"/>
                <w:szCs w:val="22"/>
                <w:color w:val="auto"/>
              </w:rPr>
              <w:t>Ranch operations revenues</w:t>
            </w:r>
          </w:p>
        </w:tc>
        <w:tc>
          <w:tcPr>
            <w:tcW w:w="2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989</w:t>
            </w:r>
          </w:p>
        </w:tc>
        <w:tc>
          <w:tcPr>
            <w:tcW w:w="0" w:type="dxa"/>
            <w:vAlign w:val="bottom"/>
          </w:tcPr>
          <w:p>
            <w:pPr>
              <w:spacing w:after="0"/>
              <w:rPr>
                <w:sz w:val="1"/>
                <w:szCs w:val="1"/>
                <w:color w:val="auto"/>
              </w:rPr>
            </w:pPr>
          </w:p>
        </w:tc>
      </w:tr>
      <w:tr>
        <w:trPr>
          <w:trHeight w:val="291"/>
        </w:trPr>
        <w:tc>
          <w:tcPr>
            <w:tcW w:w="4500" w:type="dxa"/>
            <w:vAlign w:val="bottom"/>
            <w:tcBorders>
              <w:bottom w:val="single" w:sz="8" w:color="CCEEFF"/>
            </w:tcBorders>
          </w:tcPr>
          <w:p>
            <w:pPr>
              <w:ind w:left="260"/>
              <w:spacing w:after="0"/>
              <w:rPr>
                <w:sz w:val="20"/>
                <w:szCs w:val="20"/>
                <w:color w:val="auto"/>
              </w:rPr>
            </w:pPr>
            <w:r>
              <w:rPr>
                <w:rFonts w:ascii="Arial" w:cs="Arial" w:eastAsia="Arial" w:hAnsi="Arial"/>
                <w:sz w:val="22"/>
                <w:szCs w:val="22"/>
                <w:color w:val="auto"/>
              </w:rPr>
              <w:t>Ranch operations expenses</w:t>
            </w:r>
          </w:p>
        </w:tc>
        <w:tc>
          <w:tcPr>
            <w:tcW w:w="25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1,350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1,389</w:t>
            </w:r>
          </w:p>
        </w:tc>
        <w:tc>
          <w:tcPr>
            <w:tcW w:w="0" w:type="dxa"/>
            <w:vAlign w:val="bottom"/>
          </w:tcPr>
          <w:p>
            <w:pPr>
              <w:spacing w:after="0"/>
              <w:rPr>
                <w:sz w:val="1"/>
                <w:szCs w:val="1"/>
                <w:color w:val="auto"/>
              </w:rPr>
            </w:pPr>
          </w:p>
        </w:tc>
      </w:tr>
      <w:tr>
        <w:trPr>
          <w:trHeight w:val="291"/>
        </w:trPr>
        <w:tc>
          <w:tcPr>
            <w:tcW w:w="4500" w:type="dxa"/>
            <w:vAlign w:val="bottom"/>
            <w:shd w:val="clear" w:color="auto" w:fill="CCEEFF"/>
          </w:tcPr>
          <w:p>
            <w:pPr>
              <w:ind w:left="20"/>
              <w:spacing w:after="0"/>
              <w:rPr>
                <w:sz w:val="20"/>
                <w:szCs w:val="20"/>
                <w:color w:val="auto"/>
              </w:rPr>
            </w:pPr>
            <w:r>
              <w:rPr>
                <w:rFonts w:ascii="Arial" w:cs="Arial" w:eastAsia="Arial" w:hAnsi="Arial"/>
                <w:sz w:val="22"/>
                <w:szCs w:val="22"/>
                <w:color w:val="auto"/>
              </w:rPr>
              <w:t>Operating results from ranch operations</w:t>
            </w:r>
          </w:p>
        </w:tc>
        <w:tc>
          <w:tcPr>
            <w:tcW w:w="3020" w:type="dxa"/>
            <w:vAlign w:val="bottom"/>
            <w:gridSpan w:val="2"/>
            <w:shd w:val="clear" w:color="auto" w:fill="CCEEFF"/>
          </w:tcPr>
          <w:p>
            <w:pPr>
              <w:jc w:val="right"/>
              <w:ind w:right="192"/>
              <w:spacing w:after="0"/>
              <w:rPr>
                <w:sz w:val="20"/>
                <w:szCs w:val="20"/>
                <w:color w:val="auto"/>
              </w:rPr>
            </w:pPr>
            <w:r>
              <w:rPr>
                <w:rFonts w:ascii="Arial" w:cs="Arial" w:eastAsia="Arial" w:hAnsi="Arial"/>
                <w:sz w:val="22"/>
                <w:szCs w:val="2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261"/>
              <w:spacing w:after="0"/>
              <w:rPr>
                <w:sz w:val="20"/>
                <w:szCs w:val="20"/>
                <w:color w:val="auto"/>
              </w:rPr>
            </w:pPr>
            <w:r>
              <w:rPr>
                <w:rFonts w:ascii="Arial" w:cs="Arial" w:eastAsia="Arial" w:hAnsi="Arial"/>
                <w:sz w:val="18"/>
                <w:szCs w:val="18"/>
                <w:color w:val="auto"/>
              </w:rPr>
              <w:t>30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72" w:right="259" w:bottom="1440" w:gutter="0" w:footer="0" w:header="0"/>
        </w:sectPr>
      </w:pPr>
    </w:p>
    <w:bookmarkStart w:id="30" w:name="page31"/>
    <w:bookmarkEnd w:id="30"/>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1"/>
          <w:szCs w:val="21"/>
          <w:b w:val="1"/>
          <w:bCs w:val="1"/>
          <w:color w:val="auto"/>
        </w:rPr>
        <w:t>INVESTMENT IN UNCONSOLIDATED AND CONSOLIDATED JOINT VENTURES</w:t>
      </w:r>
    </w:p>
    <w:p>
      <w:pPr>
        <w:spacing w:after="0" w:line="172"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March 31, 2019 was $29,503,000. Equity in earnings from unconsolidated joint ventures was $876,000 for the three months ended March 31, 2019. The unconsolidated joint ventures have not been consolidated as of March 31, 2019, because the Company does not control the investments. The Company’s current joint ventures are as follows:</w:t>
      </w:r>
    </w:p>
    <w:p>
      <w:pPr>
        <w:spacing w:after="0" w:line="140" w:lineRule="exact"/>
        <w:rPr>
          <w:sz w:val="20"/>
          <w:szCs w:val="20"/>
          <w:color w:val="auto"/>
        </w:rPr>
      </w:pPr>
    </w:p>
    <w:p>
      <w:pPr>
        <w:ind w:left="460" w:hanging="330"/>
        <w:spacing w:after="0" w:line="294" w:lineRule="auto"/>
        <w:tabs>
          <w:tab w:leader="none" w:pos="4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Petro Travel Plaza Holdings LLC – is an unconsolidated joint venture with TravelCenters of America that develops and manages travel plazas, gas stations, convenience stores, and fast food restaurants throughout TRCC. The Company has 50% of the voting rights but participates in 60% of all profits and losses. The Company does not control the investment due to it only having 50% of the voting rights. Our partner is the managing partner and performs all of the day-to-day operations and has significant decision making authority regarding key business components such as fuel inventory and pricing at the facility. The Company's investment in this joint venture was $19,548,000 as of March 31, 2019.</w:t>
      </w:r>
    </w:p>
    <w:p>
      <w:pPr>
        <w:spacing w:after="0" w:line="95" w:lineRule="exact"/>
        <w:rPr>
          <w:rFonts w:ascii="Arial" w:cs="Arial" w:eastAsia="Arial" w:hAnsi="Arial"/>
          <w:sz w:val="19"/>
          <w:szCs w:val="19"/>
          <w:color w:val="auto"/>
        </w:rPr>
      </w:pPr>
    </w:p>
    <w:p>
      <w:pPr>
        <w:ind w:left="460" w:right="220" w:hanging="330"/>
        <w:spacing w:after="0" w:line="302" w:lineRule="auto"/>
        <w:tabs>
          <w:tab w:leader="none" w:pos="4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Majestic Realty Co. – Majestic Realty Co., or Majestic, is a privately-held developer and owner of master planned business parks throughout the United States. The Company formed three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7" w:lineRule="exact"/>
        <w:rPr>
          <w:rFonts w:ascii="Arial" w:cs="Arial" w:eastAsia="Arial" w:hAnsi="Arial"/>
          <w:sz w:val="19"/>
          <w:szCs w:val="19"/>
          <w:color w:val="auto"/>
        </w:rPr>
      </w:pPr>
    </w:p>
    <w:p>
      <w:pPr>
        <w:ind w:left="980" w:right="140" w:hanging="324"/>
        <w:spacing w:after="0" w:line="297" w:lineRule="auto"/>
        <w:tabs>
          <w:tab w:leader="none" w:pos="980" w:val="left"/>
        </w:tabs>
        <w:numPr>
          <w:ilvl w:val="1"/>
          <w:numId w:val="10"/>
        </w:numPr>
        <w:rPr>
          <w:rFonts w:ascii="Arial" w:cs="Arial" w:eastAsia="Arial" w:hAnsi="Arial"/>
          <w:sz w:val="19"/>
          <w:szCs w:val="19"/>
          <w:color w:val="auto"/>
        </w:rPr>
      </w:pPr>
      <w:r>
        <w:rPr>
          <w:rFonts w:ascii="Arial" w:cs="Arial" w:eastAsia="Arial" w:hAnsi="Arial"/>
          <w:sz w:val="19"/>
          <w:szCs w:val="19"/>
          <w:color w:val="auto"/>
        </w:rPr>
        <w:t>In November 2018, TRC-MRC 3, LLC was formed to pursue the development, construction, leasing, and management of a 579,040 square foot industrial building on the Company's property at TRCC-East. We anticipate construction to be completed in 2019, and plan to deliver the space in the fourth quarter of 2019 to a tenant that has entered into a lease agreement to occupy 67% of this rentable space. The Company's investment in this joint venture was $100,000 as of March 31, 2019. See Note 17 Subsequent Events for further disclosures related TRC-MRC 3, LLC.</w:t>
      </w:r>
    </w:p>
    <w:p>
      <w:pPr>
        <w:spacing w:after="0" w:line="120" w:lineRule="exact"/>
        <w:rPr>
          <w:rFonts w:ascii="Arial" w:cs="Arial" w:eastAsia="Arial" w:hAnsi="Arial"/>
          <w:sz w:val="19"/>
          <w:szCs w:val="19"/>
          <w:color w:val="auto"/>
        </w:rPr>
      </w:pPr>
    </w:p>
    <w:p>
      <w:pPr>
        <w:ind w:left="980" w:right="180" w:hanging="324"/>
        <w:spacing w:after="0" w:line="289" w:lineRule="auto"/>
        <w:tabs>
          <w:tab w:leader="none" w:pos="980" w:val="left"/>
        </w:tabs>
        <w:numPr>
          <w:ilvl w:val="1"/>
          <w:numId w:val="10"/>
        </w:numPr>
        <w:rPr>
          <w:rFonts w:ascii="Arial" w:cs="Arial" w:eastAsia="Arial" w:hAnsi="Arial"/>
          <w:sz w:val="19"/>
          <w:szCs w:val="19"/>
          <w:color w:val="auto"/>
        </w:rPr>
      </w:pPr>
      <w:r>
        <w:rPr>
          <w:rFonts w:ascii="Arial" w:cs="Arial" w:eastAsia="Arial" w:hAnsi="Arial"/>
          <w:sz w:val="19"/>
          <w:szCs w:val="19"/>
          <w:color w:val="auto"/>
        </w:rPr>
        <w:t>TRC-MRC 2, LLC was formed to acquire, lease, and maintain a fully occupied warehouse at TRCC-West. The partnership acquired the 651,909 square foot building for $24,773,000 that was largely financed through a promissory note guaranteed by both partners. The promissory note was refinanced on June 1, 2018 with a $25,240,000 promissory note. The note matures on July 1, 2028 and currently has an outstanding principal balance of $24,877,000. Since inception, we have received excess distributions resulting in a deficit balance of $2,482,000. In accordance with the applicable accounting guidance, we reclassified excess distributions to Other Liabilities within our Consolidated Balance Sheets. We will continue to record equity in earnings as a debit to the investment account and if it were to become positive, we will reclassify the liability to an asset. If it becomes obvious that any excess distribution may not be returned (upon joint venture liquidation or otherwise), we will immediately recognize the liability as income.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82" w:right="239" w:bottom="1440" w:gutter="0" w:footer="0" w:header="0"/>
        </w:sectPr>
      </w:pPr>
    </w:p>
    <w:bookmarkStart w:id="31" w:name="page32"/>
    <w:bookmarkEnd w:id="31"/>
    <w:p>
      <w:pPr>
        <w:ind w:left="972" w:right="20" w:hanging="324"/>
        <w:spacing w:after="0" w:line="289" w:lineRule="auto"/>
        <w:tabs>
          <w:tab w:leader="none" w:pos="972" w:val="left"/>
        </w:tabs>
        <w:numPr>
          <w:ilvl w:val="1"/>
          <w:numId w:val="11"/>
        </w:numPr>
        <w:rPr>
          <w:rFonts w:ascii="Arial" w:cs="Arial" w:eastAsia="Arial" w:hAnsi="Arial"/>
          <w:sz w:val="19"/>
          <w:szCs w:val="19"/>
          <w:color w:val="auto"/>
        </w:rPr>
      </w:pPr>
      <w:r>
        <w:rPr>
          <w:rFonts w:ascii="Arial" w:cs="Arial" w:eastAsia="Arial" w:hAnsi="Arial"/>
          <w:sz w:val="19"/>
          <w:szCs w:val="19"/>
          <w:color w:val="auto"/>
        </w:rPr>
        <w:t>TRC-MRC 1, LLC was formed to develop and operate a 480,480 square foot industrial building at TRCC-East. The facility is currently leased to Dollar General and L’Oréal USA, the largest subsidiary of L’Oréal. Since inception, we have received excess distributions resulting in a deficit balance of $275,000. In accordance with the applicable accounting guidance, we reclassified excess distributions to Other Liabilities within our Consolidated Balance Sheets. We will continue to record equity in earnings as a debit to the investment account and if it were to become positive, we will reclassify the liability to an asset. If it becomes obvious that any excess distribution may not be returned (upon joint venture liquidation or otherwise), we will immediately recognize the liability as income. The joint venture refinanced its construction loan in December 2018 with a mortgage loan. The original balance of the mortgage loan was $25,030,000, of which $24,943,000 was outstanding as of March 31, 2019.</w:t>
      </w:r>
    </w:p>
    <w:p>
      <w:pPr>
        <w:spacing w:after="0" w:line="130" w:lineRule="exact"/>
        <w:rPr>
          <w:rFonts w:ascii="Arial" w:cs="Arial" w:eastAsia="Arial" w:hAnsi="Arial"/>
          <w:sz w:val="19"/>
          <w:szCs w:val="19"/>
          <w:color w:val="auto"/>
        </w:rPr>
      </w:pPr>
    </w:p>
    <w:p>
      <w:pPr>
        <w:ind w:left="332" w:right="560" w:hanging="332"/>
        <w:spacing w:after="0" w:line="253" w:lineRule="auto"/>
        <w:tabs>
          <w:tab w:leader="none" w:pos="332" w:val="left"/>
        </w:tabs>
        <w:numPr>
          <w:ilvl w:val="0"/>
          <w:numId w:val="11"/>
        </w:numPr>
        <w:rPr>
          <w:rFonts w:ascii="Arial" w:cs="Arial" w:eastAsia="Arial" w:hAnsi="Arial"/>
          <w:sz w:val="22"/>
          <w:szCs w:val="22"/>
          <w:color w:val="auto"/>
        </w:rPr>
      </w:pPr>
      <w:r>
        <w:rPr>
          <w:rFonts w:ascii="Arial" w:cs="Arial" w:eastAsia="Arial" w:hAnsi="Arial"/>
          <w:sz w:val="22"/>
          <w:szCs w:val="22"/>
          <w:color w:val="auto"/>
        </w:rPr>
        <w:t>Rockefeller Joint Ventures – The Company has three joint ventures with Rockefeller Group Development Corporation, or Rockefeller. At March 31, 2019, the Company’s combined equity investment balance in these three joint ventures was $9,855,000.</w:t>
      </w:r>
    </w:p>
    <w:p>
      <w:pPr>
        <w:spacing w:after="0" w:line="158" w:lineRule="exact"/>
        <w:rPr>
          <w:rFonts w:ascii="Arial" w:cs="Arial" w:eastAsia="Arial" w:hAnsi="Arial"/>
          <w:sz w:val="22"/>
          <w:szCs w:val="22"/>
          <w:color w:val="auto"/>
        </w:rPr>
      </w:pPr>
    </w:p>
    <w:p>
      <w:pPr>
        <w:ind w:left="972" w:hanging="324"/>
        <w:spacing w:after="0" w:line="288" w:lineRule="auto"/>
        <w:tabs>
          <w:tab w:leader="none" w:pos="972" w:val="left"/>
        </w:tabs>
        <w:numPr>
          <w:ilvl w:val="1"/>
          <w:numId w:val="11"/>
        </w:numPr>
        <w:rPr>
          <w:rFonts w:ascii="Arial" w:cs="Arial" w:eastAsia="Arial" w:hAnsi="Arial"/>
          <w:sz w:val="19"/>
          <w:szCs w:val="19"/>
          <w:color w:val="auto"/>
        </w:rPr>
      </w:pPr>
      <w:r>
        <w:rPr>
          <w:rFonts w:ascii="Arial" w:cs="Arial" w:eastAsia="Arial" w:hAnsi="Arial"/>
          <w:sz w:val="19"/>
          <w:szCs w:val="19"/>
          <w:color w:val="auto"/>
        </w:rPr>
        <w:t>Two joint ventures are for the development of buildings on approximately 91 acres of our land and are part of an agreement for the potential development of up to 500 acres of land in TRCC that are tied to Foreign Trade Zone designation. The Company owns a 50% interest in each of the joint ventures. Currently, the Five West Parcel LLC joint venture owns and leases a 606,000 square foot building to Dollar General, which has now been extended to July 2022, and includes an option for an additional three years. For operating revenue, please see the following table. The Five West Parcel LLC joint venture currently has an outstanding term loan with a balance of $9,038,000 that matures on May 5, 2022. The Company and Rockefeller guarantee the performance of the debt. The second of these joint ventures, 18-19 West LLC, was formed in August 2009 through the contribution of 61.5 acres of land by the Company, which is being held for future development. Both of these joint ventures are being accounted for under the equity method due to both members having significant participating rights in the management of the ventures.</w:t>
      </w:r>
    </w:p>
    <w:p>
      <w:pPr>
        <w:spacing w:after="0" w:line="133" w:lineRule="exact"/>
        <w:rPr>
          <w:rFonts w:ascii="Arial" w:cs="Arial" w:eastAsia="Arial" w:hAnsi="Arial"/>
          <w:sz w:val="19"/>
          <w:szCs w:val="19"/>
          <w:color w:val="auto"/>
        </w:rPr>
      </w:pPr>
    </w:p>
    <w:p>
      <w:pPr>
        <w:ind w:left="972" w:right="60" w:hanging="324"/>
        <w:spacing w:after="0" w:line="286" w:lineRule="auto"/>
        <w:tabs>
          <w:tab w:leader="none" w:pos="972"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third joint venture is the TRCC/Rock Outlet Center LLC joint venture that was formed in of 2013 to develop, own, and manage a net leasable 326,000 square foot outlet center on land at TRCC-East. The cost of the outlet center was approximately $87,000,000 and was funded through a construction loan for up to 60% of the costs. The remaining 40% was funded through equity contributions from the two members.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credit agreement with a financial institution for $52,000,000 that, as of March 31, 2019, had an outstanding balance of $46,341,000. The Company and Rockefeller guarantee the performance of the debt.</w:t>
      </w: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92"/>
          </w:cols>
          <w:pgMar w:left="248" w:top="672" w:right="259" w:bottom="1440" w:gutter="0" w:footer="0" w:header="0"/>
        </w:sectPr>
      </w:pPr>
    </w:p>
    <w:bookmarkStart w:id="32" w:name="page33"/>
    <w:bookmarkEnd w:id="32"/>
    <w:p>
      <w:pPr>
        <w:ind w:left="340" w:hanging="332"/>
        <w:spacing w:after="0" w:line="287" w:lineRule="auto"/>
        <w:tabs>
          <w:tab w:leader="none" w:pos="3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Centennial Founders, LLC – Centennial Founders, LLC, or CFL, is a joint venture that was initially formed with TRI Pointe Homes, Lewis Investment Company, or Lewis,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the third quarter of 2009, and the Company was determined to be the primary beneficiary. As a result, CFL was consolidated into our financial statements beginning in that quarter. Our partners retained a noncontrolling interest in the joint venture. On November 30, 2016, CFL and Lewis entered a Redemption and Withdrawal Agreement, whereby Lewis irrevocably and unconditionally withdrew as a member of CFL, and CFL redeemed Lewis' entire interest for no consideration. As a result, our noncontrolling interest balance was reduced by $11,039,000. On December 31, 2018, CFL and CalAtlantic entered a Redemption and Withdrawal Agreement, whereby CalAtlantic irrevocably and unconditionally withdrew as a member of CFL, and CFL redeemed CalAtlantic's entire interest for no consideration. As a result, the noncontrolling interest balance was reduced by $13,172,000. At March 31, 2019, the Company owned 92.32% of CFL.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Company’s investment balance in its unconsolidated joint ventures differs from its respective capital accounts in the respective joint ventures. The differential represents the difference between the cost basis of assets contributed by the Company and the agreed upon contribution value of the assets contributed.</w:t>
      </w:r>
    </w:p>
    <w:p>
      <w:pPr>
        <w:spacing w:after="0" w:line="51"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Unaudited condensed statement of operations for the three months ended March 31, 2019 and condensed balance sheet information of the Company’s unconsolidated joint ventures as of March 31, 2019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00" w:type="dxa"/>
            <w:vAlign w:val="bottom"/>
            <w:gridSpan w:val="8"/>
          </w:tcPr>
          <w:p>
            <w:pPr>
              <w:ind w:left="40"/>
              <w:spacing w:after="0"/>
              <w:rPr>
                <w:sz w:val="20"/>
                <w:szCs w:val="20"/>
                <w:color w:val="auto"/>
              </w:rPr>
            </w:pPr>
            <w:r>
              <w:rPr>
                <w:rFonts w:ascii="Arial" w:cs="Arial" w:eastAsia="Arial" w:hAnsi="Arial"/>
                <w:sz w:val="20"/>
                <w:szCs w:val="20"/>
                <w:b w:val="1"/>
                <w:bCs w:val="1"/>
                <w:color w:val="auto"/>
              </w:rPr>
              <w:t>Three Months Ended March 31,</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4"/>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21"/>
              <w:spacing w:after="0"/>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01"/>
              <w:spacing w:after="0"/>
              <w:rPr>
                <w:sz w:val="20"/>
                <w:szCs w:val="20"/>
                <w:color w:val="auto"/>
              </w:rPr>
            </w:pPr>
            <w:r>
              <w:rPr>
                <w:rFonts w:ascii="Arial" w:cs="Arial" w:eastAsia="Arial" w:hAnsi="Arial"/>
                <w:sz w:val="20"/>
                <w:szCs w:val="20"/>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21"/>
              <w:spacing w:after="0"/>
              <w:rPr>
                <w:sz w:val="20"/>
                <w:szCs w:val="20"/>
                <w:color w:val="auto"/>
              </w:rPr>
            </w:pPr>
            <w:r>
              <w:rPr>
                <w:rFonts w:ascii="Arial" w:cs="Arial" w:eastAsia="Arial" w:hAnsi="Arial"/>
                <w:sz w:val="20"/>
                <w:szCs w:val="20"/>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21"/>
              <w:spacing w:after="0"/>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461"/>
              <w:spacing w:after="0"/>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41"/>
              <w:spacing w:after="0"/>
              <w:rPr>
                <w:sz w:val="20"/>
                <w:szCs w:val="20"/>
                <w:color w:val="auto"/>
              </w:rPr>
            </w:pPr>
            <w:r>
              <w:rPr>
                <w:rFonts w:ascii="Arial" w:cs="Arial" w:eastAsia="Arial" w:hAnsi="Arial"/>
                <w:sz w:val="20"/>
                <w:szCs w:val="20"/>
                <w:b w:val="1"/>
                <w:bCs w:val="1"/>
                <w:color w:val="auto"/>
                <w:w w:val="89"/>
              </w:rPr>
              <w:t>2018</w:t>
            </w:r>
          </w:p>
        </w:tc>
      </w:tr>
      <w:tr>
        <w:trPr>
          <w:trHeight w:val="23"/>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4"/>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gridSpan w:val="5"/>
          </w:tcPr>
          <w:p>
            <w:pPr>
              <w:ind w:left="300"/>
              <w:spacing w:after="0"/>
              <w:rPr>
                <w:sz w:val="20"/>
                <w:szCs w:val="20"/>
                <w:color w:val="auto"/>
              </w:rPr>
            </w:pPr>
            <w:r>
              <w:rPr>
                <w:rFonts w:ascii="Arial" w:cs="Arial" w:eastAsia="Arial" w:hAnsi="Arial"/>
                <w:sz w:val="20"/>
                <w:szCs w:val="20"/>
                <w:b w:val="1"/>
                <w:bCs w:val="1"/>
                <w:color w:val="auto"/>
              </w:rPr>
              <w:t>Joint Venture</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gridSpan w:val="3"/>
          </w:tcPr>
          <w:p>
            <w:pPr>
              <w:jc w:val="center"/>
              <w:ind w:left="581"/>
              <w:spacing w:after="0"/>
              <w:rPr>
                <w:sz w:val="20"/>
                <w:szCs w:val="20"/>
                <w:color w:val="auto"/>
              </w:rPr>
            </w:pPr>
            <w:r>
              <w:rPr>
                <w:rFonts w:ascii="Arial" w:cs="Arial" w:eastAsia="Arial" w:hAnsi="Arial"/>
                <w:sz w:val="20"/>
                <w:szCs w:val="20"/>
                <w:b w:val="1"/>
                <w:bCs w:val="1"/>
                <w:color w:val="auto"/>
                <w:w w:val="97"/>
              </w:rPr>
              <w:t>TRC</w:t>
            </w:r>
          </w:p>
        </w:tc>
        <w:tc>
          <w:tcPr>
            <w:tcW w:w="960" w:type="dxa"/>
            <w:vAlign w:val="bottom"/>
          </w:tcPr>
          <w:p>
            <w:pPr>
              <w:spacing w:after="0"/>
              <w:rPr>
                <w:sz w:val="22"/>
                <w:szCs w:val="22"/>
                <w:color w:val="auto"/>
              </w:rPr>
            </w:pPr>
          </w:p>
        </w:tc>
      </w:tr>
      <w:tr>
        <w:trPr>
          <w:trHeight w:val="284"/>
        </w:trPr>
        <w:tc>
          <w:tcPr>
            <w:tcW w:w="3740" w:type="dxa"/>
            <w:vAlign w:val="bottom"/>
          </w:tcPr>
          <w:p>
            <w:pPr>
              <w:ind w:left="40"/>
              <w:spacing w:after="0"/>
              <w:rPr>
                <w:sz w:val="20"/>
                <w:szCs w:val="20"/>
                <w:color w:val="auto"/>
              </w:rPr>
            </w:pPr>
            <w:r>
              <w:rPr>
                <w:rFonts w:ascii="Arial" w:cs="Arial" w:eastAsia="Arial" w:hAnsi="Arial"/>
                <w:sz w:val="20"/>
                <w:szCs w:val="20"/>
                <w:color w:val="auto"/>
              </w:rPr>
              <w:t>($ in thousands)</w:t>
            </w:r>
          </w:p>
        </w:tc>
        <w:tc>
          <w:tcPr>
            <w:tcW w:w="220" w:type="dxa"/>
            <w:vAlign w:val="bottom"/>
          </w:tcPr>
          <w:p>
            <w:pPr>
              <w:spacing w:after="0"/>
              <w:rPr>
                <w:sz w:val="24"/>
                <w:szCs w:val="24"/>
                <w:color w:val="auto"/>
              </w:rPr>
            </w:pPr>
          </w:p>
        </w:tc>
        <w:tc>
          <w:tcPr>
            <w:tcW w:w="2060" w:type="dxa"/>
            <w:vAlign w:val="bottom"/>
            <w:gridSpan w:val="5"/>
          </w:tcPr>
          <w:p>
            <w:pPr>
              <w:ind w:left="480"/>
              <w:spacing w:after="0"/>
              <w:rPr>
                <w:sz w:val="20"/>
                <w:szCs w:val="20"/>
                <w:color w:val="auto"/>
              </w:rPr>
            </w:pPr>
            <w:r>
              <w:rPr>
                <w:rFonts w:ascii="Arial" w:cs="Arial" w:eastAsia="Arial" w:hAnsi="Arial"/>
                <w:sz w:val="20"/>
                <w:szCs w:val="20"/>
                <w:b w:val="1"/>
                <w:bCs w:val="1"/>
                <w:color w:val="auto"/>
              </w:rPr>
              <w:t>Revenues</w:t>
            </w:r>
          </w:p>
        </w:tc>
        <w:tc>
          <w:tcPr>
            <w:tcW w:w="160" w:type="dxa"/>
            <w:vAlign w:val="bottom"/>
          </w:tcPr>
          <w:p>
            <w:pPr>
              <w:spacing w:after="0"/>
              <w:rPr>
                <w:sz w:val="24"/>
                <w:szCs w:val="24"/>
                <w:color w:val="auto"/>
              </w:rPr>
            </w:pPr>
          </w:p>
        </w:tc>
        <w:tc>
          <w:tcPr>
            <w:tcW w:w="2100" w:type="dxa"/>
            <w:vAlign w:val="bottom"/>
            <w:gridSpan w:val="5"/>
          </w:tcPr>
          <w:p>
            <w:pPr>
              <w:ind w:left="280"/>
              <w:spacing w:after="0"/>
              <w:rPr>
                <w:sz w:val="20"/>
                <w:szCs w:val="20"/>
                <w:color w:val="auto"/>
              </w:rPr>
            </w:pPr>
            <w:r>
              <w:rPr>
                <w:rFonts w:ascii="Arial" w:cs="Arial" w:eastAsia="Arial" w:hAnsi="Arial"/>
                <w:sz w:val="20"/>
                <w:szCs w:val="20"/>
                <w:b w:val="1"/>
                <w:bCs w:val="1"/>
                <w:color w:val="auto"/>
              </w:rPr>
              <w:t>Earnings(Loss)</w:t>
            </w:r>
          </w:p>
        </w:tc>
        <w:tc>
          <w:tcPr>
            <w:tcW w:w="320" w:type="dxa"/>
            <w:vAlign w:val="bottom"/>
          </w:tcPr>
          <w:p>
            <w:pPr>
              <w:spacing w:after="0"/>
              <w:rPr>
                <w:sz w:val="24"/>
                <w:szCs w:val="24"/>
                <w:color w:val="auto"/>
              </w:rPr>
            </w:pPr>
          </w:p>
        </w:tc>
        <w:tc>
          <w:tcPr>
            <w:tcW w:w="2760" w:type="dxa"/>
            <w:vAlign w:val="bottom"/>
            <w:gridSpan w:val="4"/>
          </w:tcPr>
          <w:p>
            <w:pPr>
              <w:jc w:val="center"/>
              <w:ind w:right="181"/>
              <w:spacing w:after="0"/>
              <w:rPr>
                <w:sz w:val="20"/>
                <w:szCs w:val="20"/>
                <w:color w:val="auto"/>
              </w:rPr>
            </w:pPr>
            <w:r>
              <w:rPr>
                <w:rFonts w:ascii="Arial" w:cs="Arial" w:eastAsia="Arial" w:hAnsi="Arial"/>
                <w:sz w:val="20"/>
                <w:szCs w:val="20"/>
                <w:b w:val="1"/>
                <w:bCs w:val="1"/>
                <w:color w:val="auto"/>
                <w:w w:val="89"/>
              </w:rPr>
              <w:t>Equity in Earnings(Loss)</w:t>
            </w:r>
          </w:p>
        </w:tc>
      </w:tr>
      <w:tr>
        <w:trPr>
          <w:trHeight w:val="23"/>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Petro Travel Plaza Holdings, LLC</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25,406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24,677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532</w:t>
            </w:r>
          </w:p>
        </w:tc>
      </w:tr>
      <w:tr>
        <w:trPr>
          <w:trHeight w:val="261"/>
        </w:trPr>
        <w:tc>
          <w:tcPr>
            <w:tcW w:w="3740" w:type="dxa"/>
            <w:vAlign w:val="bottom"/>
          </w:tcPr>
          <w:p>
            <w:pPr>
              <w:ind w:left="40"/>
              <w:spacing w:after="0"/>
              <w:rPr>
                <w:sz w:val="20"/>
                <w:szCs w:val="20"/>
                <w:color w:val="auto"/>
              </w:rPr>
            </w:pPr>
            <w:r>
              <w:rPr>
                <w:rFonts w:ascii="Arial" w:cs="Arial" w:eastAsia="Arial" w:hAnsi="Arial"/>
                <w:sz w:val="20"/>
                <w:szCs w:val="20"/>
                <w:color w:val="auto"/>
              </w:rPr>
              <w:t>Five West Parcel, LLC</w:t>
            </w: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684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697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171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86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96</w:t>
            </w:r>
          </w:p>
        </w:tc>
      </w:tr>
      <w:tr>
        <w:trPr>
          <w:trHeight w:val="23"/>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18-19 West, LLC</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3740" w:type="dxa"/>
            <w:vAlign w:val="bottom"/>
          </w:tcPr>
          <w:p>
            <w:pPr>
              <w:ind w:left="40"/>
              <w:spacing w:after="0" w:line="283" w:lineRule="exact"/>
              <w:rPr>
                <w:sz w:val="20"/>
                <w:szCs w:val="20"/>
                <w:color w:val="auto"/>
              </w:rPr>
            </w:pPr>
            <w:r>
              <w:rPr>
                <w:rFonts w:ascii="Arial" w:cs="Arial" w:eastAsia="Arial" w:hAnsi="Arial"/>
                <w:sz w:val="20"/>
                <w:szCs w:val="20"/>
                <w:color w:val="auto"/>
              </w:rPr>
              <w:t>TRCC/Rock Outlet Center, LLC</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1,898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1,475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(785)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(393)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(548)</w:t>
            </w: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TRC-MRC 1, LLC</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3740" w:type="dxa"/>
            <w:vAlign w:val="bottom"/>
            <w:tcBorders>
              <w:bottom w:val="single" w:sz="8" w:color="CCEEFF"/>
            </w:tcBorders>
          </w:tcPr>
          <w:p>
            <w:pPr>
              <w:ind w:left="40"/>
              <w:spacing w:after="0" w:line="283" w:lineRule="exact"/>
              <w:rPr>
                <w:sz w:val="20"/>
                <w:szCs w:val="20"/>
                <w:color w:val="auto"/>
              </w:rPr>
            </w:pPr>
            <w:r>
              <w:rPr>
                <w:rFonts w:ascii="Arial" w:cs="Arial" w:eastAsia="Arial" w:hAnsi="Arial"/>
                <w:sz w:val="20"/>
                <w:szCs w:val="20"/>
                <w:color w:val="auto"/>
              </w:rPr>
              <w:t>TRC-MRC 2, LLC</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978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77</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101</w:t>
            </w:r>
          </w:p>
        </w:tc>
      </w:tr>
      <w:tr>
        <w:trPr>
          <w:trHeight w:val="282"/>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29,711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27,830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1,377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876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7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82"/>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Centennial Founders, LLC</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3"/>
            <w:shd w:val="clear" w:color="auto" w:fill="CCEEFF"/>
          </w:tcPr>
          <w:p>
            <w:pPr>
              <w:jc w:val="center"/>
              <w:ind w:left="581"/>
              <w:spacing w:after="0"/>
              <w:rPr>
                <w:sz w:val="20"/>
                <w:szCs w:val="20"/>
                <w:color w:val="auto"/>
              </w:rPr>
            </w:pPr>
            <w:r>
              <w:rPr>
                <w:rFonts w:ascii="Arial" w:cs="Arial" w:eastAsia="Arial" w:hAnsi="Arial"/>
                <w:sz w:val="20"/>
                <w:szCs w:val="20"/>
                <w:color w:val="auto"/>
                <w:w w:val="89"/>
              </w:rPr>
              <w:t>Consolidated</w:t>
            </w:r>
          </w:p>
        </w:tc>
        <w:tc>
          <w:tcPr>
            <w:tcW w:w="960" w:type="dxa"/>
            <w:vAlign w:val="bottom"/>
            <w:tcBorders>
              <w:bottom w:val="single" w:sz="8" w:color="CCEEFF"/>
            </w:tcBorders>
            <w:shd w:val="clear" w:color="auto" w:fill="CCEEFF"/>
          </w:tcPr>
          <w:p>
            <w:pPr>
              <w:spacing w:after="0"/>
              <w:rPr>
                <w:sz w:val="24"/>
                <w:szCs w:val="24"/>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0" w:right="360" w:hanging="5"/>
        <w:spacing w:after="0" w:line="293" w:lineRule="auto"/>
        <w:tabs>
          <w:tab w:leader="none" w:pos="2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Revenues for TRCC/Rock Outlet Center are presented net of non-cash tenant allowance amortization of $0.5 million and $0.4 million as of March 31, 2019 and 2018, respectively.</w:t>
      </w:r>
    </w:p>
    <w:p>
      <w:pPr>
        <w:spacing w:after="0" w:line="9" w:lineRule="exact"/>
        <w:rPr>
          <w:rFonts w:ascii="Arial" w:cs="Arial" w:eastAsia="Arial" w:hAnsi="Arial"/>
          <w:sz w:val="16"/>
          <w:szCs w:val="16"/>
          <w:color w:val="auto"/>
        </w:rPr>
      </w:pPr>
    </w:p>
    <w:p>
      <w:pPr>
        <w:ind w:left="40" w:right="120" w:hanging="5"/>
        <w:spacing w:after="0" w:line="293" w:lineRule="auto"/>
        <w:tabs>
          <w:tab w:leader="none" w:pos="2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Earnings for TRC-MRC 2, LLC include non-cash amortization of purchase accounting adjustments related to in-place leases of $0.2 million as of both of March 31, 2019 and 2018.</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72" w:right="25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256"/>
        </w:trPr>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gridSpan w:val="3"/>
          </w:tcPr>
          <w:p>
            <w:pPr>
              <w:jc w:val="right"/>
              <w:ind w:right="381"/>
              <w:spacing w:after="0"/>
              <w:rPr>
                <w:sz w:val="20"/>
                <w:szCs w:val="20"/>
                <w:color w:val="auto"/>
              </w:rPr>
            </w:pPr>
            <w:r>
              <w:rPr>
                <w:rFonts w:ascii="Arial" w:cs="Arial" w:eastAsia="Arial" w:hAnsi="Arial"/>
                <w:sz w:val="20"/>
                <w:szCs w:val="20"/>
                <w:b w:val="1"/>
                <w:bCs w:val="1"/>
                <w:color w:val="auto"/>
              </w:rPr>
              <w:t>March 31, 2019</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gridSpan w:val="3"/>
          </w:tcPr>
          <w:p>
            <w:pPr>
              <w:jc w:val="right"/>
              <w:ind w:right="241"/>
              <w:spacing w:after="0"/>
              <w:rPr>
                <w:sz w:val="20"/>
                <w:szCs w:val="20"/>
                <w:color w:val="auto"/>
              </w:rPr>
            </w:pPr>
            <w:r>
              <w:rPr>
                <w:rFonts w:ascii="Arial" w:cs="Arial" w:eastAsia="Arial" w:hAnsi="Arial"/>
                <w:sz w:val="20"/>
                <w:szCs w:val="20"/>
                <w:b w:val="1"/>
                <w:bCs w:val="1"/>
                <w:color w:val="auto"/>
                <w:w w:val="94"/>
              </w:rPr>
              <w:t>December 31, 2018</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Joint Venture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TRC</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Joint Venture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82"/>
              <w:spacing w:after="0"/>
              <w:rPr>
                <w:sz w:val="20"/>
                <w:szCs w:val="20"/>
                <w:color w:val="auto"/>
              </w:rPr>
            </w:pPr>
            <w:r>
              <w:rPr>
                <w:rFonts w:ascii="Arial" w:cs="Arial" w:eastAsia="Arial" w:hAnsi="Arial"/>
                <w:sz w:val="18"/>
                <w:szCs w:val="18"/>
                <w:b w:val="1"/>
                <w:bCs w:val="1"/>
                <w:color w:val="auto"/>
              </w:rPr>
              <w:t>TRC</w:t>
            </w:r>
          </w:p>
        </w:tc>
        <w:tc>
          <w:tcPr>
            <w:tcW w:w="0" w:type="dxa"/>
            <w:vAlign w:val="bottom"/>
          </w:tcPr>
          <w:p>
            <w:pPr>
              <w:spacing w:after="0"/>
              <w:rPr>
                <w:sz w:val="1"/>
                <w:szCs w:val="1"/>
                <w:color w:val="auto"/>
              </w:rPr>
            </w:pPr>
          </w:p>
        </w:tc>
      </w:tr>
      <w:tr>
        <w:trPr>
          <w:trHeight w:val="288"/>
        </w:trPr>
        <w:tc>
          <w:tcPr>
            <w:tcW w:w="2100" w:type="dxa"/>
            <w:vAlign w:val="bottom"/>
          </w:tcPr>
          <w:p>
            <w:pPr>
              <w:ind w:left="20"/>
              <w:spacing w:after="0"/>
              <w:rPr>
                <w:sz w:val="20"/>
                <w:szCs w:val="20"/>
                <w:color w:val="auto"/>
              </w:rPr>
            </w:pPr>
            <w:r>
              <w:rPr>
                <w:rFonts w:ascii="Arial" w:cs="Arial" w:eastAsia="Arial" w:hAnsi="Arial"/>
                <w:sz w:val="20"/>
                <w:szCs w:val="20"/>
                <w:color w:val="auto"/>
              </w:rPr>
              <w:t>($ in thousands)</w:t>
            </w:r>
          </w:p>
        </w:tc>
        <w:tc>
          <w:tcPr>
            <w:tcW w:w="22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20"/>
                <w:szCs w:val="20"/>
                <w:b w:val="1"/>
                <w:bCs w:val="1"/>
                <w:color w:val="auto"/>
                <w:w w:val="91"/>
              </w:rPr>
              <w:t>Assets</w:t>
            </w:r>
          </w:p>
        </w:tc>
        <w:tc>
          <w:tcPr>
            <w:tcW w:w="28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Debt</w:t>
            </w:r>
          </w:p>
        </w:tc>
        <w:tc>
          <w:tcPr>
            <w:tcW w:w="220" w:type="dxa"/>
            <w:vAlign w:val="bottom"/>
          </w:tcPr>
          <w:p>
            <w:pPr>
              <w:spacing w:after="0"/>
              <w:rPr>
                <w:sz w:val="24"/>
                <w:szCs w:val="24"/>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b w:val="1"/>
                <w:bCs w:val="1"/>
                <w:color w:val="auto"/>
              </w:rPr>
              <w:t>Equity</w:t>
            </w:r>
          </w:p>
        </w:tc>
        <w:tc>
          <w:tcPr>
            <w:tcW w:w="20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4"/>
              </w:rPr>
              <w:t>Equity</w:t>
            </w:r>
          </w:p>
        </w:tc>
        <w:tc>
          <w:tcPr>
            <w:tcW w:w="22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20"/>
                <w:szCs w:val="20"/>
                <w:b w:val="1"/>
                <w:bCs w:val="1"/>
                <w:color w:val="auto"/>
                <w:w w:val="91"/>
              </w:rPr>
              <w:t>Assets</w:t>
            </w:r>
          </w:p>
        </w:tc>
        <w:tc>
          <w:tcPr>
            <w:tcW w:w="28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Debt</w:t>
            </w:r>
          </w:p>
        </w:tc>
        <w:tc>
          <w:tcPr>
            <w:tcW w:w="220" w:type="dxa"/>
            <w:vAlign w:val="bottom"/>
          </w:tcPr>
          <w:p>
            <w:pPr>
              <w:spacing w:after="0"/>
              <w:rPr>
                <w:sz w:val="24"/>
                <w:szCs w:val="24"/>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b w:val="1"/>
                <w:bCs w:val="1"/>
                <w:color w:val="auto"/>
              </w:rPr>
              <w:t>Equity</w:t>
            </w:r>
          </w:p>
        </w:tc>
        <w:tc>
          <w:tcPr>
            <w:tcW w:w="200" w:type="dxa"/>
            <w:vAlign w:val="bottom"/>
          </w:tcPr>
          <w:p>
            <w:pPr>
              <w:spacing w:after="0"/>
              <w:rPr>
                <w:sz w:val="24"/>
                <w:szCs w:val="24"/>
                <w:color w:val="auto"/>
              </w:rPr>
            </w:pPr>
          </w:p>
        </w:tc>
        <w:tc>
          <w:tcPr>
            <w:tcW w:w="940" w:type="dxa"/>
            <w:vAlign w:val="bottom"/>
          </w:tcPr>
          <w:p>
            <w:pPr>
              <w:jc w:val="right"/>
              <w:ind w:right="182"/>
              <w:spacing w:after="0"/>
              <w:rPr>
                <w:sz w:val="20"/>
                <w:szCs w:val="20"/>
                <w:color w:val="auto"/>
              </w:rPr>
            </w:pPr>
            <w:r>
              <w:rPr>
                <w:rFonts w:ascii="Arial" w:cs="Arial" w:eastAsia="Arial" w:hAnsi="Arial"/>
                <w:sz w:val="20"/>
                <w:szCs w:val="20"/>
                <w:b w:val="1"/>
                <w:bCs w:val="1"/>
                <w:color w:val="auto"/>
              </w:rPr>
              <w:t>Equity</w:t>
            </w:r>
          </w:p>
        </w:tc>
        <w:tc>
          <w:tcPr>
            <w:tcW w:w="0" w:type="dxa"/>
            <w:vAlign w:val="bottom"/>
          </w:tcPr>
          <w:p>
            <w:pPr>
              <w:spacing w:after="0"/>
              <w:rPr>
                <w:sz w:val="1"/>
                <w:szCs w:val="1"/>
                <w:color w:val="auto"/>
              </w:rPr>
            </w:pPr>
          </w:p>
        </w:tc>
      </w:tr>
      <w:tr>
        <w:trPr>
          <w:trHeight w:val="23"/>
        </w:trPr>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ind w:left="20"/>
              <w:spacing w:after="0" w:line="220" w:lineRule="exact"/>
              <w:rPr>
                <w:sz w:val="20"/>
                <w:szCs w:val="20"/>
                <w:color w:val="auto"/>
              </w:rPr>
            </w:pPr>
            <w:r>
              <w:rPr>
                <w:rFonts w:ascii="Arial" w:cs="Arial" w:eastAsia="Arial" w:hAnsi="Arial"/>
                <w:sz w:val="20"/>
                <w:szCs w:val="20"/>
                <w:color w:val="auto"/>
              </w:rPr>
              <w:t>Petro Travel Plaza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Holdings, LLC</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70,441</w:t>
            </w:r>
          </w:p>
        </w:tc>
        <w:tc>
          <w:tcPr>
            <w:tcW w:w="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(15,284)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53,247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19,548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69,096</w:t>
            </w:r>
          </w:p>
        </w:tc>
        <w:tc>
          <w:tcPr>
            <w:tcW w:w="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(15,283)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51,377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18,426</w:t>
            </w:r>
          </w:p>
        </w:tc>
        <w:tc>
          <w:tcPr>
            <w:tcW w:w="0" w:type="dxa"/>
            <w:vAlign w:val="bottom"/>
          </w:tcPr>
          <w:p>
            <w:pPr>
              <w:spacing w:after="0"/>
              <w:rPr>
                <w:sz w:val="1"/>
                <w:szCs w:val="1"/>
                <w:color w:val="auto"/>
              </w:rPr>
            </w:pPr>
          </w:p>
        </w:tc>
      </w:tr>
      <w:tr>
        <w:trPr>
          <w:trHeight w:val="261"/>
        </w:trPr>
        <w:tc>
          <w:tcPr>
            <w:tcW w:w="2100" w:type="dxa"/>
            <w:vAlign w:val="bottom"/>
          </w:tcPr>
          <w:p>
            <w:pPr>
              <w:ind w:left="20"/>
              <w:spacing w:after="0"/>
              <w:rPr>
                <w:sz w:val="20"/>
                <w:szCs w:val="20"/>
                <w:color w:val="auto"/>
              </w:rPr>
            </w:pPr>
            <w:r>
              <w:rPr>
                <w:rFonts w:ascii="Arial" w:cs="Arial" w:eastAsia="Arial" w:hAnsi="Arial"/>
                <w:sz w:val="20"/>
                <w:szCs w:val="20"/>
                <w:color w:val="auto"/>
              </w:rPr>
              <w:t>Five West Parcel, LLC</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15,125</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(9,038)</w:t>
            </w:r>
          </w:p>
        </w:tc>
        <w:tc>
          <w:tcPr>
            <w:tcW w:w="2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5,922</w:t>
            </w:r>
          </w:p>
        </w:tc>
        <w:tc>
          <w:tcPr>
            <w:tcW w:w="2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2,777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15,157</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(9,173)</w:t>
            </w:r>
          </w:p>
        </w:tc>
        <w:tc>
          <w:tcPr>
            <w:tcW w:w="2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5,751</w:t>
            </w:r>
          </w:p>
        </w:tc>
        <w:tc>
          <w:tcPr>
            <w:tcW w:w="2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2,691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18-19 West, LLC</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4,632</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4,626</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1,769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4,654</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4,654</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1,783</w:t>
            </w:r>
          </w:p>
        </w:tc>
        <w:tc>
          <w:tcPr>
            <w:tcW w:w="0" w:type="dxa"/>
            <w:vAlign w:val="bottom"/>
          </w:tcPr>
          <w:p>
            <w:pPr>
              <w:spacing w:after="0"/>
              <w:rPr>
                <w:sz w:val="1"/>
                <w:szCs w:val="1"/>
                <w:color w:val="auto"/>
              </w:rPr>
            </w:pPr>
          </w:p>
        </w:tc>
      </w:tr>
      <w:tr>
        <w:trPr>
          <w:trHeight w:val="240"/>
        </w:trPr>
        <w:tc>
          <w:tcPr>
            <w:tcW w:w="2100" w:type="dxa"/>
            <w:vAlign w:val="bottom"/>
          </w:tcPr>
          <w:p>
            <w:pPr>
              <w:ind w:left="20"/>
              <w:spacing w:after="0"/>
              <w:rPr>
                <w:sz w:val="20"/>
                <w:szCs w:val="20"/>
                <w:color w:val="auto"/>
              </w:rPr>
            </w:pPr>
            <w:r>
              <w:rPr>
                <w:rFonts w:ascii="Arial" w:cs="Arial" w:eastAsia="Arial" w:hAnsi="Arial"/>
                <w:sz w:val="20"/>
                <w:szCs w:val="20"/>
                <w:color w:val="auto"/>
              </w:rPr>
              <w:t>TRCC/Rock Outlet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Arial" w:cs="Arial" w:eastAsia="Arial" w:hAnsi="Arial"/>
                <w:sz w:val="20"/>
                <w:szCs w:val="20"/>
                <w:color w:val="auto"/>
              </w:rPr>
              <w:t>Center, LLC</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74,062</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(46,341)</w:t>
            </w:r>
          </w:p>
        </w:tc>
        <w:tc>
          <w:tcPr>
            <w:tcW w:w="22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26,746</w:t>
            </w:r>
          </w:p>
        </w:tc>
        <w:tc>
          <w:tcPr>
            <w:tcW w:w="20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5,309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75,194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(46,826)</w:t>
            </w:r>
          </w:p>
        </w:tc>
        <w:tc>
          <w:tcPr>
            <w:tcW w:w="22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27,531</w:t>
            </w:r>
          </w:p>
        </w:tc>
        <w:tc>
          <w:tcPr>
            <w:tcW w:w="20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5,702</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TRC-MRC 1, LLC</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29,629</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(24,943)</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3,998</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29,692</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(25,030)</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4,018</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2100" w:type="dxa"/>
            <w:vAlign w:val="bottom"/>
          </w:tcPr>
          <w:p>
            <w:pPr>
              <w:ind w:left="20"/>
              <w:spacing w:after="0"/>
              <w:rPr>
                <w:sz w:val="20"/>
                <w:szCs w:val="20"/>
                <w:color w:val="auto"/>
              </w:rPr>
            </w:pPr>
            <w:r>
              <w:rPr>
                <w:rFonts w:ascii="Arial" w:cs="Arial" w:eastAsia="Arial" w:hAnsi="Arial"/>
                <w:sz w:val="20"/>
                <w:szCs w:val="20"/>
                <w:color w:val="auto"/>
              </w:rPr>
              <w:t>TRC-MRC 2, LLC</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20,358</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(24,877)</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(6,281)</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20,362</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(25,014)</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(5,763)</w:t>
            </w:r>
          </w:p>
        </w:tc>
        <w:tc>
          <w:tcPr>
            <w:tcW w:w="2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TRC-MRC 3, LLC</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3,866</w:t>
            </w:r>
          </w:p>
        </w:tc>
        <w:tc>
          <w:tcPr>
            <w:tcW w:w="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2100" w:type="dxa"/>
            <w:vAlign w:val="bottom"/>
            <w:tcBorders>
              <w:bottom w:val="single" w:sz="8" w:color="CCEEFF"/>
            </w:tcBorders>
          </w:tcPr>
          <w:p>
            <w:pPr>
              <w:ind w:left="160"/>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218,113</w:t>
            </w: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(120,483)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88,458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29,503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214,155</w:t>
            </w: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(121,326)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87,568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28,602</w:t>
            </w:r>
          </w:p>
        </w:tc>
        <w:tc>
          <w:tcPr>
            <w:tcW w:w="0" w:type="dxa"/>
            <w:vAlign w:val="bottom"/>
          </w:tcPr>
          <w:p>
            <w:pPr>
              <w:spacing w:after="0"/>
              <w:rPr>
                <w:sz w:val="1"/>
                <w:szCs w:val="1"/>
                <w:color w:val="auto"/>
              </w:rPr>
            </w:pPr>
          </w:p>
        </w:tc>
      </w:tr>
      <w:tr>
        <w:trPr>
          <w:trHeight w:val="309"/>
        </w:trPr>
        <w:tc>
          <w:tcPr>
            <w:tcW w:w="2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00" w:type="dxa"/>
            <w:vAlign w:val="bottom"/>
          </w:tcPr>
          <w:p>
            <w:pPr>
              <w:ind w:left="20"/>
              <w:spacing w:after="0" w:line="220" w:lineRule="exact"/>
              <w:rPr>
                <w:sz w:val="20"/>
                <w:szCs w:val="20"/>
                <w:color w:val="auto"/>
              </w:rPr>
            </w:pPr>
            <w:r>
              <w:rPr>
                <w:rFonts w:ascii="Arial" w:cs="Arial" w:eastAsia="Arial" w:hAnsi="Arial"/>
                <w:sz w:val="20"/>
                <w:szCs w:val="20"/>
                <w:color w:val="auto"/>
              </w:rPr>
              <w:t>Centennial Founders,</w:t>
            </w: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94,397</w:t>
            </w:r>
          </w:p>
        </w:tc>
        <w:tc>
          <w:tcPr>
            <w:tcW w:w="280" w:type="dxa"/>
            <w:vAlign w:val="bottom"/>
            <w:vMerge w:val="restart"/>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ind w:right="1"/>
              <w:spacing w:after="0"/>
              <w:rPr>
                <w:sz w:val="20"/>
                <w:szCs w:val="20"/>
                <w:color w:val="auto"/>
              </w:rPr>
            </w:pPr>
            <w:r>
              <w:rPr>
                <w:rFonts w:ascii="Arial" w:cs="Arial" w:eastAsia="Arial" w:hAnsi="Arial"/>
                <w:sz w:val="20"/>
                <w:szCs w:val="20"/>
                <w:color w:val="auto"/>
              </w:rPr>
              <w:t>94,002</w:t>
            </w:r>
          </w:p>
        </w:tc>
        <w:tc>
          <w:tcPr>
            <w:tcW w:w="200" w:type="dxa"/>
            <w:vAlign w:val="bottom"/>
          </w:tcPr>
          <w:p>
            <w:pPr>
              <w:spacing w:after="0"/>
              <w:rPr>
                <w:sz w:val="19"/>
                <w:szCs w:val="19"/>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93,840</w:t>
            </w:r>
          </w:p>
        </w:tc>
        <w:tc>
          <w:tcPr>
            <w:tcW w:w="280" w:type="dxa"/>
            <w:vAlign w:val="bottom"/>
            <w:vMerge w:val="restart"/>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ind w:right="1"/>
              <w:spacing w:after="0"/>
              <w:rPr>
                <w:sz w:val="20"/>
                <w:szCs w:val="20"/>
                <w:color w:val="auto"/>
              </w:rPr>
            </w:pPr>
            <w:r>
              <w:rPr>
                <w:rFonts w:ascii="Arial" w:cs="Arial" w:eastAsia="Arial" w:hAnsi="Arial"/>
                <w:sz w:val="20"/>
                <w:szCs w:val="20"/>
                <w:color w:val="auto"/>
              </w:rPr>
              <w:t>93,188</w:t>
            </w:r>
          </w:p>
        </w:tc>
        <w:tc>
          <w:tcPr>
            <w:tcW w:w="200" w:type="dxa"/>
            <w:vAlign w:val="bottom"/>
          </w:tcPr>
          <w:p>
            <w:pPr>
              <w:spacing w:after="0"/>
              <w:rPr>
                <w:sz w:val="19"/>
                <w:szCs w:val="19"/>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LLC</w:t>
            </w:r>
          </w:p>
        </w:tc>
        <w:tc>
          <w:tcPr>
            <w:tcW w:w="22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hanging="291"/>
        <w:spacing w:after="0"/>
        <w:tabs>
          <w:tab w:leader="none" w:pos="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Centennial Founders, LLC is consolidated within the Company's financial statements.</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00" w:hanging="492"/>
        <w:spacing w:after="0"/>
        <w:tabs>
          <w:tab w:leader="none" w:pos="5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91"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us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we transact with TCWD in the ordinary course of business.</w:t>
      </w:r>
    </w:p>
    <w:p>
      <w:pPr>
        <w:spacing w:after="0" w:line="3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21"/>
          <w:szCs w:val="21"/>
          <w:b w:val="1"/>
          <w:bCs w:val="1"/>
          <w:color w:val="auto"/>
        </w:rPr>
        <w:t>SUBSEQUENT EVENTS</w:t>
      </w:r>
    </w:p>
    <w:p>
      <w:pPr>
        <w:spacing w:after="0" w:line="91" w:lineRule="exact"/>
        <w:rPr>
          <w:sz w:val="20"/>
          <w:szCs w:val="20"/>
          <w:color w:val="auto"/>
        </w:rPr>
      </w:pPr>
    </w:p>
    <w:p>
      <w:pPr>
        <w:ind w:right="220"/>
        <w:spacing w:after="0" w:line="263" w:lineRule="auto"/>
        <w:rPr>
          <w:rFonts w:ascii="Arial" w:cs="Arial" w:eastAsia="Arial" w:hAnsi="Arial"/>
          <w:sz w:val="21"/>
          <w:szCs w:val="21"/>
          <w:color w:val="auto"/>
        </w:rPr>
      </w:pPr>
      <w:hyperlink r:id="rId9">
        <w:r>
          <w:rPr>
            <w:rFonts w:ascii="Arial" w:cs="Arial" w:eastAsia="Arial" w:hAnsi="Arial"/>
            <w:sz w:val="21"/>
            <w:szCs w:val="21"/>
            <w:color w:val="auto"/>
          </w:rPr>
          <w:t>On April 1, 2019, the Company contributed land valued at $5,800,000 to TRC-MRC 3, LLC in accordance with the Limited</w:t>
        </w:r>
      </w:hyperlink>
      <w:r>
        <w:rPr>
          <w:rFonts w:ascii="Arial" w:cs="Arial" w:eastAsia="Arial" w:hAnsi="Arial"/>
          <w:sz w:val="21"/>
          <w:szCs w:val="21"/>
          <w:color w:val="auto"/>
        </w:rPr>
        <w:t xml:space="preserve"> </w:t>
      </w:r>
      <w:hyperlink r:id="rId9">
        <w:r>
          <w:rPr>
            <w:rFonts w:ascii="Arial" w:cs="Arial" w:eastAsia="Arial" w:hAnsi="Arial"/>
            <w:sz w:val="21"/>
            <w:szCs w:val="21"/>
            <w:color w:val="auto"/>
          </w:rPr>
          <w:t xml:space="preserve">Liability Company Agreement of this joint venture and recorded our investment in this joint venture at the aforementioned </w:t>
        </w:r>
      </w:hyperlink>
      <w:r>
        <w:rPr>
          <w:rFonts w:ascii="Arial" w:cs="Arial" w:eastAsia="Arial" w:hAnsi="Arial"/>
          <w:sz w:val="21"/>
          <w:szCs w:val="21"/>
          <w:color w:val="auto"/>
        </w:rPr>
        <w:t>fair value. The land contribution meets the criteria of a land sale under ASC Topic 606, "Revenue from Contracts with Customers" as such, we recognized profit of $1,700,000 and deferred $1,700,000 of profit in accordance with ASC Topic 323, "Investment - Equity Method and Joint Ventures" on the date the land was contributed.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157" w:right="259" w:bottom="1440" w:gutter="0" w:footer="0" w:header="0"/>
        </w:sectPr>
      </w:pPr>
    </w:p>
    <w:bookmarkStart w:id="34" w:name="page35"/>
    <w:bookmarkEnd w:id="34"/>
    <w:p>
      <w:pPr>
        <w:ind w:right="800"/>
        <w:spacing w:after="0" w:line="269" w:lineRule="auto"/>
        <w:rPr>
          <w:sz w:val="20"/>
          <w:szCs w:val="20"/>
          <w:color w:val="auto"/>
        </w:rPr>
      </w:pPr>
      <w:r>
        <w:rPr>
          <w:rFonts w:ascii="Arial" w:cs="Arial" w:eastAsia="Arial" w:hAnsi="Arial"/>
          <w:sz w:val="22"/>
          <w:szCs w:val="22"/>
          <w:b w:val="1"/>
          <w:bCs w:val="1"/>
          <w:u w:val="single" w:color="auto"/>
          <w:color w:val="006EBF"/>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70" w:lineRule="exact"/>
        <w:rPr>
          <w:sz w:val="20"/>
          <w:szCs w:val="20"/>
          <w:color w:val="auto"/>
        </w:rPr>
      </w:pPr>
    </w:p>
    <w:p>
      <w:pPr>
        <w:spacing w:after="0" w:line="285" w:lineRule="auto"/>
        <w:rPr>
          <w:sz w:val="20"/>
          <w:szCs w:val="20"/>
          <w:color w:val="auto"/>
        </w:rPr>
      </w:pPr>
      <w:r>
        <w:rPr>
          <w:rFonts w:ascii="Arial" w:cs="Arial" w:eastAsia="Arial" w:hAnsi="Arial"/>
          <w:sz w:val="19"/>
          <w:szCs w:val="19"/>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market value risks associated with investment and risk management activities and with respect to inventory, accounts receivable and our own outstanding indebtedness and other future events and conditions. In some cases these statements are identifiable through the use of words such as “anticipate,” “believe,” “estimate,” “expect,” “intend,” “plan,” “project,” “target,” “can,” “could,” “may,” “will,” “should,” “would,” “likely,” and similar expressions.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performances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the section entitled “Risk Factors” in this report and our most recent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OVERVIEW</w:t>
      </w:r>
    </w:p>
    <w:p>
      <w:pPr>
        <w:spacing w:after="0" w:line="91"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612" w:right="31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006EBF"/>
        </w:rPr>
        <w:t>Business Objectives and Strategies</w:t>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Our primary business objective is to maximize long-term shareholder value through the monetization of our land-based assets. A key element of our strategy is to entitle and then develop large-scale mixed use master planned residential and commercial/industrial real estate projects to serve the growing populations of Southern and Central California. Our mixed use master planned residential developments have been, or are in the process of being, approved or re-approved, to collectively include up to 34,783 housing units, and more than 35 million square feet of commercial space. We have obtained entitlements on Mountain Village at Tejon Ranch, or MV. We are working with Kern County on re-entitlement efforts by preparing supplemental environmental documentation for Grapevine at Tejon Ranch, or Grapevine. Lastly, in December 2018, the Los Angeles County Board of Supervisors voted in favor of our plan to develop Centennial at Tejon Ranch, or Centennial, taking an additional step toward approving the mixed-use residential community. On April 30, 2019, the Los Angeles County Board of Supervisors gave final approval to the specific plan for Centennial. The specific plan includes 19,333 residential units and more than 10.1 million square feet of commercial space. We are currently engaged in entitlement, construction, commercial sales and leasing at our fully operational commercial/industrial center Tejon Ranch Commerce Center, or TRCC. All of these efforts are supported by diverse revenue streams generated from other operations, including commercial real estate, farming, mineral resources, ranch operations, and our various joint ventures.</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Our Business</w:t>
      </w:r>
    </w:p>
    <w:p>
      <w:pPr>
        <w:spacing w:after="0" w:line="91"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We currently operate in five reporting segments: commercial/industrial real estate; resort/residential real estate development; mineral resources; farming; and ranch operations.</w:t>
      </w:r>
    </w:p>
    <w:p>
      <w:pPr>
        <w:spacing w:after="0" w:line="40"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Activities within the commercial/industrial real estate segment include: entitling, planning, and permitting of land for development; construction of infrastructure; construction of pre-leased buildings; construction of buildings to be leased or sold; and the sale of land to third parties for their own development. The commercial/industrial segment generates revenues from building and land lease activities, power plant leases, communications leases, and landscape maintenance services. The primary commercial/industrial development is TRCC. TRCC includes developments east and west of Interstate 5 at TRCC-East and TRCC-West, respectively.</w:t>
      </w:r>
    </w:p>
    <w:p>
      <w:pPr>
        <w:spacing w:after="0" w:line="59"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color w:val="auto"/>
        </w:rPr>
        <w:t>We are also involved in multiple joint ventures with several partners that help us expand our commercial/industrial business activities within TRCC:</w:t>
      </w:r>
    </w:p>
    <w:p>
      <w:pPr>
        <w:spacing w:after="0" w:line="40" w:lineRule="exact"/>
        <w:rPr>
          <w:sz w:val="20"/>
          <w:szCs w:val="20"/>
          <w:color w:val="auto"/>
        </w:rPr>
      </w:pPr>
    </w:p>
    <w:p>
      <w:pPr>
        <w:ind w:left="660" w:right="240" w:hanging="328"/>
        <w:spacing w:after="0" w:line="326" w:lineRule="auto"/>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joint venture with TravelCenters of America, or TA/Petro, owns and operates two travel and truck stop facilities, and also operates five separate gas stations with convenience stores within TRCC-West and TRCC-East.</w:t>
      </w: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Three joint ventures with Rockefeller Development Group, or Rockefeller:</w:t>
      </w:r>
    </w:p>
    <w:p>
      <w:pPr>
        <w:spacing w:after="0" w:line="84" w:lineRule="exact"/>
        <w:rPr>
          <w:rFonts w:ascii="Arial" w:cs="Arial" w:eastAsia="Arial" w:hAnsi="Arial"/>
          <w:sz w:val="22"/>
          <w:szCs w:val="22"/>
          <w:color w:val="auto"/>
        </w:rPr>
      </w:pPr>
    </w:p>
    <w:p>
      <w:pPr>
        <w:ind w:left="1300" w:hanging="320"/>
        <w:spacing w:after="0"/>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Five West Parcel LLC owns a 606,000 square foot building in TRCC-West that is fully leased;</w:t>
      </w:r>
    </w:p>
    <w:p>
      <w:pPr>
        <w:spacing w:after="0" w:line="84" w:lineRule="exact"/>
        <w:rPr>
          <w:rFonts w:ascii="Arial" w:cs="Arial" w:eastAsia="Arial" w:hAnsi="Arial"/>
          <w:sz w:val="22"/>
          <w:szCs w:val="22"/>
          <w:color w:val="auto"/>
        </w:rPr>
      </w:pPr>
    </w:p>
    <w:p>
      <w:pPr>
        <w:ind w:left="1300" w:hanging="320"/>
        <w:spacing w:after="0"/>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18-19 West LLC owns 61.5 acres of land for future development within TRCC-West;</w:t>
      </w:r>
    </w:p>
    <w:p>
      <w:pPr>
        <w:spacing w:after="0" w:line="84" w:lineRule="exact"/>
        <w:rPr>
          <w:rFonts w:ascii="Arial" w:cs="Arial" w:eastAsia="Arial" w:hAnsi="Arial"/>
          <w:sz w:val="22"/>
          <w:szCs w:val="22"/>
          <w:color w:val="auto"/>
        </w:rPr>
      </w:pPr>
    </w:p>
    <w:p>
      <w:pPr>
        <w:ind w:left="1300" w:right="900" w:hanging="320"/>
        <w:spacing w:after="0" w:line="263" w:lineRule="auto"/>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TRCC/Rock Outlet Center LLC operates the Outlets at Tejon, a net leasable 326,000 square foot shopping experience in TRCC-East;</w:t>
      </w:r>
    </w:p>
    <w:p>
      <w:pPr>
        <w:spacing w:after="0" w:line="39" w:lineRule="exact"/>
        <w:rPr>
          <w:rFonts w:ascii="Arial" w:cs="Arial" w:eastAsia="Arial" w:hAnsi="Arial"/>
          <w:sz w:val="22"/>
          <w:szCs w:val="22"/>
          <w:color w:val="auto"/>
        </w:rPr>
      </w:pPr>
    </w:p>
    <w:p>
      <w:pPr>
        <w:ind w:left="660" w:right="440" w:hanging="328"/>
        <w:spacing w:after="0" w:line="26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Three joint ventures with Majestic Realty Co., or Majestic, to develop, manage, and operate industrial buildings within TRCC:</w:t>
      </w:r>
    </w:p>
    <w:p>
      <w:pPr>
        <w:spacing w:after="0" w:line="39" w:lineRule="exact"/>
        <w:rPr>
          <w:rFonts w:ascii="Arial" w:cs="Arial" w:eastAsia="Arial" w:hAnsi="Arial"/>
          <w:sz w:val="22"/>
          <w:szCs w:val="22"/>
          <w:color w:val="auto"/>
        </w:rPr>
      </w:pPr>
    </w:p>
    <w:p>
      <w:pPr>
        <w:ind w:left="1300" w:right="440" w:hanging="320"/>
        <w:spacing w:after="0" w:line="263" w:lineRule="auto"/>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TRC-MRC 1, LLC was formed to develop and operate a 480,480 square foot industrial building in TRCC-East, which was completed during 2017 and fully leased as of September 30, 2018;</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0" w:right="279" w:bottom="1440" w:gutter="0" w:footer="0" w:header="0"/>
        </w:sectPr>
      </w:pPr>
    </w:p>
    <w:bookmarkStart w:id="36" w:name="page37"/>
    <w:bookmarkEnd w:id="36"/>
    <w:p>
      <w:pPr>
        <w:ind w:left="1300" w:hanging="320"/>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TRC-MRC 2, LLC owns a 651,909 square foot building in TRCC-West that is fully leased;</w:t>
      </w:r>
    </w:p>
    <w:p>
      <w:pPr>
        <w:spacing w:after="0" w:line="84" w:lineRule="exact"/>
        <w:rPr>
          <w:rFonts w:ascii="Arial" w:cs="Arial" w:eastAsia="Arial" w:hAnsi="Arial"/>
          <w:sz w:val="22"/>
          <w:szCs w:val="22"/>
          <w:color w:val="auto"/>
        </w:rPr>
      </w:pPr>
    </w:p>
    <w:p>
      <w:pPr>
        <w:ind w:left="1300" w:right="280" w:hanging="320"/>
        <w:spacing w:after="0" w:line="250" w:lineRule="auto"/>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TRC-MRC 3, LLC was formed to pursue the development, construction, leasing and management of a 579,040 square foot industrial building in TRCC-East. During the first quarter of 2019, and prior to the completion of the building, the joint venture executed a lease for 67% of the building. We anticipate construction will be completed during the fourth quarter of 2019.</w:t>
      </w:r>
    </w:p>
    <w:p>
      <w:pPr>
        <w:spacing w:after="0" w:line="53" w:lineRule="exact"/>
        <w:rPr>
          <w:sz w:val="20"/>
          <w:szCs w:val="20"/>
          <w:color w:val="auto"/>
        </w:rPr>
      </w:pPr>
    </w:p>
    <w:p>
      <w:pPr>
        <w:ind w:right="600"/>
        <w:spacing w:after="0" w:line="326" w:lineRule="auto"/>
        <w:rPr>
          <w:sz w:val="20"/>
          <w:szCs w:val="20"/>
          <w:color w:val="auto"/>
        </w:rPr>
      </w:pPr>
      <w:r>
        <w:rPr>
          <w:rFonts w:ascii="Arial" w:cs="Arial" w:eastAsia="Arial" w:hAnsi="Arial"/>
          <w:sz w:val="19"/>
          <w:szCs w:val="19"/>
          <w:color w:val="auto"/>
        </w:rPr>
        <w:t>The resort/residential real estate development segment is actively involved in the land entitlement and development process internally and through a joint venture. Our active developments within resort/residential are MV, Centennial, and Grapevine.</w:t>
      </w:r>
    </w:p>
    <w:p>
      <w:pPr>
        <w:spacing w:after="0" w:line="1" w:lineRule="exact"/>
        <w:rPr>
          <w:sz w:val="20"/>
          <w:szCs w:val="20"/>
          <w:color w:val="auto"/>
        </w:rPr>
      </w:pPr>
    </w:p>
    <w:p>
      <w:pPr>
        <w:ind w:left="660" w:right="20" w:hanging="328"/>
        <w:spacing w:after="0" w:line="250"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MV encompasses a total of 26,417 acres, of which 5,082 acres will be used for the mixed-use development that will include housing, retail, and commercial components. MV is entitled for 3,450 homes, 160,000 square feet of commercial development, 750 hotel keys, and more than 21,335 acres of open space, and is approved for tentative tract map for the first four phases of residential development.</w:t>
      </w:r>
    </w:p>
    <w:p>
      <w:pPr>
        <w:spacing w:after="0" w:line="53" w:lineRule="exact"/>
        <w:rPr>
          <w:rFonts w:ascii="Arial" w:cs="Arial" w:eastAsia="Arial" w:hAnsi="Arial"/>
          <w:sz w:val="22"/>
          <w:szCs w:val="22"/>
          <w:color w:val="auto"/>
        </w:rPr>
      </w:pPr>
    </w:p>
    <w:p>
      <w:pPr>
        <w:ind w:left="660" w:right="340" w:hanging="328"/>
        <w:spacing w:after="0" w:line="271" w:lineRule="auto"/>
        <w:tabs>
          <w:tab w:leader="none" w:pos="66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w:t>
      </w:r>
    </w:p>
    <w:p>
      <w:pPr>
        <w:spacing w:after="0" w:line="32" w:lineRule="exact"/>
        <w:rPr>
          <w:rFonts w:ascii="Arial" w:cs="Arial" w:eastAsia="Arial" w:hAnsi="Arial"/>
          <w:sz w:val="21"/>
          <w:szCs w:val="21"/>
          <w:color w:val="auto"/>
        </w:rPr>
      </w:pPr>
    </w:p>
    <w:p>
      <w:pPr>
        <w:ind w:left="660" w:hanging="328"/>
        <w:spacing w:after="0" w:line="253"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Grapevine is an 8,010-acre potential development area located on the San Joaquin Valley floor area of our lands, adjacent to TRCC. Upon completion of Grapevine, the community will include 12,000 homes, 5.1 million square feet for commercial development, and more than 3,367 acres of open space and parks.</w:t>
      </w:r>
    </w:p>
    <w:p>
      <w:pPr>
        <w:spacing w:after="0" w:line="51"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Please refer to our Annual Report on Form 10-K for the year ended December 31, 2018, for a more detailed description of our active developments within the resort/residential segment.</w:t>
      </w:r>
    </w:p>
    <w:p>
      <w:pPr>
        <w:spacing w:after="0" w:line="4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Our mineral resources segment generates revenues from oil and gas royalty leases, rock and aggregate mining leases, a lease with National Cement Company of California Inc., and sales of water.</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The farming segment produces revenues from the sale of wine grapes, almonds, and pistachios.</w:t>
      </w:r>
    </w:p>
    <w:p>
      <w:pPr>
        <w:spacing w:after="0" w:line="85"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Lastly, the ranch operations segment consists of game management revenues and ancillary land uses such as grazing leases and filming.</w:t>
      </w:r>
    </w:p>
    <w:p>
      <w:pPr>
        <w:spacing w:after="0" w:line="40"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For the first three months of 2019 we had net income attributable to common stockholders of $119,000 compared to $1,457,000 for the first three months of 2018. The leading driver for this decline is a $2,999,000 decrease for our mineral resources revenue resulting from fewer water sale opportunities in 2019. This decrease was partially offset by higher equity in earnings of unconsolidated joint ventures of $709,000, resulting from the increase in our share of earnings from the TA/Petro joint venture, and improved commercial revenue of $672,000, which was primarily driven by higher lease revenue from the Pastoria Energy Facility.</w:t>
      </w:r>
    </w:p>
    <w:p>
      <w:pPr>
        <w:spacing w:after="0" w:line="12"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6" w:right="27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006EBF"/>
        </w:rPr>
        <w:t>Critical Accounting Policies</w:t>
      </w:r>
    </w:p>
    <w:p>
      <w:pPr>
        <w:spacing w:after="0" w:line="9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preparation of our interim financial statements in accordance with generally accepted accounting principles in the United States, or GAAP, requires us to make estimates and judgments that affect the reported amounts of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During the three months ended March 31, 2019, our critical accounting policies have not changed since the filing of our Annual Report on Form 10-K for the year ended December 31, 2018.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531" w:right="39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006EBF"/>
        </w:rPr>
        <w:t>Results of Operations by Segment</w:t>
      </w:r>
    </w:p>
    <w:p>
      <w:pPr>
        <w:spacing w:after="0" w:line="91"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gridSpan w:val="2"/>
          </w:tcPr>
          <w:p>
            <w:pPr>
              <w:spacing w:after="0"/>
              <w:rPr>
                <w:sz w:val="20"/>
                <w:szCs w:val="20"/>
                <w:color w:val="auto"/>
              </w:rPr>
            </w:pPr>
            <w:r>
              <w:rPr>
                <w:rFonts w:ascii="Arial" w:cs="Arial" w:eastAsia="Arial" w:hAnsi="Arial"/>
                <w:sz w:val="22"/>
                <w:szCs w:val="22"/>
                <w:b w:val="1"/>
                <w:bCs w:val="1"/>
                <w:color w:val="006EBF"/>
              </w:rPr>
              <w:t>Real Estate – Commercial/Industrial:</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527"/>
        </w:trPr>
        <w:tc>
          <w:tcPr>
            <w:tcW w:w="3460" w:type="dxa"/>
            <w:vAlign w:val="bottom"/>
            <w:tcBorders>
              <w:top w:val="single" w:sz="8" w:color="006EBF"/>
            </w:tcBorders>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gridSpan w:val="5"/>
          </w:tcPr>
          <w:p>
            <w:pPr>
              <w:ind w:left="180"/>
              <w:spacing w:after="0"/>
              <w:rPr>
                <w:sz w:val="20"/>
                <w:szCs w:val="20"/>
                <w:color w:val="auto"/>
              </w:rPr>
            </w:pPr>
            <w:r>
              <w:rPr>
                <w:rFonts w:ascii="Arial" w:cs="Arial" w:eastAsia="Arial" w:hAnsi="Arial"/>
                <w:sz w:val="22"/>
                <w:szCs w:val="22"/>
                <w:color w:val="auto"/>
              </w:rPr>
              <w:t>Three Months Ended March 31,</w:t>
            </w:r>
          </w:p>
        </w:tc>
        <w:tc>
          <w:tcPr>
            <w:tcW w:w="380" w:type="dxa"/>
            <w:vAlign w:val="bottom"/>
          </w:tcPr>
          <w:p>
            <w:pPr>
              <w:spacing w:after="0"/>
              <w:rPr>
                <w:sz w:val="24"/>
                <w:szCs w:val="24"/>
                <w:color w:val="auto"/>
              </w:rPr>
            </w:pPr>
          </w:p>
        </w:tc>
        <w:tc>
          <w:tcPr>
            <w:tcW w:w="1580" w:type="dxa"/>
            <w:vAlign w:val="bottom"/>
            <w:gridSpan w:val="3"/>
          </w:tcPr>
          <w:p>
            <w:pPr>
              <w:ind w:left="780"/>
              <w:spacing w:after="0"/>
              <w:rPr>
                <w:sz w:val="20"/>
                <w:szCs w:val="20"/>
                <w:color w:val="auto"/>
              </w:rPr>
            </w:pPr>
            <w:r>
              <w:rPr>
                <w:rFonts w:ascii="Arial" w:cs="Arial" w:eastAsia="Arial" w:hAnsi="Arial"/>
                <w:sz w:val="22"/>
                <w:szCs w:val="22"/>
                <w:color w:val="auto"/>
              </w:rPr>
              <w:t>Change</w:t>
            </w:r>
          </w:p>
        </w:tc>
        <w:tc>
          <w:tcPr>
            <w:tcW w:w="980" w:type="dxa"/>
            <w:vAlign w:val="bottom"/>
          </w:tcPr>
          <w:p>
            <w:pPr>
              <w:spacing w:after="0"/>
              <w:rPr>
                <w:sz w:val="24"/>
                <w:szCs w:val="24"/>
                <w:color w:val="auto"/>
              </w:rPr>
            </w:pPr>
          </w:p>
        </w:tc>
      </w:tr>
      <w:tr>
        <w:trPr>
          <w:trHeight w:val="291"/>
        </w:trPr>
        <w:tc>
          <w:tcPr>
            <w:tcW w:w="462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2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r>
      <w:tr>
        <w:trPr>
          <w:trHeight w:val="275"/>
        </w:trPr>
        <w:tc>
          <w:tcPr>
            <w:tcW w:w="4620" w:type="dxa"/>
            <w:vAlign w:val="bottom"/>
            <w:gridSpan w:val="2"/>
          </w:tcPr>
          <w:p>
            <w:pPr>
              <w:ind w:left="40"/>
              <w:spacing w:after="0"/>
              <w:rPr>
                <w:sz w:val="20"/>
                <w:szCs w:val="20"/>
                <w:color w:val="auto"/>
              </w:rPr>
            </w:pPr>
            <w:r>
              <w:rPr>
                <w:rFonts w:ascii="Arial" w:cs="Arial" w:eastAsia="Arial" w:hAnsi="Arial"/>
                <w:sz w:val="22"/>
                <w:szCs w:val="22"/>
                <w:color w:val="auto"/>
              </w:rPr>
              <w:t>Commercial revenues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06"/>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Pastoria Energy Facility</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w w:val="81"/>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1,465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441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w:t>
            </w:r>
          </w:p>
        </w:tc>
      </w:tr>
      <w:tr>
        <w:trPr>
          <w:trHeight w:val="289"/>
        </w:trPr>
        <w:tc>
          <w:tcPr>
            <w:tcW w:w="4620" w:type="dxa"/>
            <w:vAlign w:val="bottom"/>
            <w:gridSpan w:val="2"/>
          </w:tcPr>
          <w:p>
            <w:pPr>
              <w:ind w:left="280"/>
              <w:spacing w:after="0"/>
              <w:rPr>
                <w:sz w:val="20"/>
                <w:szCs w:val="20"/>
                <w:color w:val="auto"/>
              </w:rPr>
            </w:pPr>
            <w:r>
              <w:rPr>
                <w:rFonts w:ascii="Arial" w:cs="Arial" w:eastAsia="Arial" w:hAnsi="Arial"/>
                <w:sz w:val="22"/>
                <w:szCs w:val="22"/>
                <w:color w:val="auto"/>
              </w:rPr>
              <w:t>TRCC Leasing</w:t>
            </w:r>
          </w:p>
        </w:tc>
        <w:tc>
          <w:tcPr>
            <w:tcW w:w="32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Arial" w:cs="Arial" w:eastAsia="Arial" w:hAnsi="Arial"/>
                <w:sz w:val="22"/>
                <w:szCs w:val="22"/>
                <w:color w:val="auto"/>
              </w:rPr>
              <w:t>452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407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06"/>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w w:val="96"/>
              </w:rPr>
              <w:t>TRCC management fees and reimbursements</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235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w:t>
            </w:r>
          </w:p>
        </w:tc>
      </w:tr>
      <w:tr>
        <w:trPr>
          <w:trHeight w:val="289"/>
        </w:trPr>
        <w:tc>
          <w:tcPr>
            <w:tcW w:w="4620" w:type="dxa"/>
            <w:vAlign w:val="bottom"/>
            <w:gridSpan w:val="2"/>
          </w:tcPr>
          <w:p>
            <w:pPr>
              <w:ind w:left="280"/>
              <w:spacing w:after="0"/>
              <w:rPr>
                <w:sz w:val="20"/>
                <w:szCs w:val="20"/>
                <w:color w:val="auto"/>
              </w:rPr>
            </w:pPr>
            <w:r>
              <w:rPr>
                <w:rFonts w:ascii="Arial" w:cs="Arial" w:eastAsia="Arial" w:hAnsi="Arial"/>
                <w:sz w:val="22"/>
                <w:szCs w:val="22"/>
                <w:color w:val="auto"/>
              </w:rPr>
              <w:t>Commercial leases</w:t>
            </w:r>
          </w:p>
        </w:tc>
        <w:tc>
          <w:tcPr>
            <w:tcW w:w="32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Arial" w:cs="Arial" w:eastAsia="Arial" w:hAnsi="Arial"/>
                <w:sz w:val="22"/>
                <w:szCs w:val="22"/>
                <w:color w:val="auto"/>
              </w:rPr>
              <w:t>167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160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06"/>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Communication leases</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62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w:t>
            </w:r>
          </w:p>
        </w:tc>
      </w:tr>
      <w:tr>
        <w:trPr>
          <w:trHeight w:val="291"/>
        </w:trPr>
        <w:tc>
          <w:tcPr>
            <w:tcW w:w="4620" w:type="dxa"/>
            <w:vAlign w:val="bottom"/>
            <w:tcBorders>
              <w:bottom w:val="single" w:sz="8" w:color="CCEEFF"/>
            </w:tcBorders>
            <w:gridSpan w:val="2"/>
          </w:tcPr>
          <w:p>
            <w:pPr>
              <w:ind w:left="280"/>
              <w:spacing w:after="0"/>
              <w:rPr>
                <w:sz w:val="20"/>
                <w:szCs w:val="20"/>
                <w:color w:val="auto"/>
              </w:rPr>
            </w:pPr>
            <w:r>
              <w:rPr>
                <w:rFonts w:ascii="Arial" w:cs="Arial" w:eastAsia="Arial" w:hAnsi="Arial"/>
                <w:sz w:val="22"/>
                <w:szCs w:val="22"/>
                <w:color w:val="auto"/>
              </w:rPr>
              <w:t>Landscaping and other</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Total commercial revenues</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2,826</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2,154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672</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31%</w:t>
            </w:r>
          </w:p>
        </w:tc>
      </w:tr>
      <w:tr>
        <w:trPr>
          <w:trHeight w:val="284"/>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22"/>
                <w:szCs w:val="22"/>
                <w:color w:val="auto"/>
              </w:rPr>
              <w:t>Total commercial expenses</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1,792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473</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w:t>
            </w:r>
          </w:p>
        </w:tc>
      </w:tr>
      <w:tr>
        <w:trPr>
          <w:trHeight w:val="291"/>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color w:val="auto"/>
              </w:rPr>
              <w:t>Operating income from commercial/industrial</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1,034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835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w:t>
            </w:r>
          </w:p>
        </w:tc>
      </w:tr>
      <w:tr>
        <w:trPr>
          <w:trHeight w:val="20"/>
        </w:trPr>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Commercial/industrial real estate segment revenues were $2,826,000 for the first three months of 2019, an increase of</w:t>
      </w:r>
    </w:p>
    <w:p>
      <w:pPr>
        <w:spacing w:after="0" w:line="33" w:lineRule="exact"/>
        <w:rPr>
          <w:rFonts w:ascii="Arial" w:cs="Arial" w:eastAsia="Arial" w:hAnsi="Arial"/>
          <w:sz w:val="21"/>
          <w:szCs w:val="21"/>
          <w:color w:val="auto"/>
        </w:rPr>
      </w:pPr>
    </w:p>
    <w:p>
      <w:pPr>
        <w:jc w:val="both"/>
        <w:ind w:left="340" w:right="640"/>
        <w:spacing w:after="0" w:line="262" w:lineRule="auto"/>
        <w:rPr>
          <w:rFonts w:ascii="Arial" w:cs="Arial" w:eastAsia="Arial" w:hAnsi="Arial"/>
          <w:sz w:val="21"/>
          <w:szCs w:val="21"/>
          <w:color w:val="auto"/>
        </w:rPr>
      </w:pPr>
      <w:r>
        <w:rPr>
          <w:rFonts w:ascii="Arial" w:cs="Arial" w:eastAsia="Arial" w:hAnsi="Arial"/>
          <w:sz w:val="21"/>
          <w:szCs w:val="21"/>
          <w:color w:val="auto"/>
        </w:rPr>
        <w:t>$672,000, or 31%, from $2,154,000 during the first three months of 2018. The increase is primarily attributed to revenue increases from the Pastoria Energy Facility of $441,000, or 43%, resulting from higher than expected 2018 spark spread estimates. The spark spread represents contingent rent based on power generation.</w:t>
      </w:r>
    </w:p>
    <w:p>
      <w:pPr>
        <w:spacing w:after="0" w:line="42" w:lineRule="exact"/>
        <w:rPr>
          <w:rFonts w:ascii="Arial" w:cs="Arial" w:eastAsia="Arial" w:hAnsi="Arial"/>
          <w:sz w:val="21"/>
          <w:szCs w:val="21"/>
          <w:color w:val="auto"/>
        </w:rPr>
      </w:pPr>
    </w:p>
    <w:p>
      <w:pPr>
        <w:ind w:left="340" w:hanging="332"/>
        <w:spacing w:after="0"/>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Commercial/industrial real estate segment expenses were $1,792,000 during the first three months of 2019, an increase of</w:t>
      </w:r>
    </w:p>
    <w:p>
      <w:pPr>
        <w:spacing w:after="0" w:line="56" w:lineRule="exact"/>
        <w:rPr>
          <w:rFonts w:ascii="Arial" w:cs="Arial" w:eastAsia="Arial" w:hAnsi="Arial"/>
          <w:sz w:val="19"/>
          <w:szCs w:val="19"/>
          <w:color w:val="auto"/>
        </w:rPr>
      </w:pPr>
    </w:p>
    <w:p>
      <w:pPr>
        <w:ind w:left="340" w:right="260"/>
        <w:spacing w:after="0" w:line="323" w:lineRule="auto"/>
        <w:rPr>
          <w:rFonts w:ascii="Arial" w:cs="Arial" w:eastAsia="Arial" w:hAnsi="Arial"/>
          <w:sz w:val="19"/>
          <w:szCs w:val="19"/>
          <w:color w:val="auto"/>
        </w:rPr>
      </w:pPr>
      <w:r>
        <w:rPr>
          <w:rFonts w:ascii="Arial" w:cs="Arial" w:eastAsia="Arial" w:hAnsi="Arial"/>
          <w:sz w:val="19"/>
          <w:szCs w:val="19"/>
          <w:color w:val="auto"/>
        </w:rPr>
        <w:t>$473,000, or 36%, from $1,319,000 during the first three months of 2018. This increase is primarily attributed to increases in Tejon-Castac Water District, or TCWD, fixed water assessments of $214,000 and bad debt reserve of $93,000.</w:t>
      </w: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color w:val="auto"/>
        </w:rPr>
        <w:t>For the three months ended March 31, 2019, we had no leases that expired, nor did we have any material lease renewals.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TRCC-East and TRCC-West on the significant labor and logistical benefits of our site, the pro-business approach of Kern County, and the demonstrated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The world 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1" w:right="239" w:bottom="1440" w:gutter="0" w:footer="0" w:header="0"/>
        </w:sectPr>
      </w:pPr>
    </w:p>
    <w:bookmarkStart w:id="39" w:name="page40"/>
    <w:bookmarkEnd w:id="39"/>
    <w:p>
      <w:pPr>
        <w:ind w:right="40"/>
        <w:spacing w:after="0" w:line="247" w:lineRule="auto"/>
        <w:rPr>
          <w:sz w:val="20"/>
          <w:szCs w:val="20"/>
          <w:color w:val="auto"/>
        </w:rPr>
      </w:pPr>
      <w:r>
        <w:rPr>
          <w:rFonts w:ascii="Arial" w:cs="Arial" w:eastAsia="Arial" w:hAnsi="Arial"/>
          <w:sz w:val="22"/>
          <w:szCs w:val="22"/>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We believe that the FTZ and EDIP, along with our ability to provide fully-entitled, shovel-ready land parcels to support buildings of any size, especially buildings 1.0 million square feet or larger, can provide us with a potential marketing advantage in the future. We are also expanding our marketing efforts to include industrial users in the Santa Clarita Valley of northern Los Angeles County, and the northern part of the San Fernando Valley due to the limited availability of new product and high real estate costs in these locations. Tenants in these geographic areas are typically users of relatively smaller facilities. In pursuit of such opportunities, the Company is in process of constructing a 579,040 square foot distribution facility with Majestic. The Company and Majestic have successfully leased 67% of this distribution facility prior to its completion, with the tenant taking occupancy in the fourth quarter of 2019. This new construction is building on the success in 2018 of fully leasing a 480,000 square foot building to Dollar General and to SalonCentric, L’Oréal USA’s professional salon distribution operation, in a partnership with Majestic.</w:t>
      </w:r>
    </w:p>
    <w:p>
      <w:pPr>
        <w:spacing w:after="0" w:line="23"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our potential disadvantage of our distance from the ports is being mitigated. Strong demand for large distribution facilities is driving development farther east in a search for large entitled parcels.</w:t>
      </w:r>
    </w:p>
    <w:p>
      <w:pPr>
        <w:spacing w:after="0" w:line="59"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During the quarter ended March 31, 2019, vacancy rates in the Inland Empire fell 20 basis points to 3.7%, the lowest rate on record. Construction completions totaled only 4.4 million square feet in the quarter ended March 31, 2019, which is below the five-year quarterly average. The low vacancy rates have led to a year-over-year increase in lease rates of 12.1% within the Inland Empire. As lease rates increase in the Inland Empire, we may begin to have greater pricing advantages due to our lower land basis.</w:t>
      </w:r>
    </w:p>
    <w:p>
      <w:pPr>
        <w:spacing w:after="0" w:line="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During the quarter ended March 31, 2019, vacancy rates in the northern Los Angeles industrial market, which includes the San Fernando Valley and Santa Clarita Valley, dropped 10 basis points to 1.4%. Rents have been increasing for the past six years and will likely continue to rise in future years as the vacancy rate is at historic lows and quality industrial space remains hard to find. Average asking rents increased 10.1% year over year, which have surpassed the historical peak which was seen in late 2007. Industrial demand remains high and infill industrial demand remains higher still. Future quarters will likely see greater construction activity as rents hit new highs and vacancy rates are at historic lows. Demand for industrial space in this market will also continue to be driven by domestic and global consumption levels. As industrial vacancy rates are at historic lows, industrial users seeking larger spaces are having to go further north into neighboring Kern County and particularly, TRCC, which has attracted increased attention as market conditions continue to tighten.</w:t>
      </w:r>
    </w:p>
    <w:p>
      <w:pPr>
        <w:spacing w:after="0" w:line="45"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We expect the commercial/industrial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the future tied to specific absorption transactions in any given year.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6" w:right="25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21"/>
          <w:szCs w:val="21"/>
          <w:color w:val="auto"/>
        </w:rPr>
        <w:t>The actual timing and completion of development is difficult to predict due to the uncertainties of the market. Infrastructure development and marketing activities and costs could continue over several years as we develop our land holdings. We will also continue to evaluate land resources to determine the highest and best uses for our land holdings. Future sales of land are dependent on market circumstances and specific opportunities. Our goal in the future is to increase land value and create future revenue growth through planning and development of commercial and industrial properties.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Real Estate – Resort/Residential:</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We are in the preliminary stages of development; hence, no revenues or profits are attributed to this segment.</w:t>
      </w:r>
    </w:p>
    <w:p>
      <w:pPr>
        <w:spacing w:after="0" w:line="8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Resort/residential real estate segment expenses were $648,000 during the first three months of 2019, an increase of $233,000, or 56%, from $415,000 during the first three months of 2018. The increase is primarily attributed to higher professional services of $252,000 incurred during the first three months of 2019. We expect to see a continual increase in professional services throughout the remainder of the year.</w:t>
      </w:r>
    </w:p>
    <w:p>
      <w:pPr>
        <w:spacing w:after="0" w:line="53"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Most of the expenditures and capital investment to be incurred within our resort/residential real estate segment will continue to focus on the following:</w:t>
      </w:r>
    </w:p>
    <w:p>
      <w:pPr>
        <w:spacing w:after="0" w:line="40" w:lineRule="exact"/>
        <w:rPr>
          <w:sz w:val="20"/>
          <w:szCs w:val="20"/>
          <w:color w:val="auto"/>
        </w:rPr>
      </w:pPr>
    </w:p>
    <w:p>
      <w:pPr>
        <w:ind w:left="660" w:right="220" w:hanging="328"/>
        <w:spacing w:after="0" w:line="25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For Centennial, the Los Angeles County Board of Supervisors gave final approval to the specific plan on April 30, 2019. The specific plan for Centennial includes 19,333 residential units and more than 10.1 million square feet of commercial space.</w:t>
      </w:r>
    </w:p>
    <w:p>
      <w:pPr>
        <w:spacing w:after="0" w:line="50" w:lineRule="exact"/>
        <w:rPr>
          <w:rFonts w:ascii="Arial" w:cs="Arial" w:eastAsia="Arial" w:hAnsi="Arial"/>
          <w:sz w:val="22"/>
          <w:szCs w:val="22"/>
          <w:color w:val="auto"/>
        </w:rPr>
      </w:pPr>
    </w:p>
    <w:p>
      <w:pPr>
        <w:ind w:left="660" w:right="620" w:hanging="328"/>
        <w:spacing w:after="0" w:line="311"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For Grapevine, the court ruled that portions of the EIR required corrections and ordered that the County rescind the Grapevine project approvals until such supplemental environmental analysis was completed in December 2018. The Company is working on filing new applications to re-entitle the Grapevine project in 2019.</w:t>
      </w:r>
    </w:p>
    <w:p>
      <w:pPr>
        <w:spacing w:after="0" w:line="1" w:lineRule="exact"/>
        <w:rPr>
          <w:rFonts w:ascii="Arial" w:cs="Arial" w:eastAsia="Arial" w:hAnsi="Arial"/>
          <w:sz w:val="19"/>
          <w:szCs w:val="19"/>
          <w:color w:val="auto"/>
        </w:rPr>
      </w:pPr>
    </w:p>
    <w:p>
      <w:pPr>
        <w:ind w:left="660" w:right="60" w:hanging="328"/>
        <w:spacing w:after="0" w:line="290"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For MV, we have a fully entitled project and received approval of Tentative Tract Map 1 for our first four phases of development. The timing of the MV development in the coming years will be dependent on the strength of both the economy and the real estate market, including both primary and second home markets. In moving the project forward, we will focus on the preparation of engineering leading to the final map for the first phases of MV, consumer and market research studies and fine tuning of development business plans, as well as defining the possible capital funding sources for this development. Over the next several years, we expect to explore funding opportunities for the future development of MV. Such funding opportunities could come from a variety of sources, such as joint ventures with financial partners, debt financing, or the Company’s issuance of additional common stock.</w:t>
      </w: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45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3"/>
        </w:trPr>
        <w:tc>
          <w:tcPr>
            <w:tcW w:w="4160" w:type="dxa"/>
            <w:vAlign w:val="bottom"/>
            <w:gridSpan w:val="3"/>
          </w:tcPr>
          <w:p>
            <w:pPr>
              <w:spacing w:after="0"/>
              <w:rPr>
                <w:sz w:val="20"/>
                <w:szCs w:val="20"/>
                <w:color w:val="auto"/>
              </w:rPr>
            </w:pPr>
            <w:r>
              <w:rPr>
                <w:rFonts w:ascii="Arial" w:cs="Arial" w:eastAsia="Arial" w:hAnsi="Arial"/>
                <w:sz w:val="22"/>
                <w:szCs w:val="22"/>
                <w:b w:val="1"/>
                <w:bCs w:val="1"/>
                <w:color w:val="006EBF"/>
              </w:rPr>
              <w:t>Mineral Resources:</w:t>
            </w: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27"/>
        </w:trPr>
        <w:tc>
          <w:tcPr>
            <w:tcW w:w="80" w:type="dxa"/>
            <w:vAlign w:val="bottom"/>
            <w:tcBorders>
              <w:top w:val="single" w:sz="8" w:color="006EBF"/>
            </w:tcBorders>
          </w:tcPr>
          <w:p>
            <w:pPr>
              <w:spacing w:after="0"/>
              <w:rPr>
                <w:sz w:val="24"/>
                <w:szCs w:val="24"/>
                <w:color w:val="auto"/>
              </w:rPr>
            </w:pPr>
          </w:p>
        </w:tc>
        <w:tc>
          <w:tcPr>
            <w:tcW w:w="1740" w:type="dxa"/>
            <w:vAlign w:val="bottom"/>
            <w:tcBorders>
              <w:top w:val="single" w:sz="8" w:color="006EBF"/>
            </w:tcBorders>
          </w:tcPr>
          <w:p>
            <w:pPr>
              <w:spacing w:after="0"/>
              <w:rPr>
                <w:sz w:val="24"/>
                <w:szCs w:val="24"/>
                <w:color w:val="auto"/>
              </w:rPr>
            </w:pPr>
          </w:p>
        </w:tc>
        <w:tc>
          <w:tcPr>
            <w:tcW w:w="2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5"/>
          </w:tcPr>
          <w:p>
            <w:pPr>
              <w:ind w:left="160"/>
              <w:spacing w:after="0"/>
              <w:rPr>
                <w:sz w:val="20"/>
                <w:szCs w:val="20"/>
                <w:color w:val="auto"/>
              </w:rPr>
            </w:pPr>
            <w:r>
              <w:rPr>
                <w:rFonts w:ascii="Arial" w:cs="Arial" w:eastAsia="Arial" w:hAnsi="Arial"/>
                <w:sz w:val="22"/>
                <w:szCs w:val="22"/>
                <w:color w:val="auto"/>
              </w:rPr>
              <w:t>Three Months Ended March 31,</w:t>
            </w:r>
          </w:p>
        </w:tc>
        <w:tc>
          <w:tcPr>
            <w:tcW w:w="440" w:type="dxa"/>
            <w:vAlign w:val="bottom"/>
          </w:tcPr>
          <w:p>
            <w:pPr>
              <w:spacing w:after="0"/>
              <w:rPr>
                <w:sz w:val="24"/>
                <w:szCs w:val="24"/>
                <w:color w:val="auto"/>
              </w:rPr>
            </w:pPr>
          </w:p>
        </w:tc>
        <w:tc>
          <w:tcPr>
            <w:tcW w:w="1820" w:type="dxa"/>
            <w:vAlign w:val="bottom"/>
            <w:gridSpan w:val="3"/>
          </w:tcPr>
          <w:p>
            <w:pPr>
              <w:ind w:left="94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80" w:type="dxa"/>
            <w:vAlign w:val="bottom"/>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Arial" w:cs="Arial" w:eastAsia="Arial" w:hAnsi="Arial"/>
                <w:sz w:val="22"/>
                <w:szCs w:val="22"/>
                <w:color w:val="auto"/>
              </w:rPr>
              <w:t>($ in thousands)</w:t>
            </w:r>
          </w:p>
        </w:tc>
        <w:tc>
          <w:tcPr>
            <w:tcW w:w="3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80" w:type="dxa"/>
            <w:vAlign w:val="bottom"/>
          </w:tcPr>
          <w:p>
            <w:pPr>
              <w:spacing w:after="0"/>
              <w:rPr>
                <w:sz w:val="23"/>
                <w:szCs w:val="23"/>
                <w:color w:val="auto"/>
              </w:rPr>
            </w:pPr>
          </w:p>
        </w:tc>
        <w:tc>
          <w:tcPr>
            <w:tcW w:w="4080" w:type="dxa"/>
            <w:vAlign w:val="bottom"/>
            <w:gridSpan w:val="2"/>
          </w:tcPr>
          <w:p>
            <w:pPr>
              <w:ind w:left="20"/>
              <w:spacing w:after="0"/>
              <w:rPr>
                <w:sz w:val="20"/>
                <w:szCs w:val="20"/>
                <w:color w:val="auto"/>
              </w:rPr>
            </w:pPr>
            <w:r>
              <w:rPr>
                <w:rFonts w:ascii="Arial" w:cs="Arial" w:eastAsia="Arial" w:hAnsi="Arial"/>
                <w:sz w:val="22"/>
                <w:szCs w:val="22"/>
                <w:color w:val="auto"/>
              </w:rPr>
              <w:t>Mineral resources revenues</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80" w:type="dxa"/>
            <w:vAlign w:val="bottom"/>
          </w:tcPr>
          <w:p>
            <w:pPr>
              <w:spacing w:after="0"/>
              <w:rPr>
                <w:sz w:val="24"/>
                <w:szCs w:val="24"/>
                <w:color w:val="auto"/>
              </w:rPr>
            </w:pPr>
          </w:p>
        </w:tc>
        <w:tc>
          <w:tcPr>
            <w:tcW w:w="4080" w:type="dxa"/>
            <w:vAlign w:val="bottom"/>
            <w:gridSpan w:val="2"/>
            <w:shd w:val="clear" w:color="auto" w:fill="CCEEFF"/>
          </w:tcPr>
          <w:p>
            <w:pPr>
              <w:ind w:left="260"/>
              <w:spacing w:after="0"/>
              <w:rPr>
                <w:sz w:val="20"/>
                <w:szCs w:val="20"/>
                <w:color w:val="auto"/>
              </w:rPr>
            </w:pPr>
            <w:r>
              <w:rPr>
                <w:rFonts w:ascii="Arial" w:cs="Arial" w:eastAsia="Arial" w:hAnsi="Arial"/>
                <w:sz w:val="22"/>
                <w:szCs w:val="22"/>
                <w:color w:val="auto"/>
              </w:rPr>
              <w:t>Oil and gas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81"/>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555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3 %</w:t>
            </w:r>
          </w:p>
        </w:tc>
      </w:tr>
      <w:tr>
        <w:trPr>
          <w:trHeight w:val="289"/>
        </w:trPr>
        <w:tc>
          <w:tcPr>
            <w:tcW w:w="80" w:type="dxa"/>
            <w:vAlign w:val="bottom"/>
          </w:tcPr>
          <w:p>
            <w:pPr>
              <w:spacing w:after="0"/>
              <w:rPr>
                <w:sz w:val="24"/>
                <w:szCs w:val="24"/>
                <w:color w:val="auto"/>
              </w:rPr>
            </w:pPr>
          </w:p>
        </w:tc>
        <w:tc>
          <w:tcPr>
            <w:tcW w:w="4080" w:type="dxa"/>
            <w:vAlign w:val="bottom"/>
            <w:gridSpan w:val="2"/>
          </w:tcPr>
          <w:p>
            <w:pPr>
              <w:ind w:left="260"/>
              <w:spacing w:after="0"/>
              <w:rPr>
                <w:sz w:val="20"/>
                <w:szCs w:val="20"/>
                <w:color w:val="auto"/>
              </w:rPr>
            </w:pPr>
            <w:r>
              <w:rPr>
                <w:rFonts w:ascii="Arial" w:cs="Arial" w:eastAsia="Arial" w:hAnsi="Arial"/>
                <w:sz w:val="22"/>
                <w:szCs w:val="22"/>
                <w:color w:val="auto"/>
              </w:rPr>
              <w:t>Cement</w:t>
            </w:r>
          </w:p>
        </w:tc>
        <w:tc>
          <w:tcPr>
            <w:tcW w:w="30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Arial" w:cs="Arial" w:eastAsia="Arial" w:hAnsi="Arial"/>
                <w:sz w:val="22"/>
                <w:szCs w:val="22"/>
                <w:color w:val="auto"/>
              </w:rPr>
              <w:t>296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351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06"/>
        </w:trPr>
        <w:tc>
          <w:tcPr>
            <w:tcW w:w="80" w:type="dxa"/>
            <w:vAlign w:val="bottom"/>
          </w:tcPr>
          <w:p>
            <w:pPr>
              <w:spacing w:after="0"/>
              <w:rPr>
                <w:sz w:val="24"/>
                <w:szCs w:val="24"/>
                <w:color w:val="auto"/>
              </w:rPr>
            </w:pPr>
          </w:p>
        </w:tc>
        <w:tc>
          <w:tcPr>
            <w:tcW w:w="4080" w:type="dxa"/>
            <w:vAlign w:val="bottom"/>
            <w:gridSpan w:val="2"/>
            <w:shd w:val="clear" w:color="auto" w:fill="CCEEFF"/>
          </w:tcPr>
          <w:p>
            <w:pPr>
              <w:ind w:left="260"/>
              <w:spacing w:after="0"/>
              <w:rPr>
                <w:sz w:val="20"/>
                <w:szCs w:val="20"/>
                <w:color w:val="auto"/>
              </w:rPr>
            </w:pPr>
            <w:r>
              <w:rPr>
                <w:rFonts w:ascii="Arial" w:cs="Arial" w:eastAsia="Arial" w:hAnsi="Arial"/>
                <w:sz w:val="22"/>
                <w:szCs w:val="22"/>
                <w:color w:val="auto"/>
              </w:rPr>
              <w:t>Rock aggregate</w:t>
            </w: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208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3 %</w:t>
            </w:r>
          </w:p>
        </w:tc>
      </w:tr>
      <w:tr>
        <w:trPr>
          <w:trHeight w:val="289"/>
        </w:trPr>
        <w:tc>
          <w:tcPr>
            <w:tcW w:w="80" w:type="dxa"/>
            <w:vAlign w:val="bottom"/>
          </w:tcPr>
          <w:p>
            <w:pPr>
              <w:spacing w:after="0"/>
              <w:rPr>
                <w:sz w:val="24"/>
                <w:szCs w:val="24"/>
                <w:color w:val="auto"/>
              </w:rPr>
            </w:pPr>
          </w:p>
        </w:tc>
        <w:tc>
          <w:tcPr>
            <w:tcW w:w="4080" w:type="dxa"/>
            <w:vAlign w:val="bottom"/>
            <w:gridSpan w:val="2"/>
          </w:tcPr>
          <w:p>
            <w:pPr>
              <w:ind w:left="260"/>
              <w:spacing w:after="0"/>
              <w:rPr>
                <w:sz w:val="20"/>
                <w:szCs w:val="20"/>
                <w:color w:val="auto"/>
              </w:rPr>
            </w:pPr>
            <w:r>
              <w:rPr>
                <w:rFonts w:ascii="Arial" w:cs="Arial" w:eastAsia="Arial" w:hAnsi="Arial"/>
                <w:sz w:val="22"/>
                <w:szCs w:val="22"/>
                <w:color w:val="auto"/>
              </w:rPr>
              <w:t>Exploration leases</w:t>
            </w:r>
          </w:p>
        </w:tc>
        <w:tc>
          <w:tcPr>
            <w:tcW w:w="30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Arial" w:cs="Arial" w:eastAsia="Arial" w:hAnsi="Arial"/>
                <w:sz w:val="22"/>
                <w:szCs w:val="22"/>
                <w:color w:val="auto"/>
              </w:rPr>
              <w:t>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306"/>
        </w:trPr>
        <w:tc>
          <w:tcPr>
            <w:tcW w:w="80" w:type="dxa"/>
            <w:vAlign w:val="bottom"/>
          </w:tcPr>
          <w:p>
            <w:pPr>
              <w:spacing w:after="0"/>
              <w:rPr>
                <w:sz w:val="24"/>
                <w:szCs w:val="24"/>
                <w:color w:val="auto"/>
              </w:rPr>
            </w:pPr>
          </w:p>
        </w:tc>
        <w:tc>
          <w:tcPr>
            <w:tcW w:w="4080" w:type="dxa"/>
            <w:vAlign w:val="bottom"/>
            <w:gridSpan w:val="2"/>
            <w:shd w:val="clear" w:color="auto" w:fill="CCEEFF"/>
          </w:tcPr>
          <w:p>
            <w:pPr>
              <w:ind w:left="260"/>
              <w:spacing w:after="0"/>
              <w:rPr>
                <w:sz w:val="20"/>
                <w:szCs w:val="20"/>
                <w:color w:val="auto"/>
              </w:rPr>
            </w:pPr>
            <w:r>
              <w:rPr>
                <w:rFonts w:ascii="Arial" w:cs="Arial" w:eastAsia="Arial" w:hAnsi="Arial"/>
                <w:sz w:val="22"/>
                <w:szCs w:val="22"/>
                <w:color w:val="auto"/>
              </w:rPr>
              <w:t>Water Sales</w:t>
            </w: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5,026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7,992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(2,966)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w:t>
            </w:r>
          </w:p>
        </w:tc>
      </w:tr>
      <w:tr>
        <w:trPr>
          <w:trHeight w:val="291"/>
        </w:trPr>
        <w:tc>
          <w:tcPr>
            <w:tcW w:w="80" w:type="dxa"/>
            <w:vAlign w:val="bottom"/>
          </w:tcPr>
          <w:p>
            <w:pPr>
              <w:spacing w:after="0"/>
              <w:rPr>
                <w:sz w:val="24"/>
                <w:szCs w:val="24"/>
                <w:color w:val="auto"/>
              </w:rPr>
            </w:pPr>
          </w:p>
        </w:tc>
        <w:tc>
          <w:tcPr>
            <w:tcW w:w="4080" w:type="dxa"/>
            <w:vAlign w:val="bottom"/>
            <w:tcBorders>
              <w:bottom w:val="single" w:sz="8" w:color="CCEEFF"/>
            </w:tcBorders>
            <w:gridSpan w:val="2"/>
          </w:tcPr>
          <w:p>
            <w:pPr>
              <w:ind w:left="260"/>
              <w:spacing w:after="0"/>
              <w:rPr>
                <w:sz w:val="20"/>
                <w:szCs w:val="20"/>
                <w:color w:val="auto"/>
              </w:rPr>
            </w:pPr>
            <w:r>
              <w:rPr>
                <w:rFonts w:ascii="Arial" w:cs="Arial" w:eastAsia="Arial" w:hAnsi="Arial"/>
                <w:sz w:val="22"/>
                <w:szCs w:val="22"/>
                <w:color w:val="auto"/>
              </w:rPr>
              <w:t>Reimbursables and other</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80" w:type="dxa"/>
            <w:vAlign w:val="bottom"/>
          </w:tcPr>
          <w:p>
            <w:pPr>
              <w:spacing w:after="0"/>
              <w:rPr>
                <w:sz w:val="24"/>
                <w:szCs w:val="24"/>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Total mineral resources revenues</w:t>
            </w:r>
          </w:p>
        </w:tc>
        <w:tc>
          <w:tcPr>
            <w:tcW w:w="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6,132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9,131</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(2,999)</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(33)%</w:t>
            </w:r>
          </w:p>
        </w:tc>
      </w:tr>
      <w:tr>
        <w:trPr>
          <w:trHeight w:val="284"/>
        </w:trPr>
        <w:tc>
          <w:tcPr>
            <w:tcW w:w="80" w:type="dxa"/>
            <w:vAlign w:val="bottom"/>
          </w:tcPr>
          <w:p>
            <w:pPr>
              <w:spacing w:after="0"/>
              <w:rPr>
                <w:sz w:val="24"/>
                <w:szCs w:val="24"/>
                <w:color w:val="auto"/>
              </w:rPr>
            </w:pPr>
          </w:p>
        </w:tc>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22"/>
                <w:szCs w:val="22"/>
                <w:color w:val="auto"/>
              </w:rPr>
              <w:t>Total mineral resources expenses</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3,832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4,231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(399)</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w:t>
            </w:r>
          </w:p>
        </w:tc>
      </w:tr>
      <w:tr>
        <w:trPr>
          <w:trHeight w:val="291"/>
        </w:trPr>
        <w:tc>
          <w:tcPr>
            <w:tcW w:w="80" w:type="dxa"/>
            <w:vAlign w:val="bottom"/>
          </w:tcPr>
          <w:p>
            <w:pPr>
              <w:spacing w:after="0"/>
              <w:rPr>
                <w:sz w:val="24"/>
                <w:szCs w:val="24"/>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w w:val="99"/>
              </w:rPr>
              <w:t>Operating income from mineral resources</w:t>
            </w: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2,300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4,900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(2,600)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(53)%</w:t>
            </w:r>
          </w:p>
        </w:tc>
      </w:tr>
      <w:tr>
        <w:trPr>
          <w:trHeight w:val="20"/>
        </w:trPr>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right="20" w:hanging="332"/>
        <w:spacing w:after="0" w:line="250" w:lineRule="auto"/>
        <w:tabs>
          <w:tab w:leader="none" w:pos="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Mineral resources segment revenues were $6,132,000 for the first three months of 2019, a decrease of $2,999,000, or 33%, from $9,131,000 during the same period in 2018. In contrast with the first quarter of 2018, strong winter rainfall during the first quarter of 2019, resulted in fewer water sales opportunities. Comparatively, the Company sold 4,445 acre feet and 7,442 acre feet of water as of March 31, 2019 and 2018, respectively.</w:t>
      </w:r>
    </w:p>
    <w:p>
      <w:pPr>
        <w:spacing w:after="0" w:line="80" w:lineRule="exact"/>
        <w:rPr>
          <w:rFonts w:ascii="Arial" w:cs="Arial" w:eastAsia="Arial" w:hAnsi="Arial"/>
          <w:sz w:val="22"/>
          <w:szCs w:val="22"/>
          <w:color w:val="auto"/>
        </w:rPr>
      </w:pPr>
    </w:p>
    <w:p>
      <w:pPr>
        <w:ind w:left="340" w:right="20" w:hanging="332"/>
        <w:spacing w:after="0" w:line="271" w:lineRule="auto"/>
        <w:tabs>
          <w:tab w:leader="none" w:pos="3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Mineral resources segment expenses were $3,832,000 for the first three months of 2019, a decrease of $399,000, or 9%, when compared to the same period in 2018. The decrease in expenses is primarily associated with decreased cost of sales for water of $485,000 related to fewer 2019 water sales opportunities as discussed above.</w:t>
      </w:r>
    </w:p>
    <w:p>
      <w:pPr>
        <w:spacing w:after="0" w:line="397"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As anticipated changes come in the future related to groundwater management within California, such as limited pumping in the over drafted groundwater basins outside of our lands, we believe that water banking operations, ground water recharge programs, and access to water contracts as we have purchased in the past will become even more important and valuable in servicing our projects. Water sales opportunities for the remainder of 2019 will be limited based on winter rain and snow levels as well as the California State Water Project, or SWP, water allocations being at a 70% level.</w:t>
      </w:r>
    </w:p>
    <w:p>
      <w:pPr>
        <w:spacing w:after="0" w:line="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We do not expect increased oil production in 2019 if prices remain at current levels. We currently expect our largest tenant, California Resources Corporation, or CRC, to continue its program of producing from current active wells at lower levels with no near-term intent to begin new drilling programs until oil prices reach higher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08" w:right="2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006EBF"/>
              </w:rPr>
              <w:t>Farming:</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54"/>
        </w:trPr>
        <w:tc>
          <w:tcPr>
            <w:tcW w:w="880" w:type="dxa"/>
            <w:vAlign w:val="bottom"/>
            <w:tcBorders>
              <w:top w:val="single" w:sz="8" w:color="006EBF"/>
            </w:tcBorders>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gridSpan w:val="5"/>
          </w:tcPr>
          <w:p>
            <w:pPr>
              <w:ind w:left="180"/>
              <w:spacing w:after="0"/>
              <w:rPr>
                <w:sz w:val="20"/>
                <w:szCs w:val="20"/>
                <w:color w:val="auto"/>
              </w:rPr>
            </w:pPr>
            <w:r>
              <w:rPr>
                <w:rFonts w:ascii="Arial" w:cs="Arial" w:eastAsia="Arial" w:hAnsi="Arial"/>
                <w:sz w:val="22"/>
                <w:szCs w:val="22"/>
                <w:color w:val="auto"/>
              </w:rPr>
              <w:t>Three Months Ended March 31,</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2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Farming revenues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Almonds</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376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Pistachios</w:t>
            </w:r>
          </w:p>
        </w:tc>
        <w:tc>
          <w:tcPr>
            <w:tcW w:w="32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Arial" w:cs="Arial" w:eastAsia="Arial" w:hAnsi="Arial"/>
                <w:sz w:val="22"/>
                <w:szCs w:val="22"/>
                <w:color w:val="auto"/>
              </w:rPr>
              <w:t>254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211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491 %</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Hay</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40 %</w:t>
            </w:r>
          </w:p>
        </w:tc>
      </w:tr>
      <w:tr>
        <w:trPr>
          <w:trHeight w:val="29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22"/>
                <w:szCs w:val="22"/>
                <w:color w:val="auto"/>
              </w:rPr>
              <w:t>Other</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Total farming revenues</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815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1,195</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(380)</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w:t>
            </w:r>
          </w:p>
        </w:tc>
      </w:tr>
      <w:tr>
        <w:trPr>
          <w:trHeight w:val="284"/>
        </w:trPr>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22"/>
                <w:szCs w:val="22"/>
                <w:color w:val="auto"/>
              </w:rPr>
              <w:t>Total farming expenses</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1,598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1,838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(240)</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w:t>
            </w:r>
          </w:p>
        </w:tc>
      </w:tr>
      <w:tr>
        <w:trPr>
          <w:trHeight w:val="291"/>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color w:val="auto"/>
              </w:rPr>
              <w:t>Operating loss from farming</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(783)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(643)</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(140)</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22 %</w:t>
            </w:r>
          </w:p>
        </w:tc>
      </w:tr>
      <w:tr>
        <w:trPr>
          <w:trHeight w:val="20"/>
        </w:trPr>
        <w:tc>
          <w:tcPr>
            <w:tcW w:w="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40" w:right="100" w:hanging="332"/>
        <w:spacing w:after="0" w:line="263"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Farming segment revenues were $815,000 for the first three months of 2019, a decrease of $380,000, or 32%, from $1,195,000 when compared to the same period in 2018. The changes are primarily attributed to:</w:t>
      </w:r>
    </w:p>
    <w:p>
      <w:pPr>
        <w:spacing w:after="0" w:line="66" w:lineRule="exact"/>
        <w:rPr>
          <w:rFonts w:ascii="Arial" w:cs="Arial" w:eastAsia="Arial" w:hAnsi="Arial"/>
          <w:sz w:val="22"/>
          <w:szCs w:val="22"/>
          <w:color w:val="auto"/>
        </w:rPr>
      </w:pPr>
    </w:p>
    <w:p>
      <w:pPr>
        <w:ind w:left="980" w:right="60" w:hanging="324"/>
        <w:spacing w:after="0" w:line="302" w:lineRule="auto"/>
        <w:tabs>
          <w:tab w:leader="none" w:pos="9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Almond revenues decreased $548,000 resulting from fewer prior year crop carryforward units being sold. By comparison the Company sold 170,000 and 330,000 pounds of prior year carryover crop as of March 31, 2019 and 2018, respectively. Additionally, we reduced estimated almond revenues on our prior year crop by $89,000 to reflect current market pricing. As of March 31, 2019, the Company had 155,000 pounds of unsold carryover almond inventory.</w:t>
      </w:r>
    </w:p>
    <w:p>
      <w:pPr>
        <w:spacing w:after="0" w:line="34" w:lineRule="exact"/>
        <w:rPr>
          <w:rFonts w:ascii="Arial" w:cs="Arial" w:eastAsia="Arial" w:hAnsi="Arial"/>
          <w:sz w:val="19"/>
          <w:szCs w:val="19"/>
          <w:color w:val="auto"/>
        </w:rPr>
      </w:pPr>
    </w:p>
    <w:p>
      <w:pPr>
        <w:ind w:left="980" w:right="60" w:hanging="324"/>
        <w:spacing w:after="0" w:line="253"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2018 pistachio crop yields exceeded 4,000,000 pounds, representing a record high for the Company. The Company carried over 558,000 pounds of inventory into 2019 and has since sold 140,000 pounds, resulting in a $211,000 increase in revenues over prior year.</w:t>
      </w:r>
    </w:p>
    <w:p>
      <w:pPr>
        <w:spacing w:after="0" w:line="77" w:lineRule="exact"/>
        <w:rPr>
          <w:rFonts w:ascii="Arial" w:cs="Arial" w:eastAsia="Arial" w:hAnsi="Arial"/>
          <w:sz w:val="22"/>
          <w:szCs w:val="22"/>
          <w:color w:val="auto"/>
        </w:rPr>
      </w:pPr>
    </w:p>
    <w:p>
      <w:pPr>
        <w:ind w:left="340" w:hanging="332"/>
        <w:spacing w:after="0"/>
        <w:tabs>
          <w:tab w:leader="none" w:pos="3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Farming segment expenses were $1,598,000 for the first three months of 2019, a decrease of $240,000, or 13%, from</w:t>
      </w:r>
    </w:p>
    <w:p>
      <w:pPr>
        <w:spacing w:after="0" w:line="33" w:lineRule="exact"/>
        <w:rPr>
          <w:rFonts w:ascii="Arial" w:cs="Arial" w:eastAsia="Arial" w:hAnsi="Arial"/>
          <w:sz w:val="21"/>
          <w:szCs w:val="21"/>
          <w:color w:val="auto"/>
        </w:rPr>
      </w:pPr>
    </w:p>
    <w:p>
      <w:pPr>
        <w:ind w:left="340"/>
        <w:spacing w:after="0"/>
        <w:rPr>
          <w:rFonts w:ascii="Arial" w:cs="Arial" w:eastAsia="Arial" w:hAnsi="Arial"/>
          <w:sz w:val="21"/>
          <w:szCs w:val="21"/>
          <w:color w:val="auto"/>
        </w:rPr>
      </w:pPr>
      <w:r>
        <w:rPr>
          <w:rFonts w:ascii="Arial" w:cs="Arial" w:eastAsia="Arial" w:hAnsi="Arial"/>
          <w:sz w:val="19"/>
          <w:szCs w:val="19"/>
          <w:color w:val="auto"/>
        </w:rPr>
        <w:t>$1,838,000 when compared to the same period in 2018. The reduction in farming expenses is attributed to the following:</w:t>
      </w:r>
    </w:p>
    <w:p>
      <w:pPr>
        <w:spacing w:after="0" w:line="128" w:lineRule="exact"/>
        <w:rPr>
          <w:rFonts w:ascii="Arial" w:cs="Arial" w:eastAsia="Arial" w:hAnsi="Arial"/>
          <w:sz w:val="21"/>
          <w:szCs w:val="21"/>
          <w:color w:val="auto"/>
        </w:rPr>
      </w:pPr>
    </w:p>
    <w:p>
      <w:pPr>
        <w:ind w:left="980" w:right="120" w:hanging="324"/>
        <w:spacing w:after="0" w:line="263"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Company recorded $108,000 in bad debt reserve during the first three months of 2018, which did not repeat during the same period of 2019.</w:t>
      </w:r>
    </w:p>
    <w:p>
      <w:pPr>
        <w:spacing w:after="0" w:line="66" w:lineRule="exact"/>
        <w:rPr>
          <w:rFonts w:ascii="Arial" w:cs="Arial" w:eastAsia="Arial" w:hAnsi="Arial"/>
          <w:sz w:val="22"/>
          <w:szCs w:val="22"/>
          <w:color w:val="auto"/>
        </w:rPr>
      </w:pPr>
    </w:p>
    <w:p>
      <w:pPr>
        <w:ind w:left="980" w:right="300" w:hanging="324"/>
        <w:spacing w:after="0" w:line="263"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Company experienced decreases in hulling costs and irrigation costs of $82,000 and $72,000, respectively, in the first quarter of 2019.</w:t>
      </w:r>
    </w:p>
    <w:p>
      <w:pPr>
        <w:spacing w:after="0" w:line="66" w:lineRule="exact"/>
        <w:rPr>
          <w:rFonts w:ascii="Arial" w:cs="Arial" w:eastAsia="Arial" w:hAnsi="Arial"/>
          <w:sz w:val="22"/>
          <w:szCs w:val="22"/>
          <w:color w:val="auto"/>
        </w:rPr>
      </w:pPr>
    </w:p>
    <w:p>
      <w:pPr>
        <w:ind w:left="980" w:right="440" w:hanging="324"/>
        <w:spacing w:after="0" w:line="263"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above reductions were partially offset by higher fixed water costs with Wheeler Ridge Maricopa Water Storage District of $182,000.</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08" w:right="239" w:bottom="1440" w:gutter="0" w:footer="0" w:header="0"/>
        </w:sectPr>
      </w:pPr>
    </w:p>
    <w:bookmarkStart w:id="43" w:name="page44"/>
    <w:bookmarkEnd w:id="43"/>
    <w:p>
      <w:pPr>
        <w:ind w:right="20"/>
        <w:spacing w:after="0" w:line="289" w:lineRule="auto"/>
        <w:rPr>
          <w:sz w:val="20"/>
          <w:szCs w:val="20"/>
          <w:color w:val="auto"/>
        </w:rPr>
      </w:pPr>
      <w:r>
        <w:rPr>
          <w:rFonts w:ascii="Arial" w:cs="Arial" w:eastAsia="Arial" w:hAnsi="Arial"/>
          <w:sz w:val="19"/>
          <w:szCs w:val="19"/>
          <w:color w:val="auto"/>
        </w:rPr>
        <w:t>Our almond, pistachio, and wine grape crop sales are highly seasonal with a majority of our sales occurring during the third and fourth quarters. Nut and grape crop markets are particularly sensitive to the size of each year’s world crop and the demand for those crops. Large crops in California and abroad can rapidly depress prices. Crop prices, especially almonds, are also adversely affected by a strong U.S. dollar, which makes U.S. exports more expensive and decreases demand for the products we produce. The low value of the U.S. dollar in prior years has helped to maintain strong almond prices in overseas markets. Thus far in 2019, when compared to 2018, the U.S. dollar has weakened against the Chinese Yuan whereas the Euro remains consistent. The full potential impact of an increasing U.S. dollar to our pricing and revenue is not known at this time. Additionally, increased tariffs from China and India which are major customers of almonds and pistachios, can make American products less competitive and push customers to switch to another producing country.</w:t>
      </w:r>
    </w:p>
    <w:p>
      <w:pPr>
        <w:spacing w:after="0" w:line="23"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Weather conditions can impact the number of tree and vine dormant hours, which are integral to tree and vine growth. We will not know the impact of current weather conditions on 2019 production until the early summer of 2019. Thus far, we have experienced extended heavier rain fall and colder temperatures during the almond bloom period when compared to the 2017-2018 winter, which could negatively impact 2019 almond production. In addition, 2019 is the alternative bearing cycle for our pistachio trees and a lower than average crop is anticipated, following our record high yields in 2018. It is too early in the year to determine the impact of the 2019 water supplies on 2019 California crop production for almonds, pistachios, and wine grapes.</w:t>
      </w:r>
    </w:p>
    <w:p>
      <w:pPr>
        <w:spacing w:after="0" w:line="15"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Lastly, the impact of new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in 2019.</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006EBF"/>
              </w:rPr>
              <w:t>Ranch Operations: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27"/>
        </w:trPr>
        <w:tc>
          <w:tcPr>
            <w:tcW w:w="1760" w:type="dxa"/>
            <w:vAlign w:val="bottom"/>
            <w:tcBorders>
              <w:top w:val="single" w:sz="8" w:color="006EBF"/>
            </w:tcBorders>
          </w:tcPr>
          <w:p>
            <w:pPr>
              <w:spacing w:after="0"/>
              <w:rPr>
                <w:sz w:val="24"/>
                <w:szCs w:val="24"/>
                <w:color w:val="auto"/>
              </w:rPr>
            </w:pP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gridSpan w:val="5"/>
          </w:tcPr>
          <w:p>
            <w:pPr>
              <w:ind w:left="180"/>
              <w:spacing w:after="0"/>
              <w:rPr>
                <w:sz w:val="20"/>
                <w:szCs w:val="20"/>
                <w:color w:val="auto"/>
              </w:rPr>
            </w:pPr>
            <w:r>
              <w:rPr>
                <w:rFonts w:ascii="Arial" w:cs="Arial" w:eastAsia="Arial" w:hAnsi="Arial"/>
                <w:sz w:val="22"/>
                <w:szCs w:val="22"/>
                <w:color w:val="auto"/>
              </w:rPr>
              <w:t>Three Months Ended March 31,</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2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Ranch Operations revenues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gridSpan w:val="2"/>
            <w:shd w:val="clear" w:color="auto" w:fill="CCEEFF"/>
          </w:tcPr>
          <w:p>
            <w:pPr>
              <w:ind w:left="280"/>
              <w:spacing w:after="0" w:line="305" w:lineRule="exact"/>
              <w:rPr>
                <w:sz w:val="20"/>
                <w:szCs w:val="20"/>
                <w:color w:val="auto"/>
              </w:rPr>
            </w:pPr>
            <w:r>
              <w:rPr>
                <w:rFonts w:ascii="Arial" w:cs="Arial" w:eastAsia="Arial" w:hAnsi="Arial"/>
                <w:sz w:val="22"/>
                <w:szCs w:val="22"/>
                <w:color w:val="auto"/>
              </w:rPr>
              <w:t xml:space="preserve">Game Management and other </w:t>
            </w:r>
            <w:r>
              <w:rPr>
                <w:rFonts w:ascii="Arial" w:cs="Arial" w:eastAsia="Arial" w:hAnsi="Arial"/>
                <w:sz w:val="28"/>
                <w:szCs w:val="28"/>
                <w:color w:val="auto"/>
                <w:vertAlign w:val="superscript"/>
              </w:rPr>
              <w:t>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583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(86)</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w:t>
            </w:r>
          </w:p>
        </w:tc>
      </w:tr>
      <w:tr>
        <w:trPr>
          <w:trHeight w:val="29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22"/>
                <w:szCs w:val="22"/>
                <w:color w:val="auto"/>
              </w:rPr>
              <w:t>Grazing</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Total Ranch Operations revenues</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889</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989</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(100)</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w:t>
            </w:r>
          </w:p>
        </w:tc>
      </w:tr>
      <w:tr>
        <w:trPr>
          <w:trHeight w:val="284"/>
        </w:trPr>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22"/>
                <w:szCs w:val="22"/>
                <w:color w:val="auto"/>
              </w:rPr>
              <w:t>Total Ranch Operations expenses</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1,350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w:t>
            </w:r>
          </w:p>
        </w:tc>
      </w:tr>
      <w:tr>
        <w:trPr>
          <w:trHeight w:val="291"/>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color w:val="auto"/>
              </w:rPr>
              <w:t>Operating loss from Ranch Operations</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(461)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(400)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(61)</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15 %</w:t>
            </w:r>
          </w:p>
        </w:tc>
      </w:tr>
    </w:tbl>
    <w:p>
      <w:pPr>
        <w:spacing w:after="0" w:line="13" w:lineRule="exact"/>
        <w:rPr>
          <w:sz w:val="20"/>
          <w:szCs w:val="20"/>
          <w:color w:val="auto"/>
        </w:rPr>
      </w:pPr>
    </w:p>
    <w:p>
      <w:pPr>
        <w:ind w:left="40" w:right="400" w:hanging="5"/>
        <w:spacing w:after="0" w:line="216" w:lineRule="auto"/>
        <w:tabs>
          <w:tab w:leader="none" w:pos="148" w:val="left"/>
        </w:tabs>
        <w:numPr>
          <w:ilvl w:val="1"/>
          <w:numId w:val="22"/>
        </w:numPr>
        <w:rPr>
          <w:rFonts w:ascii="Arial" w:cs="Arial" w:eastAsia="Arial" w:hAnsi="Arial"/>
          <w:sz w:val="25"/>
          <w:szCs w:val="25"/>
          <w:color w:val="auto"/>
          <w:vertAlign w:val="superscript"/>
        </w:rPr>
      </w:pPr>
      <w:r>
        <w:rPr>
          <w:rFonts w:ascii="Arial" w:cs="Arial" w:eastAsia="Arial" w:hAnsi="Arial"/>
          <w:sz w:val="18"/>
          <w:szCs w:val="18"/>
          <w:color w:val="auto"/>
        </w:rPr>
        <w:t>Game management and other revenues consist of revenues from hunting, filming, high desert hunt club (a premier upland bird hunting club), and other ancillary activities.</w:t>
      </w:r>
    </w:p>
    <w:p>
      <w:pPr>
        <w:spacing w:after="0" w:line="398" w:lineRule="exact"/>
        <w:rPr>
          <w:rFonts w:ascii="Arial" w:cs="Arial" w:eastAsia="Arial" w:hAnsi="Arial"/>
          <w:sz w:val="25"/>
          <w:szCs w:val="25"/>
          <w:color w:val="auto"/>
          <w:vertAlign w:val="superscript"/>
        </w:rPr>
      </w:pPr>
    </w:p>
    <w:p>
      <w:pPr>
        <w:ind w:left="340" w:right="260" w:hanging="332"/>
        <w:spacing w:after="0" w:line="341" w:lineRule="auto"/>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Ranch operations revenues were $889,000 for the first three months of 2019, a decrease of $100,000, or 10%, from $989,000 for the same period in 2018. The decrease is primarily attributed to reduced hunting membership revenues of $78,000.</w:t>
      </w:r>
    </w:p>
    <w:p>
      <w:pPr>
        <w:ind w:left="340" w:right="140" w:hanging="332"/>
        <w:spacing w:after="0" w:line="287" w:lineRule="auto"/>
        <w:tabs>
          <w:tab w:leader="none" w:pos="3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Ranch operations expenses were $1,350,000 for the first three months of 2019, a decrease of $39,000, or 3%, from $1,389,000 for the same period in 2018. The driver of this decrease was a reduction in supplies costs of $19,000.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-1296035</wp:posOffset>
            </wp:positionV>
            <wp:extent cx="4622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4622165"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75"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u w:val="single" w:color="auto"/>
          <w:color w:val="006EBF"/>
        </w:rPr>
        <w:t>Corporate and Other:</w:t>
      </w:r>
    </w:p>
    <w:p>
      <w:pPr>
        <w:spacing w:after="0" w:line="91"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Corporate general and administrative costs were $2,474,000, a decrease of $258,000, or 9%, from $2,732,000 for the same period in 2018. The decrease is primarily attributed to decreases in stock compensation expense of $84,000, director expenses of $41,000, and licenses of $21,000.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006EBF"/>
              </w:rPr>
              <w:t>Joint Ventures: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27"/>
        </w:trPr>
        <w:tc>
          <w:tcPr>
            <w:tcW w:w="1420" w:type="dxa"/>
            <w:vAlign w:val="bottom"/>
            <w:tcBorders>
              <w:top w:val="single" w:sz="8" w:color="006EBF"/>
            </w:tcBorders>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gridSpan w:val="5"/>
          </w:tcPr>
          <w:p>
            <w:pPr>
              <w:ind w:left="180"/>
              <w:spacing w:after="0"/>
              <w:rPr>
                <w:sz w:val="20"/>
                <w:szCs w:val="20"/>
                <w:color w:val="auto"/>
              </w:rPr>
            </w:pPr>
            <w:r>
              <w:rPr>
                <w:rFonts w:ascii="Arial" w:cs="Arial" w:eastAsia="Arial" w:hAnsi="Arial"/>
                <w:sz w:val="22"/>
                <w:szCs w:val="22"/>
                <w:color w:val="auto"/>
              </w:rPr>
              <w:t>Three Months Ended March 31,</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2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Equity in earnings (loss)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Petro Travel Plaza Holdings, LLC</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1,122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111 %</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Five West Parcel, LLC</w:t>
            </w:r>
          </w:p>
        </w:tc>
        <w:tc>
          <w:tcPr>
            <w:tcW w:w="32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Arial" w:cs="Arial" w:eastAsia="Arial" w:hAnsi="Arial"/>
                <w:sz w:val="22"/>
                <w:szCs w:val="22"/>
                <w:color w:val="auto"/>
              </w:rPr>
              <w:t>86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96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18-19 West, LLC</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8 %</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TRCC/Rock Outlet Center, LLC</w:t>
            </w:r>
          </w:p>
        </w:tc>
        <w:tc>
          <w:tcPr>
            <w:tcW w:w="3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(393)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(548)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155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TRC-MRC 1, LLC</w:t>
            </w: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100 %</w:t>
            </w:r>
          </w:p>
        </w:tc>
      </w:tr>
      <w:tr>
        <w:trPr>
          <w:trHeight w:val="29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22"/>
                <w:szCs w:val="22"/>
                <w:color w:val="auto"/>
              </w:rPr>
              <w:t>TRC-MRC 2, LLC</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w:t>
            </w:r>
          </w:p>
        </w:tc>
      </w:tr>
      <w:tr>
        <w:trPr>
          <w:trHeight w:val="291"/>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color w:val="auto"/>
              </w:rPr>
              <w:t>Total equity in earnings</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876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167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709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425 %</w:t>
            </w:r>
          </w:p>
        </w:tc>
      </w:tr>
      <w:tr>
        <w:trPr>
          <w:trHeight w:val="20"/>
        </w:trPr>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right="160" w:hanging="332"/>
        <w:spacing w:after="0" w:line="248" w:lineRule="auto"/>
        <w:tabs>
          <w:tab w:leader="none" w:pos="3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There was a $590,000 increase in our share of earnings from our TA/Petro joint venture. The increase was driven by improved fuel margins. Comparatively, diesel margins were $0.36 cents and $0.17 cents per gallon as of March 31, 2019 and 2018, respectively. Comparatively, gasoline margins were $0.62 cents and $0.45 cents per gallon as of March 31, 2019 and 2018, respectively. Diesel and gasoline sales volumes stayed relatively flat when comparing the three months ended March 31, 2019 with the same period in 2018.</w:t>
      </w:r>
    </w:p>
    <w:p>
      <w:pPr>
        <w:spacing w:after="0" w:line="57" w:lineRule="exact"/>
        <w:rPr>
          <w:rFonts w:ascii="Arial" w:cs="Arial" w:eastAsia="Arial" w:hAnsi="Arial"/>
          <w:sz w:val="22"/>
          <w:szCs w:val="22"/>
          <w:color w:val="auto"/>
        </w:rPr>
      </w:pPr>
    </w:p>
    <w:p>
      <w:pPr>
        <w:ind w:left="340" w:right="300" w:hanging="332"/>
        <w:spacing w:after="0" w:line="263" w:lineRule="auto"/>
        <w:tabs>
          <w:tab w:leader="none" w:pos="3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share of losses from our TRCC/Rock Outlet Center joint venture improved $155,000 resulting from improved minimum and percentage rent, partially offset by higher operating expenses.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Please refer to "Non-GAAP Financial Measures" for further financial discussion on our joint ventures.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95"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u w:val="single" w:color="auto"/>
          <w:color w:val="006EBF"/>
        </w:rPr>
        <w:t>General Outlook</w:t>
      </w:r>
    </w:p>
    <w:p>
      <w:pPr>
        <w:spacing w:after="0" w:line="9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operations of the Company are seasonal and future results of operations cannot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5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2018,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Income Taxes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For the three months ended March 31, 2019, the Company had net income tax expense of $95,000 compared to $526,000 for</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the three months ended March 31, 2018. As such, effective tax rates approximated 43% and 27% for the three months</w:t>
      </w:r>
    </w:p>
    <w:p>
      <w:pPr>
        <w:spacing w:after="0" w:line="15"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ended March 31, 2019 and 2018, respectively. The increase resulted from the Company's tax deduction for fully vested shares being less than the book expense recognized over the vesting period for the same shares, commonly referred to as tax shortfalls. As of March 31, 2019, income tax receivables were $181,000. The Company classifies interest and penalties incurred on tax payments as income tax expenses.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31" w:right="27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006EBF"/>
        </w:rPr>
        <w:t>Cash Flow and Liquidity</w:t>
      </w:r>
    </w:p>
    <w:p>
      <w:pPr>
        <w:spacing w:after="0" w:line="91"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5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To enhance shareholder value,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53"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Our cash, cash equivalents and marketable securities totaled $68,174,000 at March 31, 2019, a decrease of $11,483,000 from $79,657,000 as of December 31, 2018.</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our cash flow activities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22"/>
                <w:szCs w:val="22"/>
                <w:i w:val="1"/>
                <w:i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r>
      <w:tr>
        <w:trPr>
          <w:trHeight w:val="297"/>
        </w:trPr>
        <w:tc>
          <w:tcPr>
            <w:tcW w:w="7760" w:type="dxa"/>
            <w:vAlign w:val="bottom"/>
            <w:shd w:val="clear" w:color="auto" w:fill="CCEEFF"/>
          </w:tcPr>
          <w:p>
            <w:pPr>
              <w:ind w:left="40"/>
              <w:spacing w:after="0"/>
              <w:rPr>
                <w:sz w:val="20"/>
                <w:szCs w:val="20"/>
                <w:color w:val="auto"/>
              </w:rPr>
            </w:pPr>
            <w:r>
              <w:rPr>
                <w:rFonts w:ascii="Arial" w:cs="Arial" w:eastAsia="Arial" w:hAnsi="Arial"/>
                <w:sz w:val="22"/>
                <w:szCs w:val="22"/>
                <w:color w:val="auto"/>
              </w:rPr>
              <w:t>Operating activities</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8"/>
              </w:rPr>
              <w:t>(1,211)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6,969</w:t>
            </w:r>
          </w:p>
        </w:tc>
      </w:tr>
      <w:tr>
        <w:trPr>
          <w:trHeight w:val="289"/>
        </w:trPr>
        <w:tc>
          <w:tcPr>
            <w:tcW w:w="7760" w:type="dxa"/>
            <w:vAlign w:val="bottom"/>
          </w:tcPr>
          <w:p>
            <w:pPr>
              <w:ind w:left="40"/>
              <w:spacing w:after="0"/>
              <w:rPr>
                <w:sz w:val="20"/>
                <w:szCs w:val="20"/>
                <w:color w:val="auto"/>
              </w:rPr>
            </w:pPr>
            <w:r>
              <w:rPr>
                <w:rFonts w:ascii="Arial" w:cs="Arial" w:eastAsia="Arial" w:hAnsi="Arial"/>
                <w:sz w:val="22"/>
                <w:szCs w:val="22"/>
                <w:color w:val="auto"/>
              </w:rPr>
              <w:t>Investing activities</w:t>
            </w:r>
          </w:p>
        </w:tc>
        <w:tc>
          <w:tcPr>
            <w:tcW w:w="1160" w:type="dxa"/>
            <w:vAlign w:val="bottom"/>
          </w:tcPr>
          <w:p>
            <w:pPr>
              <w:jc w:val="right"/>
              <w:ind w:right="912"/>
              <w:spacing w:after="0"/>
              <w:rPr>
                <w:sz w:val="20"/>
                <w:szCs w:val="20"/>
                <w:color w:val="auto"/>
              </w:rPr>
            </w:pPr>
            <w:r>
              <w:rPr>
                <w:rFonts w:ascii="Arial" w:cs="Arial" w:eastAsia="Arial" w:hAnsi="Arial"/>
                <w:sz w:val="22"/>
                <w:szCs w:val="22"/>
                <w:color w:val="auto"/>
                <w:w w:val="97"/>
              </w:rPr>
              <w:t>$</w:t>
            </w:r>
          </w:p>
        </w:tc>
        <w:tc>
          <w:tcPr>
            <w:tcW w:w="680" w:type="dxa"/>
            <w:vAlign w:val="bottom"/>
          </w:tcPr>
          <w:p>
            <w:pPr>
              <w:jc w:val="right"/>
              <w:spacing w:after="0"/>
              <w:rPr>
                <w:sz w:val="20"/>
                <w:szCs w:val="20"/>
                <w:color w:val="auto"/>
              </w:rPr>
            </w:pPr>
            <w:r>
              <w:rPr>
                <w:rFonts w:ascii="Arial" w:cs="Arial" w:eastAsia="Arial" w:hAnsi="Arial"/>
                <w:sz w:val="22"/>
                <w:szCs w:val="22"/>
                <w:color w:val="auto"/>
                <w:w w:val="88"/>
              </w:rPr>
              <w:t>(4,971)</w:t>
            </w:r>
          </w:p>
        </w:tc>
        <w:tc>
          <w:tcPr>
            <w:tcW w:w="100" w:type="dxa"/>
            <w:vAlign w:val="bottom"/>
          </w:tcPr>
          <w:p>
            <w:pPr>
              <w:spacing w:after="0"/>
              <w:rPr>
                <w:sz w:val="24"/>
                <w:szCs w:val="24"/>
                <w:color w:val="auto"/>
              </w:rPr>
            </w:pP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(5,450)</w:t>
            </w:r>
          </w:p>
        </w:tc>
      </w:tr>
      <w:tr>
        <w:trPr>
          <w:trHeight w:val="306"/>
        </w:trPr>
        <w:tc>
          <w:tcPr>
            <w:tcW w:w="776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Financing activities</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8"/>
              </w:rPr>
              <w:t>(1,822)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(2,147)</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Activities</w:t>
      </w:r>
    </w:p>
    <w:p>
      <w:pPr>
        <w:spacing w:after="0" w:line="85" w:lineRule="exact"/>
        <w:rPr>
          <w:sz w:val="20"/>
          <w:szCs w:val="20"/>
          <w:color w:val="auto"/>
        </w:rPr>
      </w:pPr>
    </w:p>
    <w:p>
      <w:pPr>
        <w:ind w:right="180"/>
        <w:spacing w:after="0" w:line="311" w:lineRule="auto"/>
        <w:rPr>
          <w:sz w:val="20"/>
          <w:szCs w:val="20"/>
          <w:color w:val="auto"/>
        </w:rPr>
      </w:pPr>
      <w:r>
        <w:rPr>
          <w:rFonts w:ascii="Arial" w:cs="Arial" w:eastAsia="Arial" w:hAnsi="Arial"/>
          <w:sz w:val="19"/>
          <w:szCs w:val="19"/>
          <w:color w:val="auto"/>
        </w:rPr>
        <w:t>During the first three months of 2019, our operations used $1,211,000, the primary drivers are $2,400,000 used for agricultural activities used to grow our current year crops offset by $1,200,000 in collections of receivables. When compared to the prior year, the decrease in cash flows is attributed to reduced water sales and the timing of collections on accounts receivables.</w:t>
      </w:r>
    </w:p>
    <w:p>
      <w:pPr>
        <w:spacing w:after="0" w:line="1"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During the first three months of 2018, our operations generated $6,969,000 in cash largely due to the water sales discussed above and collection of accounts receivables.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Investing Activities</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During the first three months of 2019 investing activities used $4,971,000. The company made capital expenditures, inclusive of capitalized interest and payroll (exclusive of stock compensation), of $5,112,000 which includes predevelopment activities for our master planned communities, consisting of general planning and permitting of $856,000 for MV; expenditures relating to regulatory permits and litigation of $787,000 for Grapevine, and costs related to approval of specific plan of $1,240,000 for Centennial. At TRCC, we spent $635,000 on water treatment facility improvements, water infrastructure improvements and planning. Within our farming segment, we spent $1,298,000 developing new almond orchards and replacing machinery and equipment. Also within investing activities, we had investment security maturities of $14,567,000 of which we reinvested $10,865,000. Lastly, the Company used $3,502,000 to acquire annual water purchase contracts.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0" w:right="239" w:bottom="1440" w:gutter="0" w:footer="0" w:header="0"/>
        </w:sectPr>
      </w:pPr>
    </w:p>
    <w:bookmarkStart w:id="47" w:name="page48"/>
    <w:bookmarkEnd w:id="47"/>
    <w:p>
      <w:pPr>
        <w:ind w:right="120"/>
        <w:spacing w:after="0" w:line="289" w:lineRule="auto"/>
        <w:rPr>
          <w:sz w:val="20"/>
          <w:szCs w:val="20"/>
          <w:color w:val="auto"/>
        </w:rPr>
      </w:pPr>
      <w:r>
        <w:rPr>
          <w:rFonts w:ascii="Arial" w:cs="Arial" w:eastAsia="Arial" w:hAnsi="Arial"/>
          <w:sz w:val="19"/>
          <w:szCs w:val="19"/>
          <w:color w:val="auto"/>
        </w:rPr>
        <w:t>During the first three months of 2018, investing activities used $5,450,000 of cash, in part, as a result of $3,779,000 in capital expenditures. Capital expenditures, inclusive of capitalized interest and payroll, include predevelopment activities for our master planned communities which amounted to $1,284,000 for MV, $603,000 for Grapevine, and $590,000 for Centennial. At TRCC East, we spent $338,000 constructing a water treatment facility. Within our farming segment, we spent $1,117,000 replacing old machinery and equipment along with developing a new almond orchard. We also purchased marketable securities and water for $10,942,000 and $2,659,000, respectively. Our capital outlays were offset by distributions from unconsolidated joint ventures of $181,000, CFD reimbursements of $1,385,000 and proceeds from maturity of marketable securities of $10,942,000. As we move forward, we will continue to use cash from operations, proceeds from the maturity of securities, and anticipated distributions from joint ventures to fund real estate project investment.</w:t>
      </w:r>
    </w:p>
    <w:p>
      <w:pPr>
        <w:spacing w:after="0" w:line="23"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Our estimated capital investment for the remainder of 2019 is primarily related to our real estate projects. These estimated investments include approximately $10,089,000 of infrastructure development at TRCC-East to support continued commercial retail and industrial development and to expand water facilities to support future anticipated absorption. We also plan to invest approximately $1,918,000 to continue development of new almond orchards and replacing farm equipment. The farm investments are part of a long-term farm management program to redevelop declining orchards and vineyards to maintain and improve future farm revenues. Lastly, we expect to invest up to $14,421,000 for land planning, entitlement activities, litigation related to entitlement approvals, federal and state agency permitting activities, and development activities at MV, Centennial, and Grapevine during the remainder of 2019.</w:t>
      </w:r>
    </w:p>
    <w:p>
      <w:pPr>
        <w:spacing w:after="0" w:line="49"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three months ended March 31, 2019 and 2018, of $703,000 and $744,000, respectively, is classified in real estate development. We also capitalized payroll costs related to development, pre-construction, and construction projects which aggregated $1,137,000 and $1,134,000 for the three months ended March 31, 2019 and 2018, respectively. Expenditures for repairs and maintenance are expensed as incurred.</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Financing Activities</w:t>
      </w:r>
    </w:p>
    <w:p>
      <w:pPr>
        <w:spacing w:after="0" w:line="85"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During the first three months of 2019, financing activities used $1,822,000 to service long-term debt of $1,007,000 and tax payments on vested share grants of $815,000.</w:t>
      </w:r>
    </w:p>
    <w:p>
      <w:pPr>
        <w:spacing w:after="0" w:line="40"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During the first three months of 2018, financing activities used $2,147,000 in cash primarily for paydowns of long-term debt of $985,000 and tax payments on vested share grants of $996,000.</w:t>
      </w:r>
    </w:p>
    <w:p>
      <w:pPr>
        <w:spacing w:after="0" w:line="40"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6" w:right="279" w:bottom="1440" w:gutter="0" w:footer="0" w:header="0"/>
        </w:sectPr>
      </w:pPr>
    </w:p>
    <w:bookmarkStart w:id="48" w:name="page49"/>
    <w:bookmarkEnd w:id="48"/>
    <w:p>
      <w:pPr>
        <w:ind w:right="40"/>
        <w:spacing w:after="0" w:line="253" w:lineRule="auto"/>
        <w:rPr>
          <w:sz w:val="20"/>
          <w:szCs w:val="20"/>
          <w:color w:val="auto"/>
        </w:rPr>
      </w:pPr>
      <w:r>
        <w:rPr>
          <w:rFonts w:ascii="Arial" w:cs="Arial" w:eastAsia="Arial" w:hAnsi="Arial"/>
          <w:sz w:val="22"/>
          <w:szCs w:val="22"/>
          <w:color w:val="auto"/>
        </w:rPr>
        <w:t>We continuously evaluate our short-term and long-term capital investment needs. Based on the timing of capital investments, we may supplement our current cash, marketable securities, and operational funding sources through the sale of common stock and the use of additional debt.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Capital Structure and Financial Condition</w:t>
      </w:r>
    </w:p>
    <w:p>
      <w:pPr>
        <w:spacing w:after="0" w:line="91"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At March 31, 2019, total capitalization at book value was $499,602,000 consisting of $64,908,000 of debt and $434,694,000 of equity, resulting in a debt-to-total-capitalization ratio of approximately 13.0%.</w:t>
      </w:r>
    </w:p>
    <w:p>
      <w:pPr>
        <w:spacing w:after="0" w:line="40"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Company has a Term Note and a Revolving Line of Credit Note (collectively, the Credit Facility) with Wells Fargo. The Credit Facility adds a $70,000,000 term loan, or Term Loan, to the existing $30,000,000 revolving line of credit, or RLC. Funds from the Term Loan were used to finance the Company's purchase of DMB TMV LLC's interest in MV. The Term Loan had a $61,561,000 balance as of March 31, 2019. 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is typical for this type of instrument. At the Company’s option, the interest rate on the RLC can float at 1.50% over a selected LIBOR rate or can be fixed at 1.50% above LIBOR for a fixed rate term. During the term of this credit facility (which matures in September 2019), we can borrow at any time and partially or wholly repay any outstanding borrowings and then re-borrow, as necessary. The Company expects to renew the RLC in September 2019 under similar terms. There were no outstanding balances on the RLC as of March 31, 2019 and December 31, 2018.</w:t>
      </w:r>
    </w:p>
    <w:p>
      <w:pPr>
        <w:spacing w:after="0" w:line="286"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The interest rate per annum applicable to the Term Loan is LIBOR (as defined in the Term Note) plus a margin of 170 basis points. The interest rate for the term of the note has been fixed through the use of an interest rate swap at a rate of 4.11%. We utilize an interest rate swap agreement to hedge our exposure to variable interest rates associated with our term loan. The Term Loan requires monthly amortization payments pursuant to a schedule set forth in the Term Note, with the final outstanding principal amount due October 5, 2024. TRC may make voluntary prepayments on the Term Loan at any time without penalty (excluding any applicable LIBOR or interest rate swap breakage costs). Each optional prepayment will be applied to reduce the most remote principal payment then unpaid. The Credit Facility is secured by the TRC's farmland and farm assets, which include equipment, crops and crop receivables and the power plant lease and lease site, and related accounts and other rights to payment and inventory.</w:t>
      </w:r>
    </w:p>
    <w:p>
      <w:pPr>
        <w:spacing w:after="0" w:line="2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March 31, 2019 and December 31, 2018, we were in compliance with the financial covenants.</w:t>
      </w:r>
    </w:p>
    <w:p>
      <w:pPr>
        <w:spacing w:after="0" w:line="53"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The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5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Credit Facility contains customary events of default, including: failure to make required payments; failure to comply with terms of the Credit Facility; bankruptcy and insolvency; and a change in control without consent of bank (which consent will not be unreasonably withheld). The Credit Facility contains other customary terms and conditions, including representations and warranties, which are typical for credit facilities of this type.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6" w:right="259" w:bottom="1440" w:gutter="0" w:footer="0" w:header="0"/>
        </w:sectPr>
      </w:pPr>
    </w:p>
    <w:bookmarkStart w:id="49" w:name="page50"/>
    <w:bookmarkEnd w:id="49"/>
    <w:p>
      <w:pPr>
        <w:ind w:right="120"/>
        <w:spacing w:after="0" w:line="248" w:lineRule="auto"/>
        <w:rPr>
          <w:sz w:val="20"/>
          <w:szCs w:val="20"/>
          <w:color w:val="auto"/>
        </w:rPr>
      </w:pPr>
      <w:r>
        <w:rPr>
          <w:rFonts w:ascii="Arial" w:cs="Arial" w:eastAsia="Arial" w:hAnsi="Arial"/>
          <w:sz w:val="22"/>
          <w:szCs w:val="22"/>
          <w:color w:val="auto"/>
        </w:rPr>
        <w:t>We also have a $4,750,000 promissory note agreement with principal and interest due monthly starting on October 1, 2013. The interest rate on this promissory note is 4.25% per annum, with principal and interest payments ending on September 1, 2028. The balance as of March 31, 2019 is $3,347,000. The proceeds from this promissory note were used to eliminate debt that had been previously used to provide long-term financing for a building being leased to Starbucks and provide additional working capital for future investment.</w:t>
      </w:r>
    </w:p>
    <w:p>
      <w:pPr>
        <w:spacing w:after="0" w:line="57"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 downs against our line-of-credit, proceeds from the reimbursement of public infrastructure costs through Community Facilities District (CFD) bond debt (described below under “Off-Balance Sheet Arrangements”), and the issuance of common stock.</w:t>
      </w:r>
    </w:p>
    <w:p>
      <w:pPr>
        <w:spacing w:after="0" w:line="57"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On April 25, 2019, we renewed our shelf registration statement on Form S-3 that we anticipate to go effective in May 2019. Under the shelf registration statement, we may offer and sell in the future one or more offerings,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1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At March 31, 2019, we had $68,174,000 in cash and securities and had $30,000,000 available on our RLC to meet any short-term liquidity needs. See Note 3 (Marketable Securities) and Note 7 (Line of Credit and Long-Term Debt) of the Notes to Unaudited Consolidated Financial Statements for more information.</w:t>
      </w:r>
    </w:p>
    <w:p>
      <w:pPr>
        <w:spacing w:after="0" w:line="51" w:lineRule="exact"/>
        <w:rPr>
          <w:sz w:val="20"/>
          <w:szCs w:val="20"/>
          <w:color w:val="auto"/>
        </w:rPr>
      </w:pPr>
    </w:p>
    <w:p>
      <w:pPr>
        <w:ind w:right="240"/>
        <w:spacing w:after="0" w:line="292" w:lineRule="auto"/>
        <w:rPr>
          <w:sz w:val="20"/>
          <w:szCs w:val="20"/>
          <w:color w:val="auto"/>
        </w:rPr>
      </w:pPr>
      <w:r>
        <w:rPr>
          <w:rFonts w:ascii="Arial" w:cs="Arial" w:eastAsia="Arial" w:hAnsi="Arial"/>
          <w:sz w:val="19"/>
          <w:szCs w:val="19"/>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6" w:right="25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006EBF"/>
        </w:rPr>
        <w:t>Contractual Cash Obligations</w:t>
      </w:r>
    </w:p>
    <w:p>
      <w:pPr>
        <w:spacing w:after="0" w:line="91"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The following table summarizes our contractual cash obligations and commercial commitments as of March 31, 2019, to be paid over the next five years and thereafter:</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3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22"/>
                <w:szCs w:val="22"/>
                <w:color w:val="auto"/>
              </w:rPr>
              <w:t>Payments Due by Period</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91"/>
        </w:trPr>
        <w:tc>
          <w:tcPr>
            <w:tcW w:w="3820" w:type="dxa"/>
            <w:vAlign w:val="bottom"/>
          </w:tcPr>
          <w:p>
            <w:pPr>
              <w:ind w:left="20"/>
              <w:spacing w:after="0"/>
              <w:rPr>
                <w:sz w:val="20"/>
                <w:szCs w:val="20"/>
                <w:color w:val="auto"/>
              </w:rPr>
            </w:pPr>
            <w:r>
              <w:rPr>
                <w:rFonts w:ascii="Arial" w:cs="Arial" w:eastAsia="Arial" w:hAnsi="Arial"/>
                <w:sz w:val="22"/>
                <w:szCs w:val="22"/>
                <w:color w:val="auto"/>
              </w:rPr>
              <w:t>(In thousands)</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22"/>
                <w:szCs w:val="22"/>
                <w:color w:val="auto"/>
              </w:rPr>
              <w:t>Total</w:t>
            </w:r>
          </w:p>
        </w:tc>
        <w:tc>
          <w:tcPr>
            <w:tcW w:w="400" w:type="dxa"/>
            <w:vAlign w:val="bottom"/>
          </w:tcPr>
          <w:p>
            <w:pPr>
              <w:spacing w:after="0"/>
              <w:rPr>
                <w:sz w:val="24"/>
                <w:szCs w:val="24"/>
                <w:color w:val="auto"/>
              </w:rPr>
            </w:pPr>
          </w:p>
        </w:tc>
        <w:tc>
          <w:tcPr>
            <w:tcW w:w="1320" w:type="dxa"/>
            <w:vAlign w:val="bottom"/>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22"/>
                <w:szCs w:val="22"/>
                <w:color w:val="auto"/>
                <w:w w:val="91"/>
              </w:rPr>
              <w:t>2020-2021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w w:val="87"/>
              </w:rPr>
              <w:t>2022-2024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Arial" w:cs="Arial" w:eastAsia="Arial" w:hAnsi="Arial"/>
                <w:sz w:val="22"/>
                <w:szCs w:val="22"/>
                <w:color w:val="auto"/>
                <w:w w:val="92"/>
              </w:rPr>
              <w:t>Thereafter</w:t>
            </w:r>
          </w:p>
        </w:tc>
      </w:tr>
      <w:tr>
        <w:trPr>
          <w:trHeight w:val="275"/>
        </w:trPr>
        <w:tc>
          <w:tcPr>
            <w:tcW w:w="3820" w:type="dxa"/>
            <w:vAlign w:val="bottom"/>
          </w:tcPr>
          <w:p>
            <w:pPr>
              <w:ind w:left="20"/>
              <w:spacing w:after="0"/>
              <w:rPr>
                <w:sz w:val="20"/>
                <w:szCs w:val="20"/>
                <w:color w:val="auto"/>
              </w:rPr>
            </w:pPr>
            <w:r>
              <w:rPr>
                <w:rFonts w:ascii="Arial" w:cs="Arial" w:eastAsia="Arial" w:hAnsi="Arial"/>
                <w:sz w:val="22"/>
                <w:szCs w:val="22"/>
                <w:color w:val="auto"/>
              </w:rPr>
              <w:t>Contractual Obligations:</w:t>
            </w:r>
          </w:p>
        </w:tc>
        <w:tc>
          <w:tcPr>
            <w:tcW w:w="3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Estimated water payments</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253,040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3,118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18,527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19,175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212,220</w:t>
            </w:r>
          </w:p>
        </w:tc>
      </w:tr>
      <w:tr>
        <w:trPr>
          <w:trHeight w:val="289"/>
        </w:trPr>
        <w:tc>
          <w:tcPr>
            <w:tcW w:w="3820" w:type="dxa"/>
            <w:vAlign w:val="bottom"/>
          </w:tcPr>
          <w:p>
            <w:pPr>
              <w:ind w:left="160"/>
              <w:spacing w:after="0"/>
              <w:rPr>
                <w:sz w:val="20"/>
                <w:szCs w:val="20"/>
                <w:color w:val="auto"/>
              </w:rPr>
            </w:pPr>
            <w:r>
              <w:rPr>
                <w:rFonts w:ascii="Arial" w:cs="Arial" w:eastAsia="Arial" w:hAnsi="Arial"/>
                <w:sz w:val="22"/>
                <w:szCs w:val="22"/>
                <w:color w:val="auto"/>
              </w:rPr>
              <w:t>Long-term debt</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64,908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Arial" w:cs="Arial" w:eastAsia="Arial" w:hAnsi="Arial"/>
                <w:sz w:val="22"/>
                <w:szCs w:val="22"/>
                <w:color w:val="auto"/>
              </w:rPr>
              <w:t>4,048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8,638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9,429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42,793</w:t>
            </w: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Interest on long-term debt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12,050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2,571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984</w:t>
            </w:r>
          </w:p>
        </w:tc>
      </w:tr>
      <w:tr>
        <w:trPr>
          <w:trHeight w:val="289"/>
        </w:trPr>
        <w:tc>
          <w:tcPr>
            <w:tcW w:w="3820" w:type="dxa"/>
            <w:vAlign w:val="bottom"/>
          </w:tcPr>
          <w:p>
            <w:pPr>
              <w:ind w:left="160"/>
              <w:spacing w:after="0"/>
              <w:rPr>
                <w:sz w:val="20"/>
                <w:szCs w:val="20"/>
                <w:color w:val="auto"/>
              </w:rPr>
            </w:pPr>
            <w:r>
              <w:rPr>
                <w:rFonts w:ascii="Arial" w:cs="Arial" w:eastAsia="Arial" w:hAnsi="Arial"/>
                <w:sz w:val="22"/>
                <w:szCs w:val="22"/>
                <w:color w:val="auto"/>
              </w:rPr>
              <w:t>Cash contract commitments</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14,116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Arial" w:cs="Arial" w:eastAsia="Arial" w:hAnsi="Arial"/>
                <w:sz w:val="22"/>
                <w:szCs w:val="22"/>
                <w:color w:val="auto"/>
              </w:rPr>
              <w:t>11,907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1,138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1,071</w:t>
            </w: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Defined Benefit Plan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3,913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2,494</w:t>
            </w:r>
          </w:p>
        </w:tc>
      </w:tr>
      <w:tr>
        <w:trPr>
          <w:trHeight w:val="289"/>
        </w:trPr>
        <w:tc>
          <w:tcPr>
            <w:tcW w:w="3820" w:type="dxa"/>
            <w:vAlign w:val="bottom"/>
          </w:tcPr>
          <w:p>
            <w:pPr>
              <w:ind w:left="160"/>
              <w:spacing w:after="0"/>
              <w:rPr>
                <w:sz w:val="20"/>
                <w:szCs w:val="20"/>
                <w:color w:val="auto"/>
              </w:rPr>
            </w:pPr>
            <w:r>
              <w:rPr>
                <w:rFonts w:ascii="Arial" w:cs="Arial" w:eastAsia="Arial" w:hAnsi="Arial"/>
                <w:sz w:val="22"/>
                <w:szCs w:val="22"/>
                <w:color w:val="auto"/>
              </w:rPr>
              <w:t>SERP</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5,197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Arial" w:cs="Arial" w:eastAsia="Arial" w:hAnsi="Arial"/>
                <w:sz w:val="22"/>
                <w:szCs w:val="22"/>
                <w:color w:val="auto"/>
              </w:rPr>
              <w:t>395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1,042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1,022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2,738</w:t>
            </w: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Tejon Ranch Conservancy</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2,200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600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r>
      <w:tr>
        <w:trPr>
          <w:trHeight w:val="291"/>
        </w:trPr>
        <w:tc>
          <w:tcPr>
            <w:tcW w:w="3820" w:type="dxa"/>
            <w:vAlign w:val="bottom"/>
          </w:tcPr>
          <w:p>
            <w:pPr>
              <w:ind w:left="160"/>
              <w:spacing w:after="0"/>
              <w:rPr>
                <w:sz w:val="20"/>
                <w:szCs w:val="20"/>
                <w:color w:val="auto"/>
              </w:rPr>
            </w:pPr>
            <w:r>
              <w:rPr>
                <w:rFonts w:ascii="Arial" w:cs="Arial" w:eastAsia="Arial" w:hAnsi="Arial"/>
                <w:sz w:val="22"/>
                <w:szCs w:val="22"/>
                <w:color w:val="auto"/>
              </w:rPr>
              <w:t>Financing fees</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163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Arial" w:cs="Arial" w:eastAsia="Arial" w:hAnsi="Arial"/>
                <w:sz w:val="22"/>
                <w:szCs w:val="22"/>
                <w:color w:val="auto"/>
              </w:rPr>
              <w:t>163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91"/>
        </w:trPr>
        <w:tc>
          <w:tcPr>
            <w:tcW w:w="38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22"/>
                <w:szCs w:val="22"/>
                <w:color w:val="auto"/>
              </w:rPr>
              <w:t>Total contractual obligations</w:t>
            </w:r>
          </w:p>
        </w:tc>
        <w:tc>
          <w:tcPr>
            <w:tcW w:w="3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355,587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23,008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36,133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34,146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262,300</w:t>
            </w:r>
          </w:p>
        </w:tc>
      </w:tr>
      <w:tr>
        <w:trPr>
          <w:trHeight w:val="20"/>
        </w:trPr>
        <w:tc>
          <w:tcPr>
            <w:tcW w:w="3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45"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7" w:lineRule="exact"/>
        <w:rPr>
          <w:sz w:val="20"/>
          <w:szCs w:val="20"/>
          <w:color w:val="auto"/>
        </w:rPr>
      </w:pPr>
    </w:p>
    <w:p>
      <w:pPr>
        <w:ind w:right="260"/>
        <w:spacing w:after="0" w:line="302" w:lineRule="auto"/>
        <w:rPr>
          <w:sz w:val="20"/>
          <w:szCs w:val="20"/>
          <w:color w:val="auto"/>
        </w:rPr>
      </w:pPr>
      <w:r>
        <w:rPr>
          <w:rFonts w:ascii="Arial" w:cs="Arial" w:eastAsia="Arial" w:hAnsi="Arial"/>
          <w:sz w:val="19"/>
          <w:szCs w:val="19"/>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8" w:lineRule="exact"/>
        <w:rPr>
          <w:sz w:val="20"/>
          <w:szCs w:val="20"/>
          <w:color w:val="auto"/>
        </w:rPr>
      </w:pPr>
    </w:p>
    <w:p>
      <w:pPr>
        <w:ind w:right="160"/>
        <w:spacing w:after="0" w:line="263" w:lineRule="auto"/>
        <w:rPr>
          <w:sz w:val="20"/>
          <w:szCs w:val="20"/>
          <w:color w:val="auto"/>
        </w:rPr>
      </w:pPr>
      <w:r>
        <w:rPr>
          <w:rFonts w:ascii="Arial" w:cs="Arial" w:eastAsia="Arial" w:hAnsi="Arial"/>
          <w:sz w:val="21"/>
          <w:szCs w:val="21"/>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plan to contribute $165,000 to our defined benefit plan in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0" w:right="259" w:bottom="1440" w:gutter="0" w:footer="0" w:header="0"/>
        </w:sectPr>
      </w:pPr>
    </w:p>
    <w:bookmarkStart w:id="51" w:name="page52"/>
    <w:bookmarkEnd w:id="51"/>
    <w:p>
      <w:pPr>
        <w:ind w:right="60"/>
        <w:spacing w:after="0" w:line="263" w:lineRule="auto"/>
        <w:rPr>
          <w:sz w:val="20"/>
          <w:szCs w:val="20"/>
          <w:color w:val="auto"/>
        </w:rPr>
      </w:pPr>
      <w:r>
        <w:rPr>
          <w:rFonts w:ascii="Arial" w:cs="Arial" w:eastAsia="Arial" w:hAnsi="Arial"/>
          <w:sz w:val="21"/>
          <w:szCs w:val="21"/>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Off-Balance Sheet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contingent obligations we have with respect to certain bonds issued by the CFDs: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22"/>
                <w:szCs w:val="22"/>
                <w:color w:val="auto"/>
                <w:w w:val="91"/>
              </w:rPr>
              <w:t>Amount of Commitment Expiration Per Period</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91"/>
        </w:trPr>
        <w:tc>
          <w:tcPr>
            <w:tcW w:w="41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22"/>
                <w:szCs w:val="22"/>
                <w:color w:val="auto"/>
              </w:rPr>
              <w:t>Total</w:t>
            </w:r>
          </w:p>
        </w:tc>
        <w:tc>
          <w:tcPr>
            <w:tcW w:w="16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22"/>
                <w:szCs w:val="22"/>
                <w:color w:val="auto"/>
              </w:rPr>
              <w:t>&lt; 1 year</w:t>
            </w: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22"/>
                <w:szCs w:val="22"/>
                <w:color w:val="auto"/>
                <w:w w:val="86"/>
              </w:rPr>
              <w:t>2 -3 Years</w:t>
            </w:r>
          </w:p>
        </w:tc>
        <w:tc>
          <w:tcPr>
            <w:tcW w:w="20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22"/>
                <w:szCs w:val="22"/>
                <w:color w:val="auto"/>
              </w:rPr>
              <w:t>4 -5 Years</w:t>
            </w:r>
          </w:p>
        </w:tc>
        <w:tc>
          <w:tcPr>
            <w:tcW w:w="1380" w:type="dxa"/>
            <w:vAlign w:val="bottom"/>
            <w:gridSpan w:val="2"/>
          </w:tcPr>
          <w:p>
            <w:pPr>
              <w:jc w:val="right"/>
              <w:ind w:right="12"/>
              <w:spacing w:after="0"/>
              <w:rPr>
                <w:sz w:val="20"/>
                <w:szCs w:val="20"/>
                <w:color w:val="auto"/>
              </w:rPr>
            </w:pPr>
            <w:r>
              <w:rPr>
                <w:rFonts w:ascii="Arial" w:cs="Arial" w:eastAsia="Arial" w:hAnsi="Arial"/>
                <w:sz w:val="22"/>
                <w:szCs w:val="22"/>
                <w:color w:val="auto"/>
                <w:w w:val="96"/>
              </w:rPr>
              <w:t>After 5 Years</w:t>
            </w:r>
          </w:p>
        </w:tc>
      </w:tr>
      <w:tr>
        <w:trPr>
          <w:trHeight w:val="275"/>
        </w:trPr>
        <w:tc>
          <w:tcPr>
            <w:tcW w:w="4100" w:type="dxa"/>
            <w:vAlign w:val="bottom"/>
          </w:tcPr>
          <w:p>
            <w:pPr>
              <w:ind w:left="40"/>
              <w:spacing w:after="0"/>
              <w:rPr>
                <w:sz w:val="20"/>
                <w:szCs w:val="20"/>
                <w:color w:val="auto"/>
              </w:rPr>
            </w:pPr>
            <w:r>
              <w:rPr>
                <w:rFonts w:ascii="Arial" w:cs="Arial" w:eastAsia="Arial" w:hAnsi="Arial"/>
                <w:sz w:val="22"/>
                <w:szCs w:val="22"/>
                <w:color w:val="auto"/>
              </w:rPr>
              <w:t>Other Commercial Commitments:</w:t>
            </w:r>
          </w:p>
        </w:tc>
        <w:tc>
          <w:tcPr>
            <w:tcW w:w="3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306"/>
        </w:trPr>
        <w:tc>
          <w:tcPr>
            <w:tcW w:w="410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Standby letter of credit</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4,468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4,468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1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22"/>
                <w:szCs w:val="22"/>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4100" w:type="dxa"/>
            <w:vAlign w:val="bottom"/>
          </w:tcPr>
          <w:p>
            <w:pPr>
              <w:ind w:left="180"/>
              <w:spacing w:after="0"/>
              <w:rPr>
                <w:sz w:val="20"/>
                <w:szCs w:val="20"/>
                <w:color w:val="auto"/>
              </w:rPr>
            </w:pPr>
            <w:r>
              <w:rPr>
                <w:rFonts w:ascii="Arial" w:cs="Arial" w:eastAsia="Arial" w:hAnsi="Arial"/>
                <w:sz w:val="22"/>
                <w:szCs w:val="22"/>
                <w:color w:val="auto"/>
              </w:rPr>
              <w:t>Total other commercial commitments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4,468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340" w:type="dxa"/>
            <w:vAlign w:val="bottom"/>
            <w:gridSpan w:val="2"/>
          </w:tcPr>
          <w:p>
            <w:pPr>
              <w:ind w:left="900"/>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4,468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gridSpan w:val="2"/>
          </w:tcPr>
          <w:p>
            <w:pPr>
              <w:ind w:left="860"/>
              <w:spacing w:after="0"/>
              <w:rPr>
                <w:sz w:val="20"/>
                <w:szCs w:val="20"/>
                <w:color w:val="auto"/>
              </w:rPr>
            </w:pPr>
            <w:r>
              <w:rPr>
                <w:rFonts w:ascii="Arial" w:cs="Arial" w:eastAsia="Arial" w:hAnsi="Arial"/>
                <w:sz w:val="22"/>
                <w:szCs w:val="22"/>
                <w:color w:val="auto"/>
              </w:rPr>
              <w:t>—</w:t>
            </w:r>
          </w:p>
        </w:tc>
        <w:tc>
          <w:tcPr>
            <w:tcW w:w="600" w:type="dxa"/>
            <w:vAlign w:val="bottom"/>
          </w:tcPr>
          <w:p>
            <w:pPr>
              <w:jc w:val="right"/>
              <w:ind w:right="352"/>
              <w:spacing w:after="0"/>
              <w:rPr>
                <w:sz w:val="20"/>
                <w:szCs w:val="20"/>
                <w:color w:val="auto"/>
              </w:rPr>
            </w:pPr>
            <w:r>
              <w:rPr>
                <w:rFonts w:ascii="Arial" w:cs="Arial" w:eastAsia="Arial" w:hAnsi="Arial"/>
                <w:sz w:val="22"/>
                <w:szCs w:val="22"/>
                <w:color w:val="auto"/>
                <w:w w:val="97"/>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0"/>
        </w:trPr>
        <w:tc>
          <w:tcPr>
            <w:tcW w:w="4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 Tejon Ranch Public Facilities Financing Authority, or TRPFFA, is a joint powers authority formed by Kern County and TCWD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to finance public infrastructure within the Company’s Kern County developments. TRPFFA created two CFDs, the West CFD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East CFD. The West CFD has placed liens on 420 acres of the Company’s land to secure payment of special taxes related to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$28,620,000 of bond debt sold by TRPFFA for TRCC-West. The East CFD has placed liens on 1,931 acres of the Company’s land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 secure payments of special taxes related to $55,000,000 of bond debt sold by TRPFFA for TRCC-East. At TRCC-West, the West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CFD has no additional bond debt approved for issuance. At TRCC-East, the East CFD has approximately $65,000,000 of additional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bond debt authorized by TRPFFA.</w:t>
      </w:r>
    </w:p>
    <w:p>
      <w:pPr>
        <w:spacing w:after="0" w:line="67"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that the letter of credit will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at March 31, 2019.</w:t>
      </w:r>
    </w:p>
    <w:p>
      <w:pPr>
        <w:spacing w:after="0" w:line="51" w:lineRule="exact"/>
        <w:rPr>
          <w:sz w:val="20"/>
          <w:szCs w:val="20"/>
          <w:color w:val="auto"/>
        </w:rPr>
      </w:pPr>
    </w:p>
    <w:p>
      <w:pPr>
        <w:ind w:right="300"/>
        <w:spacing w:after="0" w:line="265" w:lineRule="auto"/>
        <w:rPr>
          <w:sz w:val="20"/>
          <w:szCs w:val="20"/>
          <w:color w:val="auto"/>
        </w:rPr>
      </w:pPr>
      <w:r>
        <w:rPr>
          <w:rFonts w:ascii="Arial" w:cs="Arial" w:eastAsia="Arial" w:hAnsi="Arial"/>
          <w:sz w:val="21"/>
          <w:szCs w:val="21"/>
          <w:color w:val="auto"/>
        </w:rPr>
        <w:t>At March 31, 2019, aggregate outstanding debt of unconsolidated joint ventures was $120,483,000. We provided a guarantee on $105,199,000 of this debt, relating to our joint ventures with Rockefeller and Majestic. Because of positive cash flow generation within the Rockefeller and Majestic joint ventures, we do not expect the guarantee to ever be called upon. We do not provide a guarantee on the $15,284,000 of debt related to our joint venture with TA/Petro.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6"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006EBF"/>
        </w:rPr>
        <w:t>Non-GAAP Financial Measures</w:t>
      </w:r>
    </w:p>
    <w:p>
      <w:pPr>
        <w:spacing w:after="0" w:line="91"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22"/>
                <w:szCs w:val="22"/>
                <w:color w:val="auto"/>
              </w:rPr>
              <w:t>Three Months Ended March 31,</w:t>
            </w:r>
          </w:p>
        </w:tc>
        <w:tc>
          <w:tcPr>
            <w:tcW w:w="0" w:type="dxa"/>
            <w:vAlign w:val="bottom"/>
          </w:tcPr>
          <w:p>
            <w:pPr>
              <w:spacing w:after="0"/>
              <w:rPr>
                <w:sz w:val="1"/>
                <w:szCs w:val="1"/>
                <w:color w:val="auto"/>
              </w:rPr>
            </w:pPr>
          </w:p>
        </w:tc>
      </w:tr>
      <w:tr>
        <w:trPr>
          <w:trHeight w:val="291"/>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income</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124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1,455</w:t>
            </w:r>
          </w:p>
        </w:tc>
        <w:tc>
          <w:tcPr>
            <w:tcW w:w="0" w:type="dxa"/>
            <w:vAlign w:val="bottom"/>
          </w:tcPr>
          <w:p>
            <w:pPr>
              <w:spacing w:after="0"/>
              <w:rPr>
                <w:sz w:val="1"/>
                <w:szCs w:val="1"/>
                <w:color w:val="auto"/>
              </w:rPr>
            </w:pPr>
          </w:p>
        </w:tc>
      </w:tr>
      <w:tr>
        <w:trPr>
          <w:trHeight w:val="291"/>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Net income (loss) attributable to non-controlling interest</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97"/>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income attributable to common stockholders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119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1,457</w:t>
            </w:r>
          </w:p>
        </w:tc>
        <w:tc>
          <w:tcPr>
            <w:tcW w:w="0" w:type="dxa"/>
            <w:vAlign w:val="bottom"/>
          </w:tcPr>
          <w:p>
            <w:pPr>
              <w:spacing w:after="0"/>
              <w:rPr>
                <w:sz w:val="1"/>
                <w:szCs w:val="1"/>
                <w:color w:val="auto"/>
              </w:rPr>
            </w:pPr>
          </w:p>
        </w:tc>
      </w:tr>
      <w:tr>
        <w:trPr>
          <w:trHeight w:val="289"/>
        </w:trPr>
        <w:tc>
          <w:tcPr>
            <w:tcW w:w="6720" w:type="dxa"/>
            <w:vAlign w:val="bottom"/>
          </w:tcPr>
          <w:p>
            <w:pPr>
              <w:ind w:left="40"/>
              <w:spacing w:after="0"/>
              <w:rPr>
                <w:sz w:val="20"/>
                <w:szCs w:val="20"/>
                <w:color w:val="auto"/>
              </w:rPr>
            </w:pPr>
            <w:r>
              <w:rPr>
                <w:rFonts w:ascii="Arial" w:cs="Arial" w:eastAsia="Arial" w:hAnsi="Arial"/>
                <w:sz w:val="22"/>
                <w:szCs w:val="22"/>
                <w:color w:val="auto"/>
              </w:rPr>
              <w:t>Interest, net</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7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Consolidated</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(283)</w:t>
            </w:r>
          </w:p>
        </w:tc>
        <w:tc>
          <w:tcPr>
            <w:tcW w:w="0" w:type="dxa"/>
            <w:vAlign w:val="bottom"/>
          </w:tcPr>
          <w:p>
            <w:pPr>
              <w:spacing w:after="0"/>
              <w:rPr>
                <w:sz w:val="1"/>
                <w:szCs w:val="1"/>
                <w:color w:val="auto"/>
              </w:rPr>
            </w:pPr>
          </w:p>
        </w:tc>
      </w:tr>
      <w:tr>
        <w:trPr>
          <w:trHeight w:val="291"/>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Our share of interest expense from unconsolidated joint ventures</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738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501</w:t>
            </w:r>
          </w:p>
        </w:tc>
        <w:tc>
          <w:tcPr>
            <w:tcW w:w="0" w:type="dxa"/>
            <w:vAlign w:val="bottom"/>
          </w:tcPr>
          <w:p>
            <w:pPr>
              <w:spacing w:after="0"/>
              <w:rPr>
                <w:sz w:val="1"/>
                <w:szCs w:val="1"/>
                <w:color w:val="auto"/>
              </w:rPr>
            </w:pPr>
          </w:p>
        </w:tc>
      </w:tr>
      <w:tr>
        <w:trPr>
          <w:trHeight w:val="297"/>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interest, net</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389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218</w:t>
            </w:r>
          </w:p>
        </w:tc>
        <w:tc>
          <w:tcPr>
            <w:tcW w:w="0" w:type="dxa"/>
            <w:vAlign w:val="bottom"/>
          </w:tcPr>
          <w:p>
            <w:pPr>
              <w:spacing w:after="0"/>
              <w:rPr>
                <w:sz w:val="1"/>
                <w:szCs w:val="1"/>
                <w:color w:val="auto"/>
              </w:rPr>
            </w:pPr>
          </w:p>
        </w:tc>
      </w:tr>
      <w:tr>
        <w:trPr>
          <w:trHeight w:val="289"/>
        </w:trPr>
        <w:tc>
          <w:tcPr>
            <w:tcW w:w="6720" w:type="dxa"/>
            <w:vAlign w:val="bottom"/>
          </w:tcPr>
          <w:p>
            <w:pPr>
              <w:ind w:left="40"/>
              <w:spacing w:after="0"/>
              <w:rPr>
                <w:sz w:val="20"/>
                <w:szCs w:val="20"/>
                <w:color w:val="auto"/>
              </w:rPr>
            </w:pPr>
            <w:r>
              <w:rPr>
                <w:rFonts w:ascii="Arial" w:cs="Arial" w:eastAsia="Arial" w:hAnsi="Arial"/>
                <w:sz w:val="22"/>
                <w:szCs w:val="22"/>
                <w:color w:val="auto"/>
              </w:rPr>
              <w:t>Income taxes</w:t>
            </w:r>
          </w:p>
        </w:tc>
        <w:tc>
          <w:tcPr>
            <w:tcW w:w="540" w:type="dxa"/>
            <w:vAlign w:val="bottom"/>
          </w:tcPr>
          <w:p>
            <w:pPr>
              <w:spacing w:after="0"/>
              <w:rPr>
                <w:sz w:val="24"/>
                <w:szCs w:val="24"/>
                <w:color w:val="auto"/>
              </w:rPr>
            </w:pP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95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526</w:t>
            </w:r>
          </w:p>
        </w:tc>
        <w:tc>
          <w:tcPr>
            <w:tcW w:w="0" w:type="dxa"/>
            <w:vAlign w:val="bottom"/>
          </w:tcPr>
          <w:p>
            <w:pPr>
              <w:spacing w:after="0"/>
              <w:rPr>
                <w:sz w:val="1"/>
                <w:szCs w:val="1"/>
                <w:color w:val="auto"/>
              </w:rPr>
            </w:pPr>
          </w:p>
        </w:tc>
      </w:tr>
      <w:tr>
        <w:trPr>
          <w:trHeight w:val="306"/>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Depreciation and amortization:</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20" w:type="dxa"/>
            <w:vAlign w:val="bottom"/>
          </w:tcPr>
          <w:p>
            <w:pPr>
              <w:ind w:left="180"/>
              <w:spacing w:after="0"/>
              <w:rPr>
                <w:sz w:val="20"/>
                <w:szCs w:val="20"/>
                <w:color w:val="auto"/>
              </w:rPr>
            </w:pPr>
            <w:r>
              <w:rPr>
                <w:rFonts w:ascii="Arial" w:cs="Arial" w:eastAsia="Arial" w:hAnsi="Arial"/>
                <w:sz w:val="22"/>
                <w:szCs w:val="22"/>
                <w:color w:val="auto"/>
              </w:rPr>
              <w:t>Consolidated</w:t>
            </w:r>
          </w:p>
        </w:tc>
        <w:tc>
          <w:tcPr>
            <w:tcW w:w="540" w:type="dxa"/>
            <w:vAlign w:val="bottom"/>
          </w:tcPr>
          <w:p>
            <w:pPr>
              <w:spacing w:after="0"/>
              <w:rPr>
                <w:sz w:val="24"/>
                <w:szCs w:val="24"/>
                <w:color w:val="auto"/>
              </w:rPr>
            </w:pP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1,089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1,071</w:t>
            </w: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7"/>
              </w:rPr>
              <w:t>Our share of depreciation and amortization from unconsolidated joint</w:t>
            </w:r>
          </w:p>
        </w:tc>
        <w:tc>
          <w:tcPr>
            <w:tcW w:w="5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67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ventures</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1,109</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919</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Total depreciation and amortization</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2,198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1,990</w:t>
            </w:r>
          </w:p>
        </w:tc>
        <w:tc>
          <w:tcPr>
            <w:tcW w:w="0" w:type="dxa"/>
            <w:vAlign w:val="bottom"/>
          </w:tcPr>
          <w:p>
            <w:pPr>
              <w:spacing w:after="0"/>
              <w:rPr>
                <w:sz w:val="1"/>
                <w:szCs w:val="1"/>
                <w:color w:val="auto"/>
              </w:rPr>
            </w:pPr>
          </w:p>
        </w:tc>
      </w:tr>
      <w:tr>
        <w:trPr>
          <w:trHeight w:val="297"/>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EBITDA</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2,801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4,191</w:t>
            </w:r>
          </w:p>
        </w:tc>
        <w:tc>
          <w:tcPr>
            <w:tcW w:w="0" w:type="dxa"/>
            <w:vAlign w:val="bottom"/>
          </w:tcPr>
          <w:p>
            <w:pPr>
              <w:spacing w:after="0"/>
              <w:rPr>
                <w:sz w:val="1"/>
                <w:szCs w:val="1"/>
                <w:color w:val="auto"/>
              </w:rPr>
            </w:pPr>
          </w:p>
        </w:tc>
      </w:tr>
      <w:tr>
        <w:trPr>
          <w:trHeight w:val="291"/>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Stock compensation expense</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813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948</w:t>
            </w:r>
          </w:p>
        </w:tc>
        <w:tc>
          <w:tcPr>
            <w:tcW w:w="0" w:type="dxa"/>
            <w:vAlign w:val="bottom"/>
          </w:tcPr>
          <w:p>
            <w:pPr>
              <w:spacing w:after="0"/>
              <w:rPr>
                <w:sz w:val="1"/>
                <w:szCs w:val="1"/>
                <w:color w:val="auto"/>
              </w:rPr>
            </w:pPr>
          </w:p>
        </w:tc>
      </w:tr>
      <w:tr>
        <w:trPr>
          <w:trHeight w:val="29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Adjusted EBITDA</w:t>
            </w:r>
          </w:p>
        </w:tc>
        <w:tc>
          <w:tcPr>
            <w:tcW w:w="5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3,614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5,139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5620"/>
              <w:spacing w:after="0"/>
              <w:rPr>
                <w:sz w:val="20"/>
                <w:szCs w:val="20"/>
                <w:color w:val="auto"/>
              </w:rPr>
            </w:pPr>
            <w:r>
              <w:rPr>
                <w:rFonts w:ascii="Arial" w:cs="Arial" w:eastAsia="Arial" w:hAnsi="Arial"/>
                <w:sz w:val="18"/>
                <w:szCs w:val="18"/>
                <w:color w:val="auto"/>
              </w:rPr>
              <w:t>53</w:t>
            </w: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7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6" w:right="239" w:bottom="1440" w:gutter="0" w:footer="0" w:header="0"/>
        </w:sectPr>
      </w:pPr>
    </w:p>
    <w:bookmarkStart w:id="53" w:name="page54"/>
    <w:bookmarkEnd w:id="53"/>
    <w:p>
      <w:pPr>
        <w:ind w:right="240"/>
        <w:spacing w:after="0" w:line="247" w:lineRule="auto"/>
        <w:rPr>
          <w:sz w:val="20"/>
          <w:szCs w:val="20"/>
          <w:color w:val="auto"/>
        </w:rPr>
      </w:pPr>
      <w:r>
        <w:rPr>
          <w:rFonts w:ascii="Arial" w:cs="Arial" w:eastAsia="Arial" w:hAnsi="Arial"/>
          <w:sz w:val="22"/>
          <w:szCs w:val="22"/>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72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22"/>
                <w:szCs w:val="22"/>
                <w:color w:val="auto"/>
              </w:rPr>
              <w:t>Three Months Ended March 31,</w:t>
            </w:r>
          </w:p>
        </w:tc>
      </w:tr>
      <w:tr>
        <w:trPr>
          <w:trHeight w:val="291"/>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Net operating income</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2018</w:t>
            </w:r>
          </w:p>
        </w:tc>
      </w:tr>
      <w:tr>
        <w:trPr>
          <w:trHeight w:val="297"/>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Pastoria Energy Facility</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1,465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1,024</w:t>
            </w:r>
          </w:p>
        </w:tc>
      </w:tr>
      <w:tr>
        <w:trPr>
          <w:trHeight w:val="289"/>
        </w:trPr>
        <w:tc>
          <w:tcPr>
            <w:tcW w:w="6720" w:type="dxa"/>
            <w:vAlign w:val="bottom"/>
          </w:tcPr>
          <w:p>
            <w:pPr>
              <w:ind w:left="40"/>
              <w:spacing w:after="0"/>
              <w:rPr>
                <w:sz w:val="20"/>
                <w:szCs w:val="20"/>
                <w:color w:val="auto"/>
              </w:rPr>
            </w:pPr>
            <w:r>
              <w:rPr>
                <w:rFonts w:ascii="Arial" w:cs="Arial" w:eastAsia="Arial" w:hAnsi="Arial"/>
                <w:sz w:val="22"/>
                <w:szCs w:val="22"/>
                <w:color w:val="auto"/>
              </w:rPr>
              <w:t>TRCC</w:t>
            </w:r>
          </w:p>
        </w:tc>
        <w:tc>
          <w:tcPr>
            <w:tcW w:w="540" w:type="dxa"/>
            <w:vAlign w:val="bottom"/>
          </w:tcPr>
          <w:p>
            <w:pPr>
              <w:spacing w:after="0"/>
              <w:rPr>
                <w:sz w:val="24"/>
                <w:szCs w:val="24"/>
                <w:color w:val="auto"/>
              </w:rPr>
            </w:pP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291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358</w:t>
            </w:r>
          </w:p>
        </w:tc>
      </w:tr>
      <w:tr>
        <w:trPr>
          <w:trHeight w:val="306"/>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Communication leases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234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174</w:t>
            </w:r>
          </w:p>
        </w:tc>
      </w:tr>
      <w:tr>
        <w:trPr>
          <w:trHeight w:val="291"/>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Other commercial leases</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157</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158</w:t>
            </w:r>
          </w:p>
        </w:tc>
      </w:tr>
      <w:tr>
        <w:trPr>
          <w:trHeight w:val="29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b w:val="1"/>
                <w:bCs w:val="1"/>
                <w:color w:val="auto"/>
              </w:rPr>
              <w:t>Total Commercial/Industrial net operating income</w:t>
            </w:r>
          </w:p>
        </w:tc>
        <w:tc>
          <w:tcPr>
            <w:tcW w:w="5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b w:val="1"/>
                <w:bCs w:val="1"/>
                <w:color w:val="auto"/>
                <w:w w:val="97"/>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b w:val="1"/>
                <w:bCs w:val="1"/>
                <w:color w:val="auto"/>
              </w:rPr>
              <w:t>2,147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b w:val="1"/>
                <w:bCs w:val="1"/>
                <w:color w:val="auto"/>
                <w:w w:val="97"/>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1,714</w:t>
            </w:r>
          </w:p>
        </w:tc>
      </w:tr>
      <w:tr>
        <w:trPr>
          <w:trHeight w:val="20"/>
        </w:trPr>
        <w:tc>
          <w:tcPr>
            <w:tcW w:w="6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r>
      <w:tr>
        <w:trPr>
          <w:trHeight w:val="570"/>
        </w:trPr>
        <w:tc>
          <w:tcPr>
            <w:tcW w:w="6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22"/>
                <w:szCs w:val="22"/>
                <w:color w:val="auto"/>
              </w:rPr>
              <w:t>Three Months Ended March 31,</w:t>
            </w:r>
          </w:p>
        </w:tc>
      </w:tr>
      <w:tr>
        <w:trPr>
          <w:trHeight w:val="291"/>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2018</w:t>
            </w:r>
          </w:p>
        </w:tc>
      </w:tr>
      <w:tr>
        <w:trPr>
          <w:trHeight w:val="297"/>
        </w:trPr>
        <w:tc>
          <w:tcPr>
            <w:tcW w:w="672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Commercial/Industrial operating income</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1,034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835</w:t>
            </w:r>
          </w:p>
        </w:tc>
      </w:tr>
      <w:tr>
        <w:trPr>
          <w:trHeight w:val="289"/>
        </w:trPr>
        <w:tc>
          <w:tcPr>
            <w:tcW w:w="6720" w:type="dxa"/>
            <w:vAlign w:val="bottom"/>
          </w:tcPr>
          <w:p>
            <w:pPr>
              <w:ind w:left="180"/>
              <w:spacing w:after="0"/>
              <w:rPr>
                <w:sz w:val="20"/>
                <w:szCs w:val="20"/>
                <w:color w:val="auto"/>
              </w:rPr>
            </w:pPr>
            <w:r>
              <w:rPr>
                <w:rFonts w:ascii="Arial" w:cs="Arial" w:eastAsia="Arial" w:hAnsi="Arial"/>
                <w:sz w:val="22"/>
                <w:szCs w:val="22"/>
                <w:color w:val="auto"/>
              </w:rPr>
              <w:t>Plus: Commercial/Industrial depreciation and amortization</w:t>
            </w:r>
          </w:p>
        </w:tc>
        <w:tc>
          <w:tcPr>
            <w:tcW w:w="540" w:type="dxa"/>
            <w:vAlign w:val="bottom"/>
          </w:tcPr>
          <w:p>
            <w:pPr>
              <w:spacing w:after="0"/>
              <w:rPr>
                <w:sz w:val="24"/>
                <w:szCs w:val="24"/>
                <w:color w:val="auto"/>
              </w:rPr>
            </w:pP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144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149</w:t>
            </w:r>
          </w:p>
        </w:tc>
      </w:tr>
      <w:tr>
        <w:trPr>
          <w:trHeight w:val="306"/>
        </w:trPr>
        <w:tc>
          <w:tcPr>
            <w:tcW w:w="67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Plus: General, administrative and other expenses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1,464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1,108</w:t>
            </w:r>
          </w:p>
        </w:tc>
      </w:tr>
      <w:tr>
        <w:trPr>
          <w:trHeight w:val="291"/>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Less: Other revenues including land sales</w:t>
            </w: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(378)</w:t>
            </w:r>
          </w:p>
        </w:tc>
      </w:tr>
      <w:tr>
        <w:trPr>
          <w:trHeight w:val="29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b w:val="1"/>
                <w:bCs w:val="1"/>
                <w:color w:val="auto"/>
              </w:rPr>
              <w:t>Total Commercial/Industrial net operating income</w:t>
            </w:r>
          </w:p>
        </w:tc>
        <w:tc>
          <w:tcPr>
            <w:tcW w:w="5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b w:val="1"/>
                <w:bCs w:val="1"/>
                <w:color w:val="auto"/>
                <w:w w:val="97"/>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b w:val="1"/>
                <w:bCs w:val="1"/>
                <w:color w:val="auto"/>
              </w:rPr>
              <w:t>2,147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b w:val="1"/>
                <w:bCs w:val="1"/>
                <w:color w:val="auto"/>
                <w:w w:val="97"/>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1,714</w:t>
            </w:r>
          </w:p>
        </w:tc>
      </w:tr>
      <w:tr>
        <w:trPr>
          <w:trHeight w:val="20"/>
        </w:trPr>
        <w:tc>
          <w:tcPr>
            <w:tcW w:w="6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22"/>
                <w:szCs w:val="22"/>
                <w:color w:val="auto"/>
              </w:rPr>
              <w:t>Three Months Ended March 31,</w:t>
            </w:r>
          </w:p>
        </w:tc>
        <w:tc>
          <w:tcPr>
            <w:tcW w:w="0" w:type="dxa"/>
            <w:vAlign w:val="bottom"/>
          </w:tcPr>
          <w:p>
            <w:pPr>
              <w:spacing w:after="0"/>
              <w:rPr>
                <w:sz w:val="1"/>
                <w:szCs w:val="1"/>
                <w:color w:val="auto"/>
              </w:rPr>
            </w:pPr>
          </w:p>
        </w:tc>
      </w:tr>
      <w:tr>
        <w:trPr>
          <w:trHeight w:val="291"/>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22"/>
                <w:szCs w:val="22"/>
                <w:i w:val="1"/>
                <w:iCs w:val="1"/>
                <w:color w:val="auto"/>
              </w:rPr>
              <w:t>($ in thousands)</w:t>
            </w:r>
          </w:p>
        </w:tc>
        <w:tc>
          <w:tcPr>
            <w:tcW w:w="11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556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income of unconsolidated joint ventures</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22"/>
                <w:szCs w:val="22"/>
                <w:color w:val="auto"/>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1,377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157</w:t>
            </w:r>
          </w:p>
        </w:tc>
        <w:tc>
          <w:tcPr>
            <w:tcW w:w="0" w:type="dxa"/>
            <w:vAlign w:val="bottom"/>
          </w:tcPr>
          <w:p>
            <w:pPr>
              <w:spacing w:after="0"/>
              <w:rPr>
                <w:sz w:val="1"/>
                <w:szCs w:val="1"/>
                <w:color w:val="auto"/>
              </w:rPr>
            </w:pPr>
          </w:p>
        </w:tc>
      </w:tr>
      <w:tr>
        <w:trPr>
          <w:trHeight w:val="291"/>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Interest expense of unconsolidated joint ventures</w:t>
            </w:r>
          </w:p>
        </w:tc>
        <w:tc>
          <w:tcPr>
            <w:tcW w:w="11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1,442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974</w:t>
            </w:r>
          </w:p>
        </w:tc>
        <w:tc>
          <w:tcPr>
            <w:tcW w:w="0" w:type="dxa"/>
            <w:vAlign w:val="bottom"/>
          </w:tcPr>
          <w:p>
            <w:pPr>
              <w:spacing w:after="0"/>
              <w:rPr>
                <w:sz w:val="1"/>
                <w:szCs w:val="1"/>
                <w:color w:val="auto"/>
              </w:rPr>
            </w:pPr>
          </w:p>
        </w:tc>
      </w:tr>
      <w:tr>
        <w:trPr>
          <w:trHeight w:val="297"/>
        </w:trPr>
        <w:tc>
          <w:tcPr>
            <w:tcW w:w="5560" w:type="dxa"/>
            <w:vAlign w:val="bottom"/>
            <w:shd w:val="clear" w:color="auto" w:fill="CCEEFF"/>
          </w:tcPr>
          <w:p>
            <w:pPr>
              <w:ind w:left="40"/>
              <w:spacing w:after="0"/>
              <w:rPr>
                <w:sz w:val="20"/>
                <w:szCs w:val="20"/>
                <w:color w:val="auto"/>
              </w:rPr>
            </w:pPr>
            <w:r>
              <w:rPr>
                <w:rFonts w:ascii="Arial" w:cs="Arial" w:eastAsia="Arial" w:hAnsi="Arial"/>
                <w:sz w:val="22"/>
                <w:szCs w:val="22"/>
                <w:color w:val="auto"/>
              </w:rPr>
              <w:t>Operating income of unconsolidated joint ventures</w:t>
            </w: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2,819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1,131</w:t>
            </w:r>
          </w:p>
        </w:tc>
        <w:tc>
          <w:tcPr>
            <w:tcW w:w="0" w:type="dxa"/>
            <w:vAlign w:val="bottom"/>
          </w:tcPr>
          <w:p>
            <w:pPr>
              <w:spacing w:after="0"/>
              <w:rPr>
                <w:sz w:val="1"/>
                <w:szCs w:val="1"/>
                <w:color w:val="auto"/>
              </w:rPr>
            </w:pPr>
          </w:p>
        </w:tc>
      </w:tr>
      <w:tr>
        <w:trPr>
          <w:trHeight w:val="291"/>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w w:val="90"/>
              </w:rPr>
              <w:t>Depreciation and amortization of unconsolidated joint ventures</w:t>
            </w:r>
          </w:p>
        </w:tc>
        <w:tc>
          <w:tcPr>
            <w:tcW w:w="11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2,093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1,726</w:t>
            </w:r>
          </w:p>
        </w:tc>
        <w:tc>
          <w:tcPr>
            <w:tcW w:w="0" w:type="dxa"/>
            <w:vAlign w:val="bottom"/>
          </w:tcPr>
          <w:p>
            <w:pPr>
              <w:spacing w:after="0"/>
              <w:rPr>
                <w:sz w:val="1"/>
                <w:szCs w:val="1"/>
                <w:color w:val="auto"/>
              </w:rPr>
            </w:pPr>
          </w:p>
        </w:tc>
      </w:tr>
      <w:tr>
        <w:trPr>
          <w:trHeight w:val="295"/>
        </w:trPr>
        <w:tc>
          <w:tcPr>
            <w:tcW w:w="556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operating income of unconsolidated joint ventures</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22"/>
                <w:szCs w:val="22"/>
                <w:color w:val="auto"/>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4,912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7"/>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2,857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818"/>
              <w:spacing w:after="0"/>
              <w:rPr>
                <w:sz w:val="20"/>
                <w:szCs w:val="20"/>
                <w:color w:val="auto"/>
              </w:rPr>
            </w:pPr>
            <w:r>
              <w:rPr>
                <w:rFonts w:ascii="Arial" w:cs="Arial" w:eastAsia="Arial" w:hAnsi="Arial"/>
                <w:sz w:val="18"/>
                <w:szCs w:val="18"/>
                <w:color w:val="auto"/>
              </w:rPr>
              <w:t>54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5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2"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u w:val="single" w:color="auto"/>
          <w:color w:val="006EBF"/>
        </w:rPr>
        <w:t>ITEM 3. QUANTITATIVE AND QUALITATIVE DISCLOSURES ABOUT MARKET RISK</w:t>
      </w:r>
    </w:p>
    <w:p>
      <w:pPr>
        <w:spacing w:after="0" w:line="9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Market Risks</w:t>
      </w:r>
    </w:p>
    <w:p>
      <w:pPr>
        <w:spacing w:after="0" w:line="85"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Our exposure to financial market risks includes changes to interest rates and credit risks related to marketable securities, interest rates related to our outstanding indebtedness and trade receivables.</w:t>
      </w:r>
    </w:p>
    <w:p>
      <w:pPr>
        <w:spacing w:after="0" w:line="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53"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Our current RLC has no outstanding balance.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We are exposed to interest rate risk on our long-term debt. Long-term debt consists of two term loans, one of which is for</w:t>
      </w:r>
    </w:p>
    <w:p>
      <w:pPr>
        <w:spacing w:after="0" w:line="33" w:lineRule="exact"/>
        <w:rPr>
          <w:sz w:val="20"/>
          <w:szCs w:val="20"/>
          <w:color w:val="auto"/>
        </w:rPr>
      </w:pPr>
    </w:p>
    <w:p>
      <w:pPr>
        <w:jc w:val="both"/>
        <w:ind w:right="60"/>
        <w:spacing w:after="0" w:line="295" w:lineRule="auto"/>
        <w:rPr>
          <w:sz w:val="20"/>
          <w:szCs w:val="20"/>
          <w:color w:val="auto"/>
        </w:rPr>
      </w:pPr>
      <w:r>
        <w:rPr>
          <w:rFonts w:ascii="Arial" w:cs="Arial" w:eastAsia="Arial" w:hAnsi="Arial"/>
          <w:sz w:val="19"/>
          <w:szCs w:val="19"/>
          <w:color w:val="auto"/>
        </w:rPr>
        <w:t>$61,561,000 and is tied to LIBOR plus a margin of 1.70%. The interest rate for the term of this loan has been fixed through the use of an interest rate swap that fixed the rate at 4.11%. The outstanding balance on the second term loan is $3,347,000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15"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57"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0"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Interest Rate Sensitivity Financial Market Risks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Amount by Expected Maturity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March 31,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percentage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2019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2022</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2023</w:t>
            </w:r>
          </w:p>
        </w:tc>
        <w:tc>
          <w:tcPr>
            <w:tcW w:w="10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Arial" w:cs="Arial" w:eastAsia="Arial" w:hAnsi="Arial"/>
                <w:sz w:val="20"/>
                <w:szCs w:val="20"/>
                <w:color w:val="auto"/>
              </w:rPr>
              <w:t>Thereafter</w:t>
            </w:r>
          </w:p>
        </w:tc>
        <w:tc>
          <w:tcPr>
            <w:tcW w:w="1140" w:type="dxa"/>
            <w:vAlign w:val="bottom"/>
            <w:gridSpan w:val="2"/>
          </w:tcPr>
          <w:p>
            <w:pPr>
              <w:ind w:left="320"/>
              <w:spacing w:after="0"/>
              <w:rPr>
                <w:sz w:val="20"/>
                <w:szCs w:val="20"/>
                <w:color w:val="auto"/>
              </w:rPr>
            </w:pPr>
            <w:r>
              <w:rPr>
                <w:rFonts w:ascii="Arial" w:cs="Arial" w:eastAsia="Arial" w:hAnsi="Arial"/>
                <w:sz w:val="20"/>
                <w:szCs w:val="20"/>
                <w:color w:val="auto"/>
              </w:rPr>
              <w:t>Total</w:t>
            </w:r>
          </w:p>
        </w:tc>
        <w:tc>
          <w:tcPr>
            <w:tcW w:w="1020" w:type="dxa"/>
            <w:vAlign w:val="bottom"/>
          </w:tcPr>
          <w:p>
            <w:pPr>
              <w:ind w:left="100"/>
              <w:spacing w:after="0"/>
              <w:rPr>
                <w:sz w:val="20"/>
                <w:szCs w:val="20"/>
                <w:color w:val="auto"/>
              </w:rPr>
            </w:pPr>
            <w:r>
              <w:rPr>
                <w:rFonts w:ascii="Arial" w:cs="Arial" w:eastAsia="Arial" w:hAnsi="Arial"/>
                <w:sz w:val="20"/>
                <w:szCs w:val="20"/>
                <w:color w:val="auto"/>
                <w:w w:val="98"/>
              </w:rPr>
              <w:t>Fair Value</w:t>
            </w:r>
          </w:p>
        </w:tc>
        <w:tc>
          <w:tcPr>
            <w:tcW w:w="0" w:type="dxa"/>
            <w:vAlign w:val="bottom"/>
          </w:tcPr>
          <w:p>
            <w:pPr>
              <w:spacing w:after="0"/>
              <w:rPr>
                <w:sz w:val="1"/>
                <w:szCs w:val="1"/>
                <w:color w:val="auto"/>
              </w:rPr>
            </w:pPr>
          </w:p>
        </w:tc>
      </w:tr>
      <w:tr>
        <w:trPr>
          <w:trHeight w:val="23"/>
        </w:trPr>
        <w:tc>
          <w:tcPr>
            <w:tcW w:w="2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Assets:</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Marketable securities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$32,419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$27,638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6"/>
              </w:rPr>
              <w:t>$—</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60,457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$60,270</w:t>
            </w:r>
          </w:p>
        </w:tc>
        <w:tc>
          <w:tcPr>
            <w:tcW w:w="0" w:type="dxa"/>
            <w:vAlign w:val="bottom"/>
          </w:tcPr>
          <w:p>
            <w:pPr>
              <w:spacing w:after="0"/>
              <w:rPr>
                <w:sz w:val="1"/>
                <w:szCs w:val="1"/>
                <w:color w:val="auto"/>
              </w:rPr>
            </w:pPr>
          </w:p>
        </w:tc>
      </w:tr>
      <w:tr>
        <w:trPr>
          <w:trHeight w:val="240"/>
        </w:trPr>
        <w:tc>
          <w:tcPr>
            <w:tcW w:w="2180" w:type="dxa"/>
            <w:vAlign w:val="bottom"/>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2.08%</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2.20%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2.51%</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w:t>
            </w:r>
          </w:p>
        </w:tc>
        <w:tc>
          <w:tcPr>
            <w:tcW w:w="112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w:t>
            </w:r>
          </w:p>
        </w:tc>
        <w:tc>
          <w:tcPr>
            <w:tcW w:w="1360" w:type="dxa"/>
            <w:vAlign w:val="bottom"/>
            <w:gridSpan w:val="2"/>
          </w:tcPr>
          <w:p>
            <w:pPr>
              <w:jc w:val="center"/>
              <w:ind w:right="100"/>
              <w:spacing w:after="0"/>
              <w:rPr>
                <w:sz w:val="20"/>
                <w:szCs w:val="20"/>
                <w:color w:val="auto"/>
              </w:rPr>
            </w:pPr>
            <w:r>
              <w:rPr>
                <w:rFonts w:ascii="Arial" w:cs="Arial" w:eastAsia="Arial" w:hAnsi="Arial"/>
                <w:sz w:val="20"/>
                <w:szCs w:val="20"/>
                <w:color w:val="auto"/>
              </w:rPr>
              <w:t>—%</w:t>
            </w: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2.14%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($4.75M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$218</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$302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$315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$328</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$343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8"/>
              </w:rPr>
              <w:t>$1,841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$3,347</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$3,347</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($70.0M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$2,793</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$3,881</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$4,051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$4,221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$4,429</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91"/>
              </w:rPr>
              <w:t>$42,186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$61,561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$61,561</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4.11%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Interest Rate Sensitivity Financial Market Risks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Amount by Expected Maturity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December 31,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percentage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2019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2022</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2023</w:t>
            </w:r>
          </w:p>
        </w:tc>
        <w:tc>
          <w:tcPr>
            <w:tcW w:w="10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Arial" w:cs="Arial" w:eastAsia="Arial" w:hAnsi="Arial"/>
                <w:sz w:val="20"/>
                <w:szCs w:val="20"/>
                <w:color w:val="auto"/>
              </w:rPr>
              <w:t>Thereafter</w:t>
            </w:r>
          </w:p>
        </w:tc>
        <w:tc>
          <w:tcPr>
            <w:tcW w:w="1140" w:type="dxa"/>
            <w:vAlign w:val="bottom"/>
            <w:gridSpan w:val="2"/>
          </w:tcPr>
          <w:p>
            <w:pPr>
              <w:ind w:left="320"/>
              <w:spacing w:after="0"/>
              <w:rPr>
                <w:sz w:val="20"/>
                <w:szCs w:val="20"/>
                <w:color w:val="auto"/>
              </w:rPr>
            </w:pPr>
            <w:r>
              <w:rPr>
                <w:rFonts w:ascii="Arial" w:cs="Arial" w:eastAsia="Arial" w:hAnsi="Arial"/>
                <w:sz w:val="20"/>
                <w:szCs w:val="20"/>
                <w:color w:val="auto"/>
              </w:rPr>
              <w:t>Total</w:t>
            </w:r>
          </w:p>
        </w:tc>
        <w:tc>
          <w:tcPr>
            <w:tcW w:w="1020" w:type="dxa"/>
            <w:vAlign w:val="bottom"/>
          </w:tcPr>
          <w:p>
            <w:pPr>
              <w:ind w:left="100"/>
              <w:spacing w:after="0"/>
              <w:rPr>
                <w:sz w:val="20"/>
                <w:szCs w:val="20"/>
                <w:color w:val="auto"/>
              </w:rPr>
            </w:pPr>
            <w:r>
              <w:rPr>
                <w:rFonts w:ascii="Arial" w:cs="Arial" w:eastAsia="Arial" w:hAnsi="Arial"/>
                <w:sz w:val="20"/>
                <w:szCs w:val="20"/>
                <w:color w:val="auto"/>
                <w:w w:val="98"/>
              </w:rPr>
              <w:t>Fair Value</w:t>
            </w:r>
          </w:p>
        </w:tc>
        <w:tc>
          <w:tcPr>
            <w:tcW w:w="0" w:type="dxa"/>
            <w:vAlign w:val="bottom"/>
          </w:tcPr>
          <w:p>
            <w:pPr>
              <w:spacing w:after="0"/>
              <w:rPr>
                <w:sz w:val="1"/>
                <w:szCs w:val="1"/>
                <w:color w:val="auto"/>
              </w:rPr>
            </w:pPr>
          </w:p>
        </w:tc>
      </w:tr>
      <w:tr>
        <w:trPr>
          <w:trHeight w:val="23"/>
        </w:trPr>
        <w:tc>
          <w:tcPr>
            <w:tcW w:w="2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Assets:</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Marketable securities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$43,627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$20,111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6"/>
              </w:rPr>
              <w:t>$—</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$64,138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$63,749</w:t>
            </w:r>
          </w:p>
        </w:tc>
        <w:tc>
          <w:tcPr>
            <w:tcW w:w="0" w:type="dxa"/>
            <w:vAlign w:val="bottom"/>
          </w:tcPr>
          <w:p>
            <w:pPr>
              <w:spacing w:after="0"/>
              <w:rPr>
                <w:sz w:val="1"/>
                <w:szCs w:val="1"/>
                <w:color w:val="auto"/>
              </w:rPr>
            </w:pPr>
          </w:p>
        </w:tc>
      </w:tr>
      <w:tr>
        <w:trPr>
          <w:trHeight w:val="240"/>
        </w:trPr>
        <w:tc>
          <w:tcPr>
            <w:tcW w:w="2180" w:type="dxa"/>
            <w:vAlign w:val="bottom"/>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2.02%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2.09%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2.51%</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w:t>
            </w:r>
          </w:p>
        </w:tc>
        <w:tc>
          <w:tcPr>
            <w:tcW w:w="112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w:t>
            </w:r>
          </w:p>
        </w:tc>
        <w:tc>
          <w:tcPr>
            <w:tcW w:w="1360" w:type="dxa"/>
            <w:vAlign w:val="bottom"/>
            <w:gridSpan w:val="2"/>
          </w:tcPr>
          <w:p>
            <w:pPr>
              <w:jc w:val="center"/>
              <w:ind w:right="100"/>
              <w:spacing w:after="0"/>
              <w:rPr>
                <w:sz w:val="20"/>
                <w:szCs w:val="20"/>
                <w:color w:val="auto"/>
              </w:rPr>
            </w:pPr>
            <w:r>
              <w:rPr>
                <w:rFonts w:ascii="Arial" w:cs="Arial" w:eastAsia="Arial" w:hAnsi="Arial"/>
                <w:sz w:val="20"/>
                <w:szCs w:val="20"/>
                <w:color w:val="auto"/>
              </w:rPr>
              <w:t>—%</w:t>
            </w: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2.04%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($4.75M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$289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$302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$315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$328</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$343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8"/>
              </w:rPr>
              <w:t>$1,841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$3,418</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$3,418</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($70.0M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$3,715</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$3,881</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$4,051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$4,221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$4,429</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91"/>
              </w:rPr>
              <w:t>$42,186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$62,483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$62,483</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180" w:type="dxa"/>
            <w:vAlign w:val="bottom"/>
          </w:tcPr>
          <w:p>
            <w:pPr>
              <w:ind w:left="40"/>
              <w:spacing w:after="0"/>
              <w:rPr>
                <w:sz w:val="20"/>
                <w:szCs w:val="20"/>
                <w:color w:val="auto"/>
              </w:rPr>
            </w:pPr>
            <w:r>
              <w:rPr>
                <w:rFonts w:ascii="Arial" w:cs="Arial" w:eastAsia="Arial" w:hAnsi="Arial"/>
                <w:sz w:val="20"/>
                <w:szCs w:val="20"/>
                <w:color w:val="auto"/>
              </w:rPr>
              <w:t>Long-term debt (other)</w:t>
            </w: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$14</w:t>
            </w:r>
          </w:p>
        </w:tc>
        <w:tc>
          <w:tcPr>
            <w:tcW w:w="12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w:t>
            </w:r>
          </w:p>
        </w:tc>
        <w:tc>
          <w:tcPr>
            <w:tcW w:w="114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w:t>
            </w:r>
          </w:p>
        </w:tc>
        <w:tc>
          <w:tcPr>
            <w:tcW w:w="1140" w:type="dxa"/>
            <w:vAlign w:val="bottom"/>
            <w:gridSpan w:val="2"/>
          </w:tcPr>
          <w:p>
            <w:pPr>
              <w:jc w:val="center"/>
              <w:ind w:right="120"/>
              <w:spacing w:after="0"/>
              <w:rPr>
                <w:sz w:val="20"/>
                <w:szCs w:val="20"/>
                <w:color w:val="auto"/>
              </w:rPr>
            </w:pPr>
            <w:r>
              <w:rPr>
                <w:rFonts w:ascii="Arial" w:cs="Arial" w:eastAsia="Arial" w:hAnsi="Arial"/>
                <w:sz w:val="20"/>
                <w:szCs w:val="20"/>
                <w:color w:val="auto"/>
                <w:w w:val="96"/>
              </w:rPr>
              <w:t>$—</w:t>
            </w:r>
          </w:p>
        </w:tc>
        <w:tc>
          <w:tcPr>
            <w:tcW w:w="112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w:t>
            </w:r>
          </w:p>
        </w:tc>
        <w:tc>
          <w:tcPr>
            <w:tcW w:w="136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$14</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$14</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3.35%</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5"/>
              </w:rPr>
              <w:t>—%</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5"/>
              </w:rPr>
              <w:t>—%</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5"/>
              </w:rPr>
              <w:t>—%</w:t>
            </w: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5"/>
              </w:rPr>
              <w: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3.35%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Commodity Price Exposure</w:t>
      </w:r>
    </w:p>
    <w:p>
      <w:pPr>
        <w:spacing w:after="0" w:line="8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of March 31, 2019, we have exposure to adverse price fluctuations associated with certain inventories and accounts receivable. Farming inventories consist of farming cultural and processing costs related to 2018 crop production. The farming costs inventoried are recorded at actual costs incurred. Historically, these costs have been recovered each year when that year’s crop harvest has been sold.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9" w:right="239" w:bottom="1440" w:gutter="0" w:footer="0" w:header="0"/>
        </w:sectPr>
      </w:pPr>
    </w:p>
    <w:bookmarkStart w:id="56" w:name="page57"/>
    <w:bookmarkEnd w:id="56"/>
    <w:p>
      <w:pPr>
        <w:jc w:val="both"/>
        <w:spacing w:after="0" w:line="248" w:lineRule="auto"/>
        <w:rPr>
          <w:sz w:val="20"/>
          <w:szCs w:val="20"/>
          <w:color w:val="auto"/>
        </w:rPr>
      </w:pPr>
      <w:r>
        <w:rPr>
          <w:rFonts w:ascii="Arial" w:cs="Arial" w:eastAsia="Arial" w:hAnsi="Arial"/>
          <w:sz w:val="22"/>
          <w:szCs w:val="22"/>
          <w:color w:val="auto"/>
        </w:rPr>
        <w:t>With respect to accounts receivable, the amount at risk relates primarily to farm crops. These receivables are recorded as estimates of the prices that ultimately will be received for the crops. The final price is generally not known for several months following the close of our fiscal year. Of the $9,655,000 of accounts receivable outstanding at March 31, 2019, $5,280,000, or 55%, is at risk to changing prices. Of the amount at risk to changing prices, $4,164,000 is attributable to pistachios and $1,116,000 is attributable to almonds.</w:t>
      </w:r>
    </w:p>
    <w:p>
      <w:pPr>
        <w:spacing w:after="0" w:line="57"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The price estimated for the remaining accounts receivable for pistachios recorded at March 31, 2019 was $2.01 per pound, unchanged from the $2.01 per pound at December 31, 2018. For each $0.01 change in the price per pound of pistachios, our receivable for pistachios increases or decreases by $15,000. Although the final price per pound of pistachios (and therefore the extent of the risk) is not presently known, over the last three years prices have ranged from $2.00 to $4.25. With respect to almonds, the price estimated for the remaining receivable was $2.36 per pound, as compared to $2.62 per pound at December 31, 2018. For each $0.01 change in the price of almonds, our receivable for almonds increases or decreases by $4,300. The range of final prices over the last three years for almonds has ranged from $2.58 to $3.67 per pound.</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80"/>
          </w:cols>
          <w:pgMar w:left="240" w:top="456" w:right="37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u w:val="single" w:color="auto"/>
          <w:color w:val="006EBF"/>
        </w:rPr>
        <w:t>ITEM 4. CONTROLS AND PROCEDURES</w:t>
      </w:r>
    </w:p>
    <w:p>
      <w:pPr>
        <w:spacing w:after="0" w:line="118"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As of the end of the period covered by this report, our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are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49"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166" w:lineRule="exact"/>
        <w:rPr>
          <w:sz w:val="20"/>
          <w:szCs w:val="20"/>
          <w:color w:val="auto"/>
        </w:rPr>
      </w:pPr>
    </w:p>
    <w:p>
      <w:pPr>
        <w:jc w:val="both"/>
        <w:ind w:right="40"/>
        <w:spacing w:after="0" w:line="271" w:lineRule="auto"/>
        <w:rPr>
          <w:sz w:val="20"/>
          <w:szCs w:val="20"/>
          <w:color w:val="auto"/>
        </w:rPr>
      </w:pPr>
      <w:r>
        <w:rPr>
          <w:rFonts w:ascii="Arial" w:cs="Arial" w:eastAsia="Arial" w:hAnsi="Arial"/>
          <w:sz w:val="21"/>
          <w:szCs w:val="21"/>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1. Legal Proceedings</w:t>
      </w:r>
    </w:p>
    <w:p>
      <w:pPr>
        <w:spacing w:after="0" w:line="28"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Please refer to Note 12 (Commitments and Contingencies) in the Notes to Unaudited Consolidated Financial Statements in this report.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1A. Risk Factors</w:t>
      </w:r>
    </w:p>
    <w:p>
      <w:pPr>
        <w:spacing w:after="0" w:line="28" w:lineRule="exact"/>
        <w:rPr>
          <w:sz w:val="20"/>
          <w:szCs w:val="20"/>
          <w:color w:val="auto"/>
        </w:rPr>
      </w:pPr>
    </w:p>
    <w:p>
      <w:pPr>
        <w:ind w:right="400"/>
        <w:spacing w:after="0" w:line="246" w:lineRule="auto"/>
        <w:rPr>
          <w:sz w:val="20"/>
          <w:szCs w:val="20"/>
          <w:color w:val="auto"/>
        </w:rPr>
      </w:pPr>
      <w:r>
        <w:rPr>
          <w:rFonts w:ascii="Arial" w:cs="Arial" w:eastAsia="Arial" w:hAnsi="Arial"/>
          <w:sz w:val="22"/>
          <w:szCs w:val="22"/>
          <w:color w:val="auto"/>
        </w:rPr>
        <w:t>There have been no material changes to the risk factors disclosed in item 1A or elsewhere in our most recent Annual Report on Form 10-K.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2. Unregistered Sales of Equity Securities and Use of Proceeds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3. Defaults Upon Senior Securities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4. Mine Safety Disclosures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5. Other Information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828"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53"/>
        </w:trPr>
        <w:tc>
          <w:tcPr>
            <w:tcW w:w="1540" w:type="dxa"/>
            <w:vAlign w:val="bottom"/>
            <w:tcBorders>
              <w:bottom w:val="single" w:sz="8" w:color="006EBF"/>
            </w:tcBorders>
            <w:gridSpan w:val="2"/>
          </w:tcPr>
          <w:p>
            <w:pPr>
              <w:spacing w:after="0"/>
              <w:rPr>
                <w:sz w:val="20"/>
                <w:szCs w:val="20"/>
                <w:color w:val="auto"/>
              </w:rPr>
            </w:pPr>
            <w:r>
              <w:rPr>
                <w:rFonts w:ascii="Arial" w:cs="Arial" w:eastAsia="Arial" w:hAnsi="Arial"/>
                <w:sz w:val="22"/>
                <w:szCs w:val="22"/>
                <w:b w:val="1"/>
                <w:bCs w:val="1"/>
                <w:color w:val="006EBF"/>
                <w:w w:val="90"/>
              </w:rPr>
              <w:t>Item 6. Exhibits:</w:t>
            </w:r>
          </w:p>
        </w:tc>
        <w:tc>
          <w:tcPr>
            <w:tcW w:w="8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28"/>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3.1</w:t>
            </w:r>
          </w:p>
        </w:tc>
        <w:tc>
          <w:tcPr>
            <w:tcW w:w="8980" w:type="dxa"/>
            <w:vAlign w:val="bottom"/>
            <w:gridSpan w:val="2"/>
          </w:tcPr>
          <w:p>
            <w:pPr>
              <w:ind w:left="140"/>
              <w:spacing w:after="0"/>
              <w:rPr>
                <w:sz w:val="20"/>
                <w:szCs w:val="20"/>
                <w:color w:val="auto"/>
              </w:rPr>
            </w:pPr>
            <w:r>
              <w:rPr>
                <w:rFonts w:ascii="Arial" w:cs="Arial" w:eastAsia="Arial" w:hAnsi="Arial"/>
                <w:sz w:val="22"/>
                <w:szCs w:val="22"/>
                <w:color w:val="auto"/>
              </w:rPr>
              <w:t>Restated Certificate of Incorporation</w:t>
            </w:r>
          </w:p>
        </w:tc>
        <w:tc>
          <w:tcPr>
            <w:tcW w:w="1240" w:type="dxa"/>
            <w:vAlign w:val="bottom"/>
          </w:tcPr>
          <w:p>
            <w:pPr>
              <w:jc w:val="right"/>
              <w:spacing w:after="0"/>
              <w:rPr>
                <w:sz w:val="20"/>
                <w:szCs w:val="20"/>
                <w:color w:val="auto"/>
              </w:rPr>
            </w:pPr>
            <w:r>
              <w:rPr>
                <w:rFonts w:ascii="Arial" w:cs="Arial" w:eastAsia="Arial" w:hAnsi="Arial"/>
                <w:sz w:val="22"/>
                <w:szCs w:val="22"/>
                <w:color w:val="auto"/>
              </w:rPr>
              <w:t>FN 1</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3.2</w:t>
            </w:r>
          </w:p>
        </w:tc>
        <w:tc>
          <w:tcPr>
            <w:tcW w:w="8980" w:type="dxa"/>
            <w:vAlign w:val="bottom"/>
            <w:gridSpan w:val="2"/>
          </w:tcPr>
          <w:p>
            <w:pPr>
              <w:ind w:left="140"/>
              <w:spacing w:after="0"/>
              <w:rPr>
                <w:rFonts w:ascii="Arial" w:cs="Arial" w:eastAsia="Arial" w:hAnsi="Arial"/>
                <w:sz w:val="22"/>
                <w:szCs w:val="22"/>
                <w:color w:val="auto"/>
              </w:rPr>
            </w:pPr>
            <w:hyperlink r:id="rId11">
              <w:r>
                <w:rPr>
                  <w:rFonts w:ascii="Arial" w:cs="Arial" w:eastAsia="Arial" w:hAnsi="Arial"/>
                  <w:sz w:val="22"/>
                  <w:szCs w:val="22"/>
                  <w:color w:val="auto"/>
                </w:rPr>
                <w:t>Amended and Restated Bylaws</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4.3</w:t>
            </w:r>
          </w:p>
        </w:tc>
        <w:tc>
          <w:tcPr>
            <w:tcW w:w="8980" w:type="dxa"/>
            <w:vAlign w:val="bottom"/>
            <w:gridSpan w:val="2"/>
          </w:tcPr>
          <w:p>
            <w:pPr>
              <w:ind w:left="140"/>
              <w:spacing w:after="0"/>
              <w:rPr>
                <w:rFonts w:ascii="Arial" w:cs="Arial" w:eastAsia="Arial" w:hAnsi="Arial"/>
                <w:sz w:val="22"/>
                <w:szCs w:val="22"/>
                <w:color w:val="auto"/>
              </w:rPr>
            </w:pPr>
            <w:hyperlink r:id="rId12">
              <w:r>
                <w:rPr>
                  <w:rFonts w:ascii="Arial" w:cs="Arial" w:eastAsia="Arial" w:hAnsi="Arial"/>
                  <w:sz w:val="22"/>
                  <w:szCs w:val="22"/>
                  <w:color w:val="auto"/>
                </w:rPr>
                <w:t>Registration and Reimbursement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5</w:t>
            </w: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w:t>
            </w:r>
          </w:p>
        </w:tc>
        <w:tc>
          <w:tcPr>
            <w:tcW w:w="8980" w:type="dxa"/>
            <w:vAlign w:val="bottom"/>
            <w:gridSpan w:val="2"/>
          </w:tcPr>
          <w:p>
            <w:pPr>
              <w:ind w:left="140"/>
              <w:spacing w:after="0"/>
              <w:rPr>
                <w:sz w:val="20"/>
                <w:szCs w:val="20"/>
                <w:color w:val="auto"/>
              </w:rPr>
            </w:pPr>
            <w:r>
              <w:rPr>
                <w:rFonts w:ascii="Arial" w:cs="Arial" w:eastAsia="Arial" w:hAnsi="Arial"/>
                <w:sz w:val="22"/>
                <w:szCs w:val="22"/>
                <w:color w:val="auto"/>
              </w:rPr>
              <w:t>Water Service Contract with Wheeler Ridge-Maricopa Water Storage District (without</w:t>
            </w:r>
          </w:p>
        </w:tc>
        <w:tc>
          <w:tcPr>
            <w:tcW w:w="1240" w:type="dxa"/>
            <w:vAlign w:val="bottom"/>
          </w:tcPr>
          <w:p>
            <w:pPr>
              <w:spacing w:after="0"/>
              <w:rPr>
                <w:sz w:val="23"/>
                <w:szCs w:val="23"/>
                <w:color w:val="auto"/>
              </w:rPr>
            </w:pPr>
          </w:p>
        </w:tc>
      </w:tr>
      <w:tr>
        <w:trPr>
          <w:trHeight w:val="243"/>
        </w:trPr>
        <w:tc>
          <w:tcPr>
            <w:tcW w:w="1140" w:type="dxa"/>
            <w:vAlign w:val="bottom"/>
          </w:tcPr>
          <w:p>
            <w:pPr>
              <w:spacing w:after="0"/>
              <w:rPr>
                <w:sz w:val="21"/>
                <w:szCs w:val="21"/>
                <w:color w:val="auto"/>
              </w:rPr>
            </w:pPr>
          </w:p>
        </w:tc>
        <w:tc>
          <w:tcPr>
            <w:tcW w:w="898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99"/>
              </w:rPr>
              <w:t>exhibits), amendments originally filed under Item 11 to Registrant's Annual Report on Form</w:t>
            </w:r>
          </w:p>
        </w:tc>
        <w:tc>
          <w:tcPr>
            <w:tcW w:w="1240" w:type="dxa"/>
            <w:vAlign w:val="bottom"/>
          </w:tcPr>
          <w:p>
            <w:pPr>
              <w:spacing w:after="0"/>
              <w:rPr>
                <w:sz w:val="21"/>
                <w:szCs w:val="21"/>
                <w:color w:val="auto"/>
              </w:rPr>
            </w:pP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sz w:val="20"/>
                <w:szCs w:val="20"/>
                <w:color w:val="auto"/>
              </w:rPr>
            </w:pPr>
            <w:r>
              <w:rPr>
                <w:rFonts w:ascii="Arial" w:cs="Arial" w:eastAsia="Arial" w:hAnsi="Arial"/>
                <w:sz w:val="22"/>
                <w:szCs w:val="22"/>
                <w:color w:val="auto"/>
              </w:rPr>
              <w:t>10-K</w:t>
            </w:r>
          </w:p>
        </w:tc>
        <w:tc>
          <w:tcPr>
            <w:tcW w:w="1240" w:type="dxa"/>
            <w:vAlign w:val="bottom"/>
          </w:tcPr>
          <w:p>
            <w:pPr>
              <w:jc w:val="right"/>
              <w:spacing w:after="0"/>
              <w:rPr>
                <w:sz w:val="20"/>
                <w:szCs w:val="20"/>
                <w:color w:val="auto"/>
              </w:rPr>
            </w:pPr>
            <w:r>
              <w:rPr>
                <w:rFonts w:ascii="Arial" w:cs="Arial" w:eastAsia="Arial" w:hAnsi="Arial"/>
                <w:sz w:val="22"/>
                <w:szCs w:val="22"/>
                <w:color w:val="auto"/>
              </w:rPr>
              <w:t>FN 6</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10.7</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*Severance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10.8</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*Director Compensation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10.9</w:t>
            </w:r>
          </w:p>
        </w:tc>
        <w:tc>
          <w:tcPr>
            <w:tcW w:w="8980" w:type="dxa"/>
            <w:vAlign w:val="bottom"/>
            <w:gridSpan w:val="2"/>
          </w:tcPr>
          <w:p>
            <w:pPr>
              <w:ind w:left="140"/>
              <w:spacing w:after="0"/>
              <w:rPr>
                <w:rFonts w:ascii="Arial" w:cs="Arial" w:eastAsia="Arial" w:hAnsi="Arial"/>
                <w:sz w:val="22"/>
                <w:szCs w:val="22"/>
                <w:color w:val="auto"/>
              </w:rPr>
            </w:pPr>
            <w:hyperlink r:id="rId14">
              <w:r>
                <w:rPr>
                  <w:rFonts w:ascii="Arial" w:cs="Arial" w:eastAsia="Arial" w:hAnsi="Arial"/>
                  <w:sz w:val="22"/>
                  <w:szCs w:val="22"/>
                  <w:color w:val="auto"/>
                </w:rPr>
                <w:t>*Amended and Restated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8</w:t>
            </w:r>
          </w:p>
        </w:tc>
      </w:tr>
      <w:tr>
        <w:trPr>
          <w:trHeight w:val="432"/>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10.9(1)</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*Stock Option Agreement Pursuant to the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10.10</w:t>
            </w:r>
          </w:p>
        </w:tc>
        <w:tc>
          <w:tcPr>
            <w:tcW w:w="8980" w:type="dxa"/>
            <w:vAlign w:val="bottom"/>
            <w:gridSpan w:val="2"/>
          </w:tcPr>
          <w:p>
            <w:pPr>
              <w:ind w:left="140"/>
              <w:spacing w:after="0"/>
              <w:rPr>
                <w:rFonts w:ascii="Arial" w:cs="Arial" w:eastAsia="Arial" w:hAnsi="Arial"/>
                <w:sz w:val="22"/>
                <w:szCs w:val="22"/>
                <w:color w:val="auto"/>
              </w:rPr>
            </w:pPr>
            <w:hyperlink r:id="rId15">
              <w:r>
                <w:rPr>
                  <w:rFonts w:ascii="Arial" w:cs="Arial" w:eastAsia="Arial" w:hAnsi="Arial"/>
                  <w:sz w:val="22"/>
                  <w:szCs w:val="22"/>
                  <w:color w:val="auto"/>
                </w:rPr>
                <w:t>*Amended and Restated 1998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9</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10.10(1)</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*Stock Option Agreement Pursuant to the 1998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10.12</w:t>
            </w:r>
          </w:p>
        </w:tc>
        <w:tc>
          <w:tcPr>
            <w:tcW w:w="8980" w:type="dxa"/>
            <w:vAlign w:val="bottom"/>
            <w:gridSpan w:val="2"/>
          </w:tcPr>
          <w:p>
            <w:pPr>
              <w:ind w:left="140"/>
              <w:spacing w:after="0"/>
              <w:rPr>
                <w:rFonts w:ascii="Arial" w:cs="Arial" w:eastAsia="Arial" w:hAnsi="Arial"/>
                <w:sz w:val="22"/>
                <w:szCs w:val="22"/>
                <w:color w:val="auto"/>
              </w:rPr>
            </w:pPr>
            <w:hyperlink r:id="rId16">
              <w:r>
                <w:rPr>
                  <w:rFonts w:ascii="Arial" w:cs="Arial" w:eastAsia="Arial" w:hAnsi="Arial"/>
                  <w:sz w:val="22"/>
                  <w:szCs w:val="22"/>
                  <w:color w:val="auto"/>
                </w:rPr>
                <w:t>Ground Lease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10</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10.15</w:t>
            </w:r>
          </w:p>
        </w:tc>
        <w:tc>
          <w:tcPr>
            <w:tcW w:w="8980" w:type="dxa"/>
            <w:vAlign w:val="bottom"/>
            <w:gridSpan w:val="2"/>
          </w:tcPr>
          <w:p>
            <w:pPr>
              <w:ind w:left="140"/>
              <w:spacing w:after="0"/>
              <w:rPr>
                <w:rFonts w:ascii="Arial" w:cs="Arial" w:eastAsia="Arial" w:hAnsi="Arial"/>
                <w:sz w:val="22"/>
                <w:szCs w:val="22"/>
                <w:color w:val="auto"/>
              </w:rPr>
            </w:pPr>
            <w:hyperlink r:id="rId17">
              <w:r>
                <w:rPr>
                  <w:rFonts w:ascii="Arial" w:cs="Arial" w:eastAsia="Arial" w:hAnsi="Arial"/>
                  <w:sz w:val="22"/>
                  <w:szCs w:val="22"/>
                  <w:color w:val="auto"/>
                </w:rPr>
                <w:t>Form of Securities Purchase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11</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10.16</w:t>
            </w:r>
          </w:p>
        </w:tc>
        <w:tc>
          <w:tcPr>
            <w:tcW w:w="8980" w:type="dxa"/>
            <w:vAlign w:val="bottom"/>
            <w:gridSpan w:val="2"/>
          </w:tcPr>
          <w:p>
            <w:pPr>
              <w:ind w:left="140"/>
              <w:spacing w:after="0"/>
              <w:rPr>
                <w:rFonts w:ascii="Arial" w:cs="Arial" w:eastAsia="Arial" w:hAnsi="Arial"/>
                <w:sz w:val="22"/>
                <w:szCs w:val="22"/>
                <w:color w:val="auto"/>
              </w:rPr>
            </w:pPr>
            <w:hyperlink r:id="rId18">
              <w:r>
                <w:rPr>
                  <w:rFonts w:ascii="Arial" w:cs="Arial" w:eastAsia="Arial" w:hAnsi="Arial"/>
                  <w:sz w:val="22"/>
                  <w:szCs w:val="22"/>
                  <w:color w:val="auto"/>
                </w:rPr>
                <w:t>Form of Registration Rights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10.17</w:t>
            </w:r>
          </w:p>
        </w:tc>
        <w:tc>
          <w:tcPr>
            <w:tcW w:w="8980" w:type="dxa"/>
            <w:vAlign w:val="bottom"/>
            <w:gridSpan w:val="2"/>
          </w:tcPr>
          <w:p>
            <w:pPr>
              <w:ind w:left="140"/>
              <w:spacing w:after="0"/>
              <w:rPr>
                <w:rFonts w:ascii="Arial" w:cs="Arial" w:eastAsia="Arial" w:hAnsi="Arial"/>
                <w:sz w:val="22"/>
                <w:szCs w:val="22"/>
                <w:color w:val="auto"/>
              </w:rPr>
            </w:pPr>
            <w:hyperlink r:id="rId19">
              <w:r>
                <w:rPr>
                  <w:rFonts w:ascii="Arial" w:cs="Arial" w:eastAsia="Arial" w:hAnsi="Arial"/>
                  <w:sz w:val="22"/>
                  <w:szCs w:val="22"/>
                  <w:color w:val="auto"/>
                </w:rPr>
                <w:t>*2004 Stock Incentive Program</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10.18</w:t>
            </w:r>
          </w:p>
        </w:tc>
        <w:tc>
          <w:tcPr>
            <w:tcW w:w="8980" w:type="dxa"/>
            <w:vAlign w:val="bottom"/>
            <w:gridSpan w:val="2"/>
          </w:tcPr>
          <w:p>
            <w:pPr>
              <w:ind w:left="140"/>
              <w:spacing w:after="0"/>
              <w:rPr>
                <w:rFonts w:ascii="Arial" w:cs="Arial" w:eastAsia="Arial" w:hAnsi="Arial"/>
                <w:sz w:val="22"/>
                <w:szCs w:val="22"/>
                <w:color w:val="auto"/>
              </w:rPr>
            </w:pPr>
            <w:hyperlink r:id="rId20">
              <w:r>
                <w:rPr>
                  <w:rFonts w:ascii="Arial" w:cs="Arial" w:eastAsia="Arial" w:hAnsi="Arial"/>
                  <w:sz w:val="22"/>
                  <w:szCs w:val="22"/>
                  <w:color w:val="auto"/>
                </w:rPr>
                <w:t>*Form of Restricted Stock Agreement for Directors</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10.19</w:t>
            </w:r>
          </w:p>
        </w:tc>
        <w:tc>
          <w:tcPr>
            <w:tcW w:w="8980" w:type="dxa"/>
            <w:vAlign w:val="bottom"/>
            <w:gridSpan w:val="2"/>
          </w:tcPr>
          <w:p>
            <w:pPr>
              <w:ind w:left="140"/>
              <w:spacing w:after="0"/>
              <w:rPr>
                <w:rFonts w:ascii="Arial" w:cs="Arial" w:eastAsia="Arial" w:hAnsi="Arial"/>
                <w:sz w:val="22"/>
                <w:szCs w:val="22"/>
                <w:color w:val="auto"/>
              </w:rPr>
            </w:pPr>
            <w:hyperlink r:id="rId21">
              <w:r>
                <w:rPr>
                  <w:rFonts w:ascii="Arial" w:cs="Arial" w:eastAsia="Arial" w:hAnsi="Arial"/>
                  <w:sz w:val="22"/>
                  <w:szCs w:val="22"/>
                  <w:color w:val="auto"/>
                </w:rPr>
                <w:t>*Form of Restricted Stock Unit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10.23</w:t>
            </w:r>
          </w:p>
        </w:tc>
        <w:tc>
          <w:tcPr>
            <w:tcW w:w="8980" w:type="dxa"/>
            <w:vAlign w:val="bottom"/>
            <w:gridSpan w:val="2"/>
          </w:tcPr>
          <w:p>
            <w:pPr>
              <w:ind w:left="140"/>
              <w:spacing w:after="0"/>
              <w:rPr>
                <w:rFonts w:ascii="Arial" w:cs="Arial" w:eastAsia="Arial" w:hAnsi="Arial"/>
                <w:sz w:val="22"/>
                <w:szCs w:val="22"/>
                <w:color w:val="auto"/>
              </w:rPr>
            </w:pPr>
            <w:hyperlink r:id="rId22">
              <w:r>
                <w:rPr>
                  <w:rFonts w:ascii="Arial" w:cs="Arial" w:eastAsia="Arial" w:hAnsi="Arial"/>
                  <w:sz w:val="22"/>
                  <w:szCs w:val="22"/>
                  <w:color w:val="auto"/>
                </w:rPr>
                <w:t>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14</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10.24</w:t>
            </w:r>
          </w:p>
        </w:tc>
        <w:tc>
          <w:tcPr>
            <w:tcW w:w="8980" w:type="dxa"/>
            <w:vAlign w:val="bottom"/>
            <w:gridSpan w:val="2"/>
          </w:tcPr>
          <w:p>
            <w:pPr>
              <w:ind w:left="140"/>
              <w:spacing w:after="0"/>
              <w:rPr>
                <w:rFonts w:ascii="Arial" w:cs="Arial" w:eastAsia="Arial" w:hAnsi="Arial"/>
                <w:sz w:val="22"/>
                <w:szCs w:val="22"/>
                <w:color w:val="auto"/>
              </w:rPr>
            </w:pPr>
            <w:hyperlink r:id="rId23">
              <w:r>
                <w:rPr>
                  <w:rFonts w:ascii="Arial" w:cs="Arial" w:eastAsia="Arial" w:hAnsi="Arial"/>
                  <w:sz w:val="22"/>
                  <w:szCs w:val="22"/>
                  <w:color w:val="auto"/>
                </w:rPr>
                <w:t>Tejon Ranch Conservation and Land Use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15</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10.25</w:t>
            </w:r>
          </w:p>
        </w:tc>
        <w:tc>
          <w:tcPr>
            <w:tcW w:w="8980" w:type="dxa"/>
            <w:vAlign w:val="bottom"/>
            <w:gridSpan w:val="2"/>
          </w:tcPr>
          <w:p>
            <w:pPr>
              <w:ind w:left="140"/>
              <w:spacing w:after="0"/>
              <w:rPr>
                <w:rFonts w:ascii="Arial" w:cs="Arial" w:eastAsia="Arial" w:hAnsi="Arial"/>
                <w:sz w:val="22"/>
                <w:szCs w:val="22"/>
                <w:color w:val="auto"/>
              </w:rPr>
            </w:pPr>
            <w:hyperlink r:id="rId24">
              <w:r>
                <w:rPr>
                  <w:rFonts w:ascii="Arial" w:cs="Arial" w:eastAsia="Arial" w:hAnsi="Arial"/>
                  <w:sz w:val="22"/>
                  <w:szCs w:val="22"/>
                  <w:color w:val="auto"/>
                </w:rPr>
                <w:t>Second Amended and Restated Limited Liability Agreement of Centennial Founders,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16</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10.26</w:t>
            </w:r>
          </w:p>
        </w:tc>
        <w:tc>
          <w:tcPr>
            <w:tcW w:w="8980" w:type="dxa"/>
            <w:vAlign w:val="bottom"/>
            <w:gridSpan w:val="2"/>
          </w:tcPr>
          <w:p>
            <w:pPr>
              <w:ind w:left="140"/>
              <w:spacing w:after="0"/>
              <w:rPr>
                <w:rFonts w:ascii="Arial" w:cs="Arial" w:eastAsia="Arial" w:hAnsi="Arial"/>
                <w:sz w:val="22"/>
                <w:szCs w:val="22"/>
                <w:color w:val="auto"/>
              </w:rPr>
            </w:pPr>
            <w:hyperlink r:id="rId25">
              <w:r>
                <w:rPr>
                  <w:rFonts w:ascii="Arial" w:cs="Arial" w:eastAsia="Arial" w:hAnsi="Arial"/>
                  <w:sz w:val="22"/>
                  <w:szCs w:val="22"/>
                  <w:color w:val="auto"/>
                </w:rPr>
                <w:t>*Executive Employment Agreement - Allen E. Lyda</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10.27</w:t>
            </w:r>
          </w:p>
        </w:tc>
        <w:tc>
          <w:tcPr>
            <w:tcW w:w="8980" w:type="dxa"/>
            <w:vAlign w:val="bottom"/>
            <w:gridSpan w:val="2"/>
          </w:tcPr>
          <w:p>
            <w:pPr>
              <w:ind w:left="140"/>
              <w:spacing w:after="0"/>
              <w:rPr>
                <w:rFonts w:ascii="Arial" w:cs="Arial" w:eastAsia="Arial" w:hAnsi="Arial"/>
                <w:sz w:val="22"/>
                <w:szCs w:val="22"/>
                <w:color w:val="auto"/>
              </w:rPr>
            </w:pPr>
            <w:hyperlink r:id="rId26">
              <w:r>
                <w:rPr>
                  <w:rFonts w:ascii="Arial" w:cs="Arial" w:eastAsia="Arial" w:hAnsi="Arial"/>
                  <w:sz w:val="22"/>
                  <w:szCs w:val="22"/>
                  <w:color w:val="auto"/>
                </w:rPr>
                <w:t>Limited Liability Company Agreement of TRCC/Rock Outlet Center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18</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10.28</w:t>
            </w:r>
          </w:p>
        </w:tc>
        <w:tc>
          <w:tcPr>
            <w:tcW w:w="8980" w:type="dxa"/>
            <w:vAlign w:val="bottom"/>
            <w:gridSpan w:val="2"/>
          </w:tcPr>
          <w:p>
            <w:pPr>
              <w:ind w:left="140"/>
              <w:spacing w:after="0"/>
              <w:rPr>
                <w:rFonts w:ascii="Arial" w:cs="Arial" w:eastAsia="Arial" w:hAnsi="Arial"/>
                <w:sz w:val="22"/>
                <w:szCs w:val="22"/>
                <w:color w:val="auto"/>
              </w:rPr>
            </w:pPr>
            <w:hyperlink r:id="rId27">
              <w:r>
                <w:rPr>
                  <w:rFonts w:ascii="Arial" w:cs="Arial" w:eastAsia="Arial" w:hAnsi="Arial"/>
                  <w:sz w:val="22"/>
                  <w:szCs w:val="22"/>
                  <w:color w:val="auto"/>
                </w:rPr>
                <w:t>Warrant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19</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10.29</w:t>
            </w:r>
          </w:p>
        </w:tc>
        <w:tc>
          <w:tcPr>
            <w:tcW w:w="8980" w:type="dxa"/>
            <w:vAlign w:val="bottom"/>
            <w:gridSpan w:val="2"/>
          </w:tcPr>
          <w:p>
            <w:pPr>
              <w:ind w:left="140"/>
              <w:spacing w:after="0"/>
              <w:rPr>
                <w:rFonts w:ascii="Arial" w:cs="Arial" w:eastAsia="Arial" w:hAnsi="Arial"/>
                <w:sz w:val="22"/>
                <w:szCs w:val="22"/>
                <w:color w:val="auto"/>
              </w:rPr>
            </w:pPr>
            <w:hyperlink r:id="rId28">
              <w:r>
                <w:rPr>
                  <w:rFonts w:ascii="Arial" w:cs="Arial" w:eastAsia="Arial" w:hAnsi="Arial"/>
                  <w:sz w:val="22"/>
                  <w:szCs w:val="22"/>
                  <w:color w:val="auto"/>
                </w:rPr>
                <w:t>Amendments to 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20</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10.30</w:t>
            </w:r>
          </w:p>
        </w:tc>
        <w:tc>
          <w:tcPr>
            <w:tcW w:w="8980" w:type="dxa"/>
            <w:vAlign w:val="bottom"/>
            <w:gridSpan w:val="2"/>
          </w:tcPr>
          <w:p>
            <w:pPr>
              <w:ind w:left="140"/>
              <w:spacing w:after="0"/>
              <w:rPr>
                <w:rFonts w:ascii="Arial" w:cs="Arial" w:eastAsia="Arial" w:hAnsi="Arial"/>
                <w:sz w:val="22"/>
                <w:szCs w:val="22"/>
                <w:color w:val="auto"/>
              </w:rPr>
            </w:pPr>
            <w:hyperlink r:id="rId29">
              <w:r>
                <w:rPr>
                  <w:rFonts w:ascii="Arial" w:cs="Arial" w:eastAsia="Arial" w:hAnsi="Arial"/>
                  <w:sz w:val="22"/>
                  <w:szCs w:val="22"/>
                  <w:color w:val="auto"/>
                </w:rPr>
                <w:t>Membership Interest Purchase Agreement - TMV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21</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10.31</w:t>
            </w:r>
          </w:p>
        </w:tc>
        <w:tc>
          <w:tcPr>
            <w:tcW w:w="8980" w:type="dxa"/>
            <w:vAlign w:val="bottom"/>
            <w:gridSpan w:val="2"/>
          </w:tcPr>
          <w:p>
            <w:pPr>
              <w:ind w:left="140"/>
              <w:spacing w:after="0"/>
              <w:rPr>
                <w:rFonts w:ascii="Arial" w:cs="Arial" w:eastAsia="Arial" w:hAnsi="Arial"/>
                <w:sz w:val="22"/>
                <w:szCs w:val="22"/>
                <w:color w:val="auto"/>
              </w:rPr>
            </w:pPr>
            <w:hyperlink r:id="rId30">
              <w:r>
                <w:rPr>
                  <w:rFonts w:ascii="Arial" w:cs="Arial" w:eastAsia="Arial" w:hAnsi="Arial"/>
                  <w:sz w:val="22"/>
                  <w:szCs w:val="22"/>
                  <w:color w:val="auto"/>
                </w:rPr>
                <w:t>Amended and Restated Credit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10.32</w:t>
            </w:r>
          </w:p>
        </w:tc>
        <w:tc>
          <w:tcPr>
            <w:tcW w:w="8980" w:type="dxa"/>
            <w:vAlign w:val="bottom"/>
            <w:gridSpan w:val="2"/>
          </w:tcPr>
          <w:p>
            <w:pPr>
              <w:ind w:left="140"/>
              <w:spacing w:after="0"/>
              <w:rPr>
                <w:rFonts w:ascii="Arial" w:cs="Arial" w:eastAsia="Arial" w:hAnsi="Arial"/>
                <w:sz w:val="22"/>
                <w:szCs w:val="22"/>
                <w:color w:val="auto"/>
              </w:rPr>
            </w:pPr>
            <w:hyperlink r:id="rId31">
              <w:r>
                <w:rPr>
                  <w:rFonts w:ascii="Arial" w:cs="Arial" w:eastAsia="Arial" w:hAnsi="Arial"/>
                  <w:sz w:val="22"/>
                  <w:szCs w:val="22"/>
                  <w:color w:val="auto"/>
                </w:rPr>
                <w:t>Term Note</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10.33</w:t>
            </w:r>
          </w:p>
        </w:tc>
        <w:tc>
          <w:tcPr>
            <w:tcW w:w="8980" w:type="dxa"/>
            <w:vAlign w:val="bottom"/>
            <w:gridSpan w:val="2"/>
          </w:tcPr>
          <w:p>
            <w:pPr>
              <w:ind w:left="140"/>
              <w:spacing w:after="0"/>
              <w:rPr>
                <w:rFonts w:ascii="Arial" w:cs="Arial" w:eastAsia="Arial" w:hAnsi="Arial"/>
                <w:sz w:val="22"/>
                <w:szCs w:val="22"/>
                <w:color w:val="auto"/>
              </w:rPr>
            </w:pPr>
            <w:hyperlink r:id="rId32">
              <w:r>
                <w:rPr>
                  <w:rFonts w:ascii="Arial" w:cs="Arial" w:eastAsia="Arial" w:hAnsi="Arial"/>
                  <w:sz w:val="22"/>
                  <w:szCs w:val="22"/>
                  <w:color w:val="auto"/>
                </w:rPr>
                <w:t>Revolving Line of Credit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10.34</w:t>
            </w:r>
          </w:p>
        </w:tc>
        <w:tc>
          <w:tcPr>
            <w:tcW w:w="8980" w:type="dxa"/>
            <w:vAlign w:val="bottom"/>
            <w:gridSpan w:val="2"/>
          </w:tcPr>
          <w:p>
            <w:pPr>
              <w:ind w:left="140"/>
              <w:spacing w:after="0"/>
              <w:rPr>
                <w:rFonts w:ascii="Arial" w:cs="Arial" w:eastAsia="Arial" w:hAnsi="Arial"/>
                <w:sz w:val="22"/>
                <w:szCs w:val="22"/>
                <w:color w:val="auto"/>
              </w:rPr>
            </w:pPr>
            <w:hyperlink r:id="rId33">
              <w:r>
                <w:rPr>
                  <w:rFonts w:ascii="Arial" w:cs="Arial" w:eastAsia="Arial" w:hAnsi="Arial"/>
                  <w:sz w:val="22"/>
                  <w:szCs w:val="22"/>
                  <w:color w:val="auto"/>
                </w:rPr>
                <w:t>Amendments to Lease Agreement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10.35</w:t>
            </w:r>
          </w:p>
        </w:tc>
        <w:tc>
          <w:tcPr>
            <w:tcW w:w="8980" w:type="dxa"/>
            <w:vAlign w:val="bottom"/>
            <w:gridSpan w:val="2"/>
          </w:tcPr>
          <w:p>
            <w:pPr>
              <w:ind w:left="140"/>
              <w:spacing w:after="0"/>
              <w:rPr>
                <w:rFonts w:ascii="Arial" w:cs="Arial" w:eastAsia="Arial" w:hAnsi="Arial"/>
                <w:sz w:val="22"/>
                <w:szCs w:val="22"/>
                <w:color w:val="auto"/>
              </w:rPr>
            </w:pPr>
            <w:hyperlink r:id="rId34">
              <w:r>
                <w:rPr>
                  <w:rFonts w:ascii="Arial" w:cs="Arial" w:eastAsia="Arial" w:hAnsi="Arial"/>
                  <w:sz w:val="22"/>
                  <w:szCs w:val="22"/>
                  <w:color w:val="auto"/>
                </w:rPr>
                <w:t>Water Supply Agreement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24</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10.37</w:t>
            </w:r>
          </w:p>
        </w:tc>
        <w:tc>
          <w:tcPr>
            <w:tcW w:w="8980" w:type="dxa"/>
            <w:vAlign w:val="bottom"/>
            <w:gridSpan w:val="2"/>
          </w:tcPr>
          <w:p>
            <w:pPr>
              <w:ind w:left="140"/>
              <w:spacing w:after="0"/>
              <w:rPr>
                <w:rFonts w:ascii="Arial" w:cs="Arial" w:eastAsia="Arial" w:hAnsi="Arial"/>
                <w:sz w:val="22"/>
                <w:szCs w:val="22"/>
                <w:color w:val="auto"/>
              </w:rPr>
            </w:pPr>
            <w:hyperlink r:id="rId35">
              <w:r>
                <w:rPr>
                  <w:rFonts w:ascii="Arial" w:cs="Arial" w:eastAsia="Arial" w:hAnsi="Arial"/>
                  <w:sz w:val="22"/>
                  <w:szCs w:val="22"/>
                  <w:color w:val="auto"/>
                </w:rPr>
                <w:t>Limited Liability Company Agreement of TRC-MRC 2,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26</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10.38</w:t>
            </w:r>
          </w:p>
        </w:tc>
        <w:tc>
          <w:tcPr>
            <w:tcW w:w="8980" w:type="dxa"/>
            <w:vAlign w:val="bottom"/>
            <w:gridSpan w:val="2"/>
          </w:tcPr>
          <w:p>
            <w:pPr>
              <w:ind w:left="140"/>
              <w:spacing w:after="0"/>
              <w:rPr>
                <w:rFonts w:ascii="Arial" w:cs="Arial" w:eastAsia="Arial" w:hAnsi="Arial"/>
                <w:sz w:val="22"/>
                <w:szCs w:val="22"/>
                <w:color w:val="auto"/>
              </w:rPr>
            </w:pPr>
            <w:hyperlink r:id="rId36">
              <w:r>
                <w:rPr>
                  <w:rFonts w:ascii="Arial" w:cs="Arial" w:eastAsia="Arial" w:hAnsi="Arial"/>
                  <w:sz w:val="22"/>
                  <w:szCs w:val="22"/>
                  <w:color w:val="auto"/>
                </w:rPr>
                <w:t>Limited Liability Company Agreement of TRC-MRC 1,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27</w:t>
            </w: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10.39</w:t>
            </w:r>
          </w:p>
        </w:tc>
        <w:tc>
          <w:tcPr>
            <w:tcW w:w="8980" w:type="dxa"/>
            <w:vAlign w:val="bottom"/>
            <w:gridSpan w:val="2"/>
          </w:tcPr>
          <w:p>
            <w:pPr>
              <w:ind w:left="140"/>
              <w:spacing w:after="0"/>
              <w:rPr>
                <w:rFonts w:ascii="Arial" w:cs="Arial" w:eastAsia="Arial" w:hAnsi="Arial"/>
                <w:sz w:val="22"/>
                <w:szCs w:val="22"/>
                <w:color w:val="auto"/>
                <w:w w:val="99"/>
              </w:rPr>
            </w:pPr>
            <w:hyperlink r:id="rId37">
              <w:r>
                <w:rPr>
                  <w:rFonts w:ascii="Arial" w:cs="Arial" w:eastAsia="Arial" w:hAnsi="Arial"/>
                  <w:sz w:val="22"/>
                  <w:szCs w:val="22"/>
                  <w:color w:val="auto"/>
                  <w:w w:val="99"/>
                </w:rPr>
                <w:t>Centennial Founders LLC, Redemption and Withdrawal Agreement - Lewis Tejon Member,</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28</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37">
              <w:r>
                <w:rPr>
                  <w:rFonts w:ascii="Arial" w:cs="Arial" w:eastAsia="Arial" w:hAnsi="Arial"/>
                  <w:sz w:val="22"/>
                  <w:szCs w:val="22"/>
                  <w:color w:val="auto"/>
                </w:rPr>
                <w:t>LLC</w:t>
              </w:r>
            </w:hyperlink>
          </w:p>
        </w:tc>
        <w:tc>
          <w:tcPr>
            <w:tcW w:w="1240" w:type="dxa"/>
            <w:vAlign w:val="bottom"/>
          </w:tcPr>
          <w:p>
            <w:pPr>
              <w:spacing w:after="0"/>
              <w:rPr>
                <w:sz w:val="23"/>
                <w:szCs w:val="23"/>
                <w:color w:val="auto"/>
              </w:rPr>
            </w:pP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10.40</w:t>
            </w:r>
          </w:p>
        </w:tc>
        <w:tc>
          <w:tcPr>
            <w:tcW w:w="8980" w:type="dxa"/>
            <w:vAlign w:val="bottom"/>
            <w:gridSpan w:val="2"/>
          </w:tcPr>
          <w:p>
            <w:pPr>
              <w:ind w:left="140"/>
              <w:spacing w:after="0"/>
              <w:rPr>
                <w:rFonts w:ascii="Arial" w:cs="Arial" w:eastAsia="Arial" w:hAnsi="Arial"/>
                <w:sz w:val="22"/>
                <w:szCs w:val="22"/>
                <w:color w:val="auto"/>
                <w:w w:val="97"/>
              </w:rPr>
            </w:pPr>
            <w:hyperlink r:id="rId38">
              <w:r>
                <w:rPr>
                  <w:rFonts w:ascii="Arial" w:cs="Arial" w:eastAsia="Arial" w:hAnsi="Arial"/>
                  <w:sz w:val="22"/>
                  <w:szCs w:val="22"/>
                  <w:color w:val="auto"/>
                  <w:w w:val="97"/>
                </w:rPr>
                <w:t>First Amendment to Second Amended and Restated Limited Liability Company Agreement of</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29</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38">
              <w:r>
                <w:rPr>
                  <w:rFonts w:ascii="Arial" w:cs="Arial" w:eastAsia="Arial" w:hAnsi="Arial"/>
                  <w:sz w:val="22"/>
                  <w:szCs w:val="22"/>
                  <w:color w:val="auto"/>
                </w:rPr>
                <w:t>Centennial Founders, LLC</w:t>
              </w:r>
            </w:hyperlink>
          </w:p>
        </w:tc>
        <w:tc>
          <w:tcPr>
            <w:tcW w:w="1240" w:type="dxa"/>
            <w:vAlign w:val="bottom"/>
          </w:tcPr>
          <w:p>
            <w:pPr>
              <w:spacing w:after="0"/>
              <w:rPr>
                <w:sz w:val="23"/>
                <w:szCs w:val="23"/>
                <w:color w:val="auto"/>
              </w:rPr>
            </w:pP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10.41</w:t>
            </w:r>
          </w:p>
        </w:tc>
        <w:tc>
          <w:tcPr>
            <w:tcW w:w="8980" w:type="dxa"/>
            <w:vAlign w:val="bottom"/>
            <w:gridSpan w:val="2"/>
          </w:tcPr>
          <w:p>
            <w:pPr>
              <w:ind w:left="140"/>
              <w:spacing w:after="0"/>
              <w:rPr>
                <w:rFonts w:ascii="Arial" w:cs="Arial" w:eastAsia="Arial" w:hAnsi="Arial"/>
                <w:sz w:val="22"/>
                <w:szCs w:val="22"/>
                <w:color w:val="auto"/>
                <w:w w:val="96"/>
              </w:rPr>
            </w:pPr>
            <w:hyperlink r:id="rId39">
              <w:r>
                <w:rPr>
                  <w:rFonts w:ascii="Arial" w:cs="Arial" w:eastAsia="Arial" w:hAnsi="Arial"/>
                  <w:sz w:val="22"/>
                  <w:szCs w:val="22"/>
                  <w:color w:val="auto"/>
                  <w:w w:val="96"/>
                </w:rPr>
                <w:t>Second Amendment to Second Amended and Restated Limited Liability Company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30</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39">
              <w:r>
                <w:rPr>
                  <w:rFonts w:ascii="Arial" w:cs="Arial" w:eastAsia="Arial" w:hAnsi="Arial"/>
                  <w:sz w:val="22"/>
                  <w:szCs w:val="22"/>
                  <w:color w:val="auto"/>
                </w:rPr>
                <w:t>of Centennial Founders, LLC</w:t>
              </w:r>
            </w:hyperlink>
          </w:p>
        </w:tc>
        <w:tc>
          <w:tcPr>
            <w:tcW w:w="1240" w:type="dxa"/>
            <w:vAlign w:val="bottom"/>
          </w:tcPr>
          <w:p>
            <w:pPr>
              <w:spacing w:after="0"/>
              <w:rPr>
                <w:sz w:val="23"/>
                <w:szCs w:val="23"/>
                <w:color w:val="auto"/>
              </w:rPr>
            </w:pP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10.42</w:t>
            </w:r>
          </w:p>
        </w:tc>
        <w:tc>
          <w:tcPr>
            <w:tcW w:w="8980" w:type="dxa"/>
            <w:vAlign w:val="bottom"/>
            <w:gridSpan w:val="2"/>
          </w:tcPr>
          <w:p>
            <w:pPr>
              <w:ind w:left="140"/>
              <w:spacing w:after="0"/>
              <w:rPr>
                <w:rFonts w:ascii="Arial" w:cs="Arial" w:eastAsia="Arial" w:hAnsi="Arial"/>
                <w:sz w:val="22"/>
                <w:szCs w:val="22"/>
                <w:color w:val="auto"/>
              </w:rPr>
            </w:pPr>
            <w:hyperlink r:id="rId9">
              <w:r>
                <w:rPr>
                  <w:rFonts w:ascii="Arial" w:cs="Arial" w:eastAsia="Arial" w:hAnsi="Arial"/>
                  <w:sz w:val="22"/>
                  <w:szCs w:val="22"/>
                  <w:color w:val="auto"/>
                </w:rPr>
                <w:t>Limited Liability Company Agreement of TRC-MRC 3,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31</w:t>
            </w: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10.43</w:t>
            </w:r>
          </w:p>
        </w:tc>
        <w:tc>
          <w:tcPr>
            <w:tcW w:w="8980" w:type="dxa"/>
            <w:vAlign w:val="bottom"/>
            <w:gridSpan w:val="2"/>
          </w:tcPr>
          <w:p>
            <w:pPr>
              <w:ind w:left="140"/>
              <w:spacing w:after="0"/>
              <w:rPr>
                <w:rFonts w:ascii="Arial" w:cs="Arial" w:eastAsia="Arial" w:hAnsi="Arial"/>
                <w:sz w:val="22"/>
                <w:szCs w:val="22"/>
                <w:color w:val="auto"/>
                <w:w w:val="97"/>
              </w:rPr>
            </w:pPr>
            <w:hyperlink r:id="rId40">
              <w:r>
                <w:rPr>
                  <w:rFonts w:ascii="Arial" w:cs="Arial" w:eastAsia="Arial" w:hAnsi="Arial"/>
                  <w:sz w:val="22"/>
                  <w:szCs w:val="22"/>
                  <w:color w:val="auto"/>
                  <w:w w:val="97"/>
                </w:rPr>
                <w:t>Fourth Amendment to Second Amended and Restated Limited Liability Company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32</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40">
              <w:r>
                <w:rPr>
                  <w:rFonts w:ascii="Arial" w:cs="Arial" w:eastAsia="Arial" w:hAnsi="Arial"/>
                  <w:sz w:val="22"/>
                  <w:szCs w:val="22"/>
                  <w:color w:val="auto"/>
                </w:rPr>
                <w:t>of Centennial Founders, LLC</w:t>
              </w:r>
            </w:hyperlink>
          </w:p>
        </w:tc>
        <w:tc>
          <w:tcPr>
            <w:tcW w:w="12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360"/>
          </w:cols>
          <w:pgMar w:left="280" w:top="494" w:right="259" w:bottom="1440" w:gutter="0" w:footer="0" w:header="0"/>
        </w:sectPr>
      </w:pP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80" w:top="494" w:right="2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75"/>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10.44</w:t>
            </w:r>
          </w:p>
        </w:tc>
        <w:tc>
          <w:tcPr>
            <w:tcW w:w="8540" w:type="dxa"/>
            <w:vAlign w:val="bottom"/>
          </w:tcPr>
          <w:p>
            <w:pPr>
              <w:ind w:left="140"/>
              <w:spacing w:after="0"/>
              <w:rPr>
                <w:rFonts w:ascii="Arial" w:cs="Arial" w:eastAsia="Arial" w:hAnsi="Arial"/>
                <w:sz w:val="22"/>
                <w:szCs w:val="22"/>
                <w:color w:val="auto"/>
              </w:rPr>
            </w:pPr>
            <w:hyperlink r:id="rId41">
              <w:r>
                <w:rPr>
                  <w:rFonts w:ascii="Arial" w:cs="Arial" w:eastAsia="Arial" w:hAnsi="Arial"/>
                  <w:sz w:val="22"/>
                  <w:szCs w:val="22"/>
                  <w:color w:val="auto"/>
                </w:rPr>
                <w:t>Centennial Founders, LLC Redemption and Withdrawal Agreement - CalAtlantic</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FN 33</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31.1</w:t>
            </w:r>
          </w:p>
        </w:tc>
        <w:tc>
          <w:tcPr>
            <w:tcW w:w="8540" w:type="dxa"/>
            <w:vAlign w:val="bottom"/>
          </w:tcPr>
          <w:p>
            <w:pPr>
              <w:ind w:left="140"/>
              <w:spacing w:after="0"/>
              <w:rPr>
                <w:rFonts w:ascii="Arial" w:cs="Arial" w:eastAsia="Arial" w:hAnsi="Arial"/>
                <w:sz w:val="22"/>
                <w:szCs w:val="22"/>
                <w:color w:val="auto"/>
              </w:rPr>
            </w:pPr>
            <w:hyperlink w:anchor="page64">
              <w:r>
                <w:rPr>
                  <w:rFonts w:ascii="Arial" w:cs="Arial" w:eastAsia="Arial" w:hAnsi="Arial"/>
                  <w:sz w:val="22"/>
                  <w:szCs w:val="22"/>
                  <w:color w:val="auto"/>
                </w:rPr>
                <w:t>Certification as adopted pursuant to Section 302 of the Sarbanes-Oxley Act of 2002</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31.2</w:t>
            </w:r>
          </w:p>
        </w:tc>
        <w:tc>
          <w:tcPr>
            <w:tcW w:w="8540" w:type="dxa"/>
            <w:vAlign w:val="bottom"/>
          </w:tcPr>
          <w:p>
            <w:pPr>
              <w:ind w:left="140"/>
              <w:spacing w:after="0"/>
              <w:rPr>
                <w:rFonts w:ascii="Arial" w:cs="Arial" w:eastAsia="Arial" w:hAnsi="Arial"/>
                <w:sz w:val="22"/>
                <w:szCs w:val="22"/>
                <w:color w:val="auto"/>
              </w:rPr>
            </w:pPr>
            <w:hyperlink w:anchor="page65">
              <w:r>
                <w:rPr>
                  <w:rFonts w:ascii="Arial" w:cs="Arial" w:eastAsia="Arial" w:hAnsi="Arial"/>
                  <w:sz w:val="22"/>
                  <w:szCs w:val="22"/>
                  <w:color w:val="auto"/>
                </w:rPr>
                <w:t>Certification as adopted pursuant to Section 302 of the Sarbanes-Oxley Act of 2002</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66"/>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32</w:t>
            </w:r>
          </w:p>
        </w:tc>
        <w:tc>
          <w:tcPr>
            <w:tcW w:w="8540" w:type="dxa"/>
            <w:vAlign w:val="bottom"/>
          </w:tcPr>
          <w:p>
            <w:pPr>
              <w:ind w:left="140"/>
              <w:spacing w:after="0"/>
              <w:rPr>
                <w:rFonts w:ascii="Arial" w:cs="Arial" w:eastAsia="Arial" w:hAnsi="Arial"/>
                <w:sz w:val="22"/>
                <w:szCs w:val="22"/>
                <w:color w:val="auto"/>
                <w:w w:val="93"/>
              </w:rPr>
            </w:pPr>
            <w:hyperlink w:anchor="page66">
              <w:r>
                <w:rPr>
                  <w:rFonts w:ascii="Arial" w:cs="Arial" w:eastAsia="Arial" w:hAnsi="Arial"/>
                  <w:sz w:val="22"/>
                  <w:szCs w:val="22"/>
                  <w:color w:val="auto"/>
                  <w:w w:val="93"/>
                </w:rPr>
                <w:t>Certification Pursuant to 18 U.S.C. Section 1350, as Adopted Pursuant to Section 906 of the</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75"/>
        </w:trPr>
        <w:tc>
          <w:tcPr>
            <w:tcW w:w="940" w:type="dxa"/>
            <w:vAlign w:val="bottom"/>
          </w:tcPr>
          <w:p>
            <w:pPr>
              <w:spacing w:after="0"/>
              <w:rPr>
                <w:sz w:val="23"/>
                <w:szCs w:val="23"/>
                <w:color w:val="auto"/>
              </w:rPr>
            </w:pPr>
          </w:p>
        </w:tc>
        <w:tc>
          <w:tcPr>
            <w:tcW w:w="8540" w:type="dxa"/>
            <w:vAlign w:val="bottom"/>
          </w:tcPr>
          <w:p>
            <w:pPr>
              <w:ind w:left="140"/>
              <w:spacing w:after="0"/>
              <w:rPr>
                <w:rFonts w:ascii="Arial" w:cs="Arial" w:eastAsia="Arial" w:hAnsi="Arial"/>
                <w:sz w:val="22"/>
                <w:szCs w:val="22"/>
                <w:color w:val="auto"/>
              </w:rPr>
            </w:pPr>
            <w:hyperlink w:anchor="page66">
              <w:r>
                <w:rPr>
                  <w:rFonts w:ascii="Arial" w:cs="Arial" w:eastAsia="Arial" w:hAnsi="Arial"/>
                  <w:sz w:val="22"/>
                  <w:szCs w:val="22"/>
                  <w:color w:val="auto"/>
                </w:rPr>
                <w:t>Sarbanes-Oxley Act of 2002</w:t>
              </w:r>
            </w:hyperlink>
          </w:p>
        </w:tc>
        <w:tc>
          <w:tcPr>
            <w:tcW w:w="1680" w:type="dxa"/>
            <w:vAlign w:val="bottom"/>
          </w:tcPr>
          <w:p>
            <w:pPr>
              <w:spacing w:after="0"/>
              <w:rPr>
                <w:sz w:val="23"/>
                <w:szCs w:val="23"/>
                <w:color w:val="auto"/>
              </w:rPr>
            </w:pP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98"/>
              </w:rPr>
              <w:t>101.INS</w:t>
            </w:r>
          </w:p>
        </w:tc>
        <w:tc>
          <w:tcPr>
            <w:tcW w:w="8540" w:type="dxa"/>
            <w:vAlign w:val="bottom"/>
          </w:tcPr>
          <w:p>
            <w:pPr>
              <w:ind w:left="140"/>
              <w:spacing w:after="0"/>
              <w:rPr>
                <w:sz w:val="20"/>
                <w:szCs w:val="20"/>
                <w:color w:val="auto"/>
              </w:rPr>
            </w:pPr>
            <w:r>
              <w:rPr>
                <w:rFonts w:ascii="Arial" w:cs="Arial" w:eastAsia="Arial" w:hAnsi="Arial"/>
                <w:sz w:val="22"/>
                <w:szCs w:val="22"/>
                <w:color w:val="auto"/>
              </w:rPr>
              <w:t>XBRL Instance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87"/>
              </w:rPr>
              <w:t>101.SCH</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Schema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91"/>
              </w:rPr>
              <w:t>101.CAL</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Calculation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89"/>
              </w:rPr>
              <w:t>101.DEF</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Definition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92"/>
              </w:rPr>
              <w:t>101.LAB</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Label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88"/>
              </w:rPr>
              <w:t>101.PRE</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Presentation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bl>
    <w:p>
      <w:pPr>
        <w:spacing w:after="0" w:line="23" w:lineRule="exact"/>
        <w:rPr>
          <w:sz w:val="20"/>
          <w:szCs w:val="20"/>
          <w:color w:val="auto"/>
        </w:rPr>
      </w:pPr>
    </w:p>
    <w:p>
      <w:pPr>
        <w:ind w:left="1080" w:hanging="380"/>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Management contract, compensatory plan or arrangement.</w:t>
      </w:r>
    </w:p>
    <w:p>
      <w:pPr>
        <w:spacing w:after="0" w:line="200" w:lineRule="exact"/>
        <w:rPr>
          <w:sz w:val="20"/>
          <w:szCs w:val="20"/>
          <w:color w:val="auto"/>
        </w:rPr>
      </w:pP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480" w:top="523" w:right="259" w:bottom="1440" w:gutter="0" w:footer="0" w:header="0"/>
        </w:sectPr>
      </w:pPr>
    </w:p>
    <w:bookmarkStart w:id="60" w:name="page61"/>
    <w:bookmarkEnd w:id="60"/>
    <w:p>
      <w:pPr>
        <w:jc w:val="both"/>
        <w:ind w:left="940" w:right="320" w:hanging="944"/>
        <w:spacing w:after="0" w:line="286" w:lineRule="auto"/>
        <w:tabs>
          <w:tab w:leader="none" w:pos="920" w:val="left"/>
        </w:tabs>
        <w:rPr>
          <w:sz w:val="20"/>
          <w:szCs w:val="20"/>
          <w:color w:val="auto"/>
        </w:rPr>
      </w:pPr>
      <w:r>
        <w:rPr>
          <w:rFonts w:ascii="Arial" w:cs="Arial" w:eastAsia="Arial" w:hAnsi="Arial"/>
          <w:sz w:val="22"/>
          <w:szCs w:val="22"/>
          <w:color w:val="auto"/>
        </w:rPr>
        <w:t>FN 1</w:t>
      </w:r>
      <w:r>
        <w:rPr>
          <w:sz w:val="20"/>
          <w:szCs w:val="20"/>
          <w:color w:val="auto"/>
        </w:rPr>
        <w:tab/>
      </w:r>
      <w:r>
        <w:rPr>
          <w:rFonts w:ascii="Arial" w:cs="Arial" w:eastAsia="Arial" w:hAnsi="Arial"/>
          <w:sz w:val="19"/>
          <w:szCs w:val="19"/>
          <w:color w:val="auto"/>
        </w:rPr>
        <w:t>This document, filed with the Securities and Exchange Commission in Washington D.C. (file number 1-7183) under Item 14 to our Annual Report on Form 10-K for year ended December 31, 1987, is incorporated herein by reference. This Exhibit was not filed with the Securities and Exchange Commission in an electronic format.</w:t>
      </w:r>
    </w:p>
    <w:p>
      <w:pPr>
        <w:spacing w:after="0" w:line="2" w:lineRule="exact"/>
        <w:rPr>
          <w:sz w:val="20"/>
          <w:szCs w:val="20"/>
          <w:color w:val="auto"/>
        </w:rPr>
      </w:pPr>
    </w:p>
    <w:p>
      <w:pPr>
        <w:jc w:val="right"/>
        <w:ind w:right="540"/>
        <w:spacing w:after="0" w:line="296" w:lineRule="auto"/>
        <w:rPr>
          <w:sz w:val="20"/>
          <w:szCs w:val="20"/>
          <w:color w:val="auto"/>
        </w:rPr>
      </w:pPr>
      <w:r>
        <w:rPr>
          <w:rFonts w:ascii="Arial" w:cs="Arial" w:eastAsia="Arial" w:hAnsi="Arial"/>
          <w:sz w:val="19"/>
          <w:szCs w:val="19"/>
          <w:color w:val="auto"/>
        </w:rPr>
        <w:t>FN 2     This document, filed with the Securities and Exchange Commission in Washington, D.C. (file number 1-7183) as Exhibit 99.1 to our Current Report on Form 8-K filed on September 20, 2017,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5</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4.1 to our Current Report on Form 8-K filed on December 20, 2005, is incorporated herein by reference.</w:t>
      </w:r>
    </w:p>
    <w:p>
      <w:pPr>
        <w:spacing w:after="0" w:line="1" w:lineRule="exact"/>
        <w:rPr>
          <w:sz w:val="20"/>
          <w:szCs w:val="20"/>
          <w:color w:val="auto"/>
        </w:rPr>
      </w:pPr>
    </w:p>
    <w:p>
      <w:pPr>
        <w:ind w:left="940" w:hanging="944"/>
        <w:spacing w:after="0" w:line="286" w:lineRule="auto"/>
        <w:tabs>
          <w:tab w:leader="none" w:pos="920" w:val="left"/>
        </w:tabs>
        <w:rPr>
          <w:sz w:val="20"/>
          <w:szCs w:val="20"/>
          <w:color w:val="auto"/>
        </w:rPr>
      </w:pPr>
      <w:r>
        <w:rPr>
          <w:rFonts w:ascii="Arial" w:cs="Arial" w:eastAsia="Arial" w:hAnsi="Arial"/>
          <w:sz w:val="22"/>
          <w:szCs w:val="22"/>
          <w:color w:val="auto"/>
        </w:rPr>
        <w:t>FN 6</w:t>
      </w:r>
      <w:r>
        <w:rPr>
          <w:sz w:val="20"/>
          <w:szCs w:val="20"/>
          <w:color w:val="auto"/>
        </w:rPr>
        <w:tab/>
      </w:r>
      <w:r>
        <w:rPr>
          <w:rFonts w:ascii="Arial" w:cs="Arial" w:eastAsia="Arial" w:hAnsi="Arial"/>
          <w:sz w:val="19"/>
          <w:szCs w:val="19"/>
          <w:color w:val="auto"/>
        </w:rPr>
        <w:t>This document, filed with the Securities and Exchange Commission in Washington D.C. (file number 1-7183) under Item 14 to our Annual Report on Form 10-K for the year ended December 31, 1994, is incorporated herein by reference. This Exhibit was not filed with the Securities and Exchange Commission in an electronic format.</w:t>
      </w:r>
    </w:p>
    <w:p>
      <w:pPr>
        <w:spacing w:after="0" w:line="2" w:lineRule="exact"/>
        <w:rPr>
          <w:sz w:val="20"/>
          <w:szCs w:val="20"/>
          <w:color w:val="auto"/>
        </w:rPr>
      </w:pPr>
    </w:p>
    <w:p>
      <w:pPr>
        <w:ind w:left="940" w:hanging="944"/>
        <w:spacing w:after="0" w:line="296" w:lineRule="auto"/>
        <w:tabs>
          <w:tab w:leader="none" w:pos="920" w:val="left"/>
        </w:tabs>
        <w:rPr>
          <w:sz w:val="20"/>
          <w:szCs w:val="20"/>
          <w:color w:val="auto"/>
        </w:rPr>
      </w:pPr>
      <w:r>
        <w:rPr>
          <w:rFonts w:ascii="Arial" w:cs="Arial" w:eastAsia="Arial" w:hAnsi="Arial"/>
          <w:sz w:val="22"/>
          <w:szCs w:val="22"/>
          <w:color w:val="auto"/>
        </w:rPr>
        <w:t>FN 7</w:t>
      </w:r>
      <w:r>
        <w:rPr>
          <w:sz w:val="20"/>
          <w:szCs w:val="20"/>
          <w:color w:val="auto"/>
        </w:rPr>
        <w:tab/>
      </w:r>
      <w:r>
        <w:rPr>
          <w:rFonts w:ascii="Arial" w:cs="Arial" w:eastAsia="Arial" w:hAnsi="Arial"/>
          <w:sz w:val="19"/>
          <w:szCs w:val="19"/>
          <w:color w:val="auto"/>
        </w:rPr>
        <w:t>This document, filed with the Securities and Exchange Commission in Washington D.C. (file number 1-7183) under Item 14 to our Annual Report on Form 10-K for the year ended December 31, 1997, is incorporated herein by reference.</w:t>
      </w:r>
    </w:p>
    <w:p>
      <w:pPr>
        <w:spacing w:after="0" w:line="1" w:lineRule="exact"/>
        <w:rPr>
          <w:sz w:val="20"/>
          <w:szCs w:val="20"/>
          <w:color w:val="auto"/>
        </w:rPr>
      </w:pPr>
    </w:p>
    <w:p>
      <w:pPr>
        <w:jc w:val="both"/>
        <w:ind w:left="940" w:right="500" w:hanging="944"/>
        <w:spacing w:after="0"/>
        <w:tabs>
          <w:tab w:leader="none" w:pos="920" w:val="left"/>
        </w:tabs>
        <w:rPr>
          <w:sz w:val="20"/>
          <w:szCs w:val="20"/>
          <w:color w:val="auto"/>
        </w:rPr>
      </w:pPr>
      <w:r>
        <w:rPr>
          <w:rFonts w:ascii="Arial" w:cs="Arial" w:eastAsia="Arial" w:hAnsi="Arial"/>
          <w:sz w:val="22"/>
          <w:szCs w:val="22"/>
          <w:color w:val="auto"/>
        </w:rPr>
        <w:t>FN 8</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10.9 to our Annual Report on Form 10-K for the year ended December 31, 2008, is incorporated herein by reference.</w:t>
      </w:r>
    </w:p>
    <w:p>
      <w:pPr>
        <w:spacing w:after="0" w:line="24" w:lineRule="exact"/>
        <w:rPr>
          <w:sz w:val="20"/>
          <w:szCs w:val="20"/>
          <w:color w:val="auto"/>
        </w:rPr>
      </w:pPr>
    </w:p>
    <w:p>
      <w:pPr>
        <w:ind w:left="940" w:right="400" w:hanging="944"/>
        <w:spacing w:after="0"/>
        <w:tabs>
          <w:tab w:leader="none" w:pos="920" w:val="left"/>
        </w:tabs>
        <w:rPr>
          <w:sz w:val="20"/>
          <w:szCs w:val="20"/>
          <w:color w:val="auto"/>
        </w:rPr>
      </w:pPr>
      <w:r>
        <w:rPr>
          <w:rFonts w:ascii="Arial" w:cs="Arial" w:eastAsia="Arial" w:hAnsi="Arial"/>
          <w:sz w:val="22"/>
          <w:szCs w:val="22"/>
          <w:color w:val="auto"/>
        </w:rPr>
        <w:t>FN 9</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10.10 to our Annual Report on Form 10-K for the year ended December 31, 2008, is incorporated herein by reference</w:t>
      </w:r>
    </w:p>
    <w:p>
      <w:pPr>
        <w:spacing w:after="0" w:line="24" w:lineRule="exact"/>
        <w:rPr>
          <w:sz w:val="20"/>
          <w:szCs w:val="20"/>
          <w:color w:val="auto"/>
        </w:rPr>
      </w:pPr>
    </w:p>
    <w:p>
      <w:pPr>
        <w:ind w:left="940" w:right="20" w:hanging="944"/>
        <w:spacing w:after="0" w:line="296" w:lineRule="auto"/>
        <w:tabs>
          <w:tab w:leader="none" w:pos="920" w:val="left"/>
        </w:tabs>
        <w:rPr>
          <w:sz w:val="20"/>
          <w:szCs w:val="20"/>
          <w:color w:val="auto"/>
        </w:rPr>
      </w:pPr>
      <w:r>
        <w:rPr>
          <w:rFonts w:ascii="Arial" w:cs="Arial" w:eastAsia="Arial" w:hAnsi="Arial"/>
          <w:sz w:val="22"/>
          <w:szCs w:val="22"/>
          <w:color w:val="auto"/>
        </w:rPr>
        <w:t>FN 10</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10.16 to our Annual Report on Form 10-K for the year ended December 31, 2001,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11</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4.1 to our Current Report on Form 8-K filed on May 7, 2004,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12</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4.2 to our Current Report on Form 8-K filed on May 7, 2004, is incorporated herein by reference.</w:t>
      </w:r>
    </w:p>
    <w:p>
      <w:pPr>
        <w:spacing w:after="0" w:line="1" w:lineRule="exact"/>
        <w:rPr>
          <w:sz w:val="20"/>
          <w:szCs w:val="20"/>
          <w:color w:val="auto"/>
        </w:rPr>
      </w:pPr>
    </w:p>
    <w:p>
      <w:pPr>
        <w:ind w:left="940" w:right="20" w:hanging="944"/>
        <w:spacing w:after="0"/>
        <w:tabs>
          <w:tab w:leader="none" w:pos="920" w:val="left"/>
        </w:tabs>
        <w:rPr>
          <w:sz w:val="20"/>
          <w:szCs w:val="20"/>
          <w:color w:val="auto"/>
        </w:rPr>
      </w:pPr>
      <w:r>
        <w:rPr>
          <w:rFonts w:ascii="Arial" w:cs="Arial" w:eastAsia="Arial" w:hAnsi="Arial"/>
          <w:sz w:val="22"/>
          <w:szCs w:val="22"/>
          <w:color w:val="auto"/>
        </w:rPr>
        <w:t>FN 13</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Exhibits 10.21-10.23 to our Annual Report on Form 10-K for the year ended December 31, 2004, is incorporated herein by reference.</w:t>
      </w:r>
    </w:p>
    <w:p>
      <w:pPr>
        <w:spacing w:after="0" w:line="24" w:lineRule="exact"/>
        <w:rPr>
          <w:sz w:val="20"/>
          <w:szCs w:val="20"/>
          <w:color w:val="auto"/>
        </w:rPr>
      </w:pPr>
    </w:p>
    <w:p>
      <w:pPr>
        <w:ind w:left="940" w:right="660" w:hanging="944"/>
        <w:spacing w:after="0" w:line="296" w:lineRule="auto"/>
        <w:tabs>
          <w:tab w:leader="none" w:pos="920" w:val="left"/>
        </w:tabs>
        <w:rPr>
          <w:sz w:val="20"/>
          <w:szCs w:val="20"/>
          <w:color w:val="auto"/>
        </w:rPr>
      </w:pPr>
      <w:r>
        <w:rPr>
          <w:rFonts w:ascii="Arial" w:cs="Arial" w:eastAsia="Arial" w:hAnsi="Arial"/>
          <w:sz w:val="22"/>
          <w:szCs w:val="22"/>
          <w:color w:val="auto"/>
        </w:rPr>
        <w:t>FN 14</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10.24 to our Current Report on Form 8-K filed on May 24, 2006,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15</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10.28 to our Current Report on Form 8-K filed on June 23, 2008, is incorporated herein by reference.</w:t>
      </w:r>
    </w:p>
    <w:p>
      <w:pPr>
        <w:spacing w:after="0" w:line="1" w:lineRule="exact"/>
        <w:rPr>
          <w:sz w:val="20"/>
          <w:szCs w:val="20"/>
          <w:color w:val="auto"/>
        </w:rPr>
      </w:pPr>
    </w:p>
    <w:p>
      <w:pPr>
        <w:jc w:val="both"/>
        <w:ind w:left="940" w:right="520" w:hanging="944"/>
        <w:spacing w:after="0"/>
        <w:tabs>
          <w:tab w:leader="none" w:pos="920" w:val="left"/>
        </w:tabs>
        <w:rPr>
          <w:sz w:val="20"/>
          <w:szCs w:val="20"/>
          <w:color w:val="auto"/>
        </w:rPr>
      </w:pPr>
      <w:r>
        <w:rPr>
          <w:rFonts w:ascii="Arial" w:cs="Arial" w:eastAsia="Arial" w:hAnsi="Arial"/>
          <w:sz w:val="22"/>
          <w:szCs w:val="22"/>
          <w:color w:val="auto"/>
        </w:rPr>
        <w:t>FN 16</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10.25 to our Quarterly Report on Form 10-Q for the period ended June 30, 2009, is incorporated herein by reference.</w:t>
      </w:r>
    </w:p>
    <w:p>
      <w:pPr>
        <w:spacing w:after="0" w:line="24"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18</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10.27 to our Current Report on Form 8-K filed on June 4, 2013, is incorporated herein by reference.</w:t>
      </w:r>
    </w:p>
    <w:p>
      <w:pPr>
        <w:spacing w:after="0" w:line="1" w:lineRule="exact"/>
        <w:rPr>
          <w:sz w:val="20"/>
          <w:szCs w:val="20"/>
          <w:color w:val="auto"/>
        </w:rPr>
      </w:pPr>
    </w:p>
    <w:p>
      <w:pPr>
        <w:ind w:left="940" w:right="600" w:hanging="944"/>
        <w:spacing w:after="0" w:line="328" w:lineRule="auto"/>
        <w:tabs>
          <w:tab w:leader="none" w:pos="920" w:val="left"/>
        </w:tabs>
        <w:rPr>
          <w:sz w:val="20"/>
          <w:szCs w:val="20"/>
          <w:color w:val="auto"/>
        </w:rPr>
      </w:pPr>
      <w:r>
        <w:rPr>
          <w:rFonts w:ascii="Arial" w:cs="Arial" w:eastAsia="Arial" w:hAnsi="Arial"/>
          <w:sz w:val="22"/>
          <w:szCs w:val="22"/>
          <w:color w:val="auto"/>
        </w:rPr>
        <w:t>FN 19</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10.1 to our Current Report on Form 8-K filed on August 8, 2013,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80" w:top="780" w:right="279" w:bottom="1440" w:gutter="0" w:footer="0" w:header="0"/>
        </w:sectPr>
      </w:pPr>
    </w:p>
    <w:bookmarkStart w:id="61" w:name="page62"/>
    <w:bookmarkEnd w:id="61"/>
    <w:p>
      <w:pPr>
        <w:ind w:left="900" w:right="160" w:hanging="917"/>
        <w:spacing w:after="0"/>
        <w:tabs>
          <w:tab w:leader="none" w:pos="880" w:val="left"/>
        </w:tabs>
        <w:rPr>
          <w:sz w:val="20"/>
          <w:szCs w:val="20"/>
          <w:color w:val="auto"/>
        </w:rPr>
      </w:pPr>
      <w:r>
        <w:rPr>
          <w:rFonts w:ascii="Arial" w:cs="Arial" w:eastAsia="Arial" w:hAnsi="Arial"/>
          <w:sz w:val="22"/>
          <w:szCs w:val="22"/>
          <w:color w:val="auto"/>
        </w:rPr>
        <w:t>FN 20</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10.29 to our Amended Annual Report on Form 10-K/A for the year ended December 31, 2013, is incorporated herein by reference.</w:t>
      </w:r>
    </w:p>
    <w:p>
      <w:pPr>
        <w:spacing w:after="0" w:line="24" w:lineRule="exact"/>
        <w:rPr>
          <w:sz w:val="20"/>
          <w:szCs w:val="20"/>
          <w:color w:val="auto"/>
        </w:rPr>
      </w:pPr>
    </w:p>
    <w:p>
      <w:pPr>
        <w:ind w:left="900" w:right="620" w:hanging="917"/>
        <w:spacing w:after="0" w:line="296" w:lineRule="auto"/>
        <w:tabs>
          <w:tab w:leader="none" w:pos="880" w:val="left"/>
        </w:tabs>
        <w:rPr>
          <w:sz w:val="20"/>
          <w:szCs w:val="20"/>
          <w:color w:val="auto"/>
        </w:rPr>
      </w:pPr>
      <w:r>
        <w:rPr>
          <w:rFonts w:ascii="Arial" w:cs="Arial" w:eastAsia="Arial" w:hAnsi="Arial"/>
          <w:sz w:val="22"/>
          <w:szCs w:val="22"/>
          <w:color w:val="auto"/>
        </w:rPr>
        <w:t>FN 21</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10.30 to our Current Report on Form 8-K filed on July 16, 2014, is incorporated herein by reference.</w:t>
      </w:r>
    </w:p>
    <w:p>
      <w:pPr>
        <w:spacing w:after="0" w:line="1" w:lineRule="exact"/>
        <w:rPr>
          <w:sz w:val="20"/>
          <w:szCs w:val="20"/>
          <w:color w:val="auto"/>
        </w:rPr>
      </w:pPr>
    </w:p>
    <w:p>
      <w:pPr>
        <w:ind w:left="900" w:right="40" w:hanging="917"/>
        <w:spacing w:after="0" w:line="296" w:lineRule="auto"/>
        <w:tabs>
          <w:tab w:leader="none" w:pos="880" w:val="left"/>
        </w:tabs>
        <w:rPr>
          <w:sz w:val="20"/>
          <w:szCs w:val="20"/>
          <w:color w:val="auto"/>
        </w:rPr>
      </w:pPr>
      <w:r>
        <w:rPr>
          <w:rFonts w:ascii="Arial" w:cs="Arial" w:eastAsia="Arial" w:hAnsi="Arial"/>
          <w:sz w:val="22"/>
          <w:szCs w:val="22"/>
          <w:color w:val="auto"/>
        </w:rPr>
        <w:t>FN 22</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Exhibits 10.31-10.33 to our Current Report on Form 8-K filed on October 17, 2014, is incorporated herein by reference.</w:t>
      </w:r>
    </w:p>
    <w:p>
      <w:pPr>
        <w:spacing w:after="0" w:line="1"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23</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10.34 to our Annual Report on Form 10-K for the year ended December 31, 2014, is incorporated herein by reference.</w:t>
      </w:r>
    </w:p>
    <w:p>
      <w:pPr>
        <w:spacing w:after="0" w:line="24" w:lineRule="exact"/>
        <w:rPr>
          <w:sz w:val="20"/>
          <w:szCs w:val="20"/>
          <w:color w:val="auto"/>
        </w:rPr>
      </w:pPr>
    </w:p>
    <w:p>
      <w:pPr>
        <w:jc w:val="both"/>
        <w:ind w:left="900" w:right="520" w:hanging="917"/>
        <w:spacing w:after="0"/>
        <w:tabs>
          <w:tab w:leader="none" w:pos="880" w:val="left"/>
        </w:tabs>
        <w:rPr>
          <w:sz w:val="20"/>
          <w:szCs w:val="20"/>
          <w:color w:val="auto"/>
        </w:rPr>
      </w:pPr>
      <w:r>
        <w:rPr>
          <w:rFonts w:ascii="Arial" w:cs="Arial" w:eastAsia="Arial" w:hAnsi="Arial"/>
          <w:sz w:val="22"/>
          <w:szCs w:val="22"/>
          <w:color w:val="auto"/>
        </w:rPr>
        <w:t>FN 24</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10.35 to our Quarterly Report on Form 10-Q for the period ended June 30, 2015, is incorporated herein by reference.</w:t>
      </w:r>
    </w:p>
    <w:p>
      <w:pPr>
        <w:spacing w:after="0" w:line="24" w:lineRule="exact"/>
        <w:rPr>
          <w:sz w:val="20"/>
          <w:szCs w:val="20"/>
          <w:color w:val="auto"/>
        </w:rPr>
      </w:pPr>
    </w:p>
    <w:p>
      <w:pPr>
        <w:jc w:val="both"/>
        <w:ind w:left="900" w:right="520" w:hanging="917"/>
        <w:spacing w:after="0"/>
        <w:tabs>
          <w:tab w:leader="none" w:pos="880" w:val="left"/>
        </w:tabs>
        <w:rPr>
          <w:sz w:val="20"/>
          <w:szCs w:val="20"/>
          <w:color w:val="auto"/>
        </w:rPr>
      </w:pPr>
      <w:r>
        <w:rPr>
          <w:rFonts w:ascii="Arial" w:cs="Arial" w:eastAsia="Arial" w:hAnsi="Arial"/>
          <w:sz w:val="22"/>
          <w:szCs w:val="22"/>
          <w:color w:val="auto"/>
        </w:rPr>
        <w:t>FN 26</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10.37 to our Quarterly Report on Form 10-Q for the period ended June 30, 2016, is incorporated herein by reference.</w:t>
      </w:r>
    </w:p>
    <w:p>
      <w:pPr>
        <w:spacing w:after="0" w:line="24" w:lineRule="exact"/>
        <w:rPr>
          <w:sz w:val="20"/>
          <w:szCs w:val="20"/>
          <w:color w:val="auto"/>
        </w:rPr>
      </w:pPr>
    </w:p>
    <w:p>
      <w:pPr>
        <w:ind w:left="900" w:hanging="917"/>
        <w:spacing w:after="0"/>
        <w:tabs>
          <w:tab w:leader="none" w:pos="880" w:val="left"/>
        </w:tabs>
        <w:rPr>
          <w:sz w:val="20"/>
          <w:szCs w:val="20"/>
          <w:color w:val="auto"/>
        </w:rPr>
      </w:pPr>
      <w:r>
        <w:rPr>
          <w:rFonts w:ascii="Arial" w:cs="Arial" w:eastAsia="Arial" w:hAnsi="Arial"/>
          <w:sz w:val="22"/>
          <w:szCs w:val="22"/>
          <w:color w:val="auto"/>
        </w:rPr>
        <w:t>FN 27</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10.38 to our Quarterly Report on Form 10-Q for the period ended September 30, 2016,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28</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10.39 to our Annual Report on Form 10-K for the year ended December 31, 2016,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29</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10.40 to our Annual Report on Form 10-K for the year ended December 31, 2016,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30</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10.41 to our Annual Report on Form 10-K for the year ended December 31, 2016, is incorporated herein by reference.</w:t>
      </w:r>
    </w:p>
    <w:p>
      <w:pPr>
        <w:spacing w:after="0" w:line="24" w:lineRule="exact"/>
        <w:rPr>
          <w:sz w:val="20"/>
          <w:szCs w:val="20"/>
          <w:color w:val="auto"/>
        </w:rPr>
      </w:pPr>
    </w:p>
    <w:p>
      <w:pPr>
        <w:ind w:left="900" w:hanging="917"/>
        <w:spacing w:after="0"/>
        <w:tabs>
          <w:tab w:leader="none" w:pos="880" w:val="left"/>
        </w:tabs>
        <w:rPr>
          <w:sz w:val="20"/>
          <w:szCs w:val="20"/>
          <w:color w:val="auto"/>
        </w:rPr>
      </w:pPr>
      <w:r>
        <w:rPr>
          <w:rFonts w:ascii="Arial" w:cs="Arial" w:eastAsia="Arial" w:hAnsi="Arial"/>
          <w:sz w:val="22"/>
          <w:szCs w:val="22"/>
          <w:color w:val="auto"/>
        </w:rPr>
        <w:t>FN 31</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10.42 to our Quarterly Report on Form 10-Q for the period ended September 30, 2018,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32</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10.43 to our Annual Report on Form 10-K for the year ended December 31, 2018,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33</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10.44 to our Annual Report on Form 10-K for the year ended December 31, 2018, is incorporated herein by reference.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300" w:top="523" w:right="299" w:bottom="1440" w:gutter="0" w:footer="0" w:header="0"/>
        </w:sectPr>
      </w:pPr>
    </w:p>
    <w:bookmarkStart w:id="62" w:name="page63"/>
    <w:bookmarkEnd w:id="6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TEJON RANCH CO.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4800" w:val="left"/>
          <w:tab w:leader="none" w:pos="5220" w:val="left"/>
        </w:tabs>
        <w:rPr>
          <w:sz w:val="20"/>
          <w:szCs w:val="20"/>
          <w:color w:val="auto"/>
        </w:rPr>
      </w:pPr>
      <w:r>
        <w:rPr>
          <w:rFonts w:ascii="Arial" w:cs="Arial" w:eastAsia="Arial" w:hAnsi="Arial"/>
          <w:sz w:val="22"/>
          <w:szCs w:val="22"/>
          <w:color w:val="auto"/>
        </w:rPr>
        <w:t>May 7, 2019</w:t>
      </w:r>
      <w:r>
        <w:rPr>
          <w:sz w:val="20"/>
          <w:szCs w:val="20"/>
          <w:color w:val="auto"/>
        </w:rPr>
        <w:tab/>
      </w:r>
      <w:r>
        <w:rPr>
          <w:rFonts w:ascii="Arial" w:cs="Arial" w:eastAsia="Arial" w:hAnsi="Arial"/>
          <w:sz w:val="22"/>
          <w:szCs w:val="22"/>
          <w:color w:val="auto"/>
        </w:rPr>
        <w:t>/s/</w:t>
      </w:r>
      <w:r>
        <w:rPr>
          <w:sz w:val="20"/>
          <w:szCs w:val="20"/>
          <w:color w:val="auto"/>
        </w:rPr>
        <w:tab/>
      </w:r>
      <w:r>
        <w:rPr>
          <w:rFonts w:ascii="Arial" w:cs="Arial" w:eastAsia="Arial" w:hAnsi="Arial"/>
          <w:sz w:val="19"/>
          <w:szCs w:val="19"/>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24765</wp:posOffset>
            </wp:positionV>
            <wp:extent cx="4202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Gregory S. Bielli</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President and Chief Executive Officer</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(Principal Executive Officer)</w:t>
      </w:r>
    </w:p>
    <w:p>
      <w:pPr>
        <w:spacing w:after="0" w:line="382" w:lineRule="exact"/>
        <w:rPr>
          <w:sz w:val="20"/>
          <w:szCs w:val="20"/>
          <w:color w:val="auto"/>
        </w:rPr>
      </w:pPr>
    </w:p>
    <w:p>
      <w:pPr>
        <w:ind w:left="40"/>
        <w:spacing w:after="0"/>
        <w:tabs>
          <w:tab w:leader="none" w:pos="4800" w:val="left"/>
          <w:tab w:leader="none" w:pos="5220" w:val="left"/>
        </w:tabs>
        <w:rPr>
          <w:sz w:val="20"/>
          <w:szCs w:val="20"/>
          <w:color w:val="auto"/>
        </w:rPr>
      </w:pPr>
      <w:r>
        <w:rPr>
          <w:rFonts w:ascii="Arial" w:cs="Arial" w:eastAsia="Arial" w:hAnsi="Arial"/>
          <w:sz w:val="22"/>
          <w:szCs w:val="22"/>
          <w:color w:val="auto"/>
        </w:rPr>
        <w:t>May 7, 2019</w:t>
      </w:r>
      <w:r>
        <w:rPr>
          <w:sz w:val="20"/>
          <w:szCs w:val="20"/>
          <w:color w:val="auto"/>
        </w:rPr>
        <w:tab/>
      </w:r>
      <w:r>
        <w:rPr>
          <w:rFonts w:ascii="Arial" w:cs="Arial" w:eastAsia="Arial" w:hAnsi="Arial"/>
          <w:sz w:val="22"/>
          <w:szCs w:val="22"/>
          <w:color w:val="auto"/>
        </w:rPr>
        <w:t>/s/</w:t>
      </w:r>
      <w:r>
        <w:rPr>
          <w:sz w:val="20"/>
          <w:szCs w:val="20"/>
          <w:color w:val="auto"/>
        </w:rPr>
        <w:tab/>
      </w:r>
      <w:r>
        <w:rPr>
          <w:rFonts w:ascii="Arial" w:cs="Arial" w:eastAsia="Arial" w:hAnsi="Arial"/>
          <w:sz w:val="19"/>
          <w:szCs w:val="19"/>
          <w:color w:val="auto"/>
        </w:rPr>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24765</wp:posOffset>
            </wp:positionV>
            <wp:extent cx="4202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Robert D. Velasquez</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Senior Vice President of Finance and Chief Financial Officer</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240" w:top="369" w:right="49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0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4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4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00" w:val="left"/>
          <w:tab w:leader="none" w:pos="6080" w:val="left"/>
        </w:tabs>
        <w:rPr>
          <w:sz w:val="20"/>
          <w:szCs w:val="20"/>
          <w:color w:val="auto"/>
        </w:rPr>
      </w:pPr>
      <w:r>
        <w:rPr>
          <w:rFonts w:ascii="Arial" w:cs="Arial" w:eastAsia="Arial" w:hAnsi="Arial"/>
          <w:sz w:val="18"/>
          <w:szCs w:val="18"/>
          <w:color w:val="auto"/>
        </w:rPr>
        <w:t>Dated:</w:t>
        <w:tab/>
        <w:t>May 7, 2019</w:t>
      </w:r>
      <w:r>
        <w:rPr>
          <w:sz w:val="20"/>
          <w:szCs w:val="20"/>
          <w:color w:val="auto"/>
        </w:rPr>
        <w:tab/>
      </w:r>
      <w:r>
        <w:rPr>
          <w:rFonts w:ascii="Arial" w:cs="Arial" w:eastAsia="Arial" w:hAnsi="Arial"/>
          <w:sz w:val="16"/>
          <w:szCs w:val="16"/>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580" w:right="25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0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820" w:val="left"/>
          <w:tab w:leader="none" w:pos="4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7, 2019</w:t>
      </w:r>
      <w:r>
        <w:rPr>
          <w:sz w:val="20"/>
          <w:szCs w:val="20"/>
          <w:color w:val="auto"/>
        </w:rPr>
        <w:tab/>
      </w:r>
      <w:r>
        <w:rPr>
          <w:rFonts w:ascii="Arial" w:cs="Arial" w:eastAsia="Arial" w:hAnsi="Arial"/>
          <w:sz w:val="16"/>
          <w:szCs w:val="16"/>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4485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of Finance and Chief Financial Officer</w:t>
      </w:r>
    </w:p>
    <w:p>
      <w:pPr>
        <w:sectPr>
          <w:pgSz w:w="11900" w:h="16838" w:orient="portrait"/>
          <w:cols w:equalWidth="0" w:num="1">
            <w:col w:w="11400"/>
          </w:cols>
          <w:pgMar w:left="240" w:top="580" w:right="259" w:bottom="1440" w:gutter="0" w:footer="0" w:header="0"/>
        </w:sectPr>
      </w:pPr>
    </w:p>
    <w:bookmarkStart w:id="65" w:name="page66"/>
    <w:bookmarkEnd w:id="65"/>
    <w:p>
      <w:pPr>
        <w:ind w:left="52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70" w:lineRule="exact"/>
        <w:rPr>
          <w:sz w:val="20"/>
          <w:szCs w:val="20"/>
          <w:color w:val="auto"/>
        </w:rPr>
      </w:pPr>
    </w:p>
    <w:p>
      <w:pPr>
        <w:ind w:left="640" w:hanging="321"/>
        <w:spacing w:after="0" w:line="258"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March 31, 2019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Dated:</w:t>
            </w:r>
          </w:p>
        </w:tc>
        <w:tc>
          <w:tcPr>
            <w:tcW w:w="2380" w:type="dxa"/>
            <w:vAlign w:val="bottom"/>
          </w:tcPr>
          <w:p>
            <w:pPr>
              <w:ind w:left="1460"/>
              <w:spacing w:after="0"/>
              <w:rPr>
                <w:sz w:val="20"/>
                <w:szCs w:val="20"/>
                <w:color w:val="auto"/>
              </w:rPr>
            </w:pPr>
            <w:r>
              <w:rPr>
                <w:rFonts w:ascii="Arial" w:cs="Arial" w:eastAsia="Arial" w:hAnsi="Arial"/>
                <w:sz w:val="18"/>
                <w:szCs w:val="18"/>
                <w:color w:val="auto"/>
                <w:w w:val="90"/>
              </w:rPr>
              <w:t>May 7, 2019</w:t>
            </w: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47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47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of Finance and Chief Financial Officer</w:t>
      </w:r>
    </w:p>
    <w:sectPr>
      <w:pgSz w:w="11900" w:h="16838" w:orient="portrait"/>
      <w:cols w:equalWidth="0" w:num="1">
        <w:col w:w="11260"/>
      </w:cols>
      <w:pgMar w:left="240" w:top="5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3"/>
    </w:lvl>
  </w:abstractNum>
  <w:abstractNum w:abstractNumId="2">
    <w:nsid w:val="6B68079A"/>
    <w:multiLevelType w:val="hybridMultilevel"/>
    <w:lvl w:ilvl="0">
      <w:lvlJc w:val="left"/>
      <w:lvlText w:val="%1."/>
      <w:numFmt w:val="decimal"/>
      <w:start w:val="5"/>
    </w:lvl>
  </w:abstractNum>
  <w:abstractNum w:abstractNumId="3">
    <w:nsid w:val="4E6AFB66"/>
    <w:multiLevelType w:val="hybridMultilevel"/>
    <w:lvl w:ilvl="0">
      <w:lvlJc w:val="left"/>
      <w:lvlText w:val="%1."/>
      <w:numFmt w:val="decimal"/>
      <w:start w:val="6"/>
    </w:lvl>
  </w:abstractNum>
  <w:abstractNum w:abstractNumId="4">
    <w:nsid w:val="25E45D32"/>
    <w:multiLevelType w:val="hybridMultilevel"/>
    <w:lvl w:ilvl="0">
      <w:lvlJc w:val="left"/>
      <w:lvlText w:val="%1."/>
      <w:numFmt w:val="decimal"/>
      <w:start w:val="8"/>
    </w:lvl>
  </w:abstractNum>
  <w:abstractNum w:abstractNumId="5">
    <w:nsid w:val="519B500D"/>
    <w:multiLevelType w:val="hybridMultilevel"/>
    <w:lvl w:ilvl="0">
      <w:lvlJc w:val="left"/>
      <w:lvlText w:val="%1."/>
      <w:numFmt w:val="decimal"/>
      <w:start w:val="9"/>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5"/>
    </w:lvl>
    <w:lvl w:ilvl="1">
      <w:lvlJc w:val="left"/>
      <w:lvlText w:val="***"/>
      <w:numFmt w:val="bullet"/>
      <w:start w:val="1"/>
    </w:lvl>
  </w:abstractNum>
  <w:abstractNum w:abstractNumId="14">
    <w:nsid w:val="721DA317"/>
    <w:multiLevelType w:val="hybridMultilevel"/>
    <w:lvl w:ilvl="0">
      <w:lvlJc w:val="left"/>
      <w:lvlText w:val="•"/>
      <w:numFmt w:val="bullet"/>
      <w:start w:val="1"/>
    </w:lvl>
    <w:lvl w:ilvl="1">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lvl w:ilvl="1">
      <w:lvlJc w:val="left"/>
      <w:lvlText w:val="◦"/>
      <w:numFmt w:val="bullet"/>
      <w:start w:val="1"/>
    </w:lvl>
  </w:abstractNum>
  <w:abstractNum w:abstractNumId="21">
    <w:nsid w:val="4353D0CD"/>
    <w:multiLevelType w:val="hybridMultilevel"/>
    <w:lvl w:ilvl="0">
      <w:lvlJc w:val="left"/>
      <w:lvlText w:val="•"/>
      <w:numFmt w:val="bullet"/>
      <w:start w:val="1"/>
    </w:lvl>
    <w:lvl w:ilvl="1">
      <w:lvlJc w:val="left"/>
      <w:lvlText w:val="1"/>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42" Type="http://schemas.openxmlformats.org/officeDocument/2006/relationships/image" Target="media/image3.png"/><Relationship Id="rId43" Type="http://schemas.openxmlformats.org/officeDocument/2006/relationships/image" Target="media/image4.png"/><Relationship Id="rId44" Type="http://schemas.openxmlformats.org/officeDocument/2006/relationships/image" Target="media/image5.png"/><Relationship Id="rId45"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9" Type="http://schemas.openxmlformats.org/officeDocument/2006/relationships/hyperlink" Target="http://www.sec.gov/Archives/edgar/data/96869/000009686918000015/ex1042trcmrc3llc.htm" TargetMode="External"/><Relationship Id="rId11" Type="http://schemas.openxmlformats.org/officeDocument/2006/relationships/hyperlink" Target="http://www.sec.gov/Archives/edgar/data/96869/000119312517288540/d451235dex991.htm" TargetMode="External"/><Relationship Id="rId12" Type="http://schemas.openxmlformats.org/officeDocument/2006/relationships/hyperlink" Target="http://www.sec.gov/Archives/edgar/data/96869/000119312505245123/dex41.htm" TargetMode="External"/><Relationship Id="rId13" Type="http://schemas.openxmlformats.org/officeDocument/2006/relationships/hyperlink" Target="http://www.sec.gov/Archives/edgar/data/96869/0000096869-98-000002.txt" TargetMode="External"/><Relationship Id="rId14" Type="http://schemas.openxmlformats.org/officeDocument/2006/relationships/hyperlink" Target="http://www.sec.gov/Archives/edgar/data/96869/000119312509042772/dex109.htm" TargetMode="External"/><Relationship Id="rId15" Type="http://schemas.openxmlformats.org/officeDocument/2006/relationships/hyperlink" Target="http://www.sec.gov/Archives/edgar/data/96869/000119312509042772/dex1010.htm" TargetMode="External"/><Relationship Id="rId16" Type="http://schemas.openxmlformats.org/officeDocument/2006/relationships/hyperlink" Target="http://www.sec.gov/Archives/edgar/data/96869/000102140802004535/dex1016.txt" TargetMode="External"/><Relationship Id="rId17" Type="http://schemas.openxmlformats.org/officeDocument/2006/relationships/hyperlink" Target="http://www.sec.gov/Archives/edgar/data/96869/000119312504082310/dex41.htm" TargetMode="External"/><Relationship Id="rId18" Type="http://schemas.openxmlformats.org/officeDocument/2006/relationships/hyperlink" Target="http://www.sec.gov/Archives/edgar/data/96869/000119312504082310/dex42.htm" TargetMode="External"/><Relationship Id="rId19" Type="http://schemas.openxmlformats.org/officeDocument/2006/relationships/hyperlink" Target="http://www.sec.gov/Archives/edgar/data/96869/000119312505051499/dex1021.htm" TargetMode="External"/><Relationship Id="rId20" Type="http://schemas.openxmlformats.org/officeDocument/2006/relationships/hyperlink" Target="http://www.sec.gov/Archives/edgar/data/96869/000119312505051499/dex1023.htm" TargetMode="External"/><Relationship Id="rId21" Type="http://schemas.openxmlformats.org/officeDocument/2006/relationships/hyperlink" Target="http://www.sec.gov/Archives/edgar/data/96869/000119312505051499/dex1022.htm" TargetMode="External"/><Relationship Id="rId22" Type="http://schemas.openxmlformats.org/officeDocument/2006/relationships/hyperlink" Target="http://www.sec.gov/Archives/edgar/data/96869/000119312506118520/dex1024.htm" TargetMode="External"/><Relationship Id="rId23" Type="http://schemas.openxmlformats.org/officeDocument/2006/relationships/hyperlink" Target="http://www.sec.gov/Archives/edgar/data/96869/000119312508138009/dex1028.htm" TargetMode="External"/><Relationship Id="rId24" Type="http://schemas.openxmlformats.org/officeDocument/2006/relationships/hyperlink" Target="http://www.sec.gov/Archives/edgar/data/96869/000119312509170594/dex1025.htm" TargetMode="External"/><Relationship Id="rId25" Type="http://schemas.openxmlformats.org/officeDocument/2006/relationships/hyperlink" Target="http://www.sec.gov/Archives/edgar/data/96869/000144530513001209/exhibit1026-execagreementa.htm" TargetMode="External"/><Relationship Id="rId26" Type="http://schemas.openxmlformats.org/officeDocument/2006/relationships/hyperlink" Target="http://www.sec.gov/Archives/edgar/data/96869/000119312513246605/d549609dex1027.htm" TargetMode="External"/><Relationship Id="rId27" Type="http://schemas.openxmlformats.org/officeDocument/2006/relationships/hyperlink" Target="http://www.sec.gov/Archives/edgar/data/96869/000119312513326495/d581835dex101.htm" TargetMode="External"/><Relationship Id="rId28" Type="http://schemas.openxmlformats.org/officeDocument/2006/relationships/hyperlink" Target="http://www.sec.gov/Archives/edgar/data/96869/000009686914000009/exhibit1029tmvamendments20.htm" TargetMode="External"/><Relationship Id="rId29" Type="http://schemas.openxmlformats.org/officeDocument/2006/relationships/hyperlink" Target="http://www.sec.gov/Archives/edgar/data/96869/000119312514270067/d758856dex1030.htm" TargetMode="External"/><Relationship Id="rId30" Type="http://schemas.openxmlformats.org/officeDocument/2006/relationships/hyperlink" Target="http://www.sec.gov/Archives/edgar/data/96869/000119312514375013/d806135dex1031.htm" TargetMode="External"/><Relationship Id="rId31" Type="http://schemas.openxmlformats.org/officeDocument/2006/relationships/hyperlink" Target="http://www.sec.gov/Archives/edgar/data/96869/000119312514375013/d806135dex1032.htm" TargetMode="External"/><Relationship Id="rId32" Type="http://schemas.openxmlformats.org/officeDocument/2006/relationships/hyperlink" Target="http://www.sec.gov/Archives/edgar/data/96869/000119312514375013/d806135dex1033.htm" TargetMode="External"/><Relationship Id="rId33" Type="http://schemas.openxmlformats.org/officeDocument/2006/relationships/hyperlink" Target="http://www.sec.gov/Archives/edgar/data/96869/000009686915000003/exhibit1034calpineagreemen.htm" TargetMode="External"/><Relationship Id="rId34" Type="http://schemas.openxmlformats.org/officeDocument/2006/relationships/hyperlink" Target="http://www.sec.gov/Archives/edgar/data/96869/000009686915000010/ex1035q32015.htm" TargetMode="External"/><Relationship Id="rId35" Type="http://schemas.openxmlformats.org/officeDocument/2006/relationships/hyperlink" Target="http://www.sec.gov/Archives/edgar/data/96869/000009686916000017/ex1037limitedliabilityagre.htm" TargetMode="External"/><Relationship Id="rId36" Type="http://schemas.openxmlformats.org/officeDocument/2006/relationships/hyperlink" Target="http://www.sec.gov/Archives/edgar/data/96869/000009686916000019/ex1038llagreementoftrc-mrc1.htm" TargetMode="External"/><Relationship Id="rId37" Type="http://schemas.openxmlformats.org/officeDocument/2006/relationships/hyperlink" Target="http://www.sec.gov/Archives/edgar/data/96869/000009686917000002/exhibit1039centennialredem.htm" TargetMode="External"/><Relationship Id="rId38" Type="http://schemas.openxmlformats.org/officeDocument/2006/relationships/hyperlink" Target="http://www.sec.gov/Archives/edgar/data/96869/000009686917000002/exhibit1040firstamendmentt.htm" TargetMode="External"/><Relationship Id="rId39" Type="http://schemas.openxmlformats.org/officeDocument/2006/relationships/hyperlink" Target="http://www.sec.gov/Archives/edgar/data/96869/000009686917000002/exhibit1041secondamendment.htm" TargetMode="External"/><Relationship Id="rId40" Type="http://schemas.openxmlformats.org/officeDocument/2006/relationships/hyperlink" Target="http://www.sec.gov/Archives/edgar/data/96869/000009686919000004/exhibit1043201810k.htm" TargetMode="External"/><Relationship Id="rId41" Type="http://schemas.openxmlformats.org/officeDocument/2006/relationships/hyperlink" Target="http://www.sec.gov/Archives/edgar/data/96869/000009686919000004/exhibit1044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2019-12-28T12:56:19Z</dcterms:created>
  <dcterms:modified xsi:type="dcterms:W3CDTF">2019-12-28T12:56:19Z</dcterms:modified>
</cp:coreProperties>
</file>