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 10-Q</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197" w:lineRule="exact"/>
        <w:rPr>
          <w:sz w:val="24"/>
          <w:szCs w:val="24"/>
          <w:color w:val="auto"/>
        </w:rPr>
      </w:pPr>
    </w:p>
    <w:p>
      <w:pPr>
        <w:jc w:val="center"/>
        <w:ind w:left="4420" w:right="2300" w:hanging="2071"/>
        <w:spacing w:after="0" w:line="264" w:lineRule="auto"/>
        <w:tabs>
          <w:tab w:leader="none" w:pos="2506"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 For the quarterly period ended June 30, 2023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41" w:lineRule="exact"/>
        <w:rPr>
          <w:sz w:val="24"/>
          <w:szCs w:val="24"/>
          <w:color w:val="auto"/>
        </w:rPr>
      </w:pPr>
    </w:p>
    <w:p>
      <w:pPr>
        <w:ind w:left="2500" w:hanging="158"/>
        <w:spacing w:after="0"/>
        <w:tabs>
          <w:tab w:leader="none" w:pos="25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83185</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TEJON RANCH CO.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77-0196136</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(I.R.S. Employer Identification No.)</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P.O. Box 1000, Tejon Ranch, California 93243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(Zip Code)</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(661) 248-3000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tbl>
      <w:tblPr>
        <w:tblLayout w:type="fixed"/>
        <w:tblInd w:w="12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20" w:type="dxa"/>
            <w:vAlign w:val="bottom"/>
          </w:tcPr>
          <w:p>
            <w:pPr>
              <w:spacing w:after="0"/>
              <w:rPr>
                <w:sz w:val="16"/>
                <w:szCs w:val="16"/>
                <w:color w:val="auto"/>
              </w:rPr>
            </w:pPr>
          </w:p>
        </w:tc>
      </w:tr>
      <w:tr>
        <w:trPr>
          <w:trHeight w:val="276"/>
        </w:trPr>
        <w:tc>
          <w:tcPr>
            <w:tcW w:w="3400" w:type="dxa"/>
            <w:vAlign w:val="bottom"/>
          </w:tcPr>
          <w:p>
            <w:pPr>
              <w:jc w:val="center"/>
              <w:ind w:left="629"/>
              <w:spacing w:after="0"/>
              <w:rPr>
                <w:sz w:val="20"/>
                <w:szCs w:val="20"/>
                <w:color w:val="auto"/>
              </w:rPr>
            </w:pPr>
            <w:r>
              <w:rPr>
                <w:rFonts w:ascii="Arial" w:cs="Arial" w:eastAsia="Arial" w:hAnsi="Arial"/>
                <w:sz w:val="14"/>
                <w:szCs w:val="14"/>
                <w:b w:val="1"/>
                <w:bCs w:val="1"/>
                <w:color w:val="auto"/>
                <w:w w:val="87"/>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Pr>
          <w:p>
            <w:pPr>
              <w:jc w:val="center"/>
              <w:ind w:right="82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5"/>
        </w:trPr>
        <w:tc>
          <w:tcPr>
            <w:tcW w:w="3400" w:type="dxa"/>
            <w:vAlign w:val="bottom"/>
            <w:tcBorders>
              <w:top w:val="single" w:sz="8" w:color="auto"/>
            </w:tcBorders>
          </w:tcPr>
          <w:p>
            <w:pPr>
              <w:jc w:val="center"/>
              <w:ind w:left="609"/>
              <w:spacing w:after="0"/>
              <w:rPr>
                <w:sz w:val="20"/>
                <w:szCs w:val="20"/>
                <w:color w:val="auto"/>
              </w:rPr>
            </w:pPr>
            <w:r>
              <w:rPr>
                <w:rFonts w:ascii="Arial" w:cs="Arial" w:eastAsia="Arial" w:hAnsi="Arial"/>
                <w:sz w:val="14"/>
                <w:szCs w:val="14"/>
                <w:b w:val="1"/>
                <w:bCs w:val="1"/>
                <w:color w:val="auto"/>
                <w:w w:val="91"/>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TRC</w:t>
            </w: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09"/>
              <w:spacing w:after="0"/>
              <w:rPr>
                <w:sz w:val="20"/>
                <w:szCs w:val="20"/>
                <w:color w:val="auto"/>
              </w:rPr>
            </w:pPr>
            <w:r>
              <w:rPr>
                <w:rFonts w:ascii="Arial" w:cs="Arial" w:eastAsia="Arial" w:hAnsi="Arial"/>
                <w:sz w:val="14"/>
                <w:szCs w:val="14"/>
                <w:b w:val="1"/>
                <w:bCs w:val="1"/>
                <w:color w:val="auto"/>
                <w:w w:val="90"/>
              </w:rPr>
              <w:t>New York Stock Exchange</w:t>
            </w:r>
          </w:p>
        </w:tc>
      </w:tr>
    </w:tbl>
    <w:p>
      <w:pPr>
        <w:spacing w:after="0" w:line="297" w:lineRule="exact"/>
        <w:rPr>
          <w:sz w:val="24"/>
          <w:szCs w:val="24"/>
          <w:color w:val="auto"/>
        </w:rPr>
      </w:pPr>
    </w:p>
    <w:p>
      <w:pPr>
        <w:jc w:val="both"/>
        <w:ind w:left="20" w:right="60"/>
        <w:spacing w:after="0" w:line="15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9" w:lineRule="exact"/>
        <w:rPr>
          <w:sz w:val="24"/>
          <w:szCs w:val="24"/>
          <w:color w:val="auto"/>
        </w:rPr>
      </w:pPr>
    </w:p>
    <w:p>
      <w:pPr>
        <w:ind w:left="20" w:right="120"/>
        <w:spacing w:after="0" w:line="15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ind w:left="20"/>
        <w:spacing w:after="0" w:line="2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3" w:right="359" w:bottom="1440" w:gutter="0" w:footer="0" w:header="0"/>
        </w:sectPr>
      </w:pPr>
    </w:p>
    <w:p>
      <w:pPr>
        <w:spacing w:after="0" w:line="83" w:lineRule="exact"/>
        <w:rPr>
          <w:sz w:val="24"/>
          <w:szCs w:val="24"/>
          <w:color w:val="auto"/>
        </w:rPr>
      </w:pPr>
    </w:p>
    <w:p>
      <w:pPr>
        <w:ind w:left="240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88" w:lineRule="exact"/>
        <w:rPr>
          <w:sz w:val="24"/>
          <w:szCs w:val="24"/>
          <w:color w:val="auto"/>
        </w:rPr>
      </w:pPr>
    </w:p>
    <w:p>
      <w:pPr>
        <w:sectPr>
          <w:pgSz w:w="11900" w:h="16838" w:orient="portrait"/>
          <w:cols w:equalWidth="0" w:num="2">
            <w:col w:w="4820" w:space="720"/>
            <w:col w:w="5700"/>
          </w:cols>
          <w:pgMar w:left="300" w:top="783" w:right="359" w:bottom="1440" w:gutter="0" w:footer="0" w:header="0"/>
          <w:type w:val="continuous"/>
        </w:sectPr>
      </w:pPr>
    </w:p>
    <w:p>
      <w:pPr>
        <w:ind w:left="2460"/>
        <w:spacing w:after="0" w:line="138"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91" w:lineRule="exact"/>
        <w:rPr>
          <w:sz w:val="24"/>
          <w:szCs w:val="24"/>
          <w:color w:val="auto"/>
        </w:rPr>
      </w:pPr>
    </w:p>
    <w:p>
      <w:pPr>
        <w:sectPr>
          <w:pgSz w:w="11900" w:h="16838" w:orient="portrait"/>
          <w:cols w:equalWidth="0" w:num="2">
            <w:col w:w="4280" w:space="720"/>
            <w:col w:w="6240"/>
          </w:cols>
          <w:pgMar w:left="300" w:top="783" w:right="359" w:bottom="1440" w:gutter="0" w:footer="0" w:header="0"/>
          <w:type w:val="continuous"/>
        </w:sectPr>
      </w:pPr>
    </w:p>
    <w:p>
      <w:pPr>
        <w:jc w:val="center"/>
        <w:ind w:right="-279"/>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240"/>
          </w:cols>
          <w:pgMar w:left="300" w:top="783" w:right="359" w:bottom="1440" w:gutter="0" w:footer="0" w:header="0"/>
          <w:type w:val="continuous"/>
        </w:sectPr>
      </w:pPr>
    </w:p>
    <w:p>
      <w:pPr>
        <w:spacing w:after="0" w:line="185" w:lineRule="exact"/>
        <w:rPr>
          <w:sz w:val="24"/>
          <w:szCs w:val="24"/>
          <w:color w:val="auto"/>
        </w:rPr>
      </w:pPr>
    </w:p>
    <w:p>
      <w:pPr>
        <w:ind w:left="20" w:right="180"/>
        <w:spacing w:after="0" w:line="15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7"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the Company’s outstanding shares of Common Stock on July 31, 2023 was 26,726,464.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3"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Page</w:t>
            </w:r>
          </w:p>
        </w:tc>
      </w:tr>
      <w:tr>
        <w:trPr>
          <w:trHeight w:val="171"/>
        </w:trPr>
        <w:tc>
          <w:tcPr>
            <w:tcW w:w="940" w:type="dxa"/>
            <w:vAlign w:val="bottom"/>
          </w:tcPr>
          <w:p>
            <w:pPr>
              <w:ind w:left="20"/>
              <w:spacing w:after="0"/>
              <w:rPr>
                <w:sz w:val="20"/>
                <w:szCs w:val="20"/>
                <w:color w:val="auto"/>
              </w:rPr>
            </w:pPr>
            <w:r>
              <w:rPr>
                <w:rFonts w:ascii="Arial" w:cs="Arial" w:eastAsia="Arial" w:hAnsi="Arial"/>
                <w:sz w:val="14"/>
                <w:szCs w:val="14"/>
                <w:color w:val="auto"/>
              </w:rPr>
              <w:t>PART I.</w:t>
            </w:r>
          </w:p>
        </w:tc>
        <w:tc>
          <w:tcPr>
            <w:tcW w:w="9380" w:type="dxa"/>
            <w:vAlign w:val="bottom"/>
          </w:tcPr>
          <w:p>
            <w:pPr>
              <w:ind w:left="40"/>
              <w:spacing w:after="0"/>
              <w:rPr>
                <w:sz w:val="20"/>
                <w:szCs w:val="20"/>
                <w:color w:val="auto"/>
              </w:rPr>
            </w:pPr>
            <w:r>
              <w:rPr>
                <w:rFonts w:ascii="Arial" w:cs="Arial" w:eastAsia="Arial" w:hAnsi="Arial"/>
                <w:sz w:val="14"/>
                <w:szCs w:val="14"/>
                <w:color w:val="auto"/>
              </w:rPr>
              <w:t>FINANCIAL INFORMATION</w:t>
            </w:r>
          </w:p>
        </w:tc>
        <w:tc>
          <w:tcPr>
            <w:tcW w:w="960" w:type="dxa"/>
            <w:vAlign w:val="bottom"/>
          </w:tcPr>
          <w:p>
            <w:pPr>
              <w:spacing w:after="0"/>
              <w:rPr>
                <w:sz w:val="14"/>
                <w:szCs w:val="14"/>
                <w:color w:val="auto"/>
              </w:rPr>
            </w:pP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Item 1.</w:t>
            </w:r>
          </w:p>
        </w:tc>
        <w:tc>
          <w:tcPr>
            <w:tcW w:w="9380" w:type="dxa"/>
            <w:vAlign w:val="bottom"/>
          </w:tcPr>
          <w:p>
            <w:pPr>
              <w:ind w:left="40"/>
              <w:spacing w:after="0"/>
              <w:rPr>
                <w:sz w:val="20"/>
                <w:szCs w:val="20"/>
                <w:color w:val="auto"/>
              </w:rPr>
            </w:pPr>
            <w:r>
              <w:rPr>
                <w:rFonts w:ascii="Arial" w:cs="Arial" w:eastAsia="Arial" w:hAnsi="Arial"/>
                <w:sz w:val="14"/>
                <w:szCs w:val="14"/>
                <w:color w:val="auto"/>
              </w:rPr>
              <w:t>Financial Statements</w:t>
            </w:r>
          </w:p>
        </w:tc>
        <w:tc>
          <w:tcPr>
            <w:tcW w:w="960" w:type="dxa"/>
            <w:vAlign w:val="bottom"/>
          </w:tcPr>
          <w:p>
            <w:pPr>
              <w:spacing w:after="0"/>
              <w:rPr>
                <w:sz w:val="24"/>
                <w:szCs w:val="24"/>
                <w:color w:val="auto"/>
              </w:rPr>
            </w:pPr>
          </w:p>
        </w:tc>
      </w:tr>
      <w:tr>
        <w:trPr>
          <w:trHeight w:val="308"/>
        </w:trPr>
        <w:tc>
          <w:tcPr>
            <w:tcW w:w="940" w:type="dxa"/>
            <w:vAlign w:val="bottom"/>
          </w:tcPr>
          <w:p>
            <w:pPr>
              <w:spacing w:after="0"/>
              <w:rPr>
                <w:sz w:val="24"/>
                <w:szCs w:val="24"/>
                <w:color w:val="auto"/>
              </w:rPr>
            </w:pPr>
          </w:p>
        </w:tc>
        <w:tc>
          <w:tcPr>
            <w:tcW w:w="9380" w:type="dxa"/>
            <w:vAlign w:val="bottom"/>
          </w:tcPr>
          <w:p>
            <w:pPr>
              <w:ind w:left="40"/>
              <w:spacing w:after="0"/>
              <w:rPr>
                <w:sz w:val="20"/>
                <w:szCs w:val="20"/>
                <w:color w:val="auto"/>
              </w:rPr>
            </w:pPr>
            <w:r>
              <w:rPr>
                <w:rFonts w:ascii="Arial" w:cs="Arial" w:eastAsia="Arial" w:hAnsi="Arial"/>
                <w:sz w:val="14"/>
                <w:szCs w:val="14"/>
                <w:color w:val="auto"/>
              </w:rPr>
              <w:t>Unaudited Consolidated Statements of Operations for the Three and Six Months Ended June 30, 2023 and 2022</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4</w:t>
            </w:r>
          </w:p>
        </w:tc>
      </w:tr>
      <w:tr>
        <w:trPr>
          <w:trHeight w:val="318"/>
        </w:trPr>
        <w:tc>
          <w:tcPr>
            <w:tcW w:w="940" w:type="dxa"/>
            <w:vAlign w:val="bottom"/>
          </w:tcPr>
          <w:p>
            <w:pPr>
              <w:spacing w:after="0"/>
              <w:rPr>
                <w:sz w:val="24"/>
                <w:szCs w:val="24"/>
                <w:color w:val="auto"/>
              </w:rPr>
            </w:pPr>
          </w:p>
        </w:tc>
        <w:tc>
          <w:tcPr>
            <w:tcW w:w="9380" w:type="dxa"/>
            <w:vAlign w:val="bottom"/>
          </w:tcPr>
          <w:p>
            <w:pPr>
              <w:ind w:left="40"/>
              <w:spacing w:after="0"/>
              <w:rPr>
                <w:sz w:val="20"/>
                <w:szCs w:val="20"/>
                <w:color w:val="auto"/>
              </w:rPr>
            </w:pPr>
            <w:r>
              <w:rPr>
                <w:rFonts w:ascii="Arial" w:cs="Arial" w:eastAsia="Arial" w:hAnsi="Arial"/>
                <w:sz w:val="14"/>
                <w:szCs w:val="14"/>
                <w:color w:val="auto"/>
              </w:rPr>
              <w:t>Unaudited Consolidated Statements of Comprehensive Income for the Three and Six Months Ended June 30, 2023 and 2022</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5</w:t>
            </w:r>
          </w:p>
        </w:tc>
      </w:tr>
      <w:tr>
        <w:trPr>
          <w:trHeight w:val="308"/>
        </w:trPr>
        <w:tc>
          <w:tcPr>
            <w:tcW w:w="940" w:type="dxa"/>
            <w:vAlign w:val="bottom"/>
          </w:tcPr>
          <w:p>
            <w:pPr>
              <w:spacing w:after="0"/>
              <w:rPr>
                <w:sz w:val="24"/>
                <w:szCs w:val="24"/>
                <w:color w:val="auto"/>
              </w:rPr>
            </w:pPr>
          </w:p>
        </w:tc>
        <w:tc>
          <w:tcPr>
            <w:tcW w:w="9380" w:type="dxa"/>
            <w:vAlign w:val="bottom"/>
          </w:tcPr>
          <w:p>
            <w:pPr>
              <w:ind w:left="40"/>
              <w:spacing w:after="0"/>
              <w:rPr>
                <w:sz w:val="20"/>
                <w:szCs w:val="20"/>
                <w:color w:val="auto"/>
              </w:rPr>
            </w:pPr>
            <w:r>
              <w:rPr>
                <w:rFonts w:ascii="Arial" w:cs="Arial" w:eastAsia="Arial" w:hAnsi="Arial"/>
                <w:sz w:val="14"/>
                <w:szCs w:val="14"/>
                <w:color w:val="auto"/>
              </w:rPr>
              <w:t>Consolidated Balance Sheets as of June 30, 2023 (unaudited) and December 31, 2022</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6</w:t>
            </w:r>
          </w:p>
        </w:tc>
      </w:tr>
      <w:tr>
        <w:trPr>
          <w:trHeight w:val="308"/>
        </w:trPr>
        <w:tc>
          <w:tcPr>
            <w:tcW w:w="940" w:type="dxa"/>
            <w:vAlign w:val="bottom"/>
          </w:tcPr>
          <w:p>
            <w:pPr>
              <w:spacing w:after="0"/>
              <w:rPr>
                <w:sz w:val="24"/>
                <w:szCs w:val="24"/>
                <w:color w:val="auto"/>
              </w:rPr>
            </w:pPr>
          </w:p>
        </w:tc>
        <w:tc>
          <w:tcPr>
            <w:tcW w:w="9380" w:type="dxa"/>
            <w:vAlign w:val="bottom"/>
          </w:tcPr>
          <w:p>
            <w:pPr>
              <w:ind w:left="40"/>
              <w:spacing w:after="0"/>
              <w:rPr>
                <w:sz w:val="20"/>
                <w:szCs w:val="20"/>
                <w:color w:val="auto"/>
              </w:rPr>
            </w:pPr>
            <w:r>
              <w:rPr>
                <w:rFonts w:ascii="Arial" w:cs="Arial" w:eastAsia="Arial" w:hAnsi="Arial"/>
                <w:sz w:val="14"/>
                <w:szCs w:val="14"/>
                <w:color w:val="auto"/>
              </w:rPr>
              <w:t>Unaudited Consolidated Statements of Cash Flows for the Six Months Ended June 30, 2023 and 2022</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w:t>
            </w:r>
          </w:p>
        </w:tc>
      </w:tr>
      <w:tr>
        <w:trPr>
          <w:trHeight w:val="318"/>
        </w:trPr>
        <w:tc>
          <w:tcPr>
            <w:tcW w:w="940" w:type="dxa"/>
            <w:vAlign w:val="bottom"/>
          </w:tcPr>
          <w:p>
            <w:pPr>
              <w:spacing w:after="0"/>
              <w:rPr>
                <w:sz w:val="24"/>
                <w:szCs w:val="24"/>
                <w:color w:val="auto"/>
              </w:rPr>
            </w:pPr>
          </w:p>
        </w:tc>
        <w:tc>
          <w:tcPr>
            <w:tcW w:w="9380" w:type="dxa"/>
            <w:vAlign w:val="bottom"/>
          </w:tcPr>
          <w:p>
            <w:pPr>
              <w:ind w:left="40"/>
              <w:spacing w:after="0"/>
              <w:rPr>
                <w:sz w:val="20"/>
                <w:szCs w:val="20"/>
                <w:color w:val="auto"/>
              </w:rPr>
            </w:pPr>
            <w:r>
              <w:rPr>
                <w:rFonts w:ascii="Arial" w:cs="Arial" w:eastAsia="Arial" w:hAnsi="Arial"/>
                <w:sz w:val="14"/>
                <w:szCs w:val="14"/>
                <w:color w:val="auto"/>
              </w:rPr>
              <w:t>Unaudited Consolidated Statement of Changes in Equity and Noncontrolling Interests for the Three and Six Months Ended June 30, 2023 and 2022</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9</w:t>
            </w:r>
          </w:p>
        </w:tc>
      </w:tr>
      <w:tr>
        <w:trPr>
          <w:trHeight w:val="308"/>
        </w:trPr>
        <w:tc>
          <w:tcPr>
            <w:tcW w:w="940" w:type="dxa"/>
            <w:vAlign w:val="bottom"/>
          </w:tcPr>
          <w:p>
            <w:pPr>
              <w:spacing w:after="0"/>
              <w:rPr>
                <w:sz w:val="24"/>
                <w:szCs w:val="24"/>
                <w:color w:val="auto"/>
              </w:rPr>
            </w:pPr>
          </w:p>
        </w:tc>
        <w:tc>
          <w:tcPr>
            <w:tcW w:w="9380" w:type="dxa"/>
            <w:vAlign w:val="bottom"/>
          </w:tcPr>
          <w:p>
            <w:pPr>
              <w:ind w:left="40"/>
              <w:spacing w:after="0"/>
              <w:rPr>
                <w:sz w:val="20"/>
                <w:szCs w:val="20"/>
                <w:color w:val="auto"/>
              </w:rPr>
            </w:pPr>
            <w:r>
              <w:rPr>
                <w:rFonts w:ascii="Arial" w:cs="Arial" w:eastAsia="Arial" w:hAnsi="Arial"/>
                <w:sz w:val="14"/>
                <w:szCs w:val="14"/>
                <w:color w:val="auto"/>
              </w:rPr>
              <w:t>Notes to Unaudited Consolidated Financial Statements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11</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Item 2.</w:t>
            </w:r>
          </w:p>
        </w:tc>
        <w:tc>
          <w:tcPr>
            <w:tcW w:w="9380" w:type="dxa"/>
            <w:vAlign w:val="bottom"/>
          </w:tcPr>
          <w:p>
            <w:pPr>
              <w:ind w:left="4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27</w:t>
            </w:r>
          </w:p>
        </w:tc>
      </w:tr>
      <w:tr>
        <w:trPr>
          <w:trHeight w:val="318"/>
        </w:trPr>
        <w:tc>
          <w:tcPr>
            <w:tcW w:w="940" w:type="dxa"/>
            <w:vAlign w:val="bottom"/>
          </w:tcPr>
          <w:p>
            <w:pPr>
              <w:ind w:left="20"/>
              <w:spacing w:after="0"/>
              <w:rPr>
                <w:sz w:val="20"/>
                <w:szCs w:val="20"/>
                <w:color w:val="auto"/>
              </w:rPr>
            </w:pPr>
            <w:r>
              <w:rPr>
                <w:rFonts w:ascii="Arial" w:cs="Arial" w:eastAsia="Arial" w:hAnsi="Arial"/>
                <w:sz w:val="14"/>
                <w:szCs w:val="14"/>
                <w:color w:val="auto"/>
              </w:rPr>
              <w:t>Item 3.</w:t>
            </w:r>
          </w:p>
        </w:tc>
        <w:tc>
          <w:tcPr>
            <w:tcW w:w="9380" w:type="dxa"/>
            <w:vAlign w:val="bottom"/>
          </w:tcPr>
          <w:p>
            <w:pPr>
              <w:ind w:left="40"/>
              <w:spacing w:after="0"/>
              <w:rPr>
                <w:sz w:val="20"/>
                <w:szCs w:val="20"/>
                <w:color w:val="auto"/>
              </w:rPr>
            </w:pPr>
            <w:r>
              <w:rPr>
                <w:rFonts w:ascii="Arial" w:cs="Arial" w:eastAsia="Arial" w:hAnsi="Arial"/>
                <w:sz w:val="14"/>
                <w:szCs w:val="14"/>
                <w:color w:val="auto"/>
              </w:rPr>
              <w:t>Quantitative and Qualitative Disclosures About Market Risk</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44</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Item 4.</w:t>
            </w:r>
          </w:p>
        </w:tc>
        <w:tc>
          <w:tcPr>
            <w:tcW w:w="9380" w:type="dxa"/>
            <w:vAlign w:val="bottom"/>
          </w:tcPr>
          <w:p>
            <w:pPr>
              <w:ind w:left="40"/>
              <w:spacing w:after="0"/>
              <w:rPr>
                <w:sz w:val="20"/>
                <w:szCs w:val="20"/>
                <w:color w:val="auto"/>
              </w:rPr>
            </w:pPr>
            <w:r>
              <w:rPr>
                <w:rFonts w:ascii="Arial" w:cs="Arial" w:eastAsia="Arial" w:hAnsi="Arial"/>
                <w:sz w:val="14"/>
                <w:szCs w:val="14"/>
                <w:color w:val="auto"/>
              </w:rPr>
              <w:t>Controls and Procedures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46</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PART II.</w:t>
            </w:r>
          </w:p>
        </w:tc>
        <w:tc>
          <w:tcPr>
            <w:tcW w:w="9380" w:type="dxa"/>
            <w:vAlign w:val="bottom"/>
          </w:tcPr>
          <w:p>
            <w:pPr>
              <w:ind w:left="40"/>
              <w:spacing w:after="0"/>
              <w:rPr>
                <w:sz w:val="20"/>
                <w:szCs w:val="20"/>
                <w:color w:val="auto"/>
              </w:rPr>
            </w:pPr>
            <w:r>
              <w:rPr>
                <w:rFonts w:ascii="Arial" w:cs="Arial" w:eastAsia="Arial" w:hAnsi="Arial"/>
                <w:sz w:val="14"/>
                <w:szCs w:val="14"/>
                <w:color w:val="auto"/>
              </w:rPr>
              <w:t>OTHER INFORMATION</w:t>
            </w:r>
          </w:p>
        </w:tc>
        <w:tc>
          <w:tcPr>
            <w:tcW w:w="960" w:type="dxa"/>
            <w:vAlign w:val="bottom"/>
          </w:tcPr>
          <w:p>
            <w:pPr>
              <w:spacing w:after="0"/>
              <w:rPr>
                <w:sz w:val="24"/>
                <w:szCs w:val="24"/>
                <w:color w:val="auto"/>
              </w:rPr>
            </w:pPr>
          </w:p>
        </w:tc>
      </w:tr>
      <w:tr>
        <w:trPr>
          <w:trHeight w:val="318"/>
        </w:trPr>
        <w:tc>
          <w:tcPr>
            <w:tcW w:w="940" w:type="dxa"/>
            <w:vAlign w:val="bottom"/>
          </w:tcPr>
          <w:p>
            <w:pPr>
              <w:ind w:left="20"/>
              <w:spacing w:after="0"/>
              <w:rPr>
                <w:sz w:val="20"/>
                <w:szCs w:val="20"/>
                <w:color w:val="auto"/>
              </w:rPr>
            </w:pPr>
            <w:r>
              <w:rPr>
                <w:rFonts w:ascii="Arial" w:cs="Arial" w:eastAsia="Arial" w:hAnsi="Arial"/>
                <w:sz w:val="14"/>
                <w:szCs w:val="14"/>
                <w:color w:val="auto"/>
              </w:rPr>
              <w:t>Item 1.</w:t>
            </w:r>
          </w:p>
        </w:tc>
        <w:tc>
          <w:tcPr>
            <w:tcW w:w="9380" w:type="dxa"/>
            <w:vAlign w:val="bottom"/>
          </w:tcPr>
          <w:p>
            <w:pPr>
              <w:ind w:left="40"/>
              <w:spacing w:after="0"/>
              <w:rPr>
                <w:sz w:val="20"/>
                <w:szCs w:val="20"/>
                <w:color w:val="auto"/>
              </w:rPr>
            </w:pPr>
            <w:r>
              <w:rPr>
                <w:rFonts w:ascii="Arial" w:cs="Arial" w:eastAsia="Arial" w:hAnsi="Arial"/>
                <w:sz w:val="14"/>
                <w:szCs w:val="14"/>
                <w:color w:val="auto"/>
              </w:rPr>
              <w:t>Legal Proceedings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Item 1A.</w:t>
            </w:r>
          </w:p>
        </w:tc>
        <w:tc>
          <w:tcPr>
            <w:tcW w:w="9380" w:type="dxa"/>
            <w:vAlign w:val="bottom"/>
          </w:tcPr>
          <w:p>
            <w:pPr>
              <w:ind w:left="40"/>
              <w:spacing w:after="0"/>
              <w:rPr>
                <w:sz w:val="20"/>
                <w:szCs w:val="20"/>
                <w:color w:val="auto"/>
              </w:rPr>
            </w:pPr>
            <w:r>
              <w:rPr>
                <w:rFonts w:ascii="Arial" w:cs="Arial" w:eastAsia="Arial" w:hAnsi="Arial"/>
                <w:sz w:val="14"/>
                <w:szCs w:val="14"/>
                <w:color w:val="auto"/>
              </w:rPr>
              <w:t>Risk Factors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Item 2.</w:t>
            </w:r>
          </w:p>
        </w:tc>
        <w:tc>
          <w:tcPr>
            <w:tcW w:w="9380" w:type="dxa"/>
            <w:vAlign w:val="bottom"/>
          </w:tcPr>
          <w:p>
            <w:pPr>
              <w:ind w:left="40"/>
              <w:spacing w:after="0"/>
              <w:rPr>
                <w:sz w:val="20"/>
                <w:szCs w:val="20"/>
                <w:color w:val="auto"/>
              </w:rPr>
            </w:pPr>
            <w:r>
              <w:rPr>
                <w:rFonts w:ascii="Arial" w:cs="Arial" w:eastAsia="Arial" w:hAnsi="Arial"/>
                <w:sz w:val="14"/>
                <w:szCs w:val="14"/>
                <w:color w:val="auto"/>
              </w:rPr>
              <w:t>Unregistered Sales of Equity Securities and Use of Proceeds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r>
      <w:tr>
        <w:trPr>
          <w:trHeight w:val="318"/>
        </w:trPr>
        <w:tc>
          <w:tcPr>
            <w:tcW w:w="940" w:type="dxa"/>
            <w:vAlign w:val="bottom"/>
          </w:tcPr>
          <w:p>
            <w:pPr>
              <w:ind w:left="20"/>
              <w:spacing w:after="0"/>
              <w:rPr>
                <w:sz w:val="20"/>
                <w:szCs w:val="20"/>
                <w:color w:val="auto"/>
              </w:rPr>
            </w:pPr>
            <w:r>
              <w:rPr>
                <w:rFonts w:ascii="Arial" w:cs="Arial" w:eastAsia="Arial" w:hAnsi="Arial"/>
                <w:sz w:val="14"/>
                <w:szCs w:val="14"/>
                <w:color w:val="auto"/>
              </w:rPr>
              <w:t>Item 3.</w:t>
            </w:r>
          </w:p>
        </w:tc>
        <w:tc>
          <w:tcPr>
            <w:tcW w:w="9380" w:type="dxa"/>
            <w:vAlign w:val="bottom"/>
          </w:tcPr>
          <w:p>
            <w:pPr>
              <w:ind w:left="40"/>
              <w:spacing w:after="0"/>
              <w:rPr>
                <w:sz w:val="20"/>
                <w:szCs w:val="20"/>
                <w:color w:val="auto"/>
              </w:rPr>
            </w:pPr>
            <w:r>
              <w:rPr>
                <w:rFonts w:ascii="Arial" w:cs="Arial" w:eastAsia="Arial" w:hAnsi="Arial"/>
                <w:sz w:val="14"/>
                <w:szCs w:val="14"/>
                <w:color w:val="auto"/>
              </w:rPr>
              <w:t>Defaults Upon Senior Securities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Item 4.</w:t>
            </w:r>
          </w:p>
        </w:tc>
        <w:tc>
          <w:tcPr>
            <w:tcW w:w="9380" w:type="dxa"/>
            <w:vAlign w:val="bottom"/>
          </w:tcPr>
          <w:p>
            <w:pPr>
              <w:ind w:left="40"/>
              <w:spacing w:after="0"/>
              <w:rPr>
                <w:sz w:val="20"/>
                <w:szCs w:val="20"/>
                <w:color w:val="auto"/>
              </w:rPr>
            </w:pPr>
            <w:r>
              <w:rPr>
                <w:rFonts w:ascii="Arial" w:cs="Arial" w:eastAsia="Arial" w:hAnsi="Arial"/>
                <w:sz w:val="14"/>
                <w:szCs w:val="14"/>
                <w:color w:val="auto"/>
              </w:rPr>
              <w:t>Mine Safety Disclosures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rPr>
              <w:t>Item 5.</w:t>
            </w:r>
          </w:p>
        </w:tc>
        <w:tc>
          <w:tcPr>
            <w:tcW w:w="9380" w:type="dxa"/>
            <w:vAlign w:val="bottom"/>
          </w:tcPr>
          <w:p>
            <w:pPr>
              <w:ind w:left="40"/>
              <w:spacing w:after="0"/>
              <w:rPr>
                <w:sz w:val="20"/>
                <w:szCs w:val="20"/>
                <w:color w:val="auto"/>
              </w:rPr>
            </w:pPr>
            <w:r>
              <w:rPr>
                <w:rFonts w:ascii="Arial" w:cs="Arial" w:eastAsia="Arial" w:hAnsi="Arial"/>
                <w:sz w:val="14"/>
                <w:szCs w:val="14"/>
                <w:color w:val="auto"/>
              </w:rPr>
              <w:t>Other Information</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r>
      <w:tr>
        <w:trPr>
          <w:trHeight w:val="318"/>
        </w:trPr>
        <w:tc>
          <w:tcPr>
            <w:tcW w:w="940" w:type="dxa"/>
            <w:vAlign w:val="bottom"/>
          </w:tcPr>
          <w:p>
            <w:pPr>
              <w:ind w:left="20"/>
              <w:spacing w:after="0"/>
              <w:rPr>
                <w:sz w:val="20"/>
                <w:szCs w:val="20"/>
                <w:color w:val="auto"/>
              </w:rPr>
            </w:pPr>
            <w:r>
              <w:rPr>
                <w:rFonts w:ascii="Arial" w:cs="Arial" w:eastAsia="Arial" w:hAnsi="Arial"/>
                <w:sz w:val="14"/>
                <w:szCs w:val="14"/>
                <w:color w:val="auto"/>
              </w:rPr>
              <w:t>Item 6.</w:t>
            </w:r>
          </w:p>
        </w:tc>
        <w:tc>
          <w:tcPr>
            <w:tcW w:w="9380" w:type="dxa"/>
            <w:vAlign w:val="bottom"/>
          </w:tcPr>
          <w:p>
            <w:pPr>
              <w:ind w:left="40"/>
              <w:spacing w:after="0"/>
              <w:rPr>
                <w:sz w:val="20"/>
                <w:szCs w:val="20"/>
                <w:color w:val="auto"/>
              </w:rPr>
            </w:pPr>
            <w:r>
              <w:rPr>
                <w:rFonts w:ascii="Arial" w:cs="Arial" w:eastAsia="Arial" w:hAnsi="Arial"/>
                <w:sz w:val="14"/>
                <w:szCs w:val="14"/>
                <w:color w:val="auto"/>
              </w:rPr>
              <w:t>Exhibits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r>
      <w:tr>
        <w:trPr>
          <w:trHeight w:val="308"/>
        </w:trPr>
        <w:tc>
          <w:tcPr>
            <w:tcW w:w="940" w:type="dxa"/>
            <w:vAlign w:val="bottom"/>
          </w:tcPr>
          <w:p>
            <w:pPr>
              <w:ind w:left="20"/>
              <w:spacing w:after="0"/>
              <w:rPr>
                <w:sz w:val="20"/>
                <w:szCs w:val="20"/>
                <w:color w:val="auto"/>
              </w:rPr>
            </w:pPr>
            <w:r>
              <w:rPr>
                <w:rFonts w:ascii="Arial" w:cs="Arial" w:eastAsia="Arial" w:hAnsi="Arial"/>
                <w:sz w:val="14"/>
                <w:szCs w:val="14"/>
                <w:color w:val="auto"/>
                <w:w w:val="98"/>
              </w:rPr>
              <w:t>SIGNATURES</w:t>
            </w:r>
          </w:p>
        </w:tc>
        <w:tc>
          <w:tcPr>
            <w:tcW w:w="93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51</w:t>
            </w:r>
          </w:p>
        </w:tc>
      </w:tr>
      <w:tr>
        <w:trPr>
          <w:trHeight w:val="679"/>
        </w:trPr>
        <w:tc>
          <w:tcPr>
            <w:tcW w:w="940" w:type="dxa"/>
            <w:vAlign w:val="bottom"/>
          </w:tcPr>
          <w:p>
            <w:pPr>
              <w:spacing w:after="0"/>
              <w:rPr>
                <w:sz w:val="24"/>
                <w:szCs w:val="24"/>
                <w:color w:val="auto"/>
              </w:rPr>
            </w:pPr>
          </w:p>
        </w:tc>
        <w:tc>
          <w:tcPr>
            <w:tcW w:w="9380" w:type="dxa"/>
            <w:vAlign w:val="bottom"/>
          </w:tcPr>
          <w:p>
            <w:pPr>
              <w:ind w:left="4660"/>
              <w:spacing w:after="0"/>
              <w:rPr>
                <w:sz w:val="20"/>
                <w:szCs w:val="20"/>
                <w:color w:val="auto"/>
              </w:rPr>
            </w:pPr>
            <w:r>
              <w:rPr>
                <w:rFonts w:ascii="Arial" w:cs="Arial" w:eastAsia="Arial" w:hAnsi="Arial"/>
                <w:sz w:val="14"/>
                <w:szCs w:val="14"/>
                <w:color w:val="auto"/>
              </w:rPr>
              <w:t>2</w:t>
            </w:r>
          </w:p>
        </w:tc>
        <w:tc>
          <w:tcPr>
            <w:tcW w:w="960" w:type="dxa"/>
            <w:vAlign w:val="bottom"/>
          </w:tcPr>
          <w:p>
            <w:pPr>
              <w:spacing w:after="0"/>
              <w:rPr>
                <w:sz w:val="24"/>
                <w:szCs w:val="24"/>
                <w:color w:val="auto"/>
              </w:rPr>
            </w:pPr>
          </w:p>
        </w:tc>
      </w:tr>
      <w:tr>
        <w:trPr>
          <w:trHeight w:val="87"/>
        </w:trPr>
        <w:tc>
          <w:tcPr>
            <w:tcW w:w="940" w:type="dxa"/>
            <w:vAlign w:val="bottom"/>
            <w:tcBorders>
              <w:bottom w:val="single" w:sz="8" w:color="9A9A9A"/>
            </w:tcBorders>
          </w:tcPr>
          <w:p>
            <w:pPr>
              <w:spacing w:after="0"/>
              <w:rPr>
                <w:sz w:val="7"/>
                <w:szCs w:val="7"/>
                <w:color w:val="auto"/>
              </w:rPr>
            </w:pPr>
          </w:p>
        </w:tc>
        <w:tc>
          <w:tcPr>
            <w:tcW w:w="93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006EBF"/>
        </w:rPr>
        <w:t>Glossary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initialisms or acronyms may be used in this document and shall be defined as set forth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AKIP</w:t>
            </w:r>
          </w:p>
        </w:tc>
        <w:tc>
          <w:tcPr>
            <w:tcW w:w="9760" w:type="dxa"/>
            <w:vAlign w:val="bottom"/>
          </w:tcPr>
          <w:p>
            <w:pPr>
              <w:ind w:left="840"/>
              <w:spacing w:after="0"/>
              <w:rPr>
                <w:sz w:val="20"/>
                <w:szCs w:val="20"/>
                <w:color w:val="auto"/>
              </w:rPr>
            </w:pPr>
            <w:r>
              <w:rPr>
                <w:rFonts w:ascii="Arial" w:cs="Arial" w:eastAsia="Arial" w:hAnsi="Arial"/>
                <w:sz w:val="14"/>
                <w:szCs w:val="14"/>
                <w:color w:val="auto"/>
              </w:rPr>
              <w:t>Advance Kern Incentive Program</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ASC</w:t>
            </w:r>
          </w:p>
        </w:tc>
        <w:tc>
          <w:tcPr>
            <w:tcW w:w="9760" w:type="dxa"/>
            <w:vAlign w:val="bottom"/>
          </w:tcPr>
          <w:p>
            <w:pPr>
              <w:ind w:left="840"/>
              <w:spacing w:after="0"/>
              <w:rPr>
                <w:sz w:val="20"/>
                <w:szCs w:val="20"/>
                <w:color w:val="auto"/>
              </w:rPr>
            </w:pPr>
            <w:r>
              <w:rPr>
                <w:rFonts w:ascii="Arial" w:cs="Arial" w:eastAsia="Arial" w:hAnsi="Arial"/>
                <w:sz w:val="14"/>
                <w:szCs w:val="14"/>
                <w:color w:val="auto"/>
              </w:rPr>
              <w:t>Accounting Standards Codification</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ASU</w:t>
            </w:r>
          </w:p>
        </w:tc>
        <w:tc>
          <w:tcPr>
            <w:tcW w:w="9760" w:type="dxa"/>
            <w:vAlign w:val="bottom"/>
          </w:tcPr>
          <w:p>
            <w:pPr>
              <w:ind w:left="840"/>
              <w:spacing w:after="0"/>
              <w:rPr>
                <w:sz w:val="20"/>
                <w:szCs w:val="20"/>
                <w:color w:val="auto"/>
              </w:rPr>
            </w:pPr>
            <w:r>
              <w:rPr>
                <w:rFonts w:ascii="Arial" w:cs="Arial" w:eastAsia="Arial" w:hAnsi="Arial"/>
                <w:sz w:val="14"/>
                <w:szCs w:val="14"/>
                <w:color w:val="auto"/>
              </w:rPr>
              <w:t>Accounting Standards Update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AVEK</w:t>
            </w:r>
          </w:p>
        </w:tc>
        <w:tc>
          <w:tcPr>
            <w:tcW w:w="9760" w:type="dxa"/>
            <w:vAlign w:val="bottom"/>
          </w:tcPr>
          <w:p>
            <w:pPr>
              <w:ind w:left="840"/>
              <w:spacing w:after="0"/>
              <w:rPr>
                <w:sz w:val="20"/>
                <w:szCs w:val="20"/>
                <w:color w:val="auto"/>
              </w:rPr>
            </w:pPr>
            <w:r>
              <w:rPr>
                <w:rFonts w:ascii="Arial" w:cs="Arial" w:eastAsia="Arial" w:hAnsi="Arial"/>
                <w:sz w:val="14"/>
                <w:szCs w:val="14"/>
                <w:color w:val="auto"/>
              </w:rPr>
              <w:t>Antelope Valley East Kern Water Agency</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CFL</w:t>
            </w:r>
          </w:p>
        </w:tc>
        <w:tc>
          <w:tcPr>
            <w:tcW w:w="9760" w:type="dxa"/>
            <w:vAlign w:val="bottom"/>
          </w:tcPr>
          <w:p>
            <w:pPr>
              <w:ind w:left="840"/>
              <w:spacing w:after="0"/>
              <w:rPr>
                <w:sz w:val="20"/>
                <w:szCs w:val="20"/>
                <w:color w:val="auto"/>
              </w:rPr>
            </w:pPr>
            <w:r>
              <w:rPr>
                <w:rFonts w:ascii="Arial" w:cs="Arial" w:eastAsia="Arial" w:hAnsi="Arial"/>
                <w:sz w:val="14"/>
                <w:szCs w:val="14"/>
                <w:color w:val="auto"/>
              </w:rPr>
              <w:t>Centennial Founders, LLC</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CBD</w:t>
            </w:r>
          </w:p>
        </w:tc>
        <w:tc>
          <w:tcPr>
            <w:tcW w:w="9760" w:type="dxa"/>
            <w:vAlign w:val="bottom"/>
          </w:tcPr>
          <w:p>
            <w:pPr>
              <w:ind w:left="840"/>
              <w:spacing w:after="0"/>
              <w:rPr>
                <w:sz w:val="20"/>
                <w:szCs w:val="20"/>
                <w:color w:val="auto"/>
              </w:rPr>
            </w:pPr>
            <w:r>
              <w:rPr>
                <w:rFonts w:ascii="Arial" w:cs="Arial" w:eastAsia="Arial" w:hAnsi="Arial"/>
                <w:sz w:val="14"/>
                <w:szCs w:val="14"/>
                <w:color w:val="auto"/>
              </w:rPr>
              <w:t>Center for Biological Diversity</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CEQA</w:t>
            </w:r>
          </w:p>
        </w:tc>
        <w:tc>
          <w:tcPr>
            <w:tcW w:w="9760" w:type="dxa"/>
            <w:vAlign w:val="bottom"/>
          </w:tcPr>
          <w:p>
            <w:pPr>
              <w:ind w:left="840"/>
              <w:spacing w:after="0"/>
              <w:rPr>
                <w:sz w:val="20"/>
                <w:szCs w:val="20"/>
                <w:color w:val="auto"/>
              </w:rPr>
            </w:pPr>
            <w:r>
              <w:rPr>
                <w:rFonts w:ascii="Arial" w:cs="Arial" w:eastAsia="Arial" w:hAnsi="Arial"/>
                <w:sz w:val="14"/>
                <w:szCs w:val="14"/>
                <w:color w:val="auto"/>
              </w:rPr>
              <w:t>California Environmental Quality Act</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CFD</w:t>
            </w:r>
          </w:p>
        </w:tc>
        <w:tc>
          <w:tcPr>
            <w:tcW w:w="9760" w:type="dxa"/>
            <w:vAlign w:val="bottom"/>
          </w:tcPr>
          <w:p>
            <w:pPr>
              <w:ind w:left="840"/>
              <w:spacing w:after="0"/>
              <w:rPr>
                <w:sz w:val="20"/>
                <w:szCs w:val="20"/>
                <w:color w:val="auto"/>
              </w:rPr>
            </w:pPr>
            <w:r>
              <w:rPr>
                <w:rFonts w:ascii="Arial" w:cs="Arial" w:eastAsia="Arial" w:hAnsi="Arial"/>
                <w:sz w:val="14"/>
                <w:szCs w:val="14"/>
                <w:color w:val="auto"/>
              </w:rPr>
              <w:t>Community Facilities District</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CNPS</w:t>
            </w:r>
          </w:p>
        </w:tc>
        <w:tc>
          <w:tcPr>
            <w:tcW w:w="9760" w:type="dxa"/>
            <w:vAlign w:val="bottom"/>
          </w:tcPr>
          <w:p>
            <w:pPr>
              <w:ind w:left="840"/>
              <w:spacing w:after="0"/>
              <w:rPr>
                <w:sz w:val="20"/>
                <w:szCs w:val="20"/>
                <w:color w:val="auto"/>
              </w:rPr>
            </w:pPr>
            <w:r>
              <w:rPr>
                <w:rFonts w:ascii="Arial" w:cs="Arial" w:eastAsia="Arial" w:hAnsi="Arial"/>
                <w:sz w:val="14"/>
                <w:szCs w:val="14"/>
                <w:color w:val="auto"/>
              </w:rPr>
              <w:t>California Native Plant Society</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EBITDA</w:t>
            </w:r>
          </w:p>
        </w:tc>
        <w:tc>
          <w:tcPr>
            <w:tcW w:w="9760" w:type="dxa"/>
            <w:vAlign w:val="bottom"/>
          </w:tcPr>
          <w:p>
            <w:pPr>
              <w:ind w:left="840"/>
              <w:spacing w:after="0"/>
              <w:rPr>
                <w:sz w:val="20"/>
                <w:szCs w:val="20"/>
                <w:color w:val="auto"/>
              </w:rPr>
            </w:pPr>
            <w:r>
              <w:rPr>
                <w:rFonts w:ascii="Arial" w:cs="Arial" w:eastAsia="Arial" w:hAnsi="Arial"/>
                <w:sz w:val="14"/>
                <w:szCs w:val="14"/>
                <w:color w:val="auto"/>
              </w:rPr>
              <w:t>Earnings Before Interest Tax Depreciation and Amortization</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EIR</w:t>
            </w:r>
          </w:p>
        </w:tc>
        <w:tc>
          <w:tcPr>
            <w:tcW w:w="9760" w:type="dxa"/>
            <w:vAlign w:val="bottom"/>
          </w:tcPr>
          <w:p>
            <w:pPr>
              <w:ind w:left="840"/>
              <w:spacing w:after="0"/>
              <w:rPr>
                <w:sz w:val="20"/>
                <w:szCs w:val="20"/>
                <w:color w:val="auto"/>
              </w:rPr>
            </w:pPr>
            <w:r>
              <w:rPr>
                <w:rFonts w:ascii="Arial" w:cs="Arial" w:eastAsia="Arial" w:hAnsi="Arial"/>
                <w:sz w:val="14"/>
                <w:szCs w:val="14"/>
                <w:color w:val="auto"/>
              </w:rPr>
              <w:t>Environmental Impact Report</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FTZ</w:t>
            </w:r>
          </w:p>
        </w:tc>
        <w:tc>
          <w:tcPr>
            <w:tcW w:w="9760" w:type="dxa"/>
            <w:vAlign w:val="bottom"/>
          </w:tcPr>
          <w:p>
            <w:pPr>
              <w:ind w:left="840"/>
              <w:spacing w:after="0"/>
              <w:rPr>
                <w:sz w:val="20"/>
                <w:szCs w:val="20"/>
                <w:color w:val="auto"/>
              </w:rPr>
            </w:pPr>
            <w:r>
              <w:rPr>
                <w:rFonts w:ascii="Arial" w:cs="Arial" w:eastAsia="Arial" w:hAnsi="Arial"/>
                <w:sz w:val="14"/>
                <w:szCs w:val="14"/>
                <w:color w:val="auto"/>
              </w:rPr>
              <w:t>Foreign Trade Zone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GAAP</w:t>
            </w:r>
          </w:p>
        </w:tc>
        <w:tc>
          <w:tcPr>
            <w:tcW w:w="9760" w:type="dxa"/>
            <w:vAlign w:val="bottom"/>
          </w:tcPr>
          <w:p>
            <w:pPr>
              <w:ind w:left="840"/>
              <w:spacing w:after="0"/>
              <w:rPr>
                <w:sz w:val="20"/>
                <w:szCs w:val="20"/>
                <w:color w:val="auto"/>
              </w:rPr>
            </w:pPr>
            <w:r>
              <w:rPr>
                <w:rFonts w:ascii="Arial" w:cs="Arial" w:eastAsia="Arial" w:hAnsi="Arial"/>
                <w:sz w:val="14"/>
                <w:szCs w:val="14"/>
                <w:color w:val="auto"/>
              </w:rPr>
              <w:t>Generally Accepted Accounting Principles</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GHG</w:t>
            </w:r>
          </w:p>
        </w:tc>
        <w:tc>
          <w:tcPr>
            <w:tcW w:w="9760" w:type="dxa"/>
            <w:vAlign w:val="bottom"/>
          </w:tcPr>
          <w:p>
            <w:pPr>
              <w:ind w:left="840"/>
              <w:spacing w:after="0"/>
              <w:rPr>
                <w:sz w:val="20"/>
                <w:szCs w:val="20"/>
                <w:color w:val="auto"/>
              </w:rPr>
            </w:pPr>
            <w:r>
              <w:rPr>
                <w:rFonts w:ascii="Arial" w:cs="Arial" w:eastAsia="Arial" w:hAnsi="Arial"/>
                <w:sz w:val="14"/>
                <w:szCs w:val="14"/>
                <w:color w:val="auto"/>
              </w:rPr>
              <w:t>Green House Gas</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LIBOR</w:t>
            </w:r>
          </w:p>
        </w:tc>
        <w:tc>
          <w:tcPr>
            <w:tcW w:w="9760" w:type="dxa"/>
            <w:vAlign w:val="bottom"/>
          </w:tcPr>
          <w:p>
            <w:pPr>
              <w:ind w:left="840"/>
              <w:spacing w:after="0"/>
              <w:rPr>
                <w:sz w:val="20"/>
                <w:szCs w:val="20"/>
                <w:color w:val="auto"/>
              </w:rPr>
            </w:pPr>
            <w:r>
              <w:rPr>
                <w:rFonts w:ascii="Arial" w:cs="Arial" w:eastAsia="Arial" w:hAnsi="Arial"/>
                <w:sz w:val="14"/>
                <w:szCs w:val="14"/>
                <w:color w:val="auto"/>
              </w:rPr>
              <w:t>London Interbank Offered Rate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MV</w:t>
            </w:r>
          </w:p>
        </w:tc>
        <w:tc>
          <w:tcPr>
            <w:tcW w:w="9760" w:type="dxa"/>
            <w:vAlign w:val="bottom"/>
          </w:tcPr>
          <w:p>
            <w:pPr>
              <w:ind w:left="840"/>
              <w:spacing w:after="0"/>
              <w:rPr>
                <w:sz w:val="20"/>
                <w:szCs w:val="20"/>
                <w:color w:val="auto"/>
              </w:rPr>
            </w:pPr>
            <w:r>
              <w:rPr>
                <w:rFonts w:ascii="Arial" w:cs="Arial" w:eastAsia="Arial" w:hAnsi="Arial"/>
                <w:sz w:val="14"/>
                <w:szCs w:val="14"/>
                <w:color w:val="auto"/>
              </w:rPr>
              <w:t>Mountain Village at Tejon Ranch</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NOI</w:t>
            </w:r>
          </w:p>
        </w:tc>
        <w:tc>
          <w:tcPr>
            <w:tcW w:w="9760" w:type="dxa"/>
            <w:vAlign w:val="bottom"/>
          </w:tcPr>
          <w:p>
            <w:pPr>
              <w:ind w:left="840"/>
              <w:spacing w:after="0"/>
              <w:rPr>
                <w:sz w:val="20"/>
                <w:szCs w:val="20"/>
                <w:color w:val="auto"/>
              </w:rPr>
            </w:pPr>
            <w:r>
              <w:rPr>
                <w:rFonts w:ascii="Arial" w:cs="Arial" w:eastAsia="Arial" w:hAnsi="Arial"/>
                <w:sz w:val="14"/>
                <w:szCs w:val="14"/>
                <w:color w:val="auto"/>
              </w:rPr>
              <w:t>Net Operating Income</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PEF</w:t>
            </w:r>
          </w:p>
        </w:tc>
        <w:tc>
          <w:tcPr>
            <w:tcW w:w="9760" w:type="dxa"/>
            <w:vAlign w:val="bottom"/>
          </w:tcPr>
          <w:p>
            <w:pPr>
              <w:ind w:left="840"/>
              <w:spacing w:after="0"/>
              <w:rPr>
                <w:sz w:val="20"/>
                <w:szCs w:val="20"/>
                <w:color w:val="auto"/>
              </w:rPr>
            </w:pPr>
            <w:r>
              <w:rPr>
                <w:rFonts w:ascii="Arial" w:cs="Arial" w:eastAsia="Arial" w:hAnsi="Arial"/>
                <w:sz w:val="14"/>
                <w:szCs w:val="14"/>
                <w:color w:val="auto"/>
              </w:rPr>
              <w:t>Pastoria Energy Facility, LLC</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RWA</w:t>
            </w:r>
          </w:p>
        </w:tc>
        <w:tc>
          <w:tcPr>
            <w:tcW w:w="9760" w:type="dxa"/>
            <w:vAlign w:val="bottom"/>
          </w:tcPr>
          <w:p>
            <w:pPr>
              <w:ind w:left="840"/>
              <w:spacing w:after="0"/>
              <w:rPr>
                <w:sz w:val="20"/>
                <w:szCs w:val="20"/>
                <w:color w:val="auto"/>
              </w:rPr>
            </w:pPr>
            <w:r>
              <w:rPr>
                <w:rFonts w:ascii="Arial" w:cs="Arial" w:eastAsia="Arial" w:hAnsi="Arial"/>
                <w:sz w:val="14"/>
                <w:szCs w:val="14"/>
                <w:color w:val="auto"/>
              </w:rPr>
              <w:t>Tejon Ranch Conservation and Land Use Agreement</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SEC</w:t>
            </w:r>
          </w:p>
        </w:tc>
        <w:tc>
          <w:tcPr>
            <w:tcW w:w="9760" w:type="dxa"/>
            <w:vAlign w:val="bottom"/>
          </w:tcPr>
          <w:p>
            <w:pPr>
              <w:ind w:left="840"/>
              <w:spacing w:after="0"/>
              <w:rPr>
                <w:sz w:val="20"/>
                <w:szCs w:val="20"/>
                <w:color w:val="auto"/>
              </w:rPr>
            </w:pPr>
            <w:r>
              <w:rPr>
                <w:rFonts w:ascii="Arial" w:cs="Arial" w:eastAsia="Arial" w:hAnsi="Arial"/>
                <w:sz w:val="14"/>
                <w:szCs w:val="14"/>
                <w:color w:val="auto"/>
              </w:rPr>
              <w:t>Securities and Exchange Commission</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SOFR</w:t>
            </w:r>
          </w:p>
        </w:tc>
        <w:tc>
          <w:tcPr>
            <w:tcW w:w="9760" w:type="dxa"/>
            <w:vAlign w:val="bottom"/>
          </w:tcPr>
          <w:p>
            <w:pPr>
              <w:ind w:left="840"/>
              <w:spacing w:after="0"/>
              <w:rPr>
                <w:sz w:val="20"/>
                <w:szCs w:val="20"/>
                <w:color w:val="auto"/>
              </w:rPr>
            </w:pPr>
            <w:r>
              <w:rPr>
                <w:rFonts w:ascii="Arial" w:cs="Arial" w:eastAsia="Arial" w:hAnsi="Arial"/>
                <w:sz w:val="14"/>
                <w:szCs w:val="14"/>
                <w:color w:val="auto"/>
              </w:rPr>
              <w:t>Secured Overnight Financing Rate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SWP</w:t>
            </w:r>
          </w:p>
        </w:tc>
        <w:tc>
          <w:tcPr>
            <w:tcW w:w="9760" w:type="dxa"/>
            <w:vAlign w:val="bottom"/>
          </w:tcPr>
          <w:p>
            <w:pPr>
              <w:ind w:left="840"/>
              <w:spacing w:after="0"/>
              <w:rPr>
                <w:sz w:val="20"/>
                <w:szCs w:val="20"/>
                <w:color w:val="auto"/>
              </w:rPr>
            </w:pPr>
            <w:r>
              <w:rPr>
                <w:rFonts w:ascii="Arial" w:cs="Arial" w:eastAsia="Arial" w:hAnsi="Arial"/>
                <w:sz w:val="14"/>
                <w:szCs w:val="14"/>
                <w:color w:val="auto"/>
              </w:rPr>
              <w:t>State Water Project</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TCWD</w:t>
            </w:r>
          </w:p>
        </w:tc>
        <w:tc>
          <w:tcPr>
            <w:tcW w:w="9760" w:type="dxa"/>
            <w:vAlign w:val="bottom"/>
          </w:tcPr>
          <w:p>
            <w:pPr>
              <w:ind w:left="840"/>
              <w:spacing w:after="0"/>
              <w:rPr>
                <w:sz w:val="20"/>
                <w:szCs w:val="20"/>
                <w:color w:val="auto"/>
              </w:rPr>
            </w:pPr>
            <w:r>
              <w:rPr>
                <w:rFonts w:ascii="Arial" w:cs="Arial" w:eastAsia="Arial" w:hAnsi="Arial"/>
                <w:sz w:val="14"/>
                <w:szCs w:val="14"/>
                <w:color w:val="auto"/>
              </w:rPr>
              <w:t>Tejon-Castac Water District</w:t>
            </w:r>
          </w:p>
        </w:tc>
      </w:tr>
      <w:tr>
        <w:trPr>
          <w:trHeight w:val="191"/>
        </w:trPr>
        <w:tc>
          <w:tcPr>
            <w:tcW w:w="1520" w:type="dxa"/>
            <w:vAlign w:val="bottom"/>
          </w:tcPr>
          <w:p>
            <w:pPr>
              <w:ind w:left="20"/>
              <w:spacing w:after="0"/>
              <w:rPr>
                <w:sz w:val="20"/>
                <w:szCs w:val="20"/>
                <w:color w:val="auto"/>
              </w:rPr>
            </w:pPr>
            <w:r>
              <w:rPr>
                <w:rFonts w:ascii="Arial" w:cs="Arial" w:eastAsia="Arial" w:hAnsi="Arial"/>
                <w:sz w:val="14"/>
                <w:szCs w:val="14"/>
                <w:color w:val="auto"/>
              </w:rPr>
              <w:t>TRCC</w:t>
            </w:r>
          </w:p>
        </w:tc>
        <w:tc>
          <w:tcPr>
            <w:tcW w:w="9760" w:type="dxa"/>
            <w:vAlign w:val="bottom"/>
          </w:tcPr>
          <w:p>
            <w:pPr>
              <w:ind w:left="840"/>
              <w:spacing w:after="0"/>
              <w:rPr>
                <w:sz w:val="20"/>
                <w:szCs w:val="20"/>
                <w:color w:val="auto"/>
              </w:rPr>
            </w:pPr>
            <w:r>
              <w:rPr>
                <w:rFonts w:ascii="Arial" w:cs="Arial" w:eastAsia="Arial" w:hAnsi="Arial"/>
                <w:sz w:val="14"/>
                <w:szCs w:val="14"/>
                <w:color w:val="auto"/>
              </w:rPr>
              <w:t>Tejon Ranch Commerce Center</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TRPFFA</w:t>
            </w:r>
          </w:p>
        </w:tc>
        <w:tc>
          <w:tcPr>
            <w:tcW w:w="9760" w:type="dxa"/>
            <w:vAlign w:val="bottom"/>
          </w:tcPr>
          <w:p>
            <w:pPr>
              <w:ind w:left="840"/>
              <w:spacing w:after="0"/>
              <w:rPr>
                <w:sz w:val="20"/>
                <w:szCs w:val="20"/>
                <w:color w:val="auto"/>
              </w:rPr>
            </w:pPr>
            <w:r>
              <w:rPr>
                <w:rFonts w:ascii="Arial" w:cs="Arial" w:eastAsia="Arial" w:hAnsi="Arial"/>
                <w:sz w:val="14"/>
                <w:szCs w:val="14"/>
                <w:color w:val="auto"/>
              </w:rPr>
              <w:t>Tejon Ranch Public Facilities Financing Authority</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WRMWSD</w:t>
            </w:r>
          </w:p>
        </w:tc>
        <w:tc>
          <w:tcPr>
            <w:tcW w:w="9760" w:type="dxa"/>
            <w:vAlign w:val="bottom"/>
          </w:tcPr>
          <w:p>
            <w:pPr>
              <w:ind w:left="840"/>
              <w:spacing w:after="0"/>
              <w:rPr>
                <w:sz w:val="20"/>
                <w:szCs w:val="20"/>
                <w:color w:val="auto"/>
              </w:rPr>
            </w:pPr>
            <w:r>
              <w:rPr>
                <w:rFonts w:ascii="Arial" w:cs="Arial" w:eastAsia="Arial" w:hAnsi="Arial"/>
                <w:sz w:val="14"/>
                <w:szCs w:val="14"/>
                <w:color w:val="auto"/>
              </w:rPr>
              <w:t>Wheeler Ridge Maricopa Water Storage District</w:t>
            </w:r>
          </w:p>
        </w:tc>
      </w:tr>
      <w:tr>
        <w:trPr>
          <w:trHeight w:val="679"/>
        </w:trPr>
        <w:tc>
          <w:tcPr>
            <w:tcW w:w="1520" w:type="dxa"/>
            <w:vAlign w:val="bottom"/>
          </w:tcPr>
          <w:p>
            <w:pPr>
              <w:spacing w:after="0"/>
              <w:rPr>
                <w:sz w:val="24"/>
                <w:szCs w:val="24"/>
                <w:color w:val="auto"/>
              </w:rPr>
            </w:pPr>
          </w:p>
        </w:tc>
        <w:tc>
          <w:tcPr>
            <w:tcW w:w="9760" w:type="dxa"/>
            <w:vAlign w:val="bottom"/>
          </w:tcPr>
          <w:p>
            <w:pPr>
              <w:ind w:left="4080"/>
              <w:spacing w:after="0"/>
              <w:rPr>
                <w:sz w:val="20"/>
                <w:szCs w:val="20"/>
                <w:color w:val="auto"/>
              </w:rPr>
            </w:pPr>
            <w:r>
              <w:rPr>
                <w:rFonts w:ascii="Arial" w:cs="Arial" w:eastAsia="Arial" w:hAnsi="Arial"/>
                <w:sz w:val="14"/>
                <w:szCs w:val="14"/>
                <w:color w:val="auto"/>
              </w:rPr>
              <w:t>3</w:t>
            </w:r>
          </w:p>
        </w:tc>
      </w:tr>
      <w:tr>
        <w:trPr>
          <w:trHeight w:val="87"/>
        </w:trPr>
        <w:tc>
          <w:tcPr>
            <w:tcW w:w="1520" w:type="dxa"/>
            <w:vAlign w:val="bottom"/>
            <w:tcBorders>
              <w:bottom w:val="single" w:sz="8" w:color="9A9A9A"/>
            </w:tcBorders>
          </w:tcPr>
          <w:p>
            <w:pPr>
              <w:spacing w:after="0"/>
              <w:rPr>
                <w:sz w:val="7"/>
                <w:szCs w:val="7"/>
                <w:color w:val="auto"/>
              </w:rPr>
            </w:pPr>
          </w:p>
        </w:tc>
        <w:tc>
          <w:tcPr>
            <w:tcW w:w="9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color w:val="auto"/>
              </w:rPr>
              <w:t>Three Months Ended June 30,</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6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Arial" w:cs="Arial" w:eastAsia="Arial" w:hAnsi="Arial"/>
                <w:sz w:val="14"/>
                <w:szCs w:val="14"/>
                <w:color w:val="auto"/>
              </w:rPr>
              <w:t>2022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 commercial/industrial</w:t>
            </w:r>
          </w:p>
        </w:tc>
        <w:tc>
          <w:tcPr>
            <w:tcW w:w="102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1120" w:type="dxa"/>
            <w:vAlign w:val="bottom"/>
            <w:gridSpan w:val="2"/>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9,811</w:t>
            </w:r>
          </w:p>
        </w:tc>
        <w:tc>
          <w:tcPr>
            <w:tcW w:w="0" w:type="dxa"/>
            <w:vAlign w:val="bottom"/>
          </w:tcPr>
          <w:p>
            <w:pPr>
              <w:spacing w:after="0"/>
              <w:rPr>
                <w:sz w:val="1"/>
                <w:szCs w:val="1"/>
                <w:color w:val="auto"/>
              </w:rPr>
            </w:pPr>
          </w:p>
        </w:tc>
      </w:tr>
      <w:tr>
        <w:trPr>
          <w:trHeight w:val="185"/>
        </w:trPr>
        <w:tc>
          <w:tcPr>
            <w:tcW w:w="4700" w:type="dxa"/>
            <w:vAlign w:val="bottom"/>
          </w:tcPr>
          <w:p>
            <w:pPr>
              <w:ind w:left="280"/>
              <w:spacing w:after="0"/>
              <w:rPr>
                <w:sz w:val="20"/>
                <w:szCs w:val="20"/>
                <w:color w:val="auto"/>
              </w:rPr>
            </w:pPr>
            <w:r>
              <w:rPr>
                <w:rFonts w:ascii="Arial" w:cs="Arial" w:eastAsia="Arial" w:hAnsi="Arial"/>
                <w:sz w:val="14"/>
                <w:szCs w:val="14"/>
                <w:color w:val="auto"/>
              </w:rPr>
              <w:t>Mineral resources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1,600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16,099</w:t>
            </w: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Farming</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0" w:type="dxa"/>
            <w:vAlign w:val="bottom"/>
          </w:tcPr>
          <w:p>
            <w:pPr>
              <w:spacing w:after="0"/>
              <w:rPr>
                <w:sz w:val="1"/>
                <w:szCs w:val="1"/>
                <w:color w:val="auto"/>
              </w:rPr>
            </w:pPr>
          </w:p>
        </w:tc>
      </w:tr>
      <w:tr>
        <w:trPr>
          <w:trHeight w:val="180"/>
        </w:trPr>
        <w:tc>
          <w:tcPr>
            <w:tcW w:w="4700" w:type="dxa"/>
            <w:vAlign w:val="bottom"/>
          </w:tcPr>
          <w:p>
            <w:pPr>
              <w:ind w:left="280"/>
              <w:spacing w:after="0"/>
              <w:rPr>
                <w:sz w:val="20"/>
                <w:szCs w:val="20"/>
                <w:color w:val="auto"/>
              </w:rPr>
            </w:pPr>
            <w:r>
              <w:rPr>
                <w:rFonts w:ascii="Arial" w:cs="Arial" w:eastAsia="Arial" w:hAnsi="Arial"/>
                <w:sz w:val="14"/>
                <w:szCs w:val="14"/>
                <w:color w:val="auto"/>
              </w:rPr>
              <w:t>Ranch operations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w:t>
            </w: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6,098</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30,289</w:t>
            </w: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 commercial/industrial</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4,558</w:t>
            </w:r>
          </w:p>
        </w:tc>
        <w:tc>
          <w:tcPr>
            <w:tcW w:w="0" w:type="dxa"/>
            <w:vAlign w:val="bottom"/>
          </w:tcPr>
          <w:p>
            <w:pPr>
              <w:spacing w:after="0"/>
              <w:rPr>
                <w:sz w:val="1"/>
                <w:szCs w:val="1"/>
                <w:color w:val="auto"/>
              </w:rPr>
            </w:pPr>
          </w:p>
        </w:tc>
      </w:tr>
      <w:tr>
        <w:trPr>
          <w:trHeight w:val="185"/>
        </w:trPr>
        <w:tc>
          <w:tcPr>
            <w:tcW w:w="4700" w:type="dxa"/>
            <w:vAlign w:val="bottom"/>
          </w:tcPr>
          <w:p>
            <w:pPr>
              <w:ind w:left="280"/>
              <w:spacing w:after="0"/>
              <w:rPr>
                <w:sz w:val="20"/>
                <w:szCs w:val="20"/>
                <w:color w:val="auto"/>
              </w:rPr>
            </w:pPr>
            <w:r>
              <w:rPr>
                <w:rFonts w:ascii="Arial" w:cs="Arial" w:eastAsia="Arial" w:hAnsi="Arial"/>
                <w:sz w:val="14"/>
                <w:szCs w:val="14"/>
                <w:color w:val="auto"/>
              </w:rPr>
              <w:t>Real estate - resort/residential</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Mineral resources</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9,602</w:t>
            </w:r>
          </w:p>
        </w:tc>
        <w:tc>
          <w:tcPr>
            <w:tcW w:w="0" w:type="dxa"/>
            <w:vAlign w:val="bottom"/>
          </w:tcPr>
          <w:p>
            <w:pPr>
              <w:spacing w:after="0"/>
              <w:rPr>
                <w:sz w:val="1"/>
                <w:szCs w:val="1"/>
                <w:color w:val="auto"/>
              </w:rPr>
            </w:pPr>
          </w:p>
        </w:tc>
      </w:tr>
      <w:tr>
        <w:trPr>
          <w:trHeight w:val="180"/>
        </w:trPr>
        <w:tc>
          <w:tcPr>
            <w:tcW w:w="4700" w:type="dxa"/>
            <w:vAlign w:val="bottom"/>
          </w:tcPr>
          <w:p>
            <w:pPr>
              <w:ind w:left="280"/>
              <w:spacing w:after="0"/>
              <w:rPr>
                <w:sz w:val="20"/>
                <w:szCs w:val="20"/>
                <w:color w:val="auto"/>
              </w:rPr>
            </w:pPr>
            <w:r>
              <w:rPr>
                <w:rFonts w:ascii="Arial" w:cs="Arial" w:eastAsia="Arial" w:hAnsi="Arial"/>
                <w:sz w:val="14"/>
                <w:szCs w:val="14"/>
                <w:color w:val="auto"/>
              </w:rPr>
              <w:t>Farming</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1,474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5,224</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Ranch operations</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80"/>
        </w:trPr>
        <w:tc>
          <w:tcPr>
            <w:tcW w:w="4700" w:type="dxa"/>
            <w:vAlign w:val="bottom"/>
          </w:tcPr>
          <w:p>
            <w:pPr>
              <w:ind w:left="280"/>
              <w:spacing w:after="0"/>
              <w:rPr>
                <w:sz w:val="20"/>
                <w:szCs w:val="20"/>
                <w:color w:val="auto"/>
              </w:rPr>
            </w:pPr>
            <w:r>
              <w:rPr>
                <w:rFonts w:ascii="Arial" w:cs="Arial" w:eastAsia="Arial" w:hAnsi="Arial"/>
                <w:sz w:val="14"/>
                <w:szCs w:val="14"/>
                <w:color w:val="auto"/>
              </w:rPr>
              <w:t>Corporate expenses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4,600</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expenses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7,968</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19,747</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27,395</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(1,870)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2,894</w:t>
            </w: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00" w:type="dxa"/>
            <w:vAlign w:val="bottom"/>
          </w:tcPr>
          <w:p>
            <w:pPr>
              <w:ind w:left="280"/>
              <w:spacing w:after="0"/>
              <w:rPr>
                <w:sz w:val="20"/>
                <w:szCs w:val="20"/>
                <w:color w:val="auto"/>
              </w:rPr>
            </w:pPr>
            <w:r>
              <w:rPr>
                <w:rFonts w:ascii="Arial" w:cs="Arial" w:eastAsia="Arial" w:hAnsi="Arial"/>
                <w:sz w:val="14"/>
                <w:szCs w:val="14"/>
                <w:color w:val="auto"/>
              </w:rPr>
              <w:t>Investment income</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(loss) income, net</w:t>
            </w:r>
          </w:p>
        </w:tc>
        <w:tc>
          <w:tcPr>
            <w:tcW w:w="10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71"/>
        </w:trPr>
        <w:tc>
          <w:tcPr>
            <w:tcW w:w="4700" w:type="dxa"/>
            <w:vAlign w:val="bottom"/>
          </w:tcPr>
          <w:p>
            <w:pPr>
              <w:ind w:left="120"/>
              <w:spacing w:after="0"/>
              <w:rPr>
                <w:sz w:val="20"/>
                <w:szCs w:val="20"/>
                <w:color w:val="auto"/>
              </w:rPr>
            </w:pPr>
            <w:r>
              <w:rPr>
                <w:rFonts w:ascii="Arial" w:cs="Arial" w:eastAsia="Arial" w:hAnsi="Arial"/>
                <w:sz w:val="14"/>
                <w:szCs w:val="14"/>
                <w:color w:val="auto"/>
              </w:rPr>
              <w:t>Total other income (loss)</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129"/>
        </w:trPr>
        <w:tc>
          <w:tcPr>
            <w:tcW w:w="47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5"/>
              </w:rPr>
              <w:t>(Loss) income from operations before equity in earnings of unconsolidated joint</w:t>
            </w:r>
          </w:p>
        </w:tc>
        <w:tc>
          <w:tcPr>
            <w:tcW w:w="10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ventures</w:t>
            </w:r>
          </w:p>
        </w:tc>
        <w:tc>
          <w:tcPr>
            <w:tcW w:w="10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in earnings of unconsolidated joint ventures, net</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 expense</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6,693</w:t>
            </w: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(loss) per share attributable to common stockholders, basic</w:t>
            </w:r>
          </w:p>
        </w:tc>
        <w:tc>
          <w:tcPr>
            <w:tcW w:w="1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00" w:type="dxa"/>
            <w:vAlign w:val="bottom"/>
            <w:tcBorders>
              <w:top w:val="single" w:sz="8" w:color="CCEEFF"/>
            </w:tcBorders>
            <w:vMerge w:val="continue"/>
          </w:tcPr>
          <w:p>
            <w:pPr>
              <w:spacing w:after="0"/>
              <w:rPr>
                <w:sz w:val="12"/>
                <w:szCs w:val="12"/>
                <w:color w:val="auto"/>
              </w:rPr>
            </w:pPr>
          </w:p>
        </w:tc>
        <w:tc>
          <w:tcPr>
            <w:tcW w:w="1020" w:type="dxa"/>
            <w:vAlign w:val="bottom"/>
            <w:tcBorders>
              <w:top w:val="single" w:sz="8" w:color="auto"/>
              <w:bottom w:val="single" w:sz="8" w:color="auto"/>
            </w:tcBorders>
          </w:tcPr>
          <w:p>
            <w:pPr>
              <w:jc w:val="right"/>
              <w:ind w:right="869"/>
              <w:spacing w:after="0" w:line="148"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69"/>
              <w:spacing w:after="0" w:line="148"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09"/>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0.08</w:t>
            </w:r>
          </w:p>
        </w:tc>
        <w:tc>
          <w:tcPr>
            <w:tcW w:w="1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9"/>
              <w:spacing w:after="0" w:line="148"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share attributable to common stockholders, diluted</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0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5"/>
                <w:szCs w:val="15"/>
                <w:color w:val="auto"/>
              </w:rPr>
            </w:pPr>
          </w:p>
        </w:tc>
        <w:tc>
          <w:tcPr>
            <w:tcW w:w="1180" w:type="dxa"/>
            <w:vAlign w:val="bottom"/>
            <w:gridSpan w:val="2"/>
          </w:tcPr>
          <w:p>
            <w:pPr>
              <w:jc w:val="right"/>
              <w:ind w:right="69"/>
              <w:spacing w:after="0"/>
              <w:rPr>
                <w:sz w:val="20"/>
                <w:szCs w:val="20"/>
                <w:color w:val="auto"/>
              </w:rPr>
            </w:pPr>
            <w:r>
              <w:rPr>
                <w:rFonts w:ascii="Arial" w:cs="Arial" w:eastAsia="Arial" w:hAnsi="Arial"/>
                <w:sz w:val="14"/>
                <w:szCs w:val="14"/>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8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8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7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180"/>
        </w:trPr>
        <w:tc>
          <w:tcPr>
            <w:tcW w:w="454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gain on available-for-sale securities</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Unrealized gain on interest rate swap</w:t>
            </w: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4,211</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before taxes</w:t>
            </w: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148"/>
        </w:trPr>
        <w:tc>
          <w:tcPr>
            <w:tcW w:w="4540" w:type="dxa"/>
            <w:vAlign w:val="bottom"/>
          </w:tcPr>
          <w:p>
            <w:pPr>
              <w:ind w:left="520"/>
              <w:spacing w:after="0" w:line="149" w:lineRule="exact"/>
              <w:rPr>
                <w:sz w:val="20"/>
                <w:szCs w:val="20"/>
                <w:color w:val="auto"/>
              </w:rPr>
            </w:pPr>
            <w:r>
              <w:rPr>
                <w:rFonts w:ascii="Arial" w:cs="Arial" w:eastAsia="Arial" w:hAnsi="Arial"/>
                <w:sz w:val="14"/>
                <w:szCs w:val="14"/>
                <w:color w:val="auto"/>
                <w:w w:val="97"/>
              </w:rPr>
              <w:t>Provision for income taxes related to other comprehensive income</w:t>
            </w:r>
          </w:p>
        </w:tc>
        <w:tc>
          <w:tcPr>
            <w:tcW w:w="10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70"/>
        </w:trPr>
        <w:tc>
          <w:tcPr>
            <w:tcW w:w="4540" w:type="dxa"/>
            <w:vAlign w:val="bottom"/>
          </w:tcPr>
          <w:p>
            <w:pPr>
              <w:ind w:left="520"/>
              <w:spacing w:after="0"/>
              <w:rPr>
                <w:sz w:val="20"/>
                <w:szCs w:val="20"/>
                <w:color w:val="auto"/>
              </w:rPr>
            </w:pPr>
            <w:r>
              <w:rPr>
                <w:rFonts w:ascii="Arial" w:cs="Arial" w:eastAsia="Arial" w:hAnsi="Arial"/>
                <w:sz w:val="14"/>
                <w:szCs w:val="14"/>
                <w:color w:val="auto"/>
              </w:rPr>
              <w:t>items</w:t>
            </w: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6,555</w:t>
            </w: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income attributable to non-controlling interests</w:t>
            </w:r>
          </w:p>
        </w:tc>
        <w:tc>
          <w:tcPr>
            <w:tcW w:w="10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4540" w:type="dxa"/>
            <w:vAlign w:val="bottom"/>
          </w:tcPr>
          <w:p>
            <w:pPr>
              <w:ind w:left="20"/>
              <w:spacing w:after="0"/>
              <w:rPr>
                <w:sz w:val="20"/>
                <w:szCs w:val="20"/>
                <w:color w:val="auto"/>
              </w:rPr>
            </w:pPr>
            <w:r>
              <w:rPr>
                <w:rFonts w:ascii="Arial" w:cs="Arial" w:eastAsia="Arial" w:hAnsi="Arial"/>
                <w:sz w:val="14"/>
                <w:szCs w:val="14"/>
                <w:color w:val="auto"/>
              </w:rPr>
              <w:t>Comprehensive income attributable to common stockholders</w:t>
            </w:r>
          </w:p>
        </w:tc>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1,029</w:t>
            </w:r>
          </w:p>
        </w:tc>
        <w:tc>
          <w:tcPr>
            <w:tcW w:w="1180" w:type="dxa"/>
            <w:vAlign w:val="bottom"/>
            <w:gridSpan w:val="2"/>
          </w:tcPr>
          <w:p>
            <w:pPr>
              <w:jc w:val="right"/>
              <w:ind w:right="92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446</w:t>
            </w:r>
          </w:p>
        </w:tc>
        <w:tc>
          <w:tcPr>
            <w:tcW w:w="4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2,302</w:t>
            </w:r>
          </w:p>
        </w:tc>
        <w:tc>
          <w:tcPr>
            <w:tcW w:w="4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6,543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June 30, 2023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Arial" w:cs="Arial" w:eastAsia="Arial" w:hAnsi="Arial"/>
                <w:sz w:val="14"/>
                <w:szCs w:val="14"/>
                <w:color w:val="auto"/>
              </w:rPr>
              <w:t>December 31, 2022</w:t>
            </w:r>
          </w:p>
        </w:tc>
      </w:tr>
      <w:tr>
        <w:trPr>
          <w:trHeight w:val="182"/>
        </w:trPr>
        <w:tc>
          <w:tcPr>
            <w:tcW w:w="7300" w:type="dxa"/>
            <w:vAlign w:val="bottom"/>
          </w:tcPr>
          <w:p>
            <w:pPr>
              <w:spacing w:after="0"/>
              <w:rPr>
                <w:sz w:val="15"/>
                <w:szCs w:val="15"/>
                <w:color w:val="auto"/>
              </w:rPr>
            </w:pPr>
          </w:p>
        </w:tc>
        <w:tc>
          <w:tcPr>
            <w:tcW w:w="14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(unaudited)</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69"/>
        </w:trPr>
        <w:tc>
          <w:tcPr>
            <w:tcW w:w="7300" w:type="dxa"/>
            <w:vAlign w:val="bottom"/>
          </w:tcPr>
          <w:p>
            <w:pPr>
              <w:ind w:left="20"/>
              <w:spacing w:after="0"/>
              <w:rPr>
                <w:sz w:val="20"/>
                <w:szCs w:val="20"/>
                <w:color w:val="auto"/>
              </w:rPr>
            </w:pPr>
            <w:r>
              <w:rPr>
                <w:rFonts w:ascii="Arial" w:cs="Arial" w:eastAsia="Arial" w:hAnsi="Arial"/>
                <w:sz w:val="14"/>
                <w:szCs w:val="14"/>
                <w:color w:val="auto"/>
              </w:rPr>
              <w:t>ASSETS</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6"/>
        </w:trPr>
        <w:tc>
          <w:tcPr>
            <w:tcW w:w="7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140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27,342</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39,119</w:t>
            </w:r>
          </w:p>
        </w:tc>
      </w:tr>
      <w:tr>
        <w:trPr>
          <w:trHeight w:val="180"/>
        </w:trPr>
        <w:tc>
          <w:tcPr>
            <w:tcW w:w="7300" w:type="dxa"/>
            <w:vAlign w:val="bottom"/>
          </w:tcPr>
          <w:p>
            <w:pPr>
              <w:ind w:left="520"/>
              <w:spacing w:after="0"/>
              <w:rPr>
                <w:sz w:val="20"/>
                <w:szCs w:val="20"/>
                <w:color w:val="auto"/>
              </w:rPr>
            </w:pPr>
            <w:r>
              <w:rPr>
                <w:rFonts w:ascii="Arial" w:cs="Arial" w:eastAsia="Arial" w:hAnsi="Arial"/>
                <w:sz w:val="14"/>
                <w:szCs w:val="14"/>
                <w:color w:val="auto"/>
              </w:rPr>
              <w:t>Marketable securities - available-for-sale</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39,651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33,444</w:t>
            </w:r>
          </w:p>
        </w:tc>
      </w:tr>
      <w:tr>
        <w:trPr>
          <w:trHeight w:val="191"/>
        </w:trPr>
        <w:tc>
          <w:tcPr>
            <w:tcW w:w="7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4,453</w:t>
            </w:r>
          </w:p>
        </w:tc>
      </w:tr>
      <w:tr>
        <w:trPr>
          <w:trHeight w:val="180"/>
        </w:trPr>
        <w:tc>
          <w:tcPr>
            <w:tcW w:w="7300" w:type="dxa"/>
            <w:vAlign w:val="bottom"/>
          </w:tcPr>
          <w:p>
            <w:pPr>
              <w:ind w:left="520"/>
              <w:spacing w:after="0"/>
              <w:rPr>
                <w:sz w:val="20"/>
                <w:szCs w:val="20"/>
                <w:color w:val="auto"/>
              </w:rPr>
            </w:pPr>
            <w:r>
              <w:rPr>
                <w:rFonts w:ascii="Arial" w:cs="Arial" w:eastAsia="Arial" w:hAnsi="Arial"/>
                <w:sz w:val="14"/>
                <w:szCs w:val="14"/>
                <w:color w:val="auto"/>
              </w:rPr>
              <w:t>Inventories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3,369</w:t>
            </w:r>
          </w:p>
        </w:tc>
      </w:tr>
      <w:tr>
        <w:trPr>
          <w:trHeight w:val="180"/>
        </w:trPr>
        <w:tc>
          <w:tcPr>
            <w:tcW w:w="7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w:t>
            </w:r>
          </w:p>
        </w:tc>
      </w:tr>
      <w:tr>
        <w:trPr>
          <w:trHeight w:val="176"/>
        </w:trPr>
        <w:tc>
          <w:tcPr>
            <w:tcW w:w="730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81,289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83,045</w:t>
            </w:r>
          </w:p>
        </w:tc>
      </w:tr>
      <w:tr>
        <w:trPr>
          <w:trHeight w:val="18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w w:val="90"/>
              </w:rPr>
              <w:t>Real estate development (includes $116,781 at June 30, 2023 and $115,221 at December 31, 2022, attributable to CFL, Note 15)</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327,521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321,293</w:t>
            </w:r>
          </w:p>
        </w:tc>
      </w:tr>
      <w:tr>
        <w:trPr>
          <w:trHeight w:val="191"/>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52,980</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38,350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41,891</w:t>
            </w:r>
          </w:p>
        </w:tc>
      </w:tr>
      <w:tr>
        <w:trPr>
          <w:trHeight w:val="181"/>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 water assets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51,157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47,045</w:t>
            </w:r>
          </w:p>
        </w:tc>
      </w:tr>
      <w:tr>
        <w:trPr>
          <w:trHeight w:val="18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4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3,597</w:t>
            </w:r>
          </w:p>
        </w:tc>
      </w:tr>
      <w:tr>
        <w:trPr>
          <w:trHeight w:val="201"/>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572,944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566,791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7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EQUITY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1"/>
        </w:trPr>
        <w:tc>
          <w:tcPr>
            <w:tcW w:w="7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Trade accounts payable</w:t>
            </w:r>
          </w:p>
        </w:tc>
        <w:tc>
          <w:tcPr>
            <w:tcW w:w="140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5,362</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w:t>
            </w:r>
          </w:p>
        </w:tc>
      </w:tr>
      <w:tr>
        <w:trPr>
          <w:trHeight w:val="180"/>
        </w:trPr>
        <w:tc>
          <w:tcPr>
            <w:tcW w:w="7300" w:type="dxa"/>
            <w:vAlign w:val="bottom"/>
          </w:tcPr>
          <w:p>
            <w:pPr>
              <w:ind w:left="520"/>
              <w:spacing w:after="0"/>
              <w:rPr>
                <w:sz w:val="20"/>
                <w:szCs w:val="20"/>
                <w:color w:val="auto"/>
              </w:rPr>
            </w:pPr>
            <w:r>
              <w:rPr>
                <w:rFonts w:ascii="Arial" w:cs="Arial" w:eastAsia="Arial" w:hAnsi="Arial"/>
                <w:sz w:val="14"/>
                <w:szCs w:val="14"/>
                <w:color w:val="auto"/>
              </w:rPr>
              <w:t>Accrued liabilities and other</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3,602</w:t>
            </w:r>
          </w:p>
        </w:tc>
      </w:tr>
      <w:tr>
        <w:trPr>
          <w:trHeight w:val="181"/>
        </w:trPr>
        <w:tc>
          <w:tcPr>
            <w:tcW w:w="7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income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r>
      <w:tr>
        <w:trPr>
          <w:trHeight w:val="185"/>
        </w:trPr>
        <w:tc>
          <w:tcPr>
            <w:tcW w:w="7300" w:type="dxa"/>
            <w:vAlign w:val="bottom"/>
          </w:tcPr>
          <w:p>
            <w:pPr>
              <w:ind w:left="520"/>
              <w:spacing w:after="0"/>
              <w:rPr>
                <w:sz w:val="20"/>
                <w:szCs w:val="20"/>
                <w:color w:val="auto"/>
              </w:rPr>
            </w:pPr>
            <w:r>
              <w:rPr>
                <w:rFonts w:ascii="Arial" w:cs="Arial" w:eastAsia="Arial" w:hAnsi="Arial"/>
                <w:sz w:val="14"/>
                <w:szCs w:val="14"/>
                <w:color w:val="auto"/>
              </w:rPr>
              <w:t>Income taxes payable</w:t>
            </w:r>
          </w:p>
        </w:tc>
        <w:tc>
          <w:tcPr>
            <w:tcW w:w="1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Current maturities of long-term debt</w:t>
            </w:r>
          </w:p>
        </w:tc>
        <w:tc>
          <w:tcPr>
            <w:tcW w:w="14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r>
      <w:tr>
        <w:trPr>
          <w:trHeight w:val="171"/>
        </w:trPr>
        <w:tc>
          <w:tcPr>
            <w:tcW w:w="730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12,365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12,029</w:t>
            </w:r>
          </w:p>
        </w:tc>
      </w:tr>
      <w:tr>
        <w:trPr>
          <w:trHeight w:val="191"/>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48,161</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Long-term deferred gains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11,447</w:t>
            </w:r>
          </w:p>
        </w:tc>
      </w:tr>
      <w:tr>
        <w:trPr>
          <w:trHeight w:val="181"/>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7,180</w:t>
            </w:r>
          </w:p>
        </w:tc>
      </w:tr>
      <w:tr>
        <w:trPr>
          <w:trHeight w:val="18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14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10,380</w:t>
            </w:r>
          </w:p>
        </w:tc>
      </w:tr>
      <w:tr>
        <w:trPr>
          <w:trHeight w:val="176"/>
        </w:trPr>
        <w:tc>
          <w:tcPr>
            <w:tcW w:w="7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93,867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89,197</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1"/>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80"/>
        </w:trPr>
        <w:tc>
          <w:tcPr>
            <w:tcW w:w="7300" w:type="dxa"/>
            <w:vAlign w:val="bottom"/>
          </w:tcPr>
          <w:p>
            <w:pPr>
              <w:ind w:left="280"/>
              <w:spacing w:after="0"/>
              <w:rPr>
                <w:sz w:val="20"/>
                <w:szCs w:val="20"/>
                <w:color w:val="auto"/>
              </w:rPr>
            </w:pPr>
            <w:r>
              <w:rPr>
                <w:rFonts w:ascii="Arial" w:cs="Arial" w:eastAsia="Arial" w:hAnsi="Arial"/>
                <w:sz w:val="14"/>
                <w:szCs w:val="14"/>
                <w:color w:val="auto"/>
              </w:rPr>
              <w:t>Tejon Ranch Co. Stockholders’ Equity</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1"/>
        </w:trPr>
        <w:tc>
          <w:tcPr>
            <w:tcW w:w="7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Common stock, $0.50 par value per share: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85"/>
        </w:trPr>
        <w:tc>
          <w:tcPr>
            <w:tcW w:w="7300" w:type="dxa"/>
            <w:vAlign w:val="bottom"/>
          </w:tcPr>
          <w:p>
            <w:pPr>
              <w:ind w:left="520"/>
              <w:spacing w:after="0"/>
              <w:rPr>
                <w:sz w:val="20"/>
                <w:szCs w:val="20"/>
                <w:color w:val="auto"/>
              </w:rPr>
            </w:pPr>
            <w:r>
              <w:rPr>
                <w:rFonts w:ascii="Arial" w:cs="Arial" w:eastAsia="Arial" w:hAnsi="Arial"/>
                <w:sz w:val="14"/>
                <w:szCs w:val="14"/>
                <w:color w:val="auto"/>
              </w:rPr>
              <w:t>Authorized shares - 50,000,000</w:t>
            </w: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Issued and outstanding shares - 26,718,773 at June 30, 2023 and 26,541,553 at December 31, 2022</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13,271</w:t>
            </w:r>
          </w:p>
        </w:tc>
      </w:tr>
      <w:tr>
        <w:trPr>
          <w:trHeight w:val="180"/>
        </w:trPr>
        <w:tc>
          <w:tcPr>
            <w:tcW w:w="7300" w:type="dxa"/>
            <w:vAlign w:val="bottom"/>
          </w:tcPr>
          <w:p>
            <w:pPr>
              <w:ind w:left="520"/>
              <w:spacing w:after="0"/>
              <w:rPr>
                <w:sz w:val="20"/>
                <w:szCs w:val="20"/>
                <w:color w:val="auto"/>
              </w:rPr>
            </w:pPr>
            <w:r>
              <w:rPr>
                <w:rFonts w:ascii="Arial" w:cs="Arial" w:eastAsia="Arial" w:hAnsi="Arial"/>
                <w:sz w:val="14"/>
                <w:szCs w:val="14"/>
                <w:color w:val="auto"/>
              </w:rPr>
              <w:t>Additional paid-in capital</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344,434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345,344</w:t>
            </w:r>
          </w:p>
        </w:tc>
      </w:tr>
      <w:tr>
        <w:trPr>
          <w:trHeight w:val="191"/>
        </w:trPr>
        <w:tc>
          <w:tcPr>
            <w:tcW w:w="7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Accumulated other comprehensive loss</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r>
      <w:tr>
        <w:trPr>
          <w:trHeight w:val="180"/>
        </w:trPr>
        <w:tc>
          <w:tcPr>
            <w:tcW w:w="73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Retained earnings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107,684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105,643</w:t>
            </w:r>
          </w:p>
        </w:tc>
      </w:tr>
      <w:tr>
        <w:trPr>
          <w:trHeight w:val="171"/>
        </w:trPr>
        <w:tc>
          <w:tcPr>
            <w:tcW w:w="7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Tejon Ranch Co. Stockholders’ Equity</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463,710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462,230</w:t>
            </w:r>
          </w:p>
        </w:tc>
      </w:tr>
      <w:tr>
        <w:trPr>
          <w:trHeight w:val="185"/>
        </w:trPr>
        <w:tc>
          <w:tcPr>
            <w:tcW w:w="7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Noncontrolling interest</w:t>
            </w:r>
          </w:p>
        </w:tc>
        <w:tc>
          <w:tcPr>
            <w:tcW w:w="14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15,364</w:t>
            </w:r>
          </w:p>
        </w:tc>
      </w:tr>
      <w:tr>
        <w:trPr>
          <w:trHeight w:val="1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479,077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477,594</w:t>
            </w:r>
          </w:p>
        </w:tc>
      </w:tr>
      <w:tr>
        <w:trPr>
          <w:trHeight w:val="171"/>
        </w:trPr>
        <w:tc>
          <w:tcPr>
            <w:tcW w:w="730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1400" w:type="dxa"/>
            <w:vAlign w:val="bottom"/>
            <w:tcBorders>
              <w:bottom w:val="single" w:sz="8" w:color="auto"/>
            </w:tcBorders>
          </w:tcPr>
          <w:p>
            <w:pPr>
              <w:jc w:val="right"/>
              <w:ind w:right="12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572,944</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566,791</w:t>
            </w:r>
          </w:p>
        </w:tc>
      </w:tr>
      <w:tr>
        <w:trPr>
          <w:trHeight w:val="20"/>
        </w:trPr>
        <w:tc>
          <w:tcPr>
            <w:tcW w:w="7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rPr>
              <w:t>Six Months Ended June 30,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2023</w:t>
            </w:r>
          </w:p>
        </w:tc>
        <w:tc>
          <w:tcPr>
            <w:tcW w:w="6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2022</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5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64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200" w:type="dxa"/>
            <w:vAlign w:val="bottom"/>
            <w:gridSpan w:val="2"/>
            <w:shd w:val="clear" w:color="auto" w:fill="CCEEFF"/>
          </w:tcPr>
          <w:p>
            <w:pPr>
              <w:jc w:val="right"/>
              <w:ind w:right="10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w w:val="99"/>
              </w:rPr>
              <w:t>Adjustments to reconcile net income to net cash provided by operating activities:</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Depreciation and amortization</w:t>
            </w:r>
          </w:p>
        </w:tc>
        <w:tc>
          <w:tcPr>
            <w:tcW w:w="2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85"/>
        </w:trPr>
        <w:tc>
          <w:tcPr>
            <w:tcW w:w="5240" w:type="dxa"/>
            <w:vAlign w:val="bottom"/>
          </w:tcPr>
          <w:p>
            <w:pPr>
              <w:ind w:left="520"/>
              <w:spacing w:after="0"/>
              <w:rPr>
                <w:sz w:val="20"/>
                <w:szCs w:val="20"/>
                <w:color w:val="auto"/>
              </w:rPr>
            </w:pPr>
            <w:r>
              <w:rPr>
                <w:rFonts w:ascii="Arial" w:cs="Arial" w:eastAsia="Arial" w:hAnsi="Arial"/>
                <w:sz w:val="14"/>
                <w:szCs w:val="14"/>
                <w:color w:val="auto"/>
              </w:rPr>
              <w:t>Amortization of (discount) premium of marketable securities</w:t>
            </w:r>
          </w:p>
        </w:tc>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Equity in earnings of unconsolidated joint ventures, net</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80"/>
        </w:trPr>
        <w:tc>
          <w:tcPr>
            <w:tcW w:w="5240" w:type="dxa"/>
            <w:vAlign w:val="bottom"/>
          </w:tcPr>
          <w:p>
            <w:pPr>
              <w:ind w:left="520"/>
              <w:spacing w:after="0"/>
              <w:rPr>
                <w:sz w:val="20"/>
                <w:szCs w:val="20"/>
                <w:color w:val="auto"/>
              </w:rPr>
            </w:pPr>
            <w:r>
              <w:rPr>
                <w:rFonts w:ascii="Arial" w:cs="Arial" w:eastAsia="Arial" w:hAnsi="Arial"/>
                <w:sz w:val="14"/>
                <w:szCs w:val="14"/>
                <w:color w:val="auto"/>
              </w:rPr>
              <w:t>Non-cash retirement plan expense</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1"/>
        </w:trPr>
        <w:tc>
          <w:tcPr>
            <w:tcW w:w="5240" w:type="dxa"/>
            <w:vAlign w:val="bottom"/>
            <w:shd w:val="clear" w:color="auto" w:fill="CCEEFF"/>
          </w:tcPr>
          <w:p>
            <w:pPr>
              <w:ind w:left="520"/>
              <w:spacing w:after="0" w:line="191" w:lineRule="exact"/>
              <w:rPr>
                <w:sz w:val="20"/>
                <w:szCs w:val="20"/>
                <w:color w:val="auto"/>
              </w:rPr>
            </w:pPr>
            <w:r>
              <w:rPr>
                <w:rFonts w:ascii="Arial" w:cs="Arial" w:eastAsia="Arial" w:hAnsi="Arial"/>
                <w:sz w:val="14"/>
                <w:szCs w:val="14"/>
                <w:color w:val="auto"/>
              </w:rPr>
              <w:t>Profit from water sales</w:t>
            </w:r>
            <w:r>
              <w:rPr>
                <w:rFonts w:ascii="Arial" w:cs="Arial" w:eastAsia="Arial" w:hAnsi="Arial"/>
                <w:sz w:val="18"/>
                <w:szCs w:val="18"/>
                <w:color w:val="auto"/>
                <w:vertAlign w:val="superscript"/>
              </w:rPr>
              <w:t>1</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180"/>
        </w:trPr>
        <w:tc>
          <w:tcPr>
            <w:tcW w:w="5240" w:type="dxa"/>
            <w:vAlign w:val="bottom"/>
          </w:tcPr>
          <w:p>
            <w:pPr>
              <w:ind w:left="520"/>
              <w:spacing w:after="0" w:line="181" w:lineRule="exact"/>
              <w:rPr>
                <w:sz w:val="20"/>
                <w:szCs w:val="20"/>
                <w:color w:val="auto"/>
              </w:rPr>
            </w:pPr>
            <w:r>
              <w:rPr>
                <w:rFonts w:ascii="Arial" w:cs="Arial" w:eastAsia="Arial" w:hAnsi="Arial"/>
                <w:sz w:val="14"/>
                <w:szCs w:val="14"/>
                <w:color w:val="auto"/>
              </w:rPr>
              <w:t>Profit from land sales</w:t>
            </w:r>
            <w:r>
              <w:rPr>
                <w:rFonts w:ascii="Arial" w:cs="Arial" w:eastAsia="Arial" w:hAnsi="Arial"/>
                <w:sz w:val="18"/>
                <w:szCs w:val="18"/>
                <w:color w:val="auto"/>
                <w:vertAlign w:val="superscript"/>
              </w:rPr>
              <w:t>2</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(3,589)</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Loss (gain) on sale of property plant and equipment</w:t>
            </w:r>
          </w:p>
        </w:tc>
        <w:tc>
          <w:tcPr>
            <w:tcW w:w="2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5"/>
        </w:trPr>
        <w:tc>
          <w:tcPr>
            <w:tcW w:w="5240" w:type="dxa"/>
            <w:vAlign w:val="bottom"/>
          </w:tcPr>
          <w:p>
            <w:pPr>
              <w:ind w:left="520"/>
              <w:spacing w:after="0"/>
              <w:rPr>
                <w:sz w:val="20"/>
                <w:szCs w:val="20"/>
                <w:color w:val="auto"/>
              </w:rPr>
            </w:pPr>
            <w:r>
              <w:rPr>
                <w:rFonts w:ascii="Arial" w:cs="Arial" w:eastAsia="Arial" w:hAnsi="Arial"/>
                <w:sz w:val="14"/>
                <w:szCs w:val="14"/>
                <w:color w:val="auto"/>
              </w:rPr>
              <w:t>Stock compensation expense</w:t>
            </w:r>
          </w:p>
        </w:tc>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Excess tax (benefit) loss from stock-based compensation</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5240" w:type="dxa"/>
            <w:vAlign w:val="bottom"/>
          </w:tcPr>
          <w:p>
            <w:pPr>
              <w:ind w:left="520"/>
              <w:spacing w:after="0"/>
              <w:rPr>
                <w:sz w:val="20"/>
                <w:szCs w:val="20"/>
                <w:color w:val="auto"/>
              </w:rPr>
            </w:pPr>
            <w:r>
              <w:rPr>
                <w:rFonts w:ascii="Arial" w:cs="Arial" w:eastAsia="Arial" w:hAnsi="Arial"/>
                <w:sz w:val="14"/>
                <w:szCs w:val="14"/>
                <w:color w:val="auto"/>
              </w:rPr>
              <w:t>Loan fee write-off</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 of earnings from unconsolidated joint ventures</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4,908</w:t>
            </w: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Receivables, inventories, prepaids and other assets, net</w:t>
            </w:r>
          </w:p>
        </w:tc>
        <w:tc>
          <w:tcPr>
            <w:tcW w:w="2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5"/>
        </w:trPr>
        <w:tc>
          <w:tcPr>
            <w:tcW w:w="52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Current liabilities</w:t>
            </w:r>
          </w:p>
        </w:tc>
        <w:tc>
          <w:tcPr>
            <w:tcW w:w="25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Maturities and sales of marketable securities</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20,322</w:t>
            </w: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rPr>
              <w:t>Funds invested in marketable securities</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(58,930)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(36,783)</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and equipment expenditures</w:t>
            </w:r>
          </w:p>
        </w:tc>
        <w:tc>
          <w:tcPr>
            <w:tcW w:w="2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(12,288)</w:t>
            </w:r>
          </w:p>
        </w:tc>
        <w:tc>
          <w:tcPr>
            <w:tcW w:w="0" w:type="dxa"/>
            <w:vAlign w:val="bottom"/>
          </w:tcPr>
          <w:p>
            <w:pPr>
              <w:spacing w:after="0"/>
              <w:rPr>
                <w:sz w:val="1"/>
                <w:szCs w:val="1"/>
                <w:color w:val="auto"/>
              </w:rPr>
            </w:pPr>
          </w:p>
        </w:tc>
      </w:tr>
      <w:tr>
        <w:trPr>
          <w:trHeight w:val="185"/>
        </w:trPr>
        <w:tc>
          <w:tcPr>
            <w:tcW w:w="5240" w:type="dxa"/>
            <w:vAlign w:val="bottom"/>
          </w:tcPr>
          <w:p>
            <w:pPr>
              <w:ind w:left="280"/>
              <w:spacing w:after="0"/>
              <w:rPr>
                <w:sz w:val="20"/>
                <w:szCs w:val="20"/>
                <w:color w:val="auto"/>
              </w:rPr>
            </w:pPr>
            <w:r>
              <w:rPr>
                <w:rFonts w:ascii="Arial" w:cs="Arial" w:eastAsia="Arial" w:hAnsi="Arial"/>
                <w:sz w:val="14"/>
                <w:szCs w:val="14"/>
                <w:color w:val="auto"/>
              </w:rPr>
              <w:t>Investment in unconsolidated joint ventures</w:t>
            </w:r>
          </w:p>
        </w:tc>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 of equity from unconsolidated joint ventures</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w:t>
            </w: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line="181" w:lineRule="exact"/>
              <w:rPr>
                <w:sz w:val="20"/>
                <w:szCs w:val="20"/>
                <w:color w:val="auto"/>
              </w:rPr>
            </w:pPr>
            <w:r>
              <w:rPr>
                <w:rFonts w:ascii="Arial" w:cs="Arial" w:eastAsia="Arial" w:hAnsi="Arial"/>
                <w:sz w:val="14"/>
                <w:szCs w:val="14"/>
                <w:color w:val="auto"/>
              </w:rPr>
              <w:t>Proceeds from water sales</w:t>
            </w:r>
            <w:r>
              <w:rPr>
                <w:rFonts w:ascii="Arial" w:cs="Arial" w:eastAsia="Arial" w:hAnsi="Arial"/>
                <w:sz w:val="18"/>
                <w:szCs w:val="18"/>
                <w:color w:val="auto"/>
                <w:vertAlign w:val="superscript"/>
              </w:rPr>
              <w:t>1</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19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water assets</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line="181" w:lineRule="exact"/>
              <w:rPr>
                <w:sz w:val="20"/>
                <w:szCs w:val="20"/>
                <w:color w:val="auto"/>
              </w:rPr>
            </w:pPr>
            <w:r>
              <w:rPr>
                <w:rFonts w:ascii="Arial" w:cs="Arial" w:eastAsia="Arial" w:hAnsi="Arial"/>
                <w:sz w:val="14"/>
                <w:szCs w:val="14"/>
                <w:color w:val="auto"/>
              </w:rPr>
              <w:t>Net proceeds from land sales</w:t>
            </w:r>
            <w:r>
              <w:rPr>
                <w:rFonts w:ascii="Arial" w:cs="Arial" w:eastAsia="Arial" w:hAnsi="Arial"/>
                <w:sz w:val="18"/>
                <w:szCs w:val="18"/>
                <w:color w:val="auto"/>
                <w:vertAlign w:val="superscript"/>
              </w:rPr>
              <w:t>2</w:t>
            </w:r>
          </w:p>
        </w:tc>
        <w:tc>
          <w:tcPr>
            <w:tcW w:w="25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4,438</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w:t>
            </w:r>
          </w:p>
        </w:tc>
        <w:tc>
          <w:tcPr>
            <w:tcW w:w="0" w:type="dxa"/>
            <w:vAlign w:val="bottom"/>
          </w:tcPr>
          <w:p>
            <w:pPr>
              <w:spacing w:after="0"/>
              <w:rPr>
                <w:sz w:val="1"/>
                <w:szCs w:val="1"/>
                <w:color w:val="auto"/>
              </w:rPr>
            </w:pPr>
          </w:p>
        </w:tc>
      </w:tr>
      <w:tr>
        <w:trPr>
          <w:trHeight w:val="187"/>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Borrowings of long-term debt</w:t>
            </w:r>
          </w:p>
        </w:tc>
        <w:tc>
          <w:tcPr>
            <w:tcW w:w="2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49,080</w:t>
            </w: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rPr>
                <w:sz w:val="20"/>
                <w:szCs w:val="20"/>
                <w:color w:val="auto"/>
              </w:rPr>
            </w:pPr>
            <w:r>
              <w:rPr>
                <w:rFonts w:ascii="Arial" w:cs="Arial" w:eastAsia="Arial" w:hAnsi="Arial"/>
                <w:sz w:val="14"/>
                <w:szCs w:val="14"/>
                <w:color w:val="auto"/>
              </w:rPr>
              <w:t>Repayments of long-term debt</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(50,962)</w:t>
            </w:r>
          </w:p>
        </w:tc>
        <w:tc>
          <w:tcPr>
            <w:tcW w:w="0" w:type="dxa"/>
            <w:vAlign w:val="bottom"/>
          </w:tcPr>
          <w:p>
            <w:pPr>
              <w:spacing w:after="0"/>
              <w:rPr>
                <w:sz w:val="1"/>
                <w:szCs w:val="1"/>
                <w:color w:val="auto"/>
              </w:rPr>
            </w:pPr>
          </w:p>
        </w:tc>
      </w:tr>
      <w:tr>
        <w:trPr>
          <w:trHeight w:val="191"/>
        </w:trPr>
        <w:tc>
          <w:tcPr>
            <w:tcW w:w="5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financing costs</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0"/>
        </w:trPr>
        <w:tc>
          <w:tcPr>
            <w:tcW w:w="5240" w:type="dxa"/>
            <w:vAlign w:val="bottom"/>
          </w:tcPr>
          <w:p>
            <w:pPr>
              <w:ind w:left="280"/>
              <w:spacing w:after="0" w:line="181" w:lineRule="exact"/>
              <w:rPr>
                <w:sz w:val="20"/>
                <w:szCs w:val="20"/>
                <w:color w:val="auto"/>
              </w:rPr>
            </w:pPr>
            <w:r>
              <w:rPr>
                <w:rFonts w:ascii="Arial" w:cs="Arial" w:eastAsia="Arial" w:hAnsi="Arial"/>
                <w:sz w:val="14"/>
                <w:szCs w:val="14"/>
                <w:color w:val="auto"/>
              </w:rPr>
              <w:t>Interest rate swap settlement</w:t>
            </w:r>
            <w:r>
              <w:rPr>
                <w:rFonts w:ascii="Arial" w:cs="Arial" w:eastAsia="Arial" w:hAnsi="Arial"/>
                <w:sz w:val="18"/>
                <w:szCs w:val="18"/>
                <w:color w:val="auto"/>
                <w:vertAlign w:val="superscript"/>
              </w:rPr>
              <w:t>3</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Taxes on vested stock grants</w:t>
            </w:r>
          </w:p>
        </w:tc>
        <w:tc>
          <w:tcPr>
            <w:tcW w:w="2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2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(3,466)</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and cash equivalents</w:t>
            </w:r>
          </w:p>
        </w:tc>
        <w:tc>
          <w:tcPr>
            <w:tcW w:w="2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(17,831)</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5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39,619</w:t>
            </w: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37,398</w:t>
            </w:r>
          </w:p>
        </w:tc>
        <w:tc>
          <w:tcPr>
            <w:tcW w:w="0" w:type="dxa"/>
            <w:vAlign w:val="bottom"/>
          </w:tcPr>
          <w:p>
            <w:pPr>
              <w:spacing w:after="0"/>
              <w:rPr>
                <w:sz w:val="1"/>
                <w:szCs w:val="1"/>
                <w:color w:val="auto"/>
              </w:rPr>
            </w:pPr>
          </w:p>
        </w:tc>
      </w:tr>
      <w:tr>
        <w:trPr>
          <w:trHeight w:val="198"/>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64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27,842</w:t>
            </w:r>
          </w:p>
        </w:tc>
        <w:tc>
          <w:tcPr>
            <w:tcW w:w="1200" w:type="dxa"/>
            <w:vAlign w:val="bottom"/>
            <w:gridSpan w:val="2"/>
            <w:shd w:val="clear" w:color="auto" w:fill="CCEEFF"/>
          </w:tcPr>
          <w:p>
            <w:pPr>
              <w:jc w:val="right"/>
              <w:ind w:right="10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2029"/>
              <w:spacing w:after="0"/>
              <w:rPr>
                <w:sz w:val="20"/>
                <w:szCs w:val="20"/>
                <w:color w:val="auto"/>
              </w:rPr>
            </w:pPr>
            <w:r>
              <w:rPr>
                <w:rFonts w:ascii="Arial" w:cs="Arial" w:eastAsia="Arial" w:hAnsi="Arial"/>
                <w:sz w:val="14"/>
                <w:szCs w:val="14"/>
                <w:color w:val="auto"/>
              </w:rPr>
              <w:t>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52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4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to amounts on consolidated balance sheets:</w:t>
            </w: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5"/>
        </w:trPr>
        <w:tc>
          <w:tcPr>
            <w:tcW w:w="77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right"/>
              <w:ind w:right="5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27,342</w:t>
            </w:r>
          </w:p>
        </w:tc>
        <w:tc>
          <w:tcPr>
            <w:tcW w:w="780" w:type="dxa"/>
            <w:vAlign w:val="bottom"/>
            <w:gridSpan w:val="2"/>
          </w:tcPr>
          <w:p>
            <w:pPr>
              <w:jc w:val="right"/>
              <w:ind w:right="52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18,364</w:t>
            </w:r>
          </w:p>
        </w:tc>
      </w:tr>
      <w:tr>
        <w:trPr>
          <w:trHeight w:val="18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(Shown in Other Assets)</w:t>
            </w:r>
          </w:p>
        </w:tc>
        <w:tc>
          <w:tcPr>
            <w:tcW w:w="6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r>
      <w:tr>
        <w:trPr>
          <w:trHeight w:val="171"/>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6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27,842</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19,567</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2"/>
        </w:trPr>
        <w:tc>
          <w:tcPr>
            <w:tcW w:w="77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Supplemental cash flow information</w:t>
            </w:r>
          </w:p>
        </w:tc>
        <w:tc>
          <w:tcPr>
            <w:tcW w:w="6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91"/>
        </w:trPr>
        <w:tc>
          <w:tcPr>
            <w:tcW w:w="7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7760" w:type="dxa"/>
            <w:vAlign w:val="bottom"/>
          </w:tcPr>
          <w:p>
            <w:pPr>
              <w:ind w:left="280"/>
              <w:spacing w:after="0"/>
              <w:rPr>
                <w:sz w:val="20"/>
                <w:szCs w:val="20"/>
                <w:color w:val="auto"/>
              </w:rPr>
            </w:pPr>
            <w:r>
              <w:rPr>
                <w:rFonts w:ascii="Arial" w:cs="Arial" w:eastAsia="Arial" w:hAnsi="Arial"/>
                <w:sz w:val="14"/>
                <w:szCs w:val="14"/>
                <w:color w:val="auto"/>
              </w:rPr>
              <w:t>Accrued capital expenditures included in current liabilities</w:t>
            </w:r>
          </w:p>
        </w:tc>
        <w:tc>
          <w:tcPr>
            <w:tcW w:w="680" w:type="dxa"/>
            <w:vAlign w:val="bottom"/>
          </w:tcPr>
          <w:p>
            <w:pPr>
              <w:jc w:val="right"/>
              <w:ind w:right="5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540</w:t>
            </w:r>
          </w:p>
        </w:tc>
        <w:tc>
          <w:tcPr>
            <w:tcW w:w="780" w:type="dxa"/>
            <w:vAlign w:val="bottom"/>
            <w:gridSpan w:val="2"/>
          </w:tcPr>
          <w:p>
            <w:pPr>
              <w:jc w:val="right"/>
              <w:ind w:right="52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1,054</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7760" w:type="dxa"/>
            <w:vAlign w:val="bottom"/>
            <w:tcBorders>
              <w:bottom w:val="single" w:sz="8" w:color="CCEEFF"/>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Accrued long-term water assets included in current liabilities</w:t>
            </w:r>
          </w:p>
        </w:tc>
        <w:tc>
          <w:tcPr>
            <w:tcW w:w="680" w:type="dxa"/>
            <w:vAlign w:val="bottom"/>
            <w:tcBorders>
              <w:bottom w:val="single" w:sz="8" w:color="auto"/>
            </w:tcBorders>
            <w:shd w:val="clear" w:color="auto" w:fill="CCEEFF"/>
          </w:tcPr>
          <w:p>
            <w:pPr>
              <w:jc w:val="right"/>
              <w:ind w:right="529"/>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962</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29"/>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jc w:val="both"/>
        <w:ind w:left="20" w:right="20"/>
        <w:spacing w:after="0" w:line="247" w:lineRule="auto"/>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In determining the classification of cash inflows and outflows related to water asset activity, the Company’s practices are supported by ASC 230-10-45-22, which provides that “Certain cash receipts and payments have aspects of more than one class of cash flows…. If so, the appropriate classification shall depend on the activity that is likely to be the predominant source of cash flows for the item.” Also, at the 2006 American Institute of</w:t>
      </w:r>
    </w:p>
    <w:p>
      <w:pPr>
        <w:spacing w:after="0" w:line="1" w:lineRule="exact"/>
        <w:rPr>
          <w:sz w:val="20"/>
          <w:szCs w:val="20"/>
          <w:color w:val="auto"/>
        </w:rPr>
      </w:pPr>
    </w:p>
    <w:p>
      <w:pPr>
        <w:ind w:left="20" w:right="380"/>
        <w:spacing w:after="0" w:line="329" w:lineRule="auto"/>
        <w:rPr>
          <w:sz w:val="20"/>
          <w:szCs w:val="20"/>
          <w:color w:val="auto"/>
        </w:rPr>
      </w:pPr>
      <w:r>
        <w:rPr>
          <w:rFonts w:ascii="Arial" w:cs="Arial" w:eastAsia="Arial" w:hAnsi="Arial"/>
          <w:sz w:val="11"/>
          <w:szCs w:val="11"/>
          <w:color w:val="auto"/>
        </w:rPr>
        <w:t>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21" w:lineRule="exact"/>
        <w:rPr>
          <w:sz w:val="20"/>
          <w:szCs w:val="20"/>
          <w:color w:val="auto"/>
        </w:rPr>
      </w:pPr>
    </w:p>
    <w:p>
      <w:pPr>
        <w:ind w:left="20" w:right="100"/>
        <w:spacing w:after="0" w:line="235" w:lineRule="auto"/>
        <w:rPr>
          <w:sz w:val="20"/>
          <w:szCs w:val="20"/>
          <w:color w:val="auto"/>
        </w:rPr>
      </w:pPr>
      <w:r>
        <w:rPr>
          <w:rFonts w:ascii="Arial" w:cs="Arial" w:eastAsia="Arial" w:hAnsi="Arial"/>
          <w:sz w:val="13"/>
          <w:szCs w:val="13"/>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 million in 2023, this cash inflow is appropriately classified in the Company’s investing activities. The profit of $0.5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30" w:lineRule="exact"/>
        <w:rPr>
          <w:sz w:val="20"/>
          <w:szCs w:val="20"/>
          <w:color w:val="auto"/>
        </w:rPr>
      </w:pPr>
    </w:p>
    <w:p>
      <w:pPr>
        <w:ind w:left="20" w:right="180"/>
        <w:spacing w:after="0" w:line="247" w:lineRule="auto"/>
        <w:rPr>
          <w:sz w:val="20"/>
          <w:szCs w:val="20"/>
          <w:color w:val="auto"/>
        </w:rPr>
      </w:pPr>
      <w:r>
        <w:rPr>
          <w:rFonts w:ascii="Arial" w:cs="Arial" w:eastAsia="Arial" w:hAnsi="Arial"/>
          <w:sz w:val="14"/>
          <w:szCs w:val="14"/>
          <w:color w:val="auto"/>
          <w:vertAlign w:val="superscript"/>
        </w:rPr>
        <w:t>2</w:t>
      </w:r>
      <w:r>
        <w:rPr>
          <w:rFonts w:ascii="Arial" w:cs="Arial" w:eastAsia="Arial" w:hAnsi="Arial"/>
          <w:sz w:val="11"/>
          <w:szCs w:val="11"/>
          <w:color w:val="auto"/>
        </w:rPr>
        <w:t>In determining the classification of cash inflows and outflows related to land development costs, the Company’s practices are supported by ASC 230-10-45-22, which provides that “Certain cash receipts and payments have aspects of more than one class of cash flows…. If so, the appropriate classification shall depend on the activity that is likely to be the predominant source of cash flows for the item.” Also, at the 2006 American</w:t>
      </w:r>
    </w:p>
    <w:p>
      <w:pPr>
        <w:spacing w:after="0" w:line="1" w:lineRule="exact"/>
        <w:rPr>
          <w:sz w:val="20"/>
          <w:szCs w:val="20"/>
          <w:color w:val="auto"/>
        </w:rPr>
      </w:pPr>
    </w:p>
    <w:p>
      <w:pPr>
        <w:jc w:val="both"/>
        <w:ind w:left="20" w:right="20"/>
        <w:spacing w:after="0" w:line="309" w:lineRule="auto"/>
        <w:rPr>
          <w:sz w:val="20"/>
          <w:szCs w:val="20"/>
          <w:color w:val="auto"/>
        </w:rPr>
      </w:pPr>
      <w:r>
        <w:rPr>
          <w:rFonts w:ascii="Arial" w:cs="Arial" w:eastAsia="Arial" w:hAnsi="Arial"/>
          <w:sz w:val="11"/>
          <w:szCs w:val="11"/>
          <w:color w:val="auto"/>
        </w:rPr>
        <w:t>Institute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42" w:lineRule="exact"/>
        <w:rPr>
          <w:sz w:val="20"/>
          <w:szCs w:val="20"/>
          <w:color w:val="auto"/>
        </w:rPr>
      </w:pPr>
    </w:p>
    <w:p>
      <w:pPr>
        <w:jc w:val="both"/>
        <w:ind w:left="20" w:right="20"/>
        <w:spacing w:after="0" w:line="235" w:lineRule="auto"/>
        <w:rPr>
          <w:sz w:val="20"/>
          <w:szCs w:val="20"/>
          <w:color w:val="auto"/>
        </w:rPr>
      </w:pPr>
      <w:r>
        <w:rPr>
          <w:rFonts w:ascii="Arial" w:cs="Arial" w:eastAsia="Arial" w:hAnsi="Arial"/>
          <w:sz w:val="13"/>
          <w:szCs w:val="13"/>
          <w:color w:val="auto"/>
        </w:rPr>
        <w:t>Given the nature of our land development costs and the aforementioned authoritative guidance, the Company estimates the appropriate classification of land development costs based on the timing of the sale of land. Land development costs incurred during prior periods that were classified as investing were sold for $4.7 million in gross proceeds in 2022, this cash inflow is appropriately classified in the Company’s investing activities. The profit of $3.6 million related to land development costs incurred in prior periods is appropriately being deducted from operating activities for the first quarter of 2022. The Company has applied, and will continue to apply this methodology to land sale transactions that meet this fact pattern.</w:t>
      </w:r>
    </w:p>
    <w:p>
      <w:pPr>
        <w:spacing w:after="0" w:line="19" w:lineRule="exact"/>
        <w:rPr>
          <w:sz w:val="20"/>
          <w:szCs w:val="20"/>
          <w:color w:val="auto"/>
        </w:rPr>
      </w:pPr>
    </w:p>
    <w:p>
      <w:pPr>
        <w:jc w:val="both"/>
        <w:ind w:left="20" w:right="40"/>
        <w:spacing w:after="0" w:line="222" w:lineRule="auto"/>
        <w:rPr>
          <w:sz w:val="20"/>
          <w:szCs w:val="20"/>
          <w:color w:val="auto"/>
        </w:rPr>
      </w:pPr>
      <w:r>
        <w:rPr>
          <w:rFonts w:ascii="Arial" w:cs="Arial" w:eastAsia="Arial" w:hAnsi="Arial"/>
          <w:sz w:val="15"/>
          <w:szCs w:val="15"/>
          <w:color w:val="auto"/>
          <w:vertAlign w:val="superscript"/>
        </w:rPr>
        <w:t>3</w:t>
      </w:r>
      <w:r>
        <w:rPr>
          <w:rFonts w:ascii="Arial" w:cs="Arial" w:eastAsia="Arial" w:hAnsi="Arial"/>
          <w:sz w:val="12"/>
          <w:szCs w:val="12"/>
          <w:color w:val="auto"/>
        </w:rPr>
        <w:t>The Company had an interest rate swap agreement with Wells Fargo Bank, N.A. to reduce its exposure to fluctuations in the floating interest rate tied to the London Inter-Bank Offered Rate, or LIBOR, under a term note with Wells Fargo. The hedging relationship qualified as an effective cash flow hedge at the initial assessment, based upon a regression analysis, and is recorded at fair value. On June 27, 2022, the Company terminated the interest rate swap agreement with Wells Fargo and received a $1,123,200 cash termination fee from Wells Fargo. See Interest rate swap liability (Note 10) for further discussion.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 OF CHANGES IN EQUITY AND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shares outstanding)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69"/>
              <w:spacing w:after="0"/>
              <w:rPr>
                <w:sz w:val="20"/>
                <w:szCs w:val="20"/>
                <w:color w:val="auto"/>
              </w:rPr>
            </w:pPr>
            <w:r>
              <w:rPr>
                <w:rFonts w:ascii="Arial" w:cs="Arial" w:eastAsia="Arial" w:hAnsi="Arial"/>
                <w:sz w:val="14"/>
                <w:szCs w:val="14"/>
                <w:color w:val="auto"/>
                <w:w w:val="95"/>
              </w:rPr>
              <w:t>Common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1"/>
              </w:rPr>
              <w:t>Accumulated 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89"/>
              <w:spacing w:after="0"/>
              <w:rPr>
                <w:sz w:val="20"/>
                <w:szCs w:val="20"/>
                <w:color w:val="auto"/>
              </w:rPr>
            </w:pPr>
            <w:r>
              <w:rPr>
                <w:rFonts w:ascii="Arial" w:cs="Arial" w:eastAsia="Arial" w:hAnsi="Arial"/>
                <w:sz w:val="14"/>
                <w:szCs w:val="14"/>
                <w:color w:val="auto"/>
                <w:w w:val="92"/>
              </w:rPr>
              <w:t>Retained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9"/>
              <w:spacing w:after="0"/>
              <w:rPr>
                <w:sz w:val="20"/>
                <w:szCs w:val="20"/>
                <w:color w:val="auto"/>
              </w:rPr>
            </w:pPr>
            <w:r>
              <w:rPr>
                <w:rFonts w:ascii="Arial" w:cs="Arial" w:eastAsia="Arial" w:hAnsi="Arial"/>
                <w:sz w:val="14"/>
                <w:szCs w:val="14"/>
                <w:color w:val="auto"/>
                <w:w w:val="89"/>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89"/>
              <w:spacing w:after="0"/>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49"/>
              <w:spacing w:after="0" w:line="138" w:lineRule="exact"/>
              <w:rPr>
                <w:sz w:val="20"/>
                <w:szCs w:val="20"/>
                <w:color w:val="auto"/>
              </w:rPr>
            </w:pPr>
            <w:r>
              <w:rPr>
                <w:rFonts w:ascii="Arial" w:cs="Arial" w:eastAsia="Arial" w:hAnsi="Arial"/>
                <w:sz w:val="14"/>
                <w:szCs w:val="14"/>
                <w:color w:val="auto"/>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9"/>
              <w:spacing w:after="0" w:line="138" w:lineRule="exact"/>
              <w:rPr>
                <w:sz w:val="20"/>
                <w:szCs w:val="20"/>
                <w:color w:val="auto"/>
              </w:rPr>
            </w:pPr>
            <w:r>
              <w:rPr>
                <w:rFonts w:ascii="Arial" w:cs="Arial" w:eastAsia="Arial" w:hAnsi="Arial"/>
                <w:sz w:val="14"/>
                <w:szCs w:val="14"/>
                <w:color w:val="auto"/>
                <w:w w:val="91"/>
              </w:rPr>
              <w:t>Comprehensive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9"/>
              <w:spacing w:after="0" w:line="138" w:lineRule="exact"/>
              <w:rPr>
                <w:sz w:val="20"/>
                <w:szCs w:val="20"/>
                <w:color w:val="auto"/>
              </w:rPr>
            </w:pPr>
            <w:r>
              <w:rPr>
                <w:rFonts w:ascii="Arial" w:cs="Arial" w:eastAsia="Arial" w:hAnsi="Arial"/>
                <w:sz w:val="14"/>
                <w:szCs w:val="14"/>
                <w:color w:val="auto"/>
                <w:w w:val="90"/>
              </w:rPr>
              <w:t>Stockholders'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color w:val="auto"/>
                <w:w w:val="94"/>
              </w:rPr>
              <w:t>Total Equity</w:t>
            </w:r>
          </w:p>
        </w:tc>
        <w:tc>
          <w:tcPr>
            <w:tcW w:w="0" w:type="dxa"/>
            <w:vAlign w:val="bottom"/>
          </w:tcPr>
          <w:p>
            <w:pPr>
              <w:spacing w:after="0"/>
              <w:rPr>
                <w:sz w:val="1"/>
                <w:szCs w:val="1"/>
                <w:color w:val="auto"/>
              </w:rPr>
            </w:pPr>
          </w:p>
        </w:tc>
      </w:tr>
      <w:tr>
        <w:trPr>
          <w:trHeight w:val="185"/>
        </w:trPr>
        <w:tc>
          <w:tcPr>
            <w:tcW w:w="27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Stock</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2"/>
              </w:rPr>
              <w:t>(Loss) Income</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4"/>
              </w:rPr>
              <w:t>Earnings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7"/>
              </w:rPr>
              <w:t>Equity</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Interest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26,710,432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343,438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107,417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461,682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477,052</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8,341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26,718,773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479,077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26,473,349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447,513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462,882</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11,598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26,484,947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13,242</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346,137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(3,919)</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93,475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448,935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464,309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1"/>
              </w:rPr>
              <w:t>Accumulated 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9"/>
              <w:spacing w:after="0"/>
              <w:rPr>
                <w:sz w:val="20"/>
                <w:szCs w:val="20"/>
                <w:color w:val="auto"/>
              </w:rPr>
            </w:pPr>
            <w:r>
              <w:rPr>
                <w:rFonts w:ascii="Arial" w:cs="Arial" w:eastAsia="Arial" w:hAnsi="Arial"/>
                <w:sz w:val="14"/>
                <w:szCs w:val="14"/>
                <w:color w:val="auto"/>
                <w:w w:val="89"/>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9"/>
              <w:spacing w:after="0" w:line="138" w:lineRule="exact"/>
              <w:rPr>
                <w:sz w:val="20"/>
                <w:szCs w:val="20"/>
                <w:color w:val="auto"/>
              </w:rPr>
            </w:pPr>
            <w:r>
              <w:rPr>
                <w:rFonts w:ascii="Arial" w:cs="Arial" w:eastAsia="Arial" w:hAnsi="Arial"/>
                <w:sz w:val="14"/>
                <w:szCs w:val="14"/>
                <w:color w:val="auto"/>
                <w:w w:val="95"/>
              </w:rPr>
              <w:t>Common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9"/>
              <w:spacing w:after="0" w:line="138" w:lineRule="exact"/>
              <w:rPr>
                <w:sz w:val="20"/>
                <w:szCs w:val="20"/>
                <w:color w:val="auto"/>
              </w:rPr>
            </w:pPr>
            <w:r>
              <w:rPr>
                <w:rFonts w:ascii="Arial" w:cs="Arial" w:eastAsia="Arial" w:hAnsi="Arial"/>
                <w:sz w:val="14"/>
                <w:szCs w:val="14"/>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9"/>
              <w:spacing w:after="0" w:line="138" w:lineRule="exact"/>
              <w:rPr>
                <w:sz w:val="20"/>
                <w:szCs w:val="20"/>
                <w:color w:val="auto"/>
              </w:rPr>
            </w:pPr>
            <w:r>
              <w:rPr>
                <w:rFonts w:ascii="Arial" w:cs="Arial" w:eastAsia="Arial" w:hAnsi="Arial"/>
                <w:sz w:val="14"/>
                <w:szCs w:val="14"/>
                <w:color w:val="auto"/>
                <w:w w:val="91"/>
              </w:rPr>
              <w:t>Comprehensive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89"/>
              <w:spacing w:after="0" w:line="138" w:lineRule="exact"/>
              <w:rPr>
                <w:sz w:val="20"/>
                <w:szCs w:val="20"/>
                <w:color w:val="auto"/>
              </w:rPr>
            </w:pPr>
            <w:r>
              <w:rPr>
                <w:rFonts w:ascii="Arial" w:cs="Arial" w:eastAsia="Arial" w:hAnsi="Arial"/>
                <w:sz w:val="14"/>
                <w:szCs w:val="14"/>
                <w:color w:val="auto"/>
                <w:w w:val="92"/>
              </w:rPr>
              <w:t>Retained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9"/>
              <w:spacing w:after="0" w:line="138" w:lineRule="exact"/>
              <w:rPr>
                <w:sz w:val="20"/>
                <w:szCs w:val="20"/>
                <w:color w:val="auto"/>
              </w:rPr>
            </w:pPr>
            <w:r>
              <w:rPr>
                <w:rFonts w:ascii="Arial" w:cs="Arial" w:eastAsia="Arial" w:hAnsi="Arial"/>
                <w:sz w:val="14"/>
                <w:szCs w:val="14"/>
                <w:color w:val="auto"/>
                <w:w w:val="90"/>
              </w:rPr>
              <w:t>Stockholders'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89"/>
              <w:spacing w:after="0" w:line="138" w:lineRule="exact"/>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color w:val="auto"/>
                <w:w w:val="94"/>
              </w:rPr>
              <w:t>Total Equity</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Stock</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2"/>
              </w:rPr>
              <w:t>(Loss) Income</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4"/>
              </w:rPr>
              <w:t>Earnings</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26,541,553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105,643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462,230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477,594</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5"/>
        </w:trPr>
        <w:tc>
          <w:tcPr>
            <w:tcW w:w="276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356,065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38"/>
        </w:trPr>
        <w:tc>
          <w:tcPr>
            <w:tcW w:w="276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(178,845)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26,718,773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479,077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26,400,921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344,936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441,149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456,511</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0" w:type="dxa"/>
            <w:vAlign w:val="bottom"/>
          </w:tcPr>
          <w:p>
            <w:pPr>
              <w:spacing w:after="0"/>
              <w:rPr>
                <w:sz w:val="1"/>
                <w:szCs w:val="1"/>
                <w:color w:val="auto"/>
              </w:rPr>
            </w:pPr>
          </w:p>
        </w:tc>
      </w:tr>
      <w:tr>
        <w:trPr>
          <w:trHeight w:val="185"/>
        </w:trPr>
        <w:tc>
          <w:tcPr>
            <w:tcW w:w="276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147,886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138"/>
        </w:trPr>
        <w:tc>
          <w:tcPr>
            <w:tcW w:w="276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(63,860)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26,484,947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448,935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464,309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35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3"/>
          <w:szCs w:val="13"/>
          <w:b w:val="1"/>
          <w:bCs w:val="1"/>
          <w:color w:val="auto"/>
        </w:rPr>
        <w:t>BASIS OF PRESENTATION</w:t>
      </w:r>
    </w:p>
    <w:p>
      <w:pPr>
        <w:spacing w:after="0" w:line="87"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6"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The periods ended June 30, 2023 and 2022 include the consolidation of CFL’s statement of operations within the resort/residential real estate development segment, statements of changes in equity and noncontrolling interests, and statements of cash flows. The Company’s June 30, 2023 and December 31, 2022 balance sheets are presented on a consolidated basis, including the consolidation of CFL.</w:t>
      </w:r>
    </w:p>
    <w:p>
      <w:pPr>
        <w:spacing w:after="0" w:line="46"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50" w:lineRule="exact"/>
        <w:rPr>
          <w:sz w:val="20"/>
          <w:szCs w:val="20"/>
          <w:color w:val="auto"/>
        </w:rPr>
      </w:pPr>
    </w:p>
    <w:p>
      <w:pPr>
        <w:ind w:right="160"/>
        <w:spacing w:after="0" w:line="321" w:lineRule="auto"/>
        <w:rPr>
          <w:sz w:val="20"/>
          <w:szCs w:val="20"/>
          <w:color w:val="auto"/>
        </w:rPr>
      </w:pPr>
      <w:r>
        <w:rPr>
          <w:rFonts w:ascii="Arial" w:cs="Arial" w:eastAsia="Arial" w:hAnsi="Arial"/>
          <w:sz w:val="13"/>
          <w:szCs w:val="13"/>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3"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For further information and a summary of significant accounting policies, refer to the Consolidated Financial Statements and notes thereto included in the Company’s Annual Report on Form 10-K for the year ended December 31, 2022.</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Instruments</w:t>
      </w:r>
    </w:p>
    <w:p>
      <w:pPr>
        <w:spacing w:after="0" w:line="83"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Certain financial instruments are carried on the consolidated balance sheet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notes payable also approximates their carrying value, as the interest rates are primarily variable and approximate prevailing market interest rates for similar debt arrangements.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Cash</w:t>
      </w:r>
    </w:p>
    <w:p>
      <w:pPr>
        <w:spacing w:after="0" w:line="8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Restricted cash is included in Prepaid expenses and other current assets within the Consolidated Balance Sheets and primarily relates to funds held in escrow. The Company had $500,000 of restricted cash as of June 30, 2023.</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No new ASU is applicable to our consolidated financial statements as of June 30, 2023.</w:t>
      </w:r>
    </w:p>
    <w:p>
      <w:pPr>
        <w:spacing w:after="0" w:line="13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tab/>
        <w:t>EQUITY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 (EPS)</w:t>
      </w:r>
    </w:p>
    <w:p>
      <w:pPr>
        <w:spacing w:after="0" w:line="87"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Basic net income or loss per share attributable to common stockholders is based upon the weighted-average number of shares of common stock outstanding during the year. Diluted net income or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380" w:type="dxa"/>
            <w:vAlign w:val="bottom"/>
            <w:gridSpan w:val="3"/>
          </w:tcPr>
          <w:p>
            <w:pPr>
              <w:jc w:val="right"/>
              <w:ind w:right="769"/>
              <w:spacing w:after="0"/>
              <w:rPr>
                <w:sz w:val="20"/>
                <w:szCs w:val="20"/>
                <w:color w:val="auto"/>
              </w:rPr>
            </w:pPr>
            <w:r>
              <w:rPr>
                <w:rFonts w:ascii="Arial" w:cs="Arial" w:eastAsia="Arial" w:hAnsi="Arial"/>
                <w:sz w:val="14"/>
                <w:szCs w:val="14"/>
                <w:color w:val="auto"/>
              </w:rPr>
              <w:t>Three Months Ended June 30,</w:t>
            </w:r>
          </w:p>
        </w:tc>
        <w:tc>
          <w:tcPr>
            <w:tcW w:w="120" w:type="dxa"/>
            <w:vAlign w:val="bottom"/>
          </w:tcPr>
          <w:p>
            <w:pPr>
              <w:spacing w:after="0"/>
              <w:rPr>
                <w:sz w:val="16"/>
                <w:szCs w:val="16"/>
                <w:color w:val="auto"/>
              </w:rPr>
            </w:pPr>
          </w:p>
        </w:tc>
        <w:tc>
          <w:tcPr>
            <w:tcW w:w="3600" w:type="dxa"/>
            <w:vAlign w:val="bottom"/>
            <w:gridSpan w:val="4"/>
          </w:tcPr>
          <w:p>
            <w:pPr>
              <w:ind w:left="900"/>
              <w:spacing w:after="0"/>
              <w:rPr>
                <w:sz w:val="20"/>
                <w:szCs w:val="20"/>
                <w:color w:val="auto"/>
              </w:rPr>
            </w:pPr>
            <w:r>
              <w:rPr>
                <w:rFonts w:ascii="Arial" w:cs="Arial" w:eastAsia="Arial" w:hAnsi="Arial"/>
                <w:sz w:val="14"/>
                <w:szCs w:val="14"/>
                <w:color w:val="auto"/>
              </w:rPr>
              <w:t>Six Months Ended June 30,</w:t>
            </w:r>
          </w:p>
        </w:tc>
      </w:tr>
      <w:tr>
        <w:trPr>
          <w:trHeight w:val="176"/>
        </w:trPr>
        <w:tc>
          <w:tcPr>
            <w:tcW w:w="2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40" w:type="dxa"/>
            <w:vAlign w:val="bottom"/>
            <w:tcBorders>
              <w:top w:val="single" w:sz="8" w:color="auto"/>
            </w:tcBorders>
          </w:tcPr>
          <w:p>
            <w:pPr>
              <w:jc w:val="right"/>
              <w:ind w:right="609"/>
              <w:spacing w:after="0"/>
              <w:rPr>
                <w:sz w:val="20"/>
                <w:szCs w:val="20"/>
                <w:color w:val="auto"/>
              </w:rPr>
            </w:pPr>
            <w:r>
              <w:rPr>
                <w:rFonts w:ascii="Arial" w:cs="Arial" w:eastAsia="Arial" w:hAnsi="Arial"/>
                <w:sz w:val="14"/>
                <w:szCs w:val="14"/>
                <w:color w:val="auto"/>
              </w:rPr>
              <w:t>2023</w:t>
            </w:r>
          </w:p>
        </w:tc>
        <w:tc>
          <w:tcPr>
            <w:tcW w:w="1740" w:type="dxa"/>
            <w:vAlign w:val="bottom"/>
            <w:tcBorders>
              <w:top w:val="single" w:sz="8" w:color="auto"/>
            </w:tcBorders>
            <w:gridSpan w:val="2"/>
          </w:tcPr>
          <w:p>
            <w:pPr>
              <w:jc w:val="right"/>
              <w:ind w:right="609"/>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1620" w:type="dxa"/>
            <w:vAlign w:val="bottom"/>
            <w:tcBorders>
              <w:top w:val="single" w:sz="8" w:color="auto"/>
            </w:tcBorders>
          </w:tcPr>
          <w:p>
            <w:pPr>
              <w:jc w:val="right"/>
              <w:ind w:right="589"/>
              <w:spacing w:after="0"/>
              <w:rPr>
                <w:sz w:val="20"/>
                <w:szCs w:val="20"/>
                <w:color w:val="auto"/>
              </w:rPr>
            </w:pPr>
            <w:r>
              <w:rPr>
                <w:rFonts w:ascii="Arial" w:cs="Arial" w:eastAsia="Arial" w:hAnsi="Arial"/>
                <w:sz w:val="14"/>
                <w:szCs w:val="14"/>
                <w:color w:val="auto"/>
              </w:rPr>
              <w:t>2023</w:t>
            </w:r>
          </w:p>
        </w:tc>
        <w:tc>
          <w:tcPr>
            <w:tcW w:w="1760" w:type="dxa"/>
            <w:vAlign w:val="bottom"/>
            <w:tcBorders>
              <w:top w:val="single" w:sz="8" w:color="auto"/>
            </w:tcBorders>
            <w:gridSpan w:val="2"/>
          </w:tcPr>
          <w:p>
            <w:pPr>
              <w:jc w:val="right"/>
              <w:ind w:right="609"/>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r>
      <w:tr>
        <w:trPr>
          <w:trHeight w:val="166"/>
        </w:trPr>
        <w:tc>
          <w:tcPr>
            <w:tcW w:w="22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Weighted-average number of shares outstanding:</w:t>
            </w:r>
          </w:p>
        </w:tc>
        <w:tc>
          <w:tcPr>
            <w:tcW w:w="1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86"/>
        </w:trPr>
        <w:tc>
          <w:tcPr>
            <w:tcW w:w="220" w:type="dxa"/>
            <w:vAlign w:val="bottom"/>
          </w:tcPr>
          <w:p>
            <w:pPr>
              <w:spacing w:after="0"/>
              <w:rPr>
                <w:sz w:val="16"/>
                <w:szCs w:val="16"/>
                <w:color w:val="auto"/>
              </w:rPr>
            </w:pPr>
          </w:p>
        </w:tc>
        <w:tc>
          <w:tcPr>
            <w:tcW w:w="3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26,713,090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26,480,405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26,680,508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26,456,330</w:t>
            </w:r>
          </w:p>
        </w:tc>
        <w:tc>
          <w:tcPr>
            <w:tcW w:w="220" w:type="dxa"/>
            <w:vAlign w:val="bottom"/>
          </w:tcPr>
          <w:p>
            <w:pPr>
              <w:spacing w:after="0"/>
              <w:rPr>
                <w:sz w:val="16"/>
                <w:szCs w:val="16"/>
                <w:color w:val="auto"/>
              </w:rPr>
            </w:pPr>
          </w:p>
        </w:tc>
      </w:tr>
      <w:tr>
        <w:trPr>
          <w:trHeight w:val="180"/>
        </w:trPr>
        <w:tc>
          <w:tcPr>
            <w:tcW w:w="2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Arial" w:cs="Arial" w:eastAsia="Arial" w:hAnsi="Arial"/>
                <w:sz w:val="14"/>
                <w:szCs w:val="14"/>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87,146</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47,507</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65,194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57,665</w:t>
            </w:r>
          </w:p>
        </w:tc>
        <w:tc>
          <w:tcPr>
            <w:tcW w:w="22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3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 shares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26,800,236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26,527,912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26,745,702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26,513,995</w:t>
            </w:r>
          </w:p>
        </w:tc>
        <w:tc>
          <w:tcPr>
            <w:tcW w:w="22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36"/>
        </w:trPr>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7"/>
        </w:trPr>
        <w:tc>
          <w:tcPr>
            <w:tcW w:w="220" w:type="dxa"/>
            <w:vAlign w:val="bottom"/>
            <w:tcBorders>
              <w:bottom w:val="single" w:sz="8" w:color="9A9A9A"/>
            </w:tcBorders>
          </w:tcPr>
          <w:p>
            <w:pPr>
              <w:spacing w:after="0"/>
              <w:rPr>
                <w:sz w:val="7"/>
                <w:szCs w:val="7"/>
                <w:color w:val="auto"/>
              </w:rPr>
            </w:pPr>
          </w:p>
        </w:tc>
        <w:tc>
          <w:tcPr>
            <w:tcW w:w="39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1" w:name="page12"/>
    <w:bookmarkEnd w:id="11"/>
    <w:p>
      <w:pPr>
        <w:ind w:left="280" w:hanging="275"/>
        <w:spacing w:after="0"/>
        <w:tabs>
          <w:tab w:leader="none" w:pos="28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MARKETABLE SECURITIES</w:t>
      </w:r>
    </w:p>
    <w:p>
      <w:pPr>
        <w:spacing w:after="0" w:line="87"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69"/>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129"/>
        </w:trPr>
        <w:tc>
          <w:tcPr>
            <w:tcW w:w="4140" w:type="dxa"/>
            <w:vAlign w:val="bottom"/>
            <w:vMerge w:val="restart"/>
          </w:tcPr>
          <w:p>
            <w:pPr>
              <w:ind w:left="20"/>
              <w:spacing w:after="0"/>
              <w:rPr>
                <w:sz w:val="20"/>
                <w:szCs w:val="20"/>
                <w:color w:val="auto"/>
              </w:rPr>
            </w:pPr>
            <w:r>
              <w:rPr>
                <w:rFonts w:ascii="Arial" w:cs="Arial" w:eastAsia="Arial" w:hAnsi="Arial"/>
                <w:sz w:val="14"/>
                <w:szCs w:val="14"/>
                <w:color w:val="auto"/>
              </w:rPr>
              <w:t>Marketable Securities:</w:t>
            </w:r>
          </w:p>
        </w:tc>
        <w:tc>
          <w:tcPr>
            <w:tcW w:w="2240" w:type="dxa"/>
            <w:vAlign w:val="bottom"/>
          </w:tcPr>
          <w:p>
            <w:pPr>
              <w:jc w:val="center"/>
              <w:ind w:left="989"/>
              <w:spacing w:after="0" w:line="129" w:lineRule="exact"/>
              <w:rPr>
                <w:sz w:val="20"/>
                <w:szCs w:val="20"/>
                <w:color w:val="auto"/>
              </w:rPr>
            </w:pPr>
            <w:r>
              <w:rPr>
                <w:rFonts w:ascii="Arial" w:cs="Arial" w:eastAsia="Arial" w:hAnsi="Arial"/>
                <w:sz w:val="14"/>
                <w:szCs w:val="14"/>
                <w:color w:val="auto"/>
                <w:w w:val="90"/>
              </w:rPr>
              <w:t>Fair Value</w:t>
            </w:r>
          </w:p>
        </w:tc>
        <w:tc>
          <w:tcPr>
            <w:tcW w:w="260" w:type="dxa"/>
            <w:vAlign w:val="bottom"/>
          </w:tcPr>
          <w:p>
            <w:pPr>
              <w:spacing w:after="0"/>
              <w:rPr>
                <w:sz w:val="11"/>
                <w:szCs w:val="11"/>
                <w:color w:val="auto"/>
              </w:rPr>
            </w:pPr>
          </w:p>
        </w:tc>
        <w:tc>
          <w:tcPr>
            <w:tcW w:w="880" w:type="dxa"/>
            <w:vAlign w:val="bottom"/>
            <w:vMerge w:val="restart"/>
          </w:tcPr>
          <w:p>
            <w:pPr>
              <w:jc w:val="right"/>
              <w:ind w:right="369"/>
              <w:spacing w:after="0"/>
              <w:rPr>
                <w:sz w:val="20"/>
                <w:szCs w:val="20"/>
                <w:color w:val="auto"/>
              </w:rPr>
            </w:pPr>
            <w:r>
              <w:rPr>
                <w:rFonts w:ascii="Arial" w:cs="Arial" w:eastAsia="Arial" w:hAnsi="Arial"/>
                <w:sz w:val="14"/>
                <w:szCs w:val="14"/>
                <w:color w:val="auto"/>
              </w:rPr>
              <w:t>Cost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09"/>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49"/>
              <w:spacing w:after="0"/>
              <w:rPr>
                <w:sz w:val="20"/>
                <w:szCs w:val="20"/>
                <w:color w:val="auto"/>
              </w:rPr>
            </w:pPr>
            <w:r>
              <w:rPr>
                <w:rFonts w:ascii="Arial" w:cs="Arial" w:eastAsia="Arial" w:hAnsi="Arial"/>
                <w:sz w:val="14"/>
                <w:szCs w:val="14"/>
                <w:color w:val="auto"/>
              </w:rPr>
              <w:t>Cost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09"/>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0"/>
        </w:trPr>
        <w:tc>
          <w:tcPr>
            <w:tcW w:w="4140" w:type="dxa"/>
            <w:vAlign w:val="bottom"/>
            <w:vMerge w:val="continue"/>
          </w:tcPr>
          <w:p>
            <w:pPr>
              <w:spacing w:after="0"/>
              <w:rPr>
                <w:sz w:val="15"/>
                <w:szCs w:val="15"/>
                <w:color w:val="auto"/>
              </w:rPr>
            </w:pPr>
          </w:p>
        </w:tc>
        <w:tc>
          <w:tcPr>
            <w:tcW w:w="2500" w:type="dxa"/>
            <w:vAlign w:val="bottom"/>
            <w:gridSpan w:val="2"/>
          </w:tcPr>
          <w:p>
            <w:pPr>
              <w:jc w:val="center"/>
              <w:ind w:left="729"/>
              <w:spacing w:after="0"/>
              <w:rPr>
                <w:sz w:val="20"/>
                <w:szCs w:val="20"/>
                <w:color w:val="auto"/>
              </w:rPr>
            </w:pPr>
            <w:r>
              <w:rPr>
                <w:rFonts w:ascii="Arial" w:cs="Arial" w:eastAsia="Arial" w:hAnsi="Arial"/>
                <w:sz w:val="14"/>
                <w:szCs w:val="14"/>
                <w:color w:val="auto"/>
                <w:w w:val="96"/>
              </w:rPr>
              <w:t>Hierarchy</w:t>
            </w: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20"/>
              <w:spacing w:after="0"/>
              <w:rPr>
                <w:sz w:val="20"/>
                <w:szCs w:val="20"/>
                <w:color w:val="auto"/>
              </w:rPr>
            </w:pPr>
            <w:r>
              <w:rPr>
                <w:rFonts w:ascii="Arial" w:cs="Arial" w:eastAsia="Arial" w:hAnsi="Arial"/>
                <w:sz w:val="14"/>
                <w:szCs w:val="14"/>
                <w:color w:val="auto"/>
              </w:rPr>
              <w:t>with unrealized losses for less than 12 months</w:t>
            </w:r>
          </w:p>
        </w:tc>
        <w:tc>
          <w:tcPr>
            <w:tcW w:w="2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21,320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21,236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13,916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13,832</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unrealized losses for more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85"/>
        </w:trPr>
        <w:tc>
          <w:tcPr>
            <w:tcW w:w="41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with unrealized gains</w:t>
            </w:r>
          </w:p>
        </w:tc>
        <w:tc>
          <w:tcPr>
            <w:tcW w:w="2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U.S. Treasury and agency notes</w:t>
            </w:r>
          </w:p>
        </w:tc>
        <w:tc>
          <w:tcPr>
            <w:tcW w:w="2240" w:type="dxa"/>
            <w:vAlign w:val="bottom"/>
            <w:tcBorders>
              <w:bottom w:val="single" w:sz="8" w:color="CCEEFF"/>
            </w:tcBorders>
            <w:shd w:val="clear" w:color="auto" w:fill="CCEEFF"/>
          </w:tcPr>
          <w:p>
            <w:pPr>
              <w:jc w:val="center"/>
              <w:ind w:left="989"/>
              <w:spacing w:after="0"/>
              <w:rPr>
                <w:sz w:val="20"/>
                <w:szCs w:val="20"/>
                <w:color w:val="auto"/>
              </w:rPr>
            </w:pPr>
            <w:r>
              <w:rPr>
                <w:rFonts w:ascii="Arial" w:cs="Arial" w:eastAsia="Arial" w:hAnsi="Arial"/>
                <w:sz w:val="14"/>
                <w:szCs w:val="14"/>
                <w:color w:val="auto"/>
                <w:w w:val="92"/>
              </w:rPr>
              <w:t>Level 2</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15,582</w:t>
            </w:r>
          </w:p>
        </w:tc>
        <w:tc>
          <w:tcPr>
            <w:tcW w:w="0" w:type="dxa"/>
            <w:vAlign w:val="bottom"/>
          </w:tcPr>
          <w:p>
            <w:pPr>
              <w:spacing w:after="0"/>
              <w:rPr>
                <w:sz w:val="1"/>
                <w:szCs w:val="1"/>
                <w:color w:val="auto"/>
              </w:rPr>
            </w:pPr>
          </w:p>
        </w:tc>
      </w:tr>
      <w:tr>
        <w:trPr>
          <w:trHeight w:val="171"/>
        </w:trPr>
        <w:tc>
          <w:tcPr>
            <w:tcW w:w="4140" w:type="dxa"/>
            <w:vAlign w:val="bottom"/>
          </w:tcPr>
          <w:p>
            <w:pPr>
              <w:ind w:left="20"/>
              <w:spacing w:after="0"/>
              <w:rPr>
                <w:sz w:val="20"/>
                <w:szCs w:val="20"/>
                <w:color w:val="auto"/>
              </w:rPr>
            </w:pPr>
            <w:r>
              <w:rPr>
                <w:rFonts w:ascii="Arial" w:cs="Arial" w:eastAsia="Arial" w:hAnsi="Arial"/>
                <w:sz w:val="14"/>
                <w:szCs w:val="14"/>
                <w:color w:val="auto"/>
              </w:rPr>
              <w:t>Corporate notes</w:t>
            </w: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unrealized losses for less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17,112</w:t>
            </w:r>
          </w:p>
        </w:tc>
        <w:tc>
          <w:tcPr>
            <w:tcW w:w="0" w:type="dxa"/>
            <w:vAlign w:val="bottom"/>
          </w:tcPr>
          <w:p>
            <w:pPr>
              <w:spacing w:after="0"/>
              <w:rPr>
                <w:sz w:val="1"/>
                <w:szCs w:val="1"/>
                <w:color w:val="auto"/>
              </w:rPr>
            </w:pPr>
          </w:p>
        </w:tc>
      </w:tr>
      <w:tr>
        <w:trPr>
          <w:trHeight w:val="185"/>
        </w:trPr>
        <w:tc>
          <w:tcPr>
            <w:tcW w:w="4140" w:type="dxa"/>
            <w:vAlign w:val="bottom"/>
          </w:tcPr>
          <w:p>
            <w:pPr>
              <w:ind w:left="120"/>
              <w:spacing w:after="0"/>
              <w:rPr>
                <w:sz w:val="20"/>
                <w:szCs w:val="20"/>
                <w:color w:val="auto"/>
              </w:rPr>
            </w:pPr>
            <w:r>
              <w:rPr>
                <w:rFonts w:ascii="Arial" w:cs="Arial" w:eastAsia="Arial" w:hAnsi="Arial"/>
                <w:sz w:val="14"/>
                <w:szCs w:val="14"/>
                <w:color w:val="auto"/>
              </w:rPr>
              <w:t>with unrealized losses for more than 12 months</w:t>
            </w: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6"/>
        </w:trPr>
        <w:tc>
          <w:tcPr>
            <w:tcW w:w="4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unrealized gains</w:t>
            </w:r>
          </w:p>
        </w:tc>
        <w:tc>
          <w:tcPr>
            <w:tcW w:w="2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Corporate notes</w:t>
            </w:r>
          </w:p>
        </w:tc>
        <w:tc>
          <w:tcPr>
            <w:tcW w:w="2240" w:type="dxa"/>
            <w:vAlign w:val="bottom"/>
            <w:tcBorders>
              <w:bottom w:val="single" w:sz="8" w:color="CCEEFF"/>
            </w:tcBorders>
          </w:tcPr>
          <w:p>
            <w:pPr>
              <w:jc w:val="center"/>
              <w:ind w:left="989"/>
              <w:spacing w:after="0"/>
              <w:rPr>
                <w:sz w:val="20"/>
                <w:szCs w:val="20"/>
                <w:color w:val="auto"/>
              </w:rPr>
            </w:pPr>
            <w:r>
              <w:rPr>
                <w:rFonts w:ascii="Arial" w:cs="Arial" w:eastAsia="Arial" w:hAnsi="Arial"/>
                <w:sz w:val="14"/>
                <w:szCs w:val="14"/>
                <w:color w:val="auto"/>
                <w:w w:val="92"/>
              </w:rPr>
              <w:t>Level 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17,862</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2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39,782</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39,651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33,652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33,444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360"/>
        <w:spacing w:after="0" w:line="297" w:lineRule="auto"/>
        <w:rPr>
          <w:sz w:val="20"/>
          <w:szCs w:val="20"/>
          <w:color w:val="auto"/>
        </w:rPr>
      </w:pPr>
      <w:r>
        <w:rPr>
          <w:rFonts w:ascii="Arial" w:cs="Arial" w:eastAsia="Arial" w:hAnsi="Arial"/>
          <w:sz w:val="13"/>
          <w:szCs w:val="13"/>
          <w:color w:val="auto"/>
        </w:rPr>
        <w:t>ASC Topic 326, "Financial Instruments - Credit Losses," requires the Company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June 30, 2023, the Company has not recorded any credit losses.</w:t>
      </w:r>
    </w:p>
    <w:p>
      <w:pPr>
        <w:spacing w:after="0" w:line="18"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 of June 30, 2023, the fair market value of marketable securities was $131,000 below their cost basis. The Company’s gross unrealized holding gains equaled $0 and gross unrealized holding losses equaled $131,000. For the six-months ended June 30, 2023, the adjustment to accumulated other comprehensive loss reflected an improvement in market value of $77,000, including estimated taxes of $22,000.</w:t>
      </w:r>
    </w:p>
    <w:p>
      <w:pPr>
        <w:spacing w:after="0" w:line="46"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Company elected to exclude applicable accrued interest from both the fair value and the amortized cost basis of the available-for-sale debt securities, and separately present the accrued interest receivable balance per ASC Topic 326. The accrued interest receivables balance totaled $239,000 as of June 30, 2023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U.S. Treasury and agency notes</w:t>
      </w:r>
    </w:p>
    <w:p>
      <w:pPr>
        <w:spacing w:after="0" w:line="72" w:lineRule="exact"/>
        <w:rPr>
          <w:sz w:val="20"/>
          <w:szCs w:val="20"/>
          <w:color w:val="auto"/>
        </w:rPr>
      </w:pPr>
    </w:p>
    <w:p>
      <w:pPr>
        <w:ind w:right="100"/>
        <w:spacing w:after="0" w:line="319" w:lineRule="auto"/>
        <w:rPr>
          <w:sz w:val="20"/>
          <w:szCs w:val="20"/>
          <w:color w:val="auto"/>
        </w:rPr>
      </w:pPr>
      <w:r>
        <w:rPr>
          <w:rFonts w:ascii="Arial" w:cs="Arial" w:eastAsia="Arial" w:hAnsi="Arial"/>
          <w:sz w:val="12"/>
          <w:szCs w:val="12"/>
          <w:color w:val="auto"/>
        </w:rPr>
        <w:t>The unrealized losses on the Company's investments in U.S. Treasury and agency notes at June 30, 2023 and December 31, 2022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June 30, 2023 and December 31, 2022, the Company did not intend to sell these securities and it is not more-likely-than-not the Company would be required to sell these securities before recovery of their cost basis. Therefore, these investments did not require an ACL as of June 30, 2023 and December 31, 2022.</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Corporate notes</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June 30, 2023 and December 31, 2022, the Company did not intend to sell these securities and it is not more-likely-than-not the Company would be required to sell these securities before recovery of their cost basis. Therefore, these investments did not require an ACL as of June 30, 2023 and December 31, 2022.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0"/>
        </w:trPr>
        <w:tc>
          <w:tcPr>
            <w:tcW w:w="7940" w:type="dxa"/>
            <w:vAlign w:val="bottom"/>
          </w:tcPr>
          <w:p>
            <w:pPr>
              <w:spacing w:after="0"/>
              <w:rPr>
                <w:sz w:val="20"/>
                <w:szCs w:val="20"/>
                <w:color w:val="auto"/>
              </w:rPr>
            </w:pPr>
            <w:r>
              <w:rPr>
                <w:rFonts w:ascii="Arial" w:cs="Arial" w:eastAsia="Arial" w:hAnsi="Arial"/>
                <w:sz w:val="14"/>
                <w:szCs w:val="14"/>
                <w:color w:val="auto"/>
              </w:rPr>
              <w:t>The following tables summarize the maturities, at par, of marketable securities as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67"/>
        </w:trPr>
        <w:tc>
          <w:tcPr>
            <w:tcW w:w="79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w w:val="87"/>
              </w:rPr>
              <w:t>June 30, 2023</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170"/>
        </w:trPr>
        <w:tc>
          <w:tcPr>
            <w:tcW w:w="79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89"/>
              </w:rPr>
              <w:t>2024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Total</w:t>
            </w: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11,070</w:t>
            </w:r>
          </w:p>
        </w:tc>
        <w:tc>
          <w:tcPr>
            <w:tcW w:w="2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21,936</w:t>
            </w:r>
          </w:p>
        </w:tc>
      </w:tr>
      <w:tr>
        <w:trPr>
          <w:trHeight w:val="18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notes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17,993</w:t>
            </w:r>
          </w:p>
        </w:tc>
      </w:tr>
      <w:tr>
        <w:trPr>
          <w:trHeight w:val="196"/>
        </w:trPr>
        <w:tc>
          <w:tcPr>
            <w:tcW w:w="7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26,563</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7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89"/>
              </w:rPr>
              <w:t>December 31, 2022</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0"/>
        </w:trPr>
        <w:tc>
          <w:tcPr>
            <w:tcW w:w="79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6"/>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Total</w:t>
            </w: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15,225</w:t>
            </w:r>
          </w:p>
        </w:tc>
        <w:tc>
          <w:tcPr>
            <w:tcW w:w="2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15,725</w:t>
            </w:r>
          </w:p>
        </w:tc>
      </w:tr>
      <w:tr>
        <w:trPr>
          <w:trHeight w:val="18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notes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17,970</w:t>
            </w:r>
          </w:p>
        </w:tc>
      </w:tr>
      <w:tr>
        <w:trPr>
          <w:trHeight w:val="196"/>
        </w:trPr>
        <w:tc>
          <w:tcPr>
            <w:tcW w:w="7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32,695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33,695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The Company’s investments in corporate notes are with companies that have an investment grade rating from Standard &amp; Poor’s as of June 30, 2023.</w:t>
      </w:r>
    </w:p>
    <w:p>
      <w:pPr>
        <w:spacing w:after="0" w:line="79" w:lineRule="exact"/>
        <w:rPr>
          <w:sz w:val="20"/>
          <w:szCs w:val="20"/>
          <w:color w:val="auto"/>
        </w:rPr>
      </w:pPr>
    </w:p>
    <w:p>
      <w:pPr>
        <w:ind w:left="280" w:hanging="275"/>
        <w:spacing w:after="0"/>
        <w:tabs>
          <w:tab w:leader="none" w:pos="28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REAL ESTATE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Our accumulated real estate development costs by project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Real estate development</w:t>
            </w: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Mountain Village</w:t>
            </w:r>
          </w:p>
        </w:tc>
        <w:tc>
          <w:tcPr>
            <w:tcW w:w="2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154,105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153,156</w:t>
            </w:r>
          </w:p>
        </w:tc>
        <w:tc>
          <w:tcPr>
            <w:tcW w:w="0" w:type="dxa"/>
            <w:vAlign w:val="bottom"/>
          </w:tcPr>
          <w:p>
            <w:pPr>
              <w:spacing w:after="0"/>
              <w:rPr>
                <w:sz w:val="1"/>
                <w:szCs w:val="1"/>
                <w:color w:val="auto"/>
              </w:rPr>
            </w:pPr>
          </w:p>
        </w:tc>
      </w:tr>
      <w:tr>
        <w:trPr>
          <w:trHeight w:val="185"/>
        </w:trPr>
        <w:tc>
          <w:tcPr>
            <w:tcW w:w="4200" w:type="dxa"/>
            <w:vAlign w:val="bottom"/>
          </w:tcPr>
          <w:p>
            <w:pPr>
              <w:ind w:left="120"/>
              <w:spacing w:after="0"/>
              <w:rPr>
                <w:sz w:val="20"/>
                <w:szCs w:val="20"/>
                <w:color w:val="auto"/>
              </w:rPr>
            </w:pPr>
            <w:r>
              <w:rPr>
                <w:rFonts w:ascii="Arial" w:cs="Arial" w:eastAsia="Arial" w:hAnsi="Arial"/>
                <w:sz w:val="14"/>
                <w:szCs w:val="14"/>
                <w:color w:val="auto"/>
              </w:rPr>
              <w:t>Centennial</w:t>
            </w:r>
          </w:p>
        </w:tc>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116,781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115,221</w:t>
            </w:r>
          </w:p>
        </w:tc>
        <w:tc>
          <w:tcPr>
            <w:tcW w:w="0" w:type="dxa"/>
            <w:vAlign w:val="bottom"/>
          </w:tcPr>
          <w:p>
            <w:pPr>
              <w:spacing w:after="0"/>
              <w:rPr>
                <w:sz w:val="1"/>
                <w:szCs w:val="1"/>
                <w:color w:val="auto"/>
              </w:rPr>
            </w:pPr>
          </w:p>
        </w:tc>
      </w:tr>
      <w:tr>
        <w:trPr>
          <w:trHeight w:val="186"/>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Grapevine</w:t>
            </w:r>
          </w:p>
        </w:tc>
        <w:tc>
          <w:tcPr>
            <w:tcW w:w="2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39,273</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Tejon Ranch Commerce Center</w:t>
            </w:r>
          </w:p>
        </w:tc>
        <w:tc>
          <w:tcPr>
            <w:tcW w:w="2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13,643</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development</w:t>
            </w:r>
          </w:p>
        </w:tc>
        <w:tc>
          <w:tcPr>
            <w:tcW w:w="2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327,521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321,293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w:t>
            </w:r>
          </w:p>
        </w:tc>
        <w:tc>
          <w:tcPr>
            <w:tcW w:w="2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Tejon Ranch Commerce Center</w:t>
            </w:r>
          </w:p>
        </w:tc>
        <w:tc>
          <w:tcPr>
            <w:tcW w:w="2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20,710</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20,590</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Less accumulated depreciation</w:t>
            </w:r>
          </w:p>
        </w:tc>
        <w:tc>
          <w:tcPr>
            <w:tcW w:w="24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(3,650)</w:t>
            </w:r>
          </w:p>
        </w:tc>
        <w:tc>
          <w:tcPr>
            <w:tcW w:w="0" w:type="dxa"/>
            <w:vAlign w:val="bottom"/>
          </w:tcPr>
          <w:p>
            <w:pPr>
              <w:spacing w:after="0"/>
              <w:rPr>
                <w:sz w:val="1"/>
                <w:szCs w:val="1"/>
                <w:color w:val="auto"/>
              </w:rPr>
            </w:pPr>
          </w:p>
        </w:tc>
      </w:tr>
      <w:tr>
        <w:trPr>
          <w:trHeight w:val="172"/>
        </w:trPr>
        <w:tc>
          <w:tcPr>
            <w:tcW w:w="4200" w:type="dxa"/>
            <w:vAlign w:val="bottom"/>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2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16,887</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16,940</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460" w:type="dxa"/>
            <w:vAlign w:val="bottom"/>
            <w:vMerge w:val="restart"/>
          </w:tcPr>
          <w:p>
            <w:pPr>
              <w:jc w:val="right"/>
              <w:ind w:right="869"/>
              <w:spacing w:after="0"/>
              <w:rPr>
                <w:sz w:val="20"/>
                <w:szCs w:val="20"/>
                <w:color w:val="auto"/>
              </w:rPr>
            </w:pPr>
            <w:r>
              <w:rPr>
                <w:rFonts w:ascii="Arial" w:cs="Arial" w:eastAsia="Arial" w:hAnsi="Arial"/>
                <w:sz w:val="14"/>
                <w:szCs w:val="14"/>
                <w:color w:val="auto"/>
              </w:rPr>
              <w:t>13</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4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3" w:name="page14"/>
    <w:bookmarkEnd w:id="13"/>
    <w:p>
      <w:pPr>
        <w:ind w:left="280" w:hanging="275"/>
        <w:spacing w:after="0"/>
        <w:tabs>
          <w:tab w:leader="none" w:pos="2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LONG-TERM WATER ASSETS</w:t>
      </w:r>
    </w:p>
    <w:p>
      <w:pPr>
        <w:spacing w:after="0" w:line="87" w:lineRule="exact"/>
        <w:rPr>
          <w:sz w:val="20"/>
          <w:szCs w:val="20"/>
          <w:color w:val="auto"/>
        </w:rPr>
      </w:pPr>
    </w:p>
    <w:p>
      <w:pPr>
        <w:ind w:right="40"/>
        <w:spacing w:after="0" w:line="321" w:lineRule="auto"/>
        <w:rPr>
          <w:sz w:val="20"/>
          <w:szCs w:val="20"/>
          <w:color w:val="auto"/>
        </w:rPr>
      </w:pPr>
      <w:r>
        <w:rPr>
          <w:rFonts w:ascii="Arial" w:cs="Arial" w:eastAsia="Arial" w:hAnsi="Arial"/>
          <w:sz w:val="13"/>
          <w:szCs w:val="13"/>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TCWD in the Kern Water Banks.</w:t>
      </w:r>
    </w:p>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Company has secured SWP entitlements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initial term of the water purchase agreement with Nickel runs to 2044 and includes a Company option to extend the contract for an additional 35 years. The purchase cost of water in 2023 is $928 per acre-foot. The purchase cost is subject to annual cost increases based on the greater of the Consumer Price Index or 3%.</w:t>
      </w:r>
    </w:p>
    <w:p>
      <w:pPr>
        <w:spacing w:after="0" w:line="26" w:lineRule="exact"/>
        <w:rPr>
          <w:sz w:val="20"/>
          <w:szCs w:val="20"/>
          <w:color w:val="auto"/>
        </w:rPr>
      </w:pPr>
    </w:p>
    <w:p>
      <w:pPr>
        <w:ind w:right="440"/>
        <w:spacing w:after="0" w:line="304" w:lineRule="auto"/>
        <w:rPr>
          <w:sz w:val="20"/>
          <w:szCs w:val="20"/>
          <w:color w:val="auto"/>
        </w:rPr>
      </w:pPr>
      <w:r>
        <w:rPr>
          <w:rFonts w:ascii="Arial" w:cs="Arial" w:eastAsia="Arial" w:hAnsi="Arial"/>
          <w:sz w:val="13"/>
          <w:szCs w:val="13"/>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described.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Water revenues and cost of sales were as follows for the six months ended ($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40" w:type="dxa"/>
            <w:vAlign w:val="bottom"/>
          </w:tcPr>
          <w:p>
            <w:pPr>
              <w:spacing w:after="0"/>
              <w:rPr>
                <w:sz w:val="15"/>
                <w:szCs w:val="15"/>
                <w:color w:val="auto"/>
              </w:rPr>
            </w:pPr>
          </w:p>
        </w:tc>
        <w:tc>
          <w:tcPr>
            <w:tcW w:w="1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June 30, 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June 30, 2022</w:t>
            </w: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Acre-Feet Sold</w:t>
            </w:r>
          </w:p>
        </w:tc>
        <w:tc>
          <w:tcPr>
            <w:tcW w:w="17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3,050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8,470</w:t>
            </w:r>
          </w:p>
        </w:tc>
      </w:tr>
      <w:tr>
        <w:trPr>
          <w:trHeight w:val="75"/>
        </w:trPr>
        <w:tc>
          <w:tcPr>
            <w:tcW w:w="65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80" w:type="dxa"/>
            <w:vAlign w:val="bottom"/>
          </w:tcPr>
          <w:p>
            <w:pPr>
              <w:spacing w:after="0"/>
              <w:rPr>
                <w:sz w:val="6"/>
                <w:szCs w:val="6"/>
                <w:color w:val="auto"/>
              </w:rPr>
            </w:pPr>
          </w:p>
        </w:tc>
      </w:tr>
      <w:tr>
        <w:trPr>
          <w:trHeight w:val="19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720" w:type="dxa"/>
            <w:vAlign w:val="bottom"/>
            <w:shd w:val="clear" w:color="auto" w:fill="CCEEFF"/>
          </w:tcPr>
          <w:p>
            <w:pPr>
              <w:jc w:val="right"/>
              <w:ind w:right="156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12,407</w:t>
            </w:r>
          </w:p>
        </w:tc>
      </w:tr>
      <w:tr>
        <w:trPr>
          <w:trHeight w:val="180"/>
        </w:trPr>
        <w:tc>
          <w:tcPr>
            <w:tcW w:w="65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1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2,976</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7,980</w:t>
            </w:r>
          </w:p>
        </w:tc>
      </w:tr>
      <w:tr>
        <w:trPr>
          <w:trHeight w:val="19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Profit</w:t>
            </w:r>
          </w:p>
        </w:tc>
        <w:tc>
          <w:tcPr>
            <w:tcW w:w="1720" w:type="dxa"/>
            <w:vAlign w:val="bottom"/>
            <w:shd w:val="clear" w:color="auto" w:fill="CCEEFF"/>
          </w:tcPr>
          <w:p>
            <w:pPr>
              <w:jc w:val="right"/>
              <w:ind w:right="156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The costs assigned to water assets held for future use were as follows ($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June 30, 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December 31, 2022</w:t>
            </w: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Banked water and water for future delivery</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25,548</w:t>
            </w:r>
          </w:p>
        </w:tc>
        <w:tc>
          <w:tcPr>
            <w:tcW w:w="64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Transferable water</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30,104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00" w:type="dxa"/>
            <w:vAlign w:val="bottom"/>
            <w:gridSpan w:val="5"/>
          </w:tcPr>
          <w:p>
            <w:pPr>
              <w:spacing w:after="0"/>
              <w:rPr>
                <w:sz w:val="20"/>
                <w:szCs w:val="20"/>
                <w:color w:val="auto"/>
              </w:rPr>
            </w:pPr>
            <w:r>
              <w:rPr>
                <w:rFonts w:ascii="Arial" w:cs="Arial" w:eastAsia="Arial" w:hAnsi="Arial"/>
                <w:sz w:val="14"/>
                <w:szCs w:val="14"/>
                <w:color w:val="auto"/>
                <w:w w:val="93"/>
              </w:rPr>
              <w:t>The Company’s carrying amounts of its purchased water contracts were as follows ($ in thousands):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1289"/>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29"/>
              <w:spacing w:after="0"/>
              <w:rPr>
                <w:sz w:val="20"/>
                <w:szCs w:val="20"/>
                <w:color w:val="auto"/>
              </w:rPr>
            </w:pPr>
            <w:r>
              <w:rPr>
                <w:rFonts w:ascii="Arial" w:cs="Arial" w:eastAsia="Arial" w:hAnsi="Arial"/>
                <w:sz w:val="14"/>
                <w:szCs w:val="14"/>
                <w:color w:val="auto"/>
                <w:w w:val="92"/>
              </w:rPr>
              <w:t>December 31, 2022</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color w:val="auto"/>
                <w:w w:val="95"/>
              </w:rPr>
              <w:t>Accumulated Depreciation</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Accumulated Depreciation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Dudley-Ridge water rights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11,581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11,581</w:t>
            </w:r>
          </w:p>
        </w:tc>
        <w:tc>
          <w:tcPr>
            <w:tcW w:w="1220" w:type="dxa"/>
            <w:vAlign w:val="bottom"/>
            <w:gridSpan w:val="2"/>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Nickel water rights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(6,211)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Tulare Lake Basin water rights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(3,505)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36,800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(15,747)</w:t>
            </w:r>
          </w:p>
        </w:tc>
        <w:tc>
          <w:tcPr>
            <w:tcW w:w="4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36,800</w:t>
            </w:r>
          </w:p>
        </w:tc>
        <w:tc>
          <w:tcPr>
            <w:tcW w:w="1220" w:type="dxa"/>
            <w:vAlign w:val="bottom"/>
            <w:gridSpan w:val="2"/>
          </w:tcPr>
          <w:p>
            <w:pPr>
              <w:jc w:val="right"/>
              <w:ind w:right="96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(15,065)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cost of purchased water contracts</w:t>
            </w:r>
          </w:p>
        </w:tc>
        <w:tc>
          <w:tcPr>
            <w:tcW w:w="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21,053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21,735</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Total cost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30,104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25,310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51,157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47,045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14" w:name="page15"/>
    <w:bookmarkEnd w:id="14"/>
    <w:p>
      <w:pPr>
        <w:jc w:val="both"/>
        <w:ind w:right="220"/>
        <w:spacing w:after="0" w:line="368" w:lineRule="auto"/>
        <w:rPr>
          <w:sz w:val="20"/>
          <w:szCs w:val="20"/>
          <w:color w:val="auto"/>
        </w:rPr>
      </w:pPr>
      <w:r>
        <w:rPr>
          <w:rFonts w:ascii="Arial" w:cs="Arial" w:eastAsia="Arial" w:hAnsi="Arial"/>
          <w:sz w:val="12"/>
          <w:szCs w:val="12"/>
          <w:color w:val="auto"/>
        </w:rPr>
        <w:t>Water contracts with the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ind w:left="20"/>
              <w:spacing w:after="0"/>
              <w:rPr>
                <w:sz w:val="20"/>
                <w:szCs w:val="20"/>
                <w:color w:val="auto"/>
              </w:rPr>
            </w:pPr>
            <w:r>
              <w:rPr>
                <w:rFonts w:ascii="Arial" w:cs="Arial" w:eastAsia="Arial" w:hAnsi="Arial"/>
                <w:sz w:val="14"/>
                <w:szCs w:val="14"/>
                <w:color w:val="auto"/>
              </w:rPr>
              <w:t>(in acre-feet, unaudited)</w:t>
            </w:r>
          </w:p>
        </w:tc>
        <w:tc>
          <w:tcPr>
            <w:tcW w:w="252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December 31, 2022</w:t>
            </w:r>
          </w:p>
        </w:tc>
      </w:tr>
      <w:tr>
        <w:trPr>
          <w:trHeight w:val="171"/>
        </w:trPr>
        <w:tc>
          <w:tcPr>
            <w:tcW w:w="6240" w:type="dxa"/>
            <w:vAlign w:val="bottom"/>
          </w:tcPr>
          <w:p>
            <w:pPr>
              <w:ind w:left="20"/>
              <w:spacing w:after="0"/>
              <w:rPr>
                <w:sz w:val="20"/>
                <w:szCs w:val="20"/>
                <w:color w:val="auto"/>
              </w:rPr>
            </w:pPr>
            <w:r>
              <w:rPr>
                <w:rFonts w:ascii="Arial" w:cs="Arial" w:eastAsia="Arial" w:hAnsi="Arial"/>
                <w:sz w:val="14"/>
                <w:szCs w:val="14"/>
                <w:color w:val="auto"/>
              </w:rPr>
              <w:t>Water held for future use</w:t>
            </w: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9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58,432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52,554</w:t>
            </w:r>
          </w:p>
        </w:tc>
      </w:tr>
      <w:tr>
        <w:trPr>
          <w:trHeight w:val="180"/>
        </w:trPr>
        <w:tc>
          <w:tcPr>
            <w:tcW w:w="6240" w:type="dxa"/>
            <w:vAlign w:val="bottom"/>
          </w:tcPr>
          <w:p>
            <w:pPr>
              <w:ind w:left="120"/>
              <w:spacing w:after="0"/>
              <w:rPr>
                <w:sz w:val="20"/>
                <w:szCs w:val="20"/>
                <w:color w:val="auto"/>
              </w:rPr>
            </w:pPr>
            <w:r>
              <w:rPr>
                <w:rFonts w:ascii="Arial" w:cs="Arial" w:eastAsia="Arial" w:hAnsi="Arial"/>
                <w:sz w:val="14"/>
                <w:szCs w:val="14"/>
                <w:color w:val="auto"/>
              </w:rPr>
              <w:t>Company water bank</w:t>
            </w:r>
          </w:p>
        </w:tc>
        <w:tc>
          <w:tcPr>
            <w:tcW w:w="2520" w:type="dxa"/>
            <w:vAlign w:val="bottom"/>
          </w:tcPr>
          <w:p>
            <w:pPr>
              <w:jc w:val="right"/>
              <w:spacing w:after="0"/>
              <w:rPr>
                <w:sz w:val="20"/>
                <w:szCs w:val="20"/>
                <w:color w:val="auto"/>
              </w:rPr>
            </w:pPr>
            <w:r>
              <w:rPr>
                <w:rFonts w:ascii="Arial" w:cs="Arial" w:eastAsia="Arial" w:hAnsi="Arial"/>
                <w:sz w:val="14"/>
                <w:szCs w:val="14"/>
                <w:color w:val="auto"/>
              </w:rPr>
              <w:t>50,993</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50,349</w:t>
            </w:r>
          </w:p>
        </w:tc>
      </w:tr>
      <w:tr>
        <w:trPr>
          <w:trHeight w:val="18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Transferable water</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8,439</w:t>
            </w:r>
          </w:p>
        </w:tc>
        <w:tc>
          <w:tcPr>
            <w:tcW w:w="10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w:t>
            </w:r>
          </w:p>
        </w:tc>
      </w:tr>
      <w:tr>
        <w:trPr>
          <w:trHeight w:val="176"/>
        </w:trPr>
        <w:tc>
          <w:tcPr>
            <w:tcW w:w="6240" w:type="dxa"/>
            <w:vAlign w:val="bottom"/>
          </w:tcPr>
          <w:p>
            <w:pPr>
              <w:ind w:left="280"/>
              <w:spacing w:after="0"/>
              <w:rPr>
                <w:sz w:val="20"/>
                <w:szCs w:val="20"/>
                <w:color w:val="auto"/>
              </w:rPr>
            </w:pPr>
            <w:r>
              <w:rPr>
                <w:rFonts w:ascii="Arial" w:cs="Arial" w:eastAsia="Arial" w:hAnsi="Arial"/>
                <w:sz w:val="14"/>
                <w:szCs w:val="14"/>
                <w:color w:val="auto"/>
              </w:rPr>
              <w:t>Total water held for future use</w:t>
            </w:r>
          </w:p>
        </w:tc>
        <w:tc>
          <w:tcPr>
            <w:tcW w:w="2520" w:type="dxa"/>
            <w:vAlign w:val="bottom"/>
          </w:tcPr>
          <w:p>
            <w:pPr>
              <w:jc w:val="right"/>
              <w:spacing w:after="0"/>
              <w:rPr>
                <w:sz w:val="20"/>
                <w:szCs w:val="20"/>
                <w:color w:val="auto"/>
              </w:rPr>
            </w:pPr>
            <w:r>
              <w:rPr>
                <w:rFonts w:ascii="Arial" w:cs="Arial" w:eastAsia="Arial" w:hAnsi="Arial"/>
                <w:sz w:val="14"/>
                <w:szCs w:val="14"/>
                <w:color w:val="auto"/>
              </w:rPr>
              <w:t>117,864</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105,451</w:t>
            </w:r>
          </w:p>
        </w:tc>
      </w:tr>
      <w:tr>
        <w:trPr>
          <w:trHeight w:val="18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Purchased water contracts</w:t>
            </w:r>
          </w:p>
        </w:tc>
        <w:tc>
          <w:tcPr>
            <w:tcW w:w="2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r>
      <w:tr>
        <w:trPr>
          <w:trHeight w:val="180"/>
        </w:trPr>
        <w:tc>
          <w:tcPr>
            <w:tcW w:w="6240" w:type="dxa"/>
            <w:vAlign w:val="bottom"/>
          </w:tcPr>
          <w:p>
            <w:pPr>
              <w:ind w:left="120"/>
              <w:spacing w:after="0"/>
              <w:rPr>
                <w:sz w:val="20"/>
                <w:szCs w:val="20"/>
                <w:color w:val="auto"/>
              </w:rPr>
            </w:pPr>
            <w:r>
              <w:rPr>
                <w:rFonts w:ascii="Arial" w:cs="Arial" w:eastAsia="Arial" w:hAnsi="Arial"/>
                <w:sz w:val="14"/>
                <w:szCs w:val="14"/>
                <w:color w:val="auto"/>
              </w:rPr>
              <w:t>Water Contracts (Dudley-Ridge, Nickel and Tulare)</w:t>
            </w:r>
          </w:p>
        </w:tc>
        <w:tc>
          <w:tcPr>
            <w:tcW w:w="2520" w:type="dxa"/>
            <w:vAlign w:val="bottom"/>
          </w:tcPr>
          <w:p>
            <w:pPr>
              <w:jc w:val="right"/>
              <w:spacing w:after="0"/>
              <w:rPr>
                <w:sz w:val="20"/>
                <w:szCs w:val="20"/>
                <w:color w:val="auto"/>
              </w:rPr>
            </w:pPr>
            <w:r>
              <w:rPr>
                <w:rFonts w:ascii="Arial" w:cs="Arial" w:eastAsia="Arial" w:hAnsi="Arial"/>
                <w:sz w:val="14"/>
                <w:szCs w:val="14"/>
                <w:color w:val="auto"/>
              </w:rPr>
              <w:t>10,137</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10,137</w:t>
            </w:r>
          </w:p>
        </w:tc>
      </w:tr>
      <w:tr>
        <w:trPr>
          <w:trHeight w:val="19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15,547</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15,547</w:t>
            </w:r>
          </w:p>
        </w:tc>
      </w:tr>
      <w:tr>
        <w:trPr>
          <w:trHeight w:val="180"/>
        </w:trPr>
        <w:tc>
          <w:tcPr>
            <w:tcW w:w="6240" w:type="dxa"/>
            <w:vAlign w:val="bottom"/>
          </w:tcPr>
          <w:p>
            <w:pPr>
              <w:ind w:left="120"/>
              <w:spacing w:after="0"/>
              <w:rPr>
                <w:sz w:val="20"/>
                <w:szCs w:val="20"/>
                <w:color w:val="auto"/>
              </w:rPr>
            </w:pPr>
            <w:r>
              <w:rPr>
                <w:rFonts w:ascii="Arial" w:cs="Arial" w:eastAsia="Arial" w:hAnsi="Arial"/>
                <w:sz w:val="14"/>
                <w:szCs w:val="14"/>
                <w:color w:val="auto"/>
              </w:rPr>
              <w:t>TCWD - Contracts with the Company</w:t>
            </w:r>
          </w:p>
        </w:tc>
        <w:tc>
          <w:tcPr>
            <w:tcW w:w="2520" w:type="dxa"/>
            <w:vAlign w:val="bottom"/>
          </w:tcPr>
          <w:p>
            <w:pPr>
              <w:jc w:val="right"/>
              <w:spacing w:after="0"/>
              <w:rPr>
                <w:sz w:val="20"/>
                <w:szCs w:val="20"/>
                <w:color w:val="auto"/>
              </w:rPr>
            </w:pPr>
            <w:r>
              <w:rPr>
                <w:rFonts w:ascii="Arial" w:cs="Arial" w:eastAsia="Arial" w:hAnsi="Arial"/>
                <w:sz w:val="14"/>
                <w:szCs w:val="14"/>
                <w:color w:val="auto"/>
              </w:rPr>
              <w:t>5,749</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5,749</w:t>
            </w:r>
          </w:p>
        </w:tc>
      </w:tr>
      <w:tr>
        <w:trPr>
          <w:trHeight w:val="171"/>
        </w:trPr>
        <w:tc>
          <w:tcPr>
            <w:tcW w:w="62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purchased water contracts</w:t>
            </w:r>
          </w:p>
        </w:tc>
        <w:tc>
          <w:tcPr>
            <w:tcW w:w="2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31,433</w:t>
            </w:r>
          </w:p>
        </w:tc>
      </w:tr>
      <w:tr>
        <w:trPr>
          <w:trHeight w:val="182"/>
        </w:trPr>
        <w:tc>
          <w:tcPr>
            <w:tcW w:w="6240" w:type="dxa"/>
            <w:vAlign w:val="bottom"/>
          </w:tcPr>
          <w:p>
            <w:pPr>
              <w:ind w:left="20"/>
              <w:spacing w:after="0"/>
              <w:rPr>
                <w:sz w:val="20"/>
                <w:szCs w:val="20"/>
                <w:color w:val="auto"/>
              </w:rPr>
            </w:pPr>
            <w:r>
              <w:rPr>
                <w:rFonts w:ascii="Arial" w:cs="Arial" w:eastAsia="Arial" w:hAnsi="Arial"/>
                <w:sz w:val="14"/>
                <w:szCs w:val="14"/>
                <w:color w:val="auto"/>
              </w:rPr>
              <w:t>Total water held for future use and purchased water contracts</w:t>
            </w:r>
          </w:p>
        </w:tc>
        <w:tc>
          <w:tcPr>
            <w:tcW w:w="2520" w:type="dxa"/>
            <w:vAlign w:val="bottom"/>
          </w:tcPr>
          <w:p>
            <w:pPr>
              <w:jc w:val="right"/>
              <w:spacing w:after="0"/>
              <w:rPr>
                <w:sz w:val="20"/>
                <w:szCs w:val="20"/>
                <w:color w:val="auto"/>
              </w:rPr>
            </w:pPr>
            <w:r>
              <w:rPr>
                <w:rFonts w:ascii="Arial" w:cs="Arial" w:eastAsia="Arial" w:hAnsi="Arial"/>
                <w:sz w:val="14"/>
                <w:szCs w:val="14"/>
                <w:color w:val="auto"/>
              </w:rPr>
              <w:t>149,297</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136,884</w:t>
            </w:r>
          </w:p>
        </w:tc>
      </w:tr>
      <w:tr>
        <w:trPr>
          <w:trHeight w:val="20"/>
        </w:trPr>
        <w:tc>
          <w:tcPr>
            <w:tcW w:w="6240" w:type="dxa"/>
            <w:vAlign w:val="bottom"/>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2"/>
          <w:szCs w:val="12"/>
          <w:color w:val="auto"/>
        </w:rPr>
        <w:t>Tejon Ranchcorp, or Ranchcorp, a wholly-owned subsidiary of Tejon Ranch Co., entered into a Water Supply Agreement with PEF in 2015. PEF is the current lessee of the Company in a land lease for the operation of a power plant. Pursuant to the Water Supply Agreement, PEF may purchase from the Company up to 3,500 acre-feet of water per year from January 1, 2017 through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2023 is $1,261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60" w:type="dxa"/>
            <w:vAlign w:val="bottom"/>
            <w:gridSpan w:val="2"/>
          </w:tcPr>
          <w:p>
            <w:pPr>
              <w:spacing w:after="0"/>
              <w:rPr>
                <w:sz w:val="20"/>
                <w:szCs w:val="20"/>
                <w:color w:val="auto"/>
              </w:rPr>
            </w:pPr>
            <w:r>
              <w:rPr>
                <w:rFonts w:ascii="Arial" w:cs="Arial" w:eastAsia="Arial" w:hAnsi="Arial"/>
                <w:sz w:val="14"/>
                <w:szCs w:val="14"/>
                <w:color w:val="auto"/>
              </w:rPr>
              <w:t>water can be met through current water assets.</w:t>
            </w:r>
          </w:p>
        </w:tc>
        <w:tc>
          <w:tcPr>
            <w:tcW w:w="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87"/>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6.   ACCRUED LIABILITIES AND OTHER</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5"/>
        </w:trPr>
        <w:tc>
          <w:tcPr>
            <w:tcW w:w="6560" w:type="dxa"/>
            <w:vAlign w:val="bottom"/>
            <w:gridSpan w:val="2"/>
          </w:tcPr>
          <w:p>
            <w:pPr>
              <w:spacing w:after="0"/>
              <w:rPr>
                <w:sz w:val="20"/>
                <w:szCs w:val="20"/>
                <w:color w:val="auto"/>
              </w:rPr>
            </w:pPr>
            <w:r>
              <w:rPr>
                <w:rFonts w:ascii="Arial" w:cs="Arial" w:eastAsia="Arial" w:hAnsi="Arial"/>
                <w:sz w:val="14"/>
                <w:szCs w:val="14"/>
                <w:color w:val="auto"/>
              </w:rPr>
              <w:t>Accrued liabilities and other consisted of the following:</w:t>
            </w:r>
          </w:p>
        </w:tc>
        <w:tc>
          <w:tcPr>
            <w:tcW w:w="4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76"/>
        </w:trPr>
        <w:tc>
          <w:tcPr>
            <w:tcW w:w="20" w:type="dxa"/>
            <w:vAlign w:val="bottom"/>
          </w:tcPr>
          <w:p>
            <w:pPr>
              <w:spacing w:after="0"/>
              <w:rPr>
                <w:sz w:val="24"/>
                <w:szCs w:val="24"/>
                <w:color w:val="auto"/>
              </w:rPr>
            </w:pPr>
          </w:p>
        </w:tc>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June 30, 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December 31, 2022</w:t>
            </w:r>
          </w:p>
        </w:tc>
      </w:tr>
      <w:tr>
        <w:trPr>
          <w:trHeight w:val="171"/>
        </w:trPr>
        <w:tc>
          <w:tcPr>
            <w:tcW w:w="20" w:type="dxa"/>
            <w:vAlign w:val="bottom"/>
          </w:tcPr>
          <w:p>
            <w:pPr>
              <w:spacing w:after="0"/>
              <w:rPr>
                <w:sz w:val="14"/>
                <w:szCs w:val="14"/>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vacation</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r>
      <w:tr>
        <w:trPr>
          <w:trHeight w:val="185"/>
        </w:trPr>
        <w:tc>
          <w:tcPr>
            <w:tcW w:w="20" w:type="dxa"/>
            <w:vAlign w:val="bottom"/>
          </w:tcPr>
          <w:p>
            <w:pPr>
              <w:spacing w:after="0"/>
              <w:rPr>
                <w:sz w:val="16"/>
                <w:szCs w:val="16"/>
                <w:color w:val="auto"/>
              </w:rPr>
            </w:pPr>
          </w:p>
        </w:tc>
        <w:tc>
          <w:tcPr>
            <w:tcW w:w="6540" w:type="dxa"/>
            <w:vAlign w:val="bottom"/>
          </w:tcPr>
          <w:p>
            <w:pPr>
              <w:ind w:left="20"/>
              <w:spacing w:after="0"/>
              <w:rPr>
                <w:sz w:val="20"/>
                <w:szCs w:val="20"/>
                <w:color w:val="auto"/>
              </w:rPr>
            </w:pPr>
            <w:r>
              <w:rPr>
                <w:rFonts w:ascii="Arial" w:cs="Arial" w:eastAsia="Arial" w:hAnsi="Arial"/>
                <w:sz w:val="14"/>
                <w:szCs w:val="14"/>
                <w:color w:val="auto"/>
              </w:rPr>
              <w:t>Accrued paid personal leave</w:t>
            </w:r>
          </w:p>
        </w:tc>
        <w:tc>
          <w:tcPr>
            <w:tcW w:w="4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186"/>
        </w:trPr>
        <w:tc>
          <w:tcPr>
            <w:tcW w:w="20" w:type="dxa"/>
            <w:vAlign w:val="bottom"/>
          </w:tcPr>
          <w:p>
            <w:pPr>
              <w:spacing w:after="0"/>
              <w:rPr>
                <w:sz w:val="16"/>
                <w:szCs w:val="16"/>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bonus</w:t>
            </w:r>
          </w:p>
        </w:tc>
        <w:tc>
          <w:tcPr>
            <w:tcW w:w="40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w:t>
            </w:r>
          </w:p>
        </w:tc>
      </w:tr>
      <w:tr>
        <w:trPr>
          <w:trHeight w:val="180"/>
        </w:trPr>
        <w:tc>
          <w:tcPr>
            <w:tcW w:w="20" w:type="dxa"/>
            <w:vAlign w:val="bottom"/>
          </w:tcPr>
          <w:p>
            <w:pPr>
              <w:spacing w:after="0"/>
              <w:rPr>
                <w:sz w:val="15"/>
                <w:szCs w:val="15"/>
                <w:color w:val="auto"/>
              </w:rPr>
            </w:pPr>
          </w:p>
        </w:tc>
        <w:tc>
          <w:tcPr>
            <w:tcW w:w="6540" w:type="dxa"/>
            <w:vAlign w:val="bottom"/>
          </w:tcPr>
          <w:p>
            <w:pPr>
              <w:ind w:left="2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2,424</w:t>
            </w:r>
          </w:p>
        </w:tc>
        <w:tc>
          <w:tcPr>
            <w:tcW w:w="44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w:t>
            </w: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7.   LINE OF CREDIT AND LONG-TERM DEBT</w:t>
            </w:r>
          </w:p>
        </w:tc>
        <w:tc>
          <w:tcPr>
            <w:tcW w:w="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44"/>
        </w:trPr>
        <w:tc>
          <w:tcPr>
            <w:tcW w:w="6500" w:type="dxa"/>
            <w:vAlign w:val="bottom"/>
            <w:gridSpan w:val="2"/>
          </w:tcPr>
          <w:p>
            <w:pPr>
              <w:spacing w:after="0"/>
              <w:rPr>
                <w:sz w:val="20"/>
                <w:szCs w:val="20"/>
                <w:color w:val="auto"/>
              </w:rPr>
            </w:pPr>
            <w:r>
              <w:rPr>
                <w:rFonts w:ascii="Arial" w:cs="Arial" w:eastAsia="Arial" w:hAnsi="Arial"/>
                <w:sz w:val="14"/>
                <w:szCs w:val="14"/>
                <w:color w:val="auto"/>
              </w:rPr>
              <w:t>Debt consisted of the following:</w:t>
            </w:r>
          </w:p>
        </w:tc>
        <w:tc>
          <w:tcPr>
            <w:tcW w:w="4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June 30, 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December 31, 2022</w:t>
            </w: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payable</w:t>
            </w: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50,154</w:t>
            </w:r>
          </w:p>
        </w:tc>
      </w:tr>
      <w:tr>
        <w:trPr>
          <w:trHeight w:val="180"/>
        </w:trPr>
        <w:tc>
          <w:tcPr>
            <w:tcW w:w="20" w:type="dxa"/>
            <w:vAlign w:val="bottom"/>
          </w:tcPr>
          <w:p>
            <w:pPr>
              <w:spacing w:after="0"/>
              <w:rPr>
                <w:sz w:val="15"/>
                <w:szCs w:val="15"/>
                <w:color w:val="auto"/>
              </w:rPr>
            </w:pPr>
          </w:p>
        </w:tc>
        <w:tc>
          <w:tcPr>
            <w:tcW w:w="6480" w:type="dxa"/>
            <w:vAlign w:val="bottom"/>
          </w:tcPr>
          <w:p>
            <w:pPr>
              <w:ind w:left="20"/>
              <w:spacing w:after="0"/>
              <w:rPr>
                <w:sz w:val="20"/>
                <w:szCs w:val="20"/>
                <w:color w:val="auto"/>
              </w:rPr>
            </w:pPr>
            <w:r>
              <w:rPr>
                <w:rFonts w:ascii="Arial" w:cs="Arial" w:eastAsia="Arial" w:hAnsi="Arial"/>
                <w:sz w:val="14"/>
                <w:szCs w:val="14"/>
                <w:color w:val="auto"/>
              </w:rPr>
              <w:t>Less: line-of-credit and current maturities of long-term debt</w:t>
            </w:r>
          </w:p>
        </w:tc>
        <w:tc>
          <w:tcPr>
            <w:tcW w:w="44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(1,779)</w:t>
            </w:r>
          </w:p>
        </w:tc>
      </w:tr>
      <w:tr>
        <w:trPr>
          <w:trHeight w:val="191"/>
        </w:trPr>
        <w:tc>
          <w:tcPr>
            <w:tcW w:w="20" w:type="dxa"/>
            <w:vAlign w:val="bottom"/>
          </w:tcPr>
          <w:p>
            <w:pPr>
              <w:spacing w:after="0"/>
              <w:rPr>
                <w:sz w:val="16"/>
                <w:szCs w:val="16"/>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deferred loan costs</w:t>
            </w:r>
          </w:p>
        </w:tc>
        <w:tc>
          <w:tcPr>
            <w:tcW w:w="4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71"/>
        </w:trPr>
        <w:tc>
          <w:tcPr>
            <w:tcW w:w="20" w:type="dxa"/>
            <w:vAlign w:val="bottom"/>
          </w:tcPr>
          <w:p>
            <w:pPr>
              <w:spacing w:after="0"/>
              <w:rPr>
                <w:sz w:val="14"/>
                <w:szCs w:val="14"/>
                <w:color w:val="auto"/>
              </w:rPr>
            </w:pPr>
          </w:p>
        </w:tc>
        <w:tc>
          <w:tcPr>
            <w:tcW w:w="648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48,161</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On June 30, 2022, the Company entered into a variable rate term note, or New Term Note, and a new Revolving Line of Credit Note, or New RLC, with Bank of America, N.A, or collectively the New Credit Facility. The New Term Note provided a principal amount of $49,080,000 and a maturity date of June 30, 2032, which was used to pay off the existing Wells Fargo Amended Term Note. The Company evaluated the debt exchange under ASC 470 and determined that the exchange should be treated as a debt extinguishment. The amount available from the New RLC under the New Credit Facility is $40,607,000.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ind w:right="140"/>
        <w:spacing w:after="0" w:line="288" w:lineRule="auto"/>
        <w:rPr>
          <w:sz w:val="20"/>
          <w:szCs w:val="20"/>
          <w:color w:val="auto"/>
        </w:rPr>
      </w:pPr>
      <w:r>
        <w:rPr>
          <w:rFonts w:ascii="Arial" w:cs="Arial" w:eastAsia="Arial" w:hAnsi="Arial"/>
          <w:sz w:val="13"/>
          <w:szCs w:val="13"/>
          <w:color w:val="auto"/>
        </w:rPr>
        <w:t>The New Term Note had a $47,721,000 balance as of June 30, 2023. The interest rate per annum applicable to the New Term Loan is the daily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30, 2032. The New Credit Facility is secured by the Company's farmland and farm assets, which include equipment, crops and crop receivables; the PEF power plant lease and lease site; and related accounts and other rights to payment and inventory.</w:t>
      </w:r>
    </w:p>
    <w:p>
      <w:pPr>
        <w:spacing w:after="0" w:line="89"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The New RLC had no outstanding balance as of June 30, 2023. At the Company’s option, the interest rate on this line of credit can float at a rate equal to Daily SOFR plus 1.37% or can be fixed at a rate equal to Term SOFR plus 1.37% above Term SOFR for interest periods elected by the Company. During the term of this RLC (which expires on June 30, 2027), the Company can borrow at any time and partially or wholly repay any outstanding borrowings and then re-borrow, as necessary.</w:t>
      </w:r>
    </w:p>
    <w:p>
      <w:pPr>
        <w:spacing w:after="0" w:line="36"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The Company also has a $4,750,000 promissory note agreement whose principal and interest due monthly began October 1, 2013. The promissory note is secured by four commercial properties at TRCC-West that are leased by fast casual restaurant operators. The interest rate on this promissory note is 4.25% per annum, with principal and interest payments ending on September 1, 2028. The balance as of June 30, 2023 was $1,561,000.</w:t>
      </w:r>
    </w:p>
    <w:p>
      <w:pPr>
        <w:spacing w:after="0" w:line="286" w:lineRule="exact"/>
        <w:rPr>
          <w:sz w:val="20"/>
          <w:szCs w:val="20"/>
          <w:color w:val="auto"/>
        </w:rPr>
      </w:pPr>
    </w:p>
    <w:p>
      <w:pPr>
        <w:ind w:left="280" w:hanging="275"/>
        <w:spacing w:after="0"/>
        <w:tabs>
          <w:tab w:leader="none" w:pos="2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OTHER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 consisted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June 30, 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December 31, 2022</w:t>
            </w:r>
          </w:p>
        </w:tc>
      </w:tr>
      <w:tr>
        <w:trPr>
          <w:trHeight w:val="17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liability (See Note 13)</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6540" w:type="dxa"/>
            <w:vAlign w:val="bottom"/>
          </w:tcPr>
          <w:p>
            <w:pPr>
              <w:ind w:left="20"/>
              <w:spacing w:after="0"/>
              <w:rPr>
                <w:sz w:val="20"/>
                <w:szCs w:val="20"/>
                <w:color w:val="auto"/>
              </w:rPr>
            </w:pPr>
            <w:r>
              <w:rPr>
                <w:rFonts w:ascii="Arial" w:cs="Arial" w:eastAsia="Arial" w:hAnsi="Arial"/>
                <w:sz w:val="14"/>
                <w:szCs w:val="14"/>
                <w:color w:val="auto"/>
              </w:rPr>
              <w:t>Supplemental executive retirement plan liability (See Note 13)</w:t>
            </w:r>
          </w:p>
        </w:tc>
        <w:tc>
          <w:tcPr>
            <w:tcW w:w="4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6,087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6,186</w:t>
            </w:r>
          </w:p>
        </w:tc>
      </w:tr>
      <w:tr>
        <w:trPr>
          <w:trHeight w:val="19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joint venture distributions and other</w:t>
            </w:r>
          </w:p>
        </w:tc>
        <w:tc>
          <w:tcPr>
            <w:tcW w:w="40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4,156</w:t>
            </w:r>
          </w:p>
        </w:tc>
      </w:tr>
      <w:tr>
        <w:trPr>
          <w:trHeight w:val="171"/>
        </w:trPr>
        <w:tc>
          <w:tcPr>
            <w:tcW w:w="6540" w:type="dxa"/>
            <w:vAlign w:val="bottom"/>
          </w:tcPr>
          <w:p>
            <w:pPr>
              <w:ind w:left="1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10,380</w:t>
            </w:r>
          </w:p>
        </w:tc>
      </w:tr>
      <w:tr>
        <w:trPr>
          <w:trHeight w:val="20"/>
        </w:trPr>
        <w:tc>
          <w:tcPr>
            <w:tcW w:w="6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280" w:hanging="275"/>
        <w:spacing w:after="0"/>
        <w:tabs>
          <w:tab w:leader="none" w:pos="2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STOCK COMPENSATION - RESTRICTED STOCK AND PERFORMANCE SHARE GRANTS</w:t>
      </w:r>
    </w:p>
    <w:p>
      <w:pPr>
        <w:spacing w:after="0" w:line="76"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share price, or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fair value for market-based awards is determined using a </w:t>
      </w:r>
      <w:r>
        <w:rPr>
          <w:rFonts w:ascii="Arial" w:cs="Arial" w:eastAsia="Arial" w:hAnsi="Arial"/>
          <w:sz w:val="13"/>
          <w:szCs w:val="13"/>
          <w:i w:val="1"/>
          <w:iCs w:val="1"/>
          <w:color w:val="auto"/>
        </w:rPr>
        <w:t>Monte Carlo</w:t>
      </w:r>
      <w:r>
        <w:rPr>
          <w:rFonts w:ascii="Arial" w:cs="Arial" w:eastAsia="Arial" w:hAnsi="Arial"/>
          <w:sz w:val="13"/>
          <w:szCs w:val="13"/>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Company’s Performance Condition Grants outstanding as of June 30,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200" w:type="dxa"/>
            <w:vAlign w:val="bottom"/>
            <w:gridSpan w:val="2"/>
          </w:tcPr>
          <w:p>
            <w:pPr>
              <w:ind w:left="1700"/>
              <w:spacing w:after="0"/>
              <w:rPr>
                <w:sz w:val="20"/>
                <w:szCs w:val="20"/>
                <w:color w:val="auto"/>
              </w:rPr>
            </w:pPr>
            <w:r>
              <w:rPr>
                <w:rFonts w:ascii="Arial" w:cs="Arial" w:eastAsia="Arial" w:hAnsi="Arial"/>
                <w:sz w:val="14"/>
                <w:szCs w:val="14"/>
                <w:color w:val="auto"/>
              </w:rPr>
              <w:t>Performance Condition Grants</w:t>
            </w:r>
          </w:p>
        </w:tc>
      </w:tr>
      <w:tr>
        <w:trPr>
          <w:trHeight w:val="171"/>
        </w:trPr>
        <w:tc>
          <w:tcPr>
            <w:tcW w:w="20" w:type="dxa"/>
            <w:vAlign w:val="bottom"/>
          </w:tcPr>
          <w:p>
            <w:pPr>
              <w:spacing w:after="0"/>
              <w:rPr>
                <w:sz w:val="14"/>
                <w:szCs w:val="14"/>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Target performance</w:t>
            </w:r>
          </w:p>
        </w:tc>
        <w:tc>
          <w:tcPr>
            <w:tcW w:w="8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33,648</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Maximum performance</w:t>
            </w:r>
          </w:p>
        </w:tc>
        <w:tc>
          <w:tcPr>
            <w:tcW w:w="8180" w:type="dxa"/>
            <w:vAlign w:val="bottom"/>
          </w:tcPr>
          <w:p>
            <w:pPr>
              <w:jc w:val="right"/>
              <w:spacing w:after="0"/>
              <w:rPr>
                <w:sz w:val="20"/>
                <w:szCs w:val="20"/>
                <w:color w:val="auto"/>
              </w:rPr>
            </w:pPr>
            <w:r>
              <w:rPr>
                <w:rFonts w:ascii="Arial" w:cs="Arial" w:eastAsia="Arial" w:hAnsi="Arial"/>
                <w:sz w:val="14"/>
                <w:szCs w:val="14"/>
                <w:color w:val="auto"/>
              </w:rPr>
              <w:t>100,945</w:t>
            </w:r>
          </w:p>
        </w:tc>
        <w:tc>
          <w:tcPr>
            <w:tcW w:w="20" w:type="dxa"/>
            <w:vAlign w:val="bottom"/>
          </w:tcPr>
          <w:p>
            <w:pPr>
              <w:spacing w:after="0"/>
              <w:rPr>
                <w:sz w:val="15"/>
                <w:szCs w:val="15"/>
                <w:color w:val="auto"/>
              </w:rPr>
            </w:pPr>
          </w:p>
        </w:tc>
      </w:tr>
      <w:tr>
        <w:trPr>
          <w:trHeight w:val="67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180" w:type="dxa"/>
            <w:vAlign w:val="bottom"/>
          </w:tcPr>
          <w:p>
            <w:pPr>
              <w:jc w:val="right"/>
              <w:ind w:right="5469"/>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8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The following is a summary of the Company’s stock grant activity, both time and performance share grants, assuming target achievement for outstanding performance grants for the six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June 30, 2023:</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880" w:type="dxa"/>
            <w:vAlign w:val="bottom"/>
          </w:tcPr>
          <w:p>
            <w:pPr>
              <w:spacing w:after="0"/>
              <w:rPr>
                <w:sz w:val="15"/>
                <w:szCs w:val="15"/>
                <w:color w:val="auto"/>
              </w:rPr>
            </w:pPr>
          </w:p>
        </w:tc>
        <w:tc>
          <w:tcPr>
            <w:tcW w:w="23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June 30, 2023</w:t>
            </w:r>
          </w:p>
        </w:tc>
      </w:tr>
      <w:tr>
        <w:trPr>
          <w:trHeight w:val="182"/>
        </w:trPr>
        <w:tc>
          <w:tcPr>
            <w:tcW w:w="8880" w:type="dxa"/>
            <w:vAlign w:val="bottom"/>
            <w:shd w:val="clear" w:color="auto" w:fill="CCEEFF"/>
          </w:tcPr>
          <w:p>
            <w:pPr>
              <w:spacing w:after="0"/>
              <w:rPr>
                <w:sz w:val="20"/>
                <w:szCs w:val="20"/>
                <w:color w:val="auto"/>
              </w:rPr>
            </w:pPr>
            <w:r>
              <w:rPr>
                <w:rFonts w:ascii="Arial" w:cs="Arial" w:eastAsia="Arial" w:hAnsi="Arial"/>
                <w:sz w:val="14"/>
                <w:szCs w:val="14"/>
                <w:color w:val="auto"/>
              </w:rPr>
              <w:t>Stock Grants Outstanding Beginning of Period at Target Achievement</w:t>
            </w:r>
          </w:p>
        </w:tc>
        <w:tc>
          <w:tcPr>
            <w:tcW w:w="2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234,899</w:t>
            </w:r>
          </w:p>
        </w:tc>
      </w:tr>
      <w:tr>
        <w:trPr>
          <w:trHeight w:val="180"/>
        </w:trPr>
        <w:tc>
          <w:tcPr>
            <w:tcW w:w="8880" w:type="dxa"/>
            <w:vAlign w:val="bottom"/>
          </w:tcPr>
          <w:p>
            <w:pPr>
              <w:spacing w:after="0"/>
              <w:rPr>
                <w:sz w:val="20"/>
                <w:szCs w:val="20"/>
                <w:color w:val="auto"/>
              </w:rPr>
            </w:pPr>
            <w:r>
              <w:rPr>
                <w:rFonts w:ascii="Arial" w:cs="Arial" w:eastAsia="Arial" w:hAnsi="Arial"/>
                <w:sz w:val="14"/>
                <w:szCs w:val="14"/>
                <w:color w:val="auto"/>
              </w:rPr>
              <w:t>New Stock Grants/Additional Shares due to Achievement in Excess of Target</w:t>
            </w:r>
          </w:p>
        </w:tc>
        <w:tc>
          <w:tcPr>
            <w:tcW w:w="2380" w:type="dxa"/>
            <w:vAlign w:val="bottom"/>
          </w:tcPr>
          <w:p>
            <w:pPr>
              <w:jc w:val="right"/>
              <w:spacing w:after="0"/>
              <w:rPr>
                <w:sz w:val="20"/>
                <w:szCs w:val="20"/>
                <w:color w:val="auto"/>
              </w:rPr>
            </w:pPr>
            <w:r>
              <w:rPr>
                <w:rFonts w:ascii="Arial" w:cs="Arial" w:eastAsia="Arial" w:hAnsi="Arial"/>
                <w:sz w:val="14"/>
                <w:szCs w:val="14"/>
                <w:color w:val="auto"/>
              </w:rPr>
              <w:t>321,026</w:t>
            </w:r>
          </w:p>
        </w:tc>
      </w:tr>
      <w:tr>
        <w:trPr>
          <w:trHeight w:val="181"/>
        </w:trPr>
        <w:tc>
          <w:tcPr>
            <w:tcW w:w="8880" w:type="dxa"/>
            <w:vAlign w:val="bottom"/>
            <w:shd w:val="clear" w:color="auto" w:fill="CCEEFF"/>
          </w:tcPr>
          <w:p>
            <w:pPr>
              <w:spacing w:after="0"/>
              <w:rPr>
                <w:sz w:val="20"/>
                <w:szCs w:val="20"/>
                <w:color w:val="auto"/>
              </w:rPr>
            </w:pPr>
            <w:r>
              <w:rPr>
                <w:rFonts w:ascii="Arial" w:cs="Arial" w:eastAsia="Arial" w:hAnsi="Arial"/>
                <w:sz w:val="14"/>
                <w:szCs w:val="14"/>
                <w:color w:val="auto"/>
              </w:rPr>
              <w:t>Vested Grants</w:t>
            </w:r>
          </w:p>
        </w:tc>
        <w:tc>
          <w:tcPr>
            <w:tcW w:w="2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(169,621)</w:t>
            </w:r>
          </w:p>
        </w:tc>
      </w:tr>
      <w:tr>
        <w:trPr>
          <w:trHeight w:val="185"/>
        </w:trPr>
        <w:tc>
          <w:tcPr>
            <w:tcW w:w="8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Expired/Forfeited Grants</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(2,682)</w:t>
            </w:r>
          </w:p>
        </w:tc>
      </w:tr>
      <w:tr>
        <w:trPr>
          <w:trHeight w:val="201"/>
        </w:trPr>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Grants Outstanding End of Period at Target Achievement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383,622</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assumptions used to determine the fair value for the Company’s outstanding market-based Performance Condition Grants as of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 in thousands except for share prices)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 date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12/11/2020</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03/18/2021</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12/16/2021</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4"/>
              </w:rPr>
              <w:t>03/17/2022</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12/14/2022</w:t>
            </w:r>
          </w:p>
        </w:tc>
        <w:tc>
          <w:tcPr>
            <w:tcW w:w="11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1"/>
              </w:rPr>
              <w:t>06/16/2023</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06/16/2023</w:t>
            </w: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Vesting end</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12/31/2023</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1"/>
              </w:rPr>
              <w:t>03/18/2024</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12/16/2024</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94"/>
              </w:rPr>
              <w:t>03/17/2025</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12/14/2025</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w w:val="91"/>
              </w:rPr>
              <w:t>12/31/2023</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12/31/2025</w:t>
            </w:r>
          </w:p>
        </w:tc>
      </w:tr>
      <w:tr>
        <w:trPr>
          <w:trHeight w:val="19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Target share price to achieve award</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$17.07</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$20.02</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3"/>
              </w:rPr>
              <w:t>$21.58</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$20.43</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3"/>
              </w:rPr>
              <w:t>$21.99</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$19.24</w:t>
            </w:r>
          </w:p>
        </w:tc>
        <w:tc>
          <w:tcPr>
            <w:tcW w:w="11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8"/>
              </w:rPr>
              <w:t>$20.72</w:t>
            </w:r>
          </w:p>
        </w:tc>
      </w:tr>
      <w:tr>
        <w:trPr>
          <w:trHeight w:val="212"/>
        </w:trPr>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29.25%</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30.30%</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2"/>
              </w:rPr>
              <w:t>31.29%</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31.54%</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2"/>
              </w:rPr>
              <w:t>32.14%</w:t>
            </w:r>
          </w:p>
        </w:tc>
        <w:tc>
          <w:tcPr>
            <w:tcW w:w="11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27.09%</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2"/>
              </w:rPr>
              <w:t>26.58%</w:t>
            </w: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0.19%</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0.33%</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0.92%</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95"/>
              </w:rPr>
              <w:t>2.13%</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3.84%</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93"/>
              </w:rPr>
              <w:t>5.2%</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4.38%</w:t>
            </w:r>
          </w:p>
        </w:tc>
      </w:tr>
      <w:tr>
        <w:trPr>
          <w:trHeight w:val="212"/>
        </w:trPr>
        <w:tc>
          <w:tcPr>
            <w:tcW w:w="3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Fair value per share at grant date</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$15.59</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$18.82</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3"/>
              </w:rPr>
              <w:t>$21.48</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$21.75</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auto"/>
                <w:w w:val="93"/>
              </w:rPr>
              <w:t>$26.00</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$13.18</w:t>
            </w:r>
          </w:p>
        </w:tc>
        <w:tc>
          <w:tcPr>
            <w:tcW w:w="116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$20.24</w:t>
            </w:r>
          </w:p>
        </w:tc>
      </w:tr>
      <w:tr>
        <w:trPr>
          <w:trHeight w:val="19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granted</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3,628</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10,905</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3,536</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13,338</w:t>
            </w:r>
          </w:p>
        </w:tc>
        <w:tc>
          <w:tcPr>
            <w:tcW w:w="1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4,613</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33,035</w:t>
            </w:r>
          </w:p>
        </w:tc>
        <w:tc>
          <w:tcPr>
            <w:tcW w:w="11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8"/>
              </w:rPr>
              <w:t>28,545</w:t>
            </w: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color w:val="auto"/>
              </w:rPr>
              <w:t>Total fair value of award</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$57</w:t>
            </w:r>
          </w:p>
        </w:tc>
        <w:tc>
          <w:tcPr>
            <w:tcW w:w="8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$205</w:t>
            </w:r>
          </w:p>
        </w:tc>
        <w:tc>
          <w:tcPr>
            <w:tcW w:w="8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$76</w:t>
            </w:r>
          </w:p>
        </w:tc>
        <w:tc>
          <w:tcPr>
            <w:tcW w:w="8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$290</w:t>
            </w:r>
          </w:p>
        </w:tc>
        <w:tc>
          <w:tcPr>
            <w:tcW w:w="8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$120</w:t>
            </w:r>
          </w:p>
        </w:tc>
        <w:tc>
          <w:tcPr>
            <w:tcW w:w="8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$435</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$578</w:t>
            </w:r>
          </w:p>
        </w:tc>
      </w:tr>
    </w:tbl>
    <w:p>
      <w:pPr>
        <w:spacing w:after="0" w:line="11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The unamortized cost associated with unvested stock grants and the weighted average period over which it is expected to be recognized as of June 30, 2023 were $3,835,000 and 21 months, respectively. The fair value of restricted stock with time-based vesting features is based upon the Company’s share price on the date of grant and is expensed over the service period. The fair value of Performance Milestone Grants that cliff vest based on the achievement of performance conditions is based on the share price of the Company’s stock on the day of grant multiplied by the number of shares probable to vest based on the estimated achievement of specific performance measures.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07"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Under the 2023 Stock Incentive Plan, each non-employee director receives a portion of his or her annual compensation in stock. The stock is granted at the end of each quarter based on the quarter-end stock price.</w:t>
      </w:r>
    </w:p>
    <w:p>
      <w:pPr>
        <w:spacing w:after="0" w:line="90"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The following table summarizes stock compensation costs for the Company's 2023 Stock Incentive Plan, and outstanding grants for the 1998 Stock Incentive Plan, or the Employee Plan for the following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 in thousands)</w:t>
            </w:r>
          </w:p>
        </w:tc>
        <w:tc>
          <w:tcPr>
            <w:tcW w:w="34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Employee:</w:t>
            </w:r>
          </w:p>
        </w:tc>
        <w:tc>
          <w:tcPr>
            <w:tcW w:w="3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Expensed</w:t>
            </w:r>
          </w:p>
        </w:tc>
        <w:tc>
          <w:tcPr>
            <w:tcW w:w="3880" w:type="dxa"/>
            <w:vAlign w:val="bottom"/>
            <w:gridSpan w:val="2"/>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900" w:type="dxa"/>
            <w:vAlign w:val="bottom"/>
            <w:gridSpan w:val="2"/>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Pr>
          <w:p>
            <w:pPr>
              <w:ind w:left="140"/>
              <w:spacing w:after="0"/>
              <w:rPr>
                <w:sz w:val="20"/>
                <w:szCs w:val="20"/>
                <w:color w:val="auto"/>
              </w:rPr>
            </w:pPr>
            <w:r>
              <w:rPr>
                <w:rFonts w:ascii="Arial" w:cs="Arial" w:eastAsia="Arial" w:hAnsi="Arial"/>
                <w:sz w:val="14"/>
                <w:szCs w:val="14"/>
                <w:color w:val="auto"/>
              </w:rPr>
              <w:t>Capitalized</w:t>
            </w:r>
          </w:p>
        </w:tc>
        <w:tc>
          <w:tcPr>
            <w:tcW w:w="34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Director - Expensed</w:t>
            </w:r>
          </w:p>
        </w:tc>
        <w:tc>
          <w:tcPr>
            <w:tcW w:w="34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 Compensation Costs</w:t>
            </w:r>
          </w:p>
        </w:tc>
        <w:tc>
          <w:tcPr>
            <w:tcW w:w="34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1329"/>
              <w:spacing w:after="0"/>
              <w:rPr>
                <w:sz w:val="20"/>
                <w:szCs w:val="20"/>
                <w:color w:val="auto"/>
              </w:rPr>
            </w:pPr>
            <w:r>
              <w:rPr>
                <w:rFonts w:ascii="Arial" w:cs="Arial" w:eastAsia="Arial" w:hAnsi="Arial"/>
                <w:sz w:val="14"/>
                <w:szCs w:val="14"/>
                <w:color w:val="auto"/>
              </w:rPr>
              <w:t>17</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7" w:right="319" w:bottom="1440" w:gutter="0" w:footer="0" w:header="0"/>
        </w:sectPr>
      </w:pPr>
    </w:p>
    <w:bookmarkStart w:id="17" w:name="page18"/>
    <w:bookmarkEnd w:id="17"/>
    <w:p>
      <w:pPr>
        <w:ind w:left="360" w:hanging="355"/>
        <w:spacing w:after="0"/>
        <w:tabs>
          <w:tab w:leader="none" w:pos="36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INTEREST RATE SWAP</w:t>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On June 30, 2022, the Company entered into a variable rate term note, or New Term Note, with Bank of America, N.A. On the same day, the Company entered into a new interest rate swap agreement to reduce its exposure to fluctuations in the floating interest rate tied to SOFR under the New Term Note. Per ASC 815, an entity may apply the shortcut method to hedging relationships that meet all of the conditions under ASC 815. The Company performed an initial assessment of the hedging relationship and determined it is appropriate to apply the shortcut method as all conditions were met. The new interest rate swap qualified as an effective cash flow hedge under the guidance of ASC 815. Applying the shortcut method allows the Company to assume that it has a perfectly effective hedging relationship, therefore there is no need for the Company to perform any quantitative assessments of whether the hedge is highly effective.</w:t>
      </w:r>
    </w:p>
    <w:p>
      <w:pPr>
        <w:spacing w:after="0" w:line="28" w:lineRule="exact"/>
        <w:rPr>
          <w:sz w:val="20"/>
          <w:szCs w:val="20"/>
          <w:color w:val="auto"/>
        </w:rPr>
      </w:pPr>
    </w:p>
    <w:p>
      <w:pPr>
        <w:ind w:right="40"/>
        <w:spacing w:after="0" w:line="368" w:lineRule="auto"/>
        <w:rPr>
          <w:sz w:val="20"/>
          <w:szCs w:val="20"/>
          <w:color w:val="auto"/>
        </w:rPr>
      </w:pPr>
      <w:r>
        <w:rPr>
          <w:rFonts w:ascii="Arial" w:cs="Arial" w:eastAsia="Arial" w:hAnsi="Arial"/>
          <w:sz w:val="12"/>
          <w:szCs w:val="12"/>
          <w:color w:val="auto"/>
        </w:rPr>
        <w:t>As of June 30, 2023, the fair value of the interest rate swap agreement was greater than its cost basis and as such the mark-to-market adjustment is recorded within Other Assets on the Consolidated Balance Sheets. The Company had the following outstanding interest rate swap agreement designated as an interest rate cash flow hedge as of June 30, 2023 and December 31, 2022 ($ in thousands):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June 30, 2023</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08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color w:val="auto"/>
              </w:rPr>
              <w:t>Effective Date</w:t>
            </w: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vMerge w:val="restart"/>
          </w:tcPr>
          <w:p>
            <w:pPr>
              <w:ind w:left="520"/>
              <w:spacing w:after="0"/>
              <w:rPr>
                <w:sz w:val="20"/>
                <w:szCs w:val="20"/>
                <w:color w:val="auto"/>
              </w:rPr>
            </w:pPr>
            <w:r>
              <w:rPr>
                <w:rFonts w:ascii="Arial" w:cs="Arial" w:eastAsia="Arial" w:hAnsi="Arial"/>
                <w:sz w:val="14"/>
                <w:szCs w:val="14"/>
                <w:color w:val="auto"/>
              </w:rPr>
              <w:t>Maturity Date</w:t>
            </w: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Fair Value Hierarchy</w:t>
            </w:r>
          </w:p>
        </w:tc>
        <w:tc>
          <w:tcPr>
            <w:tcW w:w="1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Weighted Average Interest Pay</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Fair Value</w:t>
            </w:r>
          </w:p>
        </w:tc>
        <w:tc>
          <w:tcPr>
            <w:tcW w:w="10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Notional Amount</w:t>
            </w: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June 30, 2022</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June 30, 2032</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Level 2</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4.62%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$1,716</w:t>
            </w:r>
          </w:p>
        </w:tc>
        <w:tc>
          <w:tcPr>
            <w:tcW w:w="100" w:type="dxa"/>
            <w:vAlign w:val="bottom"/>
            <w:shd w:val="clear" w:color="auto" w:fill="CCEEFF"/>
          </w:tcPr>
          <w:p>
            <w:pPr>
              <w:spacing w:after="0"/>
              <w:rPr>
                <w:sz w:val="15"/>
                <w:szCs w:val="15"/>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$47,721</w:t>
            </w:r>
          </w:p>
        </w:tc>
        <w:tc>
          <w:tcPr>
            <w:tcW w:w="0" w:type="dxa"/>
            <w:vAlign w:val="bottom"/>
          </w:tcPr>
          <w:p>
            <w:pPr>
              <w:spacing w:after="0"/>
              <w:rPr>
                <w:sz w:val="1"/>
                <w:szCs w:val="1"/>
                <w:color w:val="auto"/>
              </w:rPr>
            </w:pPr>
          </w:p>
        </w:tc>
      </w:tr>
      <w:tr>
        <w:trPr>
          <w:trHeight w:val="345"/>
        </w:trPr>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color w:val="auto"/>
              </w:rPr>
              <w:t>December 31, 2022</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80" w:type="dxa"/>
            <w:vAlign w:val="bottom"/>
            <w:vMerge w:val="restart"/>
          </w:tcPr>
          <w:p>
            <w:pPr>
              <w:ind w:left="640"/>
              <w:spacing w:after="0"/>
              <w:rPr>
                <w:sz w:val="20"/>
                <w:szCs w:val="20"/>
                <w:color w:val="auto"/>
              </w:rPr>
            </w:pPr>
            <w:r>
              <w:rPr>
                <w:rFonts w:ascii="Arial" w:cs="Arial" w:eastAsia="Arial" w:hAnsi="Arial"/>
                <w:sz w:val="14"/>
                <w:szCs w:val="14"/>
                <w:color w:val="auto"/>
              </w:rPr>
              <w:t>Effective Date</w:t>
            </w:r>
          </w:p>
        </w:tc>
        <w:tc>
          <w:tcPr>
            <w:tcW w:w="100" w:type="dxa"/>
            <w:vAlign w:val="bottom"/>
          </w:tcPr>
          <w:p>
            <w:pPr>
              <w:spacing w:after="0"/>
              <w:rPr>
                <w:sz w:val="11"/>
                <w:szCs w:val="11"/>
                <w:color w:val="auto"/>
              </w:rPr>
            </w:pPr>
          </w:p>
        </w:tc>
        <w:tc>
          <w:tcPr>
            <w:tcW w:w="1840" w:type="dxa"/>
            <w:vAlign w:val="bottom"/>
            <w:vMerge w:val="restart"/>
          </w:tcPr>
          <w:p>
            <w:pPr>
              <w:ind w:left="520"/>
              <w:spacing w:after="0"/>
              <w:rPr>
                <w:sz w:val="20"/>
                <w:szCs w:val="20"/>
                <w:color w:val="auto"/>
              </w:rPr>
            </w:pPr>
            <w:r>
              <w:rPr>
                <w:rFonts w:ascii="Arial" w:cs="Arial" w:eastAsia="Arial" w:hAnsi="Arial"/>
                <w:sz w:val="14"/>
                <w:szCs w:val="14"/>
                <w:color w:val="auto"/>
              </w:rPr>
              <w:t>Maturity Date</w:t>
            </w:r>
          </w:p>
        </w:tc>
        <w:tc>
          <w:tcPr>
            <w:tcW w:w="12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2"/>
              </w:rPr>
              <w:t>Fair Value Hierarchy</w:t>
            </w:r>
          </w:p>
        </w:tc>
        <w:tc>
          <w:tcPr>
            <w:tcW w:w="100" w:type="dxa"/>
            <w:vAlign w:val="bottom"/>
          </w:tcPr>
          <w:p>
            <w:pPr>
              <w:spacing w:after="0"/>
              <w:rPr>
                <w:sz w:val="11"/>
                <w:szCs w:val="11"/>
                <w:color w:val="auto"/>
              </w:rPr>
            </w:pPr>
          </w:p>
        </w:tc>
        <w:tc>
          <w:tcPr>
            <w:tcW w:w="1920" w:type="dxa"/>
            <w:vAlign w:val="bottom"/>
          </w:tcPr>
          <w:p>
            <w:pPr>
              <w:jc w:val="center"/>
              <w:spacing w:after="0" w:line="134" w:lineRule="exact"/>
              <w:rPr>
                <w:sz w:val="20"/>
                <w:szCs w:val="20"/>
                <w:color w:val="auto"/>
              </w:rPr>
            </w:pPr>
            <w:r>
              <w:rPr>
                <w:rFonts w:ascii="Arial" w:cs="Arial" w:eastAsia="Arial" w:hAnsi="Arial"/>
                <w:sz w:val="14"/>
                <w:szCs w:val="14"/>
                <w:color w:val="auto"/>
                <w:w w:val="89"/>
              </w:rPr>
              <w:t>Weighted Average Interest Pay</w:t>
            </w: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0"/>
              </w:rPr>
              <w:t>Fair Value</w:t>
            </w:r>
          </w:p>
        </w:tc>
        <w:tc>
          <w:tcPr>
            <w:tcW w:w="100" w:type="dxa"/>
            <w:vAlign w:val="bottom"/>
          </w:tcPr>
          <w:p>
            <w:pPr>
              <w:spacing w:after="0"/>
              <w:rPr>
                <w:sz w:val="11"/>
                <w:szCs w:val="11"/>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color w:val="auto"/>
                <w:w w:val="96"/>
              </w:rPr>
              <w:t>Notional Amount</w:t>
            </w:r>
          </w:p>
        </w:tc>
        <w:tc>
          <w:tcPr>
            <w:tcW w:w="0" w:type="dxa"/>
            <w:vAlign w:val="bottom"/>
          </w:tcPr>
          <w:p>
            <w:pPr>
              <w:spacing w:after="0"/>
              <w:rPr>
                <w:sz w:val="1"/>
                <w:szCs w:val="1"/>
                <w:color w:val="auto"/>
              </w:rPr>
            </w:pPr>
          </w:p>
        </w:tc>
      </w:tr>
      <w:tr>
        <w:trPr>
          <w:trHeight w:val="180"/>
        </w:trPr>
        <w:tc>
          <w:tcPr>
            <w:tcW w:w="2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1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June 30, 2022</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June 30, 2032</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Level 2</w:t>
            </w:r>
          </w:p>
        </w:tc>
        <w:tc>
          <w:tcPr>
            <w:tcW w:w="20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12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8"/>
              </w:rPr>
              <w:t>$1,430</w:t>
            </w:r>
          </w:p>
        </w:tc>
        <w:tc>
          <w:tcPr>
            <w:tcW w:w="23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0"/>
              </w:rPr>
              <w:t>$48,462</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87"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Company’s provision for income taxes as of June 30, 2023 has been calculated by applying an estimate of the annual effective tax rate for the full year to “ordinary” income or loss (pre-tax income or loss excluding unusual or infrequently occurring discrete items). For the six months ended June 30, 2023, the Company’s income tax expense was $1,404,000 compared to $3,041,000 for the six months ended June 30, 2022. Effective tax rates were 41% and 45% for the six months ended June 30, 2023 and 2022, respectively. As of June 30, 2023, the Company had income tax payables of $873,000. The Company classifies interest and penalties incurred on tax payments as income tax expense.</w:t>
      </w:r>
    </w:p>
    <w:p>
      <w:pPr>
        <w:spacing w:after="0" w:line="50"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For the six months ended June 30, 2023, the Company’s effective tax rate was above statutory tax rates as a result of permanent differences related to Section 162(m) limitations. Section 162(m) compensation deduction limitations occurred as a result of changes in tax law arising from the 2017 Tax Cuts and Jobs Act.</w:t>
      </w:r>
    </w:p>
    <w:p>
      <w:pPr>
        <w:spacing w:after="0" w:line="86" w:lineRule="exact"/>
        <w:rPr>
          <w:sz w:val="20"/>
          <w:szCs w:val="20"/>
          <w:color w:val="auto"/>
        </w:rPr>
      </w:pPr>
    </w:p>
    <w:p>
      <w:pPr>
        <w:ind w:right="8220" w:firstLine="5"/>
        <w:spacing w:after="0" w:line="358" w:lineRule="auto"/>
        <w:tabs>
          <w:tab w:leader="none" w:pos="354"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i w:val="1"/>
          <w:iCs w:val="1"/>
          <w:color w:val="auto"/>
        </w:rPr>
        <w:t>Water Contracts</w:t>
      </w:r>
    </w:p>
    <w:p>
      <w:pPr>
        <w:spacing w:after="0" w:line="1"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The Company has secured water contracts that are encumbered by the Company's land. These water contracts require minimum annual payments, for which $12,577,000 is expected to be paid in 2023. For the first six months of 2023, the Company has paid $9,686,000 for this water.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$267,967,000 as of June 30, 2023.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Contracts</w:t>
      </w:r>
    </w:p>
    <w:p>
      <w:pPr>
        <w:spacing w:after="0" w:line="7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June 30, 2023, the Company believes the net savings resulting from exiting the contract during this future time period will more than offset the incentive payment costs.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auto"/>
        </w:rPr>
        <w:t>Community Facilities Districts</w:t>
      </w:r>
    </w:p>
    <w:p>
      <w:pPr>
        <w:spacing w:after="0" w:line="72"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The TRPFFA is a joint powers authority formed by Kern County and TCWD to finance public infrastructure within the Company’s Kern County developments. For the development of the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5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the letter of credit will never be drawn upon. The letter of credit is for two years and will be renewed in two-year intervals as necessary. The annual cost related to the letter of credit is approximately $62,000.</w:t>
      </w:r>
    </w:p>
    <w:p>
      <w:pPr>
        <w:spacing w:after="0" w:line="5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June 30, 2023, there were no additional improvement funds remaining from the West CFD bonds. There are $9,763,557 of additional improvement funds remaining within the East CFD bonds for reimbursement of public infrastructure costs during future years. During fiscal 2023, the Company expects to pay approximately $2,816,000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June 30, 2023.</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Centennial</w:t>
      </w:r>
    </w:p>
    <w:p>
      <w:pPr>
        <w:spacing w:after="0" w:line="83" w:lineRule="exact"/>
        <w:rPr>
          <w:sz w:val="20"/>
          <w:szCs w:val="20"/>
          <w:color w:val="auto"/>
        </w:rPr>
      </w:pPr>
    </w:p>
    <w:p>
      <w:pPr>
        <w:ind w:right="100"/>
        <w:spacing w:after="0" w:line="280" w:lineRule="auto"/>
        <w:rPr>
          <w:sz w:val="20"/>
          <w:szCs w:val="20"/>
          <w:color w:val="auto"/>
        </w:rPr>
      </w:pPr>
      <w:r>
        <w:rPr>
          <w:rFonts w:ascii="Arial" w:cs="Arial" w:eastAsia="Arial" w:hAnsi="Arial"/>
          <w:sz w:val="13"/>
          <w:szCs w:val="13"/>
          <w:color w:val="auto"/>
        </w:rPr>
        <w:t>On April 30, 2019, the Los Angeles County Board of Supervisors granted final entitlement approval for the Centennial project. On May 15, 2019, Climate Resolve filed an action in Los Angeles Superior Court (the Climate Resolve Action), pursuant to the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42" w:lineRule="exact"/>
        <w:rPr>
          <w:sz w:val="20"/>
          <w:szCs w:val="20"/>
          <w:color w:val="auto"/>
        </w:rPr>
      </w:pPr>
    </w:p>
    <w:p>
      <w:pPr>
        <w:ind w:right="120"/>
        <w:spacing w:after="0" w:line="288" w:lineRule="auto"/>
        <w:rPr>
          <w:sz w:val="20"/>
          <w:szCs w:val="20"/>
          <w:color w:val="auto"/>
        </w:rPr>
      </w:pPr>
      <w:r>
        <w:rPr>
          <w:rFonts w:ascii="Arial" w:cs="Arial" w:eastAsia="Arial" w:hAnsi="Arial"/>
          <w:sz w:val="13"/>
          <w:szCs w:val="13"/>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w:t>
      </w:r>
    </w:p>
    <w:p>
      <w:pPr>
        <w:spacing w:after="0" w:line="25" w:lineRule="exact"/>
        <w:rPr>
          <w:sz w:val="20"/>
          <w:szCs w:val="20"/>
          <w:color w:val="auto"/>
        </w:rPr>
      </w:pPr>
    </w:p>
    <w:p>
      <w:pPr>
        <w:ind w:right="180"/>
        <w:spacing w:after="0" w:line="282" w:lineRule="auto"/>
        <w:rPr>
          <w:sz w:val="20"/>
          <w:szCs w:val="20"/>
          <w:color w:val="auto"/>
        </w:rPr>
      </w:pPr>
      <w:r>
        <w:rPr>
          <w:rFonts w:ascii="Arial" w:cs="Arial" w:eastAsia="Arial" w:hAnsi="Arial"/>
          <w:sz w:val="13"/>
          <w:szCs w:val="13"/>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w:t>
      </w:r>
    </w:p>
    <w:p>
      <w:pPr>
        <w:spacing w:after="0" w:line="3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On November 30, 2021, the Company, together with Ranchcorp and Centennial, entered into a Settlement Agreement with Climate Resolve. Pursuant to the Settlement Agreement, the Company has agreed: (1) to make Centennial a net zero GHG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9" w:name="page20"/>
    <w:bookmarkEnd w:id="19"/>
    <w:p>
      <w:pPr>
        <w:spacing w:after="0" w:line="278" w:lineRule="auto"/>
        <w:rPr>
          <w:sz w:val="20"/>
          <w:szCs w:val="20"/>
          <w:color w:val="auto"/>
        </w:rPr>
      </w:pPr>
      <w:r>
        <w:rPr>
          <w:rFonts w:ascii="Arial" w:cs="Arial" w:eastAsia="Arial" w:hAnsi="Arial"/>
          <w:sz w:val="13"/>
          <w:szCs w:val="13"/>
          <w:color w:val="auto"/>
        </w:rPr>
        <w:t>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Los Angeles County Superior Court. On December 3, 2021, the Los Angeles Superior Court granted and entered Climate Resolve’s dismissal with prejudice concluding the Climate Resolve Action. On December 1, 2021, the Los Angeles Superior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2022, the Los Angeles County Superior Court heard CBD/CNPS' Motion for Reconsideration and issued its decision granting CBD/CNPS prevailing party status in the Climate Resolve Action.</w:t>
      </w:r>
    </w:p>
    <w:p>
      <w:pPr>
        <w:spacing w:after="0" w:line="33" w:lineRule="exact"/>
        <w:rPr>
          <w:sz w:val="20"/>
          <w:szCs w:val="20"/>
          <w:color w:val="auto"/>
        </w:rPr>
      </w:pPr>
    </w:p>
    <w:p>
      <w:pPr>
        <w:ind w:right="40"/>
        <w:spacing w:after="0" w:line="272" w:lineRule="auto"/>
        <w:rPr>
          <w:sz w:val="20"/>
          <w:szCs w:val="20"/>
          <w:color w:val="auto"/>
        </w:rPr>
      </w:pPr>
      <w:r>
        <w:rPr>
          <w:rFonts w:ascii="Arial" w:cs="Arial" w:eastAsia="Arial" w:hAnsi="Arial"/>
          <w:sz w:val="13"/>
          <w:szCs w:val="13"/>
          <w:color w:val="auto"/>
        </w:rPr>
        <w:t>The Los Angeles County Superior Court, or the Court, set a tentative hearing date of February 25, 2022 concerning the entry of final judgment and awarding of appropriate remedies. Upon mutual request of the parties and approval by the Court, the February 25, 2022 hearing date was extended to September 7, 2022. On September 7, 2022, the Parties appeared before the Court concerning the entry of final judgment and the setting of appropriate remedies. The Court, upon hearing oral argument, ordered the parties to continue to meet and confer for an additional 30 days and continued the September 7th hearing to October 7, 2022. On October 3, 2022, the Court issued an order on the Court’s own continuance to further continue the October 7, 2022 hearing to October 21, 2022. Upon mutual request of the Parties and approval by the Court, the Parties extended the October 21, 2022 hearing date to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4" w:lineRule="exact"/>
        <w:rPr>
          <w:sz w:val="20"/>
          <w:szCs w:val="20"/>
          <w:color w:val="auto"/>
        </w:rPr>
      </w:pPr>
    </w:p>
    <w:p>
      <w:pPr>
        <w:ind w:right="140"/>
        <w:spacing w:after="0" w:line="262" w:lineRule="auto"/>
        <w:rPr>
          <w:sz w:val="20"/>
          <w:szCs w:val="20"/>
          <w:color w:val="auto"/>
        </w:rPr>
      </w:pPr>
      <w:r>
        <w:rPr>
          <w:rFonts w:ascii="Arial" w:cs="Arial" w:eastAsia="Arial" w:hAnsi="Arial"/>
          <w:sz w:val="13"/>
          <w:szCs w:val="13"/>
          <w:color w:val="auto"/>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w:t>
      </w:r>
    </w:p>
    <w:p>
      <w:pPr>
        <w:spacing w:after="0" w:line="53" w:lineRule="exact"/>
        <w:rPr>
          <w:sz w:val="20"/>
          <w:szCs w:val="20"/>
          <w:color w:val="auto"/>
        </w:rPr>
      </w:pPr>
    </w:p>
    <w:p>
      <w:pPr>
        <w:ind w:right="2160"/>
        <w:spacing w:after="0" w:line="355" w:lineRule="auto"/>
        <w:rPr>
          <w:sz w:val="20"/>
          <w:szCs w:val="20"/>
          <w:color w:val="auto"/>
        </w:rPr>
      </w:pPr>
      <w:r>
        <w:rPr>
          <w:rFonts w:ascii="Arial" w:cs="Arial" w:eastAsia="Arial" w:hAnsi="Arial"/>
          <w:sz w:val="14"/>
          <w:szCs w:val="14"/>
          <w:color w:val="auto"/>
        </w:rPr>
        <w:t xml:space="preserve">As the Company’s options to reinstate the project approvals remain pending, the monetary value of any adverse decision, if any, cannot be estimated at this time. </w:t>
      </w:r>
      <w:r>
        <w:rPr>
          <w:rFonts w:ascii="Arial" w:cs="Arial" w:eastAsia="Arial" w:hAnsi="Arial"/>
          <w:sz w:val="14"/>
          <w:szCs w:val="14"/>
          <w:i w:val="1"/>
          <w:iCs w:val="1"/>
          <w:color w:val="auto"/>
        </w:rPr>
        <w:t>Proceedings Incidental to Business</w:t>
      </w:r>
    </w:p>
    <w:p>
      <w:pPr>
        <w:spacing w:after="0" w:line="1"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37"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outcome of these other proceedings is not predictable. However, based on current circumstances, the Company believes the ultimate resolution of these other proceedings will not have a material adverse effect on the Company’s financial position, results of operations or cash flows, either individually or in the aggregate.</w:t>
      </w:r>
    </w:p>
    <w:p>
      <w:pPr>
        <w:spacing w:after="0" w:line="8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tab/>
        <w:t>RETIREMENT PLANS</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Company sponsors a defined benefit retirement plan, or Benefit Plan, which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2023.</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20" w:name="page21"/>
    <w:bookmarkEnd w:id="20"/>
    <w:p>
      <w:pPr>
        <w:ind w:right="40"/>
        <w:spacing w:after="0" w:line="280" w:lineRule="auto"/>
        <w:rPr>
          <w:sz w:val="20"/>
          <w:szCs w:val="20"/>
          <w:color w:val="auto"/>
        </w:rPr>
      </w:pPr>
      <w:r>
        <w:rPr>
          <w:rFonts w:ascii="Arial" w:cs="Arial" w:eastAsia="Arial" w:hAnsi="Arial"/>
          <w:sz w:val="13"/>
          <w:szCs w:val="13"/>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June 30, 2023 and December 31, 2022, the investment mixes were roughly consistent at 20% equity, 79% debt, and 1% money market funds. Equity investments consist of a combination of individual equity securities plus value funds, growth funds, large cap funds and international stock funds. The weighted-average discount rate used in determining the periodic pension cost is 5.00% in 2023 and 2022. The expected long-term rate of return on plan assets is 5.00% for both fiscal 2023 and 2022. The long-term rate of return on Benefit Plan assets is based on the historical returns within the plan and expectations for future returns.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Total pension and retirement earnings for the Benefit Plan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Six Months Ended June 30,</w:t>
            </w:r>
          </w:p>
        </w:tc>
        <w:tc>
          <w:tcPr>
            <w:tcW w:w="1120" w:type="dxa"/>
            <w:vAlign w:val="bottom"/>
            <w:tcBorders>
              <w:bottom w:val="single" w:sz="8" w:color="auto"/>
            </w:tcBorders>
          </w:tcPr>
          <w:p>
            <w:pPr>
              <w:spacing w:after="0"/>
              <w:rPr>
                <w:sz w:val="15"/>
                <w:szCs w:val="15"/>
                <w:color w:val="auto"/>
              </w:rPr>
            </w:pPr>
          </w:p>
        </w:tc>
      </w:tr>
      <w:tr>
        <w:trPr>
          <w:trHeight w:val="181"/>
        </w:trPr>
        <w:tc>
          <w:tcPr>
            <w:tcW w:w="73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96"/>
              </w:rPr>
              <w:t>2022</w:t>
            </w:r>
          </w:p>
        </w:tc>
      </w:tr>
      <w:tr>
        <w:trPr>
          <w:trHeight w:val="161"/>
        </w:trPr>
        <w:tc>
          <w:tcPr>
            <w:tcW w:w="7380" w:type="dxa"/>
            <w:vAlign w:val="bottom"/>
          </w:tcPr>
          <w:p>
            <w:pPr>
              <w:ind w:left="60"/>
              <w:spacing w:after="0"/>
              <w:rPr>
                <w:sz w:val="20"/>
                <w:szCs w:val="20"/>
                <w:color w:val="auto"/>
              </w:rPr>
            </w:pPr>
            <w:r>
              <w:rPr>
                <w:rFonts w:ascii="Arial" w:cs="Arial" w:eastAsia="Arial" w:hAnsi="Arial"/>
                <w:sz w:val="14"/>
                <w:szCs w:val="14"/>
                <w:color w:val="auto"/>
              </w:rPr>
              <w:t>(Cost)/earnings components: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1"/>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80"/>
        </w:trPr>
        <w:tc>
          <w:tcPr>
            <w:tcW w:w="7380" w:type="dxa"/>
            <w:vAlign w:val="bottom"/>
          </w:tcPr>
          <w:p>
            <w:pPr>
              <w:ind w:left="280"/>
              <w:spacing w:after="0"/>
              <w:rPr>
                <w:sz w:val="20"/>
                <w:szCs w:val="20"/>
                <w:color w:val="auto"/>
              </w:rPr>
            </w:pPr>
            <w:r>
              <w:rPr>
                <w:rFonts w:ascii="Arial" w:cs="Arial" w:eastAsia="Arial" w:hAnsi="Arial"/>
                <w:sz w:val="14"/>
                <w:szCs w:val="14"/>
                <w:color w:val="auto"/>
              </w:rPr>
              <w:t>Expected return on plan assets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18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amortization and deferral</w:t>
            </w: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6"/>
        </w:trPr>
        <w:tc>
          <w:tcPr>
            <w:tcW w:w="7380" w:type="dxa"/>
            <w:vAlign w:val="bottom"/>
          </w:tcPr>
          <w:p>
            <w:pPr>
              <w:ind w:left="20"/>
              <w:spacing w:after="0"/>
              <w:rPr>
                <w:sz w:val="20"/>
                <w:szCs w:val="20"/>
                <w:color w:val="auto"/>
              </w:rPr>
            </w:pPr>
            <w:r>
              <w:rPr>
                <w:rFonts w:ascii="Arial" w:cs="Arial" w:eastAsia="Arial" w:hAnsi="Arial"/>
                <w:sz w:val="14"/>
                <w:szCs w:val="14"/>
                <w:color w:val="auto"/>
              </w:rPr>
              <w:t>Total net periodic pension (cost)/earnings</w:t>
            </w: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(32)</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0"/>
        </w:trPr>
        <w:tc>
          <w:tcPr>
            <w:tcW w:w="7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20"/>
                <w:szCs w:val="20"/>
                <w:color w:val="auto"/>
              </w:rPr>
            </w:pPr>
            <w:r>
              <w:rPr>
                <w:rFonts w:ascii="Arial" w:cs="Arial" w:eastAsia="Arial" w:hAnsi="Arial"/>
                <w:sz w:val="14"/>
                <w:szCs w:val="14"/>
                <w:color w:val="auto"/>
              </w:rPr>
              <w:t>The pension and retirement expense for the SERP was as follows:</w:t>
            </w:r>
          </w:p>
        </w:tc>
        <w:tc>
          <w:tcPr>
            <w:tcW w:w="2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4"/>
                <w:szCs w:val="14"/>
                <w:color w:val="auto"/>
              </w:rPr>
              <w:t>Cost components:</w:t>
            </w:r>
          </w:p>
        </w:tc>
        <w:tc>
          <w:tcPr>
            <w:tcW w:w="2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31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0"/>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amortization and other</w:t>
            </w:r>
          </w:p>
        </w:tc>
        <w:tc>
          <w:tcPr>
            <w:tcW w:w="26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periodic pension cost</w:t>
            </w:r>
          </w:p>
        </w:tc>
        <w:tc>
          <w:tcPr>
            <w:tcW w:w="2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549"/>
              <w:spacing w:after="0"/>
              <w:rPr>
                <w:sz w:val="20"/>
                <w:szCs w:val="20"/>
                <w:color w:val="auto"/>
              </w:rPr>
            </w:pPr>
            <w:r>
              <w:rPr>
                <w:rFonts w:ascii="Arial" w:cs="Arial" w:eastAsia="Arial" w:hAnsi="Arial"/>
                <w:sz w:val="14"/>
                <w:szCs w:val="14"/>
                <w:color w:val="auto"/>
              </w:rPr>
              <w:t>21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6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1" w:name="page22"/>
    <w:bookmarkEnd w:id="21"/>
    <w:p>
      <w:pPr>
        <w:spacing w:after="0"/>
        <w:tabs>
          <w:tab w:leader="none" w:pos="300" w:val="left"/>
        </w:tabs>
        <w:rPr>
          <w:sz w:val="20"/>
          <w:szCs w:val="20"/>
          <w:color w:val="auto"/>
        </w:rPr>
      </w:pPr>
      <w:r>
        <w:rPr>
          <w:rFonts w:ascii="Arial" w:cs="Arial" w:eastAsia="Arial" w:hAnsi="Arial"/>
          <w:sz w:val="14"/>
          <w:szCs w:val="14"/>
          <w:b w:val="1"/>
          <w:bCs w:val="1"/>
          <w:color w:val="auto"/>
        </w:rPr>
        <w:t>14.</w:t>
        <w:tab/>
        <w:t>REPORTING SEGMENTS AND RELATED INFORMATION</w:t>
      </w:r>
    </w:p>
    <w:p>
      <w:pPr>
        <w:spacing w:after="0" w:line="87"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 Estate - Commercial/Industrial Development</w:t>
      </w:r>
    </w:p>
    <w:p>
      <w:pPr>
        <w:spacing w:after="0" w:line="83"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(Investment in Unconsolidated and Consolidated Joint Ventures) for discussion of unconsolidated joint ventures.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revenues, expenses and operating income from this segment for the periods 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769"/>
              <w:spacing w:after="0"/>
              <w:rPr>
                <w:sz w:val="20"/>
                <w:szCs w:val="20"/>
                <w:color w:val="auto"/>
              </w:rPr>
            </w:pPr>
            <w:r>
              <w:rPr>
                <w:rFonts w:ascii="Arial" w:cs="Arial" w:eastAsia="Arial" w:hAnsi="Arial"/>
                <w:sz w:val="14"/>
                <w:szCs w:val="14"/>
                <w:color w:val="auto"/>
              </w:rPr>
              <w:t>Three Months Ended June 30,</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6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0"/>
        </w:trPr>
        <w:tc>
          <w:tcPr>
            <w:tcW w:w="45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2"/>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Commercial/industrial revenues</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2,462</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9,811</w:t>
            </w:r>
          </w:p>
        </w:tc>
        <w:tc>
          <w:tcPr>
            <w:tcW w:w="0" w:type="dxa"/>
            <w:vAlign w:val="bottom"/>
          </w:tcPr>
          <w:p>
            <w:pPr>
              <w:spacing w:after="0"/>
              <w:rPr>
                <w:sz w:val="1"/>
                <w:szCs w:val="1"/>
                <w:color w:val="auto"/>
              </w:rPr>
            </w:pPr>
          </w:p>
        </w:tc>
      </w:tr>
      <w:tr>
        <w:trPr>
          <w:trHeight w:val="180"/>
        </w:trPr>
        <w:tc>
          <w:tcPr>
            <w:tcW w:w="4580" w:type="dxa"/>
            <w:vAlign w:val="bottom"/>
          </w:tcPr>
          <w:p>
            <w:pPr>
              <w:ind w:left="180"/>
              <w:spacing w:after="0"/>
              <w:rPr>
                <w:sz w:val="20"/>
                <w:szCs w:val="20"/>
                <w:color w:val="auto"/>
              </w:rPr>
            </w:pPr>
            <w:r>
              <w:rPr>
                <w:rFonts w:ascii="Arial" w:cs="Arial" w:eastAsia="Arial" w:hAnsi="Arial"/>
                <w:sz w:val="14"/>
                <w:szCs w:val="14"/>
                <w:color w:val="auto"/>
              </w:rPr>
              <w:t>Equity in earnings of unconsolidated joint ventures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1,663</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29"/>
        </w:trPr>
        <w:tc>
          <w:tcPr>
            <w:tcW w:w="45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4"/>
              </w:rPr>
              <w:t>Commercial/industrial revenues and equity in earnings of unconsolidated joint</w:t>
            </w:r>
          </w:p>
        </w:tc>
        <w:tc>
          <w:tcPr>
            <w:tcW w:w="4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4,125</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12,687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ventures</w:t>
            </w:r>
          </w:p>
        </w:tc>
        <w:tc>
          <w:tcPr>
            <w:tcW w:w="40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Commercial/industrial expenses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w:t>
            </w:r>
          </w:p>
        </w:tc>
        <w:tc>
          <w:tcPr>
            <w:tcW w:w="0" w:type="dxa"/>
            <w:vAlign w:val="bottom"/>
          </w:tcPr>
          <w:p>
            <w:pPr>
              <w:spacing w:after="0"/>
              <w:rPr>
                <w:sz w:val="1"/>
                <w:szCs w:val="1"/>
                <w:color w:val="auto"/>
              </w:rPr>
            </w:pPr>
          </w:p>
        </w:tc>
      </w:tr>
      <w:tr>
        <w:trPr>
          <w:trHeight w:val="20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Operating results from commercial/industrial and unconsolidated joint ventures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2,303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 Estate - Resort/Residential Development</w:t>
      </w:r>
    </w:p>
    <w:p>
      <w:pPr>
        <w:spacing w:after="0" w:line="83" w:lineRule="exact"/>
        <w:rPr>
          <w:sz w:val="20"/>
          <w:szCs w:val="20"/>
          <w:color w:val="auto"/>
        </w:rPr>
      </w:pPr>
    </w:p>
    <w:p>
      <w:pPr>
        <w:ind w:right="180"/>
        <w:spacing w:after="0" w:line="331" w:lineRule="auto"/>
        <w:rPr>
          <w:sz w:val="20"/>
          <w:szCs w:val="20"/>
          <w:color w:val="auto"/>
        </w:rPr>
      </w:pPr>
      <w:r>
        <w:rPr>
          <w:rFonts w:ascii="Arial" w:cs="Arial" w:eastAsia="Arial" w:hAnsi="Arial"/>
          <w:sz w:val="12"/>
          <w:szCs w:val="12"/>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$324,000 and $423,000 for the three months ended June 30, 2023 and 2022, respectively. The segment generated losses of $712,000 and $846,000 for the six months ended June 30, 2023 and 2022, respectively.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Mineral Resources</w:t>
      </w:r>
    </w:p>
    <w:p>
      <w:pPr>
        <w:spacing w:after="0" w:line="72"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right="329"/>
              <w:spacing w:after="0"/>
              <w:rPr>
                <w:sz w:val="20"/>
                <w:szCs w:val="20"/>
                <w:color w:val="auto"/>
              </w:rPr>
            </w:pPr>
            <w:r>
              <w:rPr>
                <w:rFonts w:ascii="Arial" w:cs="Arial" w:eastAsia="Arial" w:hAnsi="Arial"/>
                <w:sz w:val="14"/>
                <w:szCs w:val="14"/>
                <w:color w:val="auto"/>
                <w:w w:val="91"/>
              </w:rPr>
              <w:t>Six Months Ended June 30,</w:t>
            </w:r>
          </w:p>
        </w:tc>
        <w:tc>
          <w:tcPr>
            <w:tcW w:w="640" w:type="dxa"/>
            <w:vAlign w:val="bottom"/>
            <w:tcBorders>
              <w:bottom w:val="single" w:sz="8" w:color="auto"/>
            </w:tcBorders>
          </w:tcPr>
          <w:p>
            <w:pPr>
              <w:spacing w:after="0"/>
              <w:rPr>
                <w:sz w:val="15"/>
                <w:szCs w:val="15"/>
                <w:color w:val="auto"/>
              </w:rPr>
            </w:pPr>
          </w:p>
        </w:tc>
      </w:tr>
      <w:tr>
        <w:trPr>
          <w:trHeight w:val="171"/>
        </w:trPr>
        <w:tc>
          <w:tcPr>
            <w:tcW w:w="40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1200" w:type="dxa"/>
            <w:vAlign w:val="bottom"/>
            <w:gridSpan w:val="2"/>
          </w:tcPr>
          <w:p>
            <w:pPr>
              <w:jc w:val="right"/>
              <w:ind w:right="89"/>
              <w:spacing w:after="0"/>
              <w:rPr>
                <w:sz w:val="20"/>
                <w:szCs w:val="20"/>
                <w:color w:val="auto"/>
              </w:rPr>
            </w:pPr>
            <w:r>
              <w:rPr>
                <w:rFonts w:ascii="Arial" w:cs="Arial" w:eastAsia="Arial" w:hAnsi="Arial"/>
                <w:sz w:val="14"/>
                <w:szCs w:val="14"/>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2023</w:t>
            </w:r>
          </w:p>
        </w:tc>
        <w:tc>
          <w:tcPr>
            <w:tcW w:w="660" w:type="dxa"/>
            <w:vAlign w:val="bottom"/>
          </w:tcPr>
          <w:p>
            <w:pPr>
              <w:spacing w:after="0"/>
              <w:rPr>
                <w:sz w:val="14"/>
                <w:szCs w:val="14"/>
                <w:color w:val="auto"/>
              </w:rPr>
            </w:pPr>
          </w:p>
        </w:tc>
        <w:tc>
          <w:tcPr>
            <w:tcW w:w="1420" w:type="dxa"/>
            <w:vAlign w:val="bottom"/>
            <w:gridSpan w:val="2"/>
          </w:tcPr>
          <w:p>
            <w:pPr>
              <w:jc w:val="right"/>
              <w:ind w:right="129"/>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4"/>
                <w:szCs w:val="14"/>
                <w:color w:val="auto"/>
              </w:rPr>
            </w:pPr>
          </w:p>
        </w:tc>
      </w:tr>
      <w:tr>
        <w:trPr>
          <w:trHeight w:val="171"/>
        </w:trPr>
        <w:tc>
          <w:tcPr>
            <w:tcW w:w="4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Mineral resources revenues</w:t>
            </w:r>
          </w:p>
        </w:tc>
        <w:tc>
          <w:tcPr>
            <w:tcW w:w="1100" w:type="dxa"/>
            <w:vAlign w:val="bottom"/>
            <w:tcBorders>
              <w:top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8,512</w:t>
            </w: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ind w:right="114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16,099</w:t>
            </w:r>
          </w:p>
        </w:tc>
      </w:tr>
      <w:tr>
        <w:trPr>
          <w:trHeight w:val="180"/>
        </w:trPr>
        <w:tc>
          <w:tcPr>
            <w:tcW w:w="4040" w:type="dxa"/>
            <w:vAlign w:val="bottom"/>
          </w:tcPr>
          <w:p>
            <w:pPr>
              <w:ind w:left="180"/>
              <w:spacing w:after="0"/>
              <w:rPr>
                <w:sz w:val="20"/>
                <w:szCs w:val="20"/>
                <w:color w:val="auto"/>
              </w:rPr>
            </w:pPr>
            <w:r>
              <w:rPr>
                <w:rFonts w:ascii="Arial" w:cs="Arial" w:eastAsia="Arial" w:hAnsi="Arial"/>
                <w:sz w:val="14"/>
                <w:szCs w:val="14"/>
                <w:color w:val="auto"/>
              </w:rPr>
              <w:t>Mineral resources expenses</w:t>
            </w:r>
          </w:p>
        </w:tc>
        <w:tc>
          <w:tcPr>
            <w:tcW w:w="1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2,445</w:t>
            </w: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4,991</w:t>
            </w:r>
          </w:p>
        </w:tc>
        <w:tc>
          <w:tcPr>
            <w:tcW w:w="1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9,602</w:t>
            </w: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results from mineral resources</w:t>
            </w:r>
          </w:p>
        </w:tc>
        <w:tc>
          <w:tcPr>
            <w:tcW w:w="110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160" w:type="dxa"/>
            <w:vAlign w:val="bottom"/>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1420" w:type="dxa"/>
            <w:vAlign w:val="bottom"/>
            <w:gridSpan w:val="2"/>
            <w:shd w:val="clear" w:color="auto" w:fill="CCEEFF"/>
          </w:tcPr>
          <w:p>
            <w:pPr>
              <w:jc w:val="center"/>
              <w:ind w:right="10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Farming</w:t>
      </w:r>
    </w:p>
    <w:p>
      <w:pPr>
        <w:spacing w:after="0" w:line="83"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The Farming segment revenues include the sale of almonds, pistachios, wine grapes, and hay. The following table summarizes revenues, expenses and operating results from this segment for the periods ended: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789"/>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960" w:type="dxa"/>
            <w:vAlign w:val="bottom"/>
            <w:tcBorders>
              <w:bottom w:val="single" w:sz="8" w:color="auto"/>
            </w:tcBorders>
          </w:tcPr>
          <w:p>
            <w:pPr>
              <w:spacing w:after="0"/>
              <w:rPr>
                <w:sz w:val="15"/>
                <w:szCs w:val="15"/>
                <w:color w:val="auto"/>
              </w:rPr>
            </w:pPr>
          </w:p>
        </w:tc>
      </w:tr>
      <w:tr>
        <w:trPr>
          <w:trHeight w:val="170"/>
        </w:trPr>
        <w:tc>
          <w:tcPr>
            <w:tcW w:w="42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w w:val="83"/>
              </w:rPr>
              <w:t>2022</w:t>
            </w:r>
          </w:p>
        </w:tc>
      </w:tr>
      <w:tr>
        <w:trPr>
          <w:trHeight w:val="182"/>
        </w:trPr>
        <w:tc>
          <w:tcPr>
            <w:tcW w:w="4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Farming revenues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689"/>
              <w:spacing w:after="0"/>
              <w:rPr>
                <w:sz w:val="20"/>
                <w:szCs w:val="20"/>
                <w:color w:val="auto"/>
              </w:rPr>
            </w:pPr>
            <w:r>
              <w:rPr>
                <w:rFonts w:ascii="Arial" w:cs="Arial" w:eastAsia="Arial" w:hAnsi="Arial"/>
                <w:sz w:val="14"/>
                <w:szCs w:val="14"/>
                <w:color w:val="auto"/>
                <w:w w:val="91"/>
              </w:rPr>
              <w:t>1,921</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849"/>
              <w:spacing w:after="0"/>
              <w:rPr>
                <w:sz w:val="20"/>
                <w:szCs w:val="20"/>
                <w:color w:val="auto"/>
              </w:rPr>
            </w:pPr>
            <w:r>
              <w:rPr>
                <w:rFonts w:ascii="Arial" w:cs="Arial" w:eastAsia="Arial" w:hAnsi="Arial"/>
                <w:sz w:val="14"/>
                <w:szCs w:val="14"/>
                <w:color w:val="auto"/>
                <w:w w:val="91"/>
              </w:rPr>
              <w:t>2,210</w:t>
            </w: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449"/>
              <w:spacing w:after="0"/>
              <w:rPr>
                <w:sz w:val="20"/>
                <w:szCs w:val="20"/>
                <w:color w:val="auto"/>
              </w:rPr>
            </w:pPr>
            <w:r>
              <w:rPr>
                <w:rFonts w:ascii="Arial" w:cs="Arial" w:eastAsia="Arial" w:hAnsi="Arial"/>
                <w:sz w:val="14"/>
                <w:szCs w:val="14"/>
                <w:color w:val="auto"/>
                <w:w w:val="91"/>
              </w:rPr>
              <w:t>2,576</w:t>
            </w:r>
          </w:p>
        </w:tc>
      </w:tr>
      <w:tr>
        <w:trPr>
          <w:trHeight w:val="180"/>
        </w:trPr>
        <w:tc>
          <w:tcPr>
            <w:tcW w:w="4280" w:type="dxa"/>
            <w:vAlign w:val="bottom"/>
          </w:tcPr>
          <w:p>
            <w:pPr>
              <w:ind w:left="180"/>
              <w:spacing w:after="0"/>
              <w:rPr>
                <w:sz w:val="20"/>
                <w:szCs w:val="20"/>
                <w:color w:val="auto"/>
              </w:rPr>
            </w:pPr>
            <w:r>
              <w:rPr>
                <w:rFonts w:ascii="Arial" w:cs="Arial" w:eastAsia="Arial" w:hAnsi="Arial"/>
                <w:sz w:val="14"/>
                <w:szCs w:val="14"/>
                <w:color w:val="auto"/>
              </w:rPr>
              <w:t>Farming expenses</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color w:val="auto"/>
                <w:w w:val="91"/>
              </w:rPr>
              <w:t>3,462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849"/>
              <w:spacing w:after="0"/>
              <w:rPr>
                <w:sz w:val="20"/>
                <w:szCs w:val="20"/>
                <w:color w:val="auto"/>
              </w:rPr>
            </w:pPr>
            <w:r>
              <w:rPr>
                <w:rFonts w:ascii="Arial" w:cs="Arial" w:eastAsia="Arial" w:hAnsi="Arial"/>
                <w:sz w:val="14"/>
                <w:szCs w:val="14"/>
                <w:color w:val="auto"/>
                <w:w w:val="91"/>
              </w:rPr>
              <w:t>3,487</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w w:val="91"/>
              </w:rPr>
              <w:t>5,224</w:t>
            </w:r>
          </w:p>
        </w:tc>
      </w:tr>
      <w:tr>
        <w:trPr>
          <w:trHeight w:val="19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results from farming</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669"/>
              <w:spacing w:after="0"/>
              <w:rPr>
                <w:sz w:val="20"/>
                <w:szCs w:val="20"/>
                <w:color w:val="auto"/>
              </w:rPr>
            </w:pPr>
            <w:r>
              <w:rPr>
                <w:rFonts w:ascii="Arial" w:cs="Arial" w:eastAsia="Arial" w:hAnsi="Arial"/>
                <w:sz w:val="14"/>
                <w:szCs w:val="14"/>
                <w:color w:val="auto"/>
                <w:w w:val="94"/>
              </w:rPr>
              <w:t>(1,541)</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94"/>
              </w:rPr>
              <w:t>(1,277)</w:t>
            </w: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429"/>
              <w:spacing w:after="0"/>
              <w:rPr>
                <w:sz w:val="20"/>
                <w:szCs w:val="20"/>
                <w:color w:val="auto"/>
              </w:rPr>
            </w:pPr>
            <w:r>
              <w:rPr>
                <w:rFonts w:ascii="Arial" w:cs="Arial" w:eastAsia="Arial" w:hAnsi="Arial"/>
                <w:sz w:val="14"/>
                <w:szCs w:val="14"/>
                <w:color w:val="auto"/>
                <w:w w:val="94"/>
              </w:rPr>
              <w:t>(2,648)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41"/>
        </w:trPr>
        <w:tc>
          <w:tcPr>
            <w:tcW w:w="4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249"/>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7"/>
        </w:trPr>
        <w:tc>
          <w:tcPr>
            <w:tcW w:w="4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auto"/>
        </w:rPr>
        <w:t>Ranch Operations</w:t>
      </w:r>
    </w:p>
    <w:p>
      <w:pPr>
        <w:spacing w:after="0" w:line="72"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869"/>
              <w:spacing w:after="0"/>
              <w:rPr>
                <w:sz w:val="20"/>
                <w:szCs w:val="20"/>
                <w:color w:val="auto"/>
              </w:rPr>
            </w:pPr>
            <w:r>
              <w:rPr>
                <w:rFonts w:ascii="Arial" w:cs="Arial" w:eastAsia="Arial" w:hAnsi="Arial"/>
                <w:sz w:val="14"/>
                <w:szCs w:val="14"/>
                <w:color w:val="auto"/>
              </w:rPr>
              <w:t>Six Months Ended June 30,</w:t>
            </w: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2022</w:t>
            </w:r>
          </w:p>
        </w:tc>
      </w:tr>
      <w:tr>
        <w:trPr>
          <w:trHeight w:val="171"/>
        </w:trPr>
        <w:tc>
          <w:tcPr>
            <w:tcW w:w="4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Ranch operations revenues</w:t>
            </w:r>
          </w:p>
        </w:tc>
        <w:tc>
          <w:tcPr>
            <w:tcW w:w="1200" w:type="dxa"/>
            <w:vAlign w:val="bottom"/>
            <w:shd w:val="clear" w:color="auto" w:fill="CCEEFF"/>
          </w:tcPr>
          <w:p>
            <w:pPr>
              <w:jc w:val="right"/>
              <w:ind w:right="10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6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r>
      <w:tr>
        <w:trPr>
          <w:trHeight w:val="185"/>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Ranch operations expenses</w:t>
            </w:r>
          </w:p>
        </w:tc>
        <w:tc>
          <w:tcPr>
            <w:tcW w:w="1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r>
      <w:tr>
        <w:trPr>
          <w:trHeight w:val="20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ranch operations</w:t>
            </w: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tab/>
        <w:t>INVESTMENT IN UNCONSOLIDATED AND CONSOLIDATED JOINT VENTURES</w:t>
      </w:r>
    </w:p>
    <w:p>
      <w:pPr>
        <w:spacing w:after="0" w:line="14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2023 was $38,350,000. Equity in earnings from unconsolidated joint ventures was $3,455,000 for the six months ended June 30, 2023. The unconsolidated joint ventures have not been consolidated as of June 30, 2023, because the Company does not control the investments. The Company’s current joint ventures are as follows:</w:t>
      </w:r>
    </w:p>
    <w:p>
      <w:pPr>
        <w:spacing w:after="0" w:line="103" w:lineRule="exact"/>
        <w:rPr>
          <w:sz w:val="20"/>
          <w:szCs w:val="20"/>
          <w:color w:val="auto"/>
        </w:rPr>
      </w:pPr>
    </w:p>
    <w:p>
      <w:pPr>
        <w:ind w:left="360" w:right="160" w:hanging="260"/>
        <w:spacing w:after="0" w:line="319" w:lineRule="auto"/>
        <w:tabs>
          <w:tab w:leader="none" w:pos="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$26,728,000 as of June 30, 2023.</w:t>
      </w:r>
    </w:p>
    <w:p>
      <w:pPr>
        <w:spacing w:after="0" w:line="72" w:lineRule="exact"/>
        <w:rPr>
          <w:rFonts w:ascii="Arial" w:cs="Arial" w:eastAsia="Arial" w:hAnsi="Arial"/>
          <w:sz w:val="12"/>
          <w:szCs w:val="12"/>
          <w:color w:val="auto"/>
        </w:rPr>
      </w:pPr>
    </w:p>
    <w:p>
      <w:pPr>
        <w:ind w:left="360" w:right="80" w:hanging="260"/>
        <w:spacing w:after="0" w:line="267"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Majestic Realty Co. – Majestic Realty Co., or Majestic, is a privately-held developer and owner of master planned business parks in the United States. The Company has five active 50/50 joint ventures with Majestic to acquire, develop, manage, and operate industrial real estate at TRCC. The partners have equal voting rights and equally share in the profit and loss of the joint ventures.</w:t>
      </w:r>
    </w:p>
    <w:p>
      <w:pPr>
        <w:spacing w:after="0" w:line="46" w:lineRule="exact"/>
        <w:rPr>
          <w:rFonts w:ascii="Arial" w:cs="Arial" w:eastAsia="Arial" w:hAnsi="Arial"/>
          <w:sz w:val="14"/>
          <w:szCs w:val="14"/>
          <w:color w:val="auto"/>
        </w:rPr>
      </w:pPr>
    </w:p>
    <w:p>
      <w:pPr>
        <w:ind w:left="760" w:right="20" w:hanging="246"/>
        <w:spacing w:after="0" w:line="258" w:lineRule="auto"/>
        <w:tabs>
          <w:tab w:leader="none" w:pos="7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On March 29, 2022, TRC-MRC 5 LLC was formed to pursue the development, construction, lease-up, and management of an approximately 446,400 square foot industrial building located within TRCC-East. The construction is financed by a $49,226,000 construction loan that had an outstanding balance of $10,527,000 as of June 30, 2023. This debt is guaranteed by both the Company and Majestic. In December 2022, the Company contributed land with fair value of $8,501,000 to TRC-MRC5, LLC. The total cost of the land was $2,477,000. The Company recognized profit of $3,012,000 and deferred profit of $3,012,000 after applying the five-step revenue recognition model in accordance with ASC Topic 606 - Revenue From Contracts With Customers and ASC Topic 323, Investments - Equity Method and Joint Ventures. The project is currently under construction and is expected to be completed by the first quarter of 2024. The joint venture has leased 100% of the rentable space.</w:t>
      </w:r>
    </w:p>
    <w:p>
      <w:pPr>
        <w:spacing w:after="0" w:line="65" w:lineRule="exact"/>
        <w:rPr>
          <w:rFonts w:ascii="Arial" w:cs="Arial" w:eastAsia="Arial" w:hAnsi="Arial"/>
          <w:sz w:val="14"/>
          <w:szCs w:val="14"/>
          <w:color w:val="auto"/>
        </w:rPr>
      </w:pPr>
    </w:p>
    <w:p>
      <w:pPr>
        <w:ind w:left="760" w:right="20" w:hanging="246"/>
        <w:spacing w:after="0" w:line="279" w:lineRule="auto"/>
        <w:tabs>
          <w:tab w:leader="none" w:pos="7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On March 25, 2021, TRC-MRC 4 LLC was formed to pursue the development, construction, lease-up, and management of a 629,274 square foot industrial building located within TRCC-East. The construction was completed in the fourth quarter of 2022, and the Company has leased 100% of the rentable space. The joint venture refinanced its construction loan in March 2023 with a promissory note. The note matures on March 1, 2033, and had an outstanding balance of $62,198,000 as of June 30, 2023. In 2021, the Company contributed land with a fair value of $8,464,000 to TRC-MRC 4, LLC. The total cost of the land was $2,895,000. The Company recognized profit of $2,785,000 and deferred profit of $2,785,000. Since its inception, the Company has received excess distributions resulting in a deficit balance in its investment of $5,773,000.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3" w:name="page24"/>
    <w:bookmarkEnd w:id="23"/>
    <w:p>
      <w:pPr>
        <w:ind w:left="760" w:right="20" w:hanging="246"/>
        <w:spacing w:after="0" w:line="284" w:lineRule="auto"/>
        <w:tabs>
          <w:tab w:leader="none" w:pos="7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building is 100% leased as of June 30, 2023. In March 2019, the joint venture entered into a promissory note with a financial institution to finance the construction of the building. The note matures on May 1, 2030 and had an outstanding principal balance of $34,066,000 as of June 30, 2023. On April 1, 2019, the Company contributed land with a fair value of $5,854,000 to TRC-MRC 3, LLC in accordance with the limited liability agreement. The Company's investment in this joint venture was $237,000 as of June 30, 2023.</w:t>
      </w:r>
    </w:p>
    <w:p>
      <w:pPr>
        <w:spacing w:after="0" w:line="49" w:lineRule="exact"/>
        <w:rPr>
          <w:rFonts w:ascii="Arial" w:cs="Arial" w:eastAsia="Arial" w:hAnsi="Arial"/>
          <w:sz w:val="13"/>
          <w:szCs w:val="13"/>
          <w:color w:val="auto"/>
        </w:rPr>
      </w:pPr>
    </w:p>
    <w:p>
      <w:pPr>
        <w:ind w:left="760" w:hanging="246"/>
        <w:spacing w:after="0" w:line="280" w:lineRule="auto"/>
        <w:tabs>
          <w:tab w:leader="none" w:pos="7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$22,280,000 as of June 30, 2023. The building is 100% leased as of June 30, 2023. Since its inception, the Company has received excess distributions resulting in a deficit balance in its investment of $1,970,000.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52" w:lineRule="exact"/>
        <w:rPr>
          <w:rFonts w:ascii="Arial" w:cs="Arial" w:eastAsia="Arial" w:hAnsi="Arial"/>
          <w:sz w:val="13"/>
          <w:szCs w:val="13"/>
          <w:color w:val="auto"/>
        </w:rPr>
      </w:pPr>
    </w:p>
    <w:p>
      <w:pPr>
        <w:ind w:left="760" w:right="120" w:hanging="246"/>
        <w:spacing w:after="0" w:line="282" w:lineRule="auto"/>
        <w:tabs>
          <w:tab w:leader="none" w:pos="7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In September 2016, TRC-MRC 1, LLC was formed to develop and operate an approximately 480,480 square foot industrial building at TRCC-East. The building is 100% leased as of June 30, 2023. Since its inception, the Company has received excess distributions resulting in a deficit balance in its investment of $1,776,000.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$22,470,000 was outstanding as of June 30, 2023.</w:t>
      </w:r>
    </w:p>
    <w:p>
      <w:pPr>
        <w:spacing w:after="0" w:line="49" w:lineRule="exact"/>
        <w:rPr>
          <w:rFonts w:ascii="Arial" w:cs="Arial" w:eastAsia="Arial" w:hAnsi="Arial"/>
          <w:sz w:val="13"/>
          <w:szCs w:val="13"/>
          <w:color w:val="auto"/>
        </w:rPr>
      </w:pPr>
    </w:p>
    <w:p>
      <w:pPr>
        <w:ind w:left="260" w:right="40" w:hanging="255"/>
        <w:spacing w:after="0" w:line="278" w:lineRule="auto"/>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TRCC/Rock Outlet Center LLC – This joint venture was formed in 2013 with Rockefeller Group Development Corporation, or Rockefeller. to develop, own, and manage a net leasable 326,000 square foot outlet center on land at TRCC-East. At June 30, 2023, the Company’s equity investment balance in this joint venture was $7,099,000.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On September 7, 2021, the TRCC/Rock Outlet Center LLC joint venture successfully extended the maturity date of its term note with a financial institution from September 5, 2021 to May 31, 2024. In connection with the loan extension, the joint venture also reduced the outstanding amount by $4,600,000. As of June 30, 2023, the outstanding balance of the term note was $27,157,000. The Company and Rockefeller guarantee the performance of the debt.</w:t>
      </w:r>
    </w:p>
    <w:p>
      <w:pPr>
        <w:spacing w:after="0" w:line="43" w:lineRule="exact"/>
        <w:rPr>
          <w:rFonts w:ascii="Arial" w:cs="Arial" w:eastAsia="Arial" w:hAnsi="Arial"/>
          <w:sz w:val="13"/>
          <w:szCs w:val="13"/>
          <w:color w:val="auto"/>
        </w:rPr>
      </w:pPr>
    </w:p>
    <w:p>
      <w:pPr>
        <w:ind w:left="260" w:hanging="255"/>
        <w:spacing w:after="0" w:line="265"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Centennial Founders, LLC – CFL is a joint venture with Tri Pointe Homes to pursue the entitlement and development of land that the Company owns in Los Angeles County. As of June 30, 2023, the Company owned 93.36% of CFL.</w:t>
      </w:r>
    </w:p>
    <w:p>
      <w:pPr>
        <w:spacing w:after="0" w:line="101"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26"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Unaudited condensed statement of operations for the six months ended June 30, 2023 and condensed balance sheet information of the Company’s unconsolidated joint ventures as of June 30, 2023 and December 31, 2022 are as follows: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Joint Venture</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center"/>
              <w:ind w:left="549"/>
              <w:spacing w:after="0"/>
              <w:rPr>
                <w:sz w:val="20"/>
                <w:szCs w:val="20"/>
                <w:color w:val="auto"/>
              </w:rPr>
            </w:pPr>
            <w:r>
              <w:rPr>
                <w:rFonts w:ascii="Arial" w:cs="Arial" w:eastAsia="Arial" w:hAnsi="Arial"/>
                <w:sz w:val="14"/>
                <w:szCs w:val="14"/>
                <w:b w:val="1"/>
                <w:bCs w:val="1"/>
                <w:color w:val="auto"/>
              </w:rPr>
              <w:t>TRC</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740" w:type="dxa"/>
            <w:vAlign w:val="bottom"/>
          </w:tcPr>
          <w:p>
            <w:pPr>
              <w:spacing w:after="0"/>
              <w:rPr>
                <w:sz w:val="16"/>
                <w:szCs w:val="16"/>
                <w:color w:val="auto"/>
              </w:rPr>
            </w:pPr>
          </w:p>
        </w:tc>
        <w:tc>
          <w:tcPr>
            <w:tcW w:w="88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Revenues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Earnings (Loss)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center"/>
              <w:ind w:right="229"/>
              <w:spacing w:after="0"/>
              <w:rPr>
                <w:sz w:val="20"/>
                <w:szCs w:val="20"/>
                <w:color w:val="auto"/>
              </w:rPr>
            </w:pPr>
            <w:r>
              <w:rPr>
                <w:rFonts w:ascii="Arial" w:cs="Arial" w:eastAsia="Arial" w:hAnsi="Arial"/>
                <w:sz w:val="14"/>
                <w:szCs w:val="14"/>
                <w:b w:val="1"/>
                <w:bCs w:val="1"/>
                <w:color w:val="auto"/>
                <w:w w:val="92"/>
              </w:rPr>
              <w:t>Equity in Earnings (Loss)</w:t>
            </w:r>
          </w:p>
        </w:tc>
        <w:tc>
          <w:tcPr>
            <w:tcW w:w="0" w:type="dxa"/>
            <w:vAlign w:val="bottom"/>
          </w:tcPr>
          <w:p>
            <w:pPr>
              <w:spacing w:after="0"/>
              <w:rPr>
                <w:sz w:val="1"/>
                <w:szCs w:val="1"/>
                <w:color w:val="auto"/>
              </w:rPr>
            </w:pPr>
          </w:p>
        </w:tc>
      </w:tr>
      <w:tr>
        <w:trPr>
          <w:trHeight w:val="171"/>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Petro Travel Plaza Holdings, LLC</w:t>
            </w:r>
          </w:p>
        </w:tc>
        <w:tc>
          <w:tcPr>
            <w:tcW w:w="74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40,214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49,469</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85"/>
        </w:trPr>
        <w:tc>
          <w:tcPr>
            <w:tcW w:w="3300" w:type="dxa"/>
            <w:vAlign w:val="bottom"/>
          </w:tcPr>
          <w:p>
            <w:pPr>
              <w:ind w:left="20"/>
              <w:spacing w:after="0"/>
              <w:rPr>
                <w:sz w:val="20"/>
                <w:szCs w:val="20"/>
                <w:color w:val="auto"/>
              </w:rPr>
            </w:pPr>
            <w:r>
              <w:rPr>
                <w:rFonts w:ascii="Arial" w:cs="Arial" w:eastAsia="Arial" w:hAnsi="Arial"/>
                <w:sz w:val="14"/>
                <w:szCs w:val="14"/>
                <w:color w:val="auto"/>
              </w:rPr>
              <w:t>18-19 West, LLC</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color w:val="auto"/>
              </w:rPr>
              <w:t>TRCC/Rock Outlet Center, LLC</w:t>
            </w:r>
            <w:r>
              <w:rPr>
                <w:rFonts w:ascii="Arial" w:cs="Arial" w:eastAsia="Arial" w:hAnsi="Arial"/>
                <w:sz w:val="18"/>
                <w:szCs w:val="18"/>
                <w:color w:val="auto"/>
                <w:vertAlign w:val="superscript"/>
              </w:rPr>
              <w:t>1</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TRC-MRC 1,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2, LLC</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TRC-MRC 3,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4,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TRC-MRC 5, LLC</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47,206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53,692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Centennial Founders, LLC</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0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tcBorders>
              <w:top w:val="single" w:sz="8" w:color="CCEEFF"/>
            </w:tcBorders>
            <w:vMerge w:val="continue"/>
          </w:tcPr>
          <w:p>
            <w:pPr>
              <w:spacing w:after="0"/>
              <w:rPr>
                <w:sz w:val="13"/>
                <w:szCs w:val="13"/>
                <w:color w:val="auto"/>
              </w:rPr>
            </w:pPr>
          </w:p>
        </w:tc>
        <w:tc>
          <w:tcPr>
            <w:tcW w:w="740" w:type="dxa"/>
            <w:vAlign w:val="bottom"/>
            <w:tcBorders>
              <w:top w:val="single" w:sz="8" w:color="auto"/>
              <w:bottom w:val="single" w:sz="8" w:color="auto"/>
            </w:tcBorders>
          </w:tcPr>
          <w:p>
            <w:pPr>
              <w:jc w:val="right"/>
              <w:ind w:right="589"/>
              <w:spacing w:after="0" w:line="15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69"/>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203</w:t>
            </w:r>
          </w:p>
        </w:tc>
        <w:tc>
          <w:tcPr>
            <w:tcW w:w="1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49"/>
              <w:spacing w:after="0" w:line="15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(71)</w:t>
            </w:r>
          </w:p>
        </w:tc>
        <w:tc>
          <w:tcPr>
            <w:tcW w:w="1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69"/>
              <w:spacing w:after="0" w:line="15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78</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3"/>
          </w:tcPr>
          <w:p>
            <w:pPr>
              <w:jc w:val="center"/>
              <w:ind w:left="569"/>
              <w:spacing w:after="0" w:line="156" w:lineRule="exact"/>
              <w:rPr>
                <w:sz w:val="20"/>
                <w:szCs w:val="20"/>
                <w:color w:val="auto"/>
              </w:rPr>
            </w:pPr>
            <w:r>
              <w:rPr>
                <w:rFonts w:ascii="Arial" w:cs="Arial" w:eastAsia="Arial" w:hAnsi="Arial"/>
                <w:sz w:val="14"/>
                <w:szCs w:val="14"/>
                <w:color w:val="auto"/>
                <w:w w:val="92"/>
              </w:rPr>
              <w:t>Consolidated</w:t>
            </w:r>
          </w:p>
        </w:tc>
        <w:tc>
          <w:tcPr>
            <w:tcW w:w="9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0" w:right="20" w:hanging="1"/>
        <w:spacing w:after="0" w:line="236" w:lineRule="auto"/>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Revenues for TRCC/Rock Outlet Center are presented net of non-cash tenant allowance amortization of $0.3 million and $0.3 million for the three months ended June 30, 2023 and June 30, 2022,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Joint Venture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Arial" w:cs="Arial" w:eastAsia="Arial" w:hAnsi="Arial"/>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740" w:type="dxa"/>
            <w:vAlign w:val="bottom"/>
          </w:tcPr>
          <w:p>
            <w:pPr>
              <w:spacing w:after="0"/>
              <w:rPr>
                <w:sz w:val="16"/>
                <w:szCs w:val="16"/>
                <w:color w:val="auto"/>
              </w:rPr>
            </w:pPr>
          </w:p>
        </w:tc>
        <w:tc>
          <w:tcPr>
            <w:tcW w:w="88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Revenues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Earnings (Loss)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center"/>
              <w:ind w:right="229"/>
              <w:spacing w:after="0"/>
              <w:rPr>
                <w:sz w:val="20"/>
                <w:szCs w:val="20"/>
                <w:color w:val="auto"/>
              </w:rPr>
            </w:pPr>
            <w:r>
              <w:rPr>
                <w:rFonts w:ascii="Arial" w:cs="Arial" w:eastAsia="Arial" w:hAnsi="Arial"/>
                <w:sz w:val="14"/>
                <w:szCs w:val="14"/>
                <w:b w:val="1"/>
                <w:bCs w:val="1"/>
                <w:color w:val="auto"/>
                <w:w w:val="92"/>
              </w:rPr>
              <w:t>Equity in Earnings (Loss)</w:t>
            </w:r>
          </w:p>
        </w:tc>
        <w:tc>
          <w:tcPr>
            <w:tcW w:w="0" w:type="dxa"/>
            <w:vAlign w:val="bottom"/>
          </w:tcPr>
          <w:p>
            <w:pPr>
              <w:spacing w:after="0"/>
              <w:rPr>
                <w:sz w:val="1"/>
                <w:szCs w:val="1"/>
                <w:color w:val="auto"/>
              </w:rPr>
            </w:pPr>
          </w:p>
        </w:tc>
      </w:tr>
      <w:tr>
        <w:trPr>
          <w:trHeight w:val="18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Petro Travel Plaza Holdings, LLC</w:t>
            </w:r>
          </w:p>
        </w:tc>
        <w:tc>
          <w:tcPr>
            <w:tcW w:w="74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75,026</w:t>
            </w: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87,797</w:t>
            </w:r>
          </w:p>
        </w:tc>
        <w:tc>
          <w:tcPr>
            <w:tcW w:w="12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5,144</w:t>
            </w:r>
          </w:p>
        </w:tc>
        <w:tc>
          <w:tcPr>
            <w:tcW w:w="1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8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3,087</w:t>
            </w: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18-19 West,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TRCC/Rock Outlet Center, LLC</w:t>
            </w:r>
            <w:r>
              <w:rPr>
                <w:rFonts w:ascii="Arial" w:cs="Arial" w:eastAsia="Arial" w:hAnsi="Arial"/>
                <w:sz w:val="18"/>
                <w:szCs w:val="18"/>
                <w:color w:val="auto"/>
                <w:vertAlign w:val="superscript"/>
              </w:rPr>
              <w:t>1</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85"/>
        </w:trPr>
        <w:tc>
          <w:tcPr>
            <w:tcW w:w="3300" w:type="dxa"/>
            <w:vAlign w:val="bottom"/>
          </w:tcPr>
          <w:p>
            <w:pPr>
              <w:ind w:left="20"/>
              <w:spacing w:after="0"/>
              <w:rPr>
                <w:sz w:val="20"/>
                <w:szCs w:val="20"/>
                <w:color w:val="auto"/>
              </w:rPr>
            </w:pPr>
            <w:r>
              <w:rPr>
                <w:rFonts w:ascii="Arial" w:cs="Arial" w:eastAsia="Arial" w:hAnsi="Arial"/>
                <w:sz w:val="14"/>
                <w:szCs w:val="14"/>
                <w:color w:val="auto"/>
              </w:rPr>
              <w:t>TRC-MRC 1, LLC</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2, LLC</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color w:val="auto"/>
              </w:rPr>
              <w:t>TRC-MRC 3,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2,033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4, LLC</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TRC-MRC 5, LLC</w:t>
            </w: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88,627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96,466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Centennial Founders, LLC</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0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300" w:type="dxa"/>
            <w:vAlign w:val="bottom"/>
            <w:tcBorders>
              <w:top w:val="single" w:sz="8" w:color="CCEEFF"/>
            </w:tcBorders>
            <w:vMerge w:val="continue"/>
          </w:tcPr>
          <w:p>
            <w:pPr>
              <w:spacing w:after="0"/>
              <w:rPr>
                <w:sz w:val="14"/>
                <w:szCs w:val="14"/>
                <w:color w:val="auto"/>
              </w:rPr>
            </w:pP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3"/>
          </w:tcPr>
          <w:p>
            <w:pPr>
              <w:jc w:val="center"/>
              <w:ind w:left="569"/>
              <w:spacing w:after="0"/>
              <w:rPr>
                <w:sz w:val="20"/>
                <w:szCs w:val="20"/>
                <w:color w:val="auto"/>
              </w:rPr>
            </w:pPr>
            <w:r>
              <w:rPr>
                <w:rFonts w:ascii="Arial" w:cs="Arial" w:eastAsia="Arial" w:hAnsi="Arial"/>
                <w:sz w:val="14"/>
                <w:szCs w:val="14"/>
                <w:color w:val="auto"/>
                <w:w w:val="92"/>
              </w:rPr>
              <w:t>Consolidated</w:t>
            </w:r>
          </w:p>
        </w:tc>
        <w:tc>
          <w:tcPr>
            <w:tcW w:w="9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20" w:right="140" w:hanging="1"/>
        <w:spacing w:after="0" w:line="236"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Revenues for TRCC/Rock Outlet Center are presented net of non-cash tenant allowance amortization of $0.6 million and $0.6 million for the six months ended June 30, 2023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w w:val="91"/>
              </w:rPr>
              <w:t>Joint Venture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Arial" w:cs="Arial" w:eastAsia="Arial" w:hAnsi="Arial"/>
                <w:sz w:val="14"/>
                <w:szCs w:val="14"/>
                <w:b w:val="1"/>
                <w:bCs w:val="1"/>
                <w:color w:val="auto"/>
              </w:rPr>
              <w:t>TRC</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Joint Venture</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89"/>
              <w:spacing w:after="0"/>
              <w:rPr>
                <w:sz w:val="20"/>
                <w:szCs w:val="20"/>
                <w:color w:val="auto"/>
              </w:rPr>
            </w:pPr>
            <w:r>
              <w:rPr>
                <w:rFonts w:ascii="Arial" w:cs="Arial" w:eastAsia="Arial" w:hAnsi="Arial"/>
                <w:sz w:val="14"/>
                <w:szCs w:val="14"/>
                <w:b w:val="1"/>
                <w:bCs w:val="1"/>
                <w:color w:val="auto"/>
              </w:rPr>
              <w:t>TRC</w:t>
            </w:r>
          </w:p>
        </w:tc>
        <w:tc>
          <w:tcPr>
            <w:tcW w:w="0" w:type="dxa"/>
            <w:vAlign w:val="bottom"/>
          </w:tcPr>
          <w:p>
            <w:pPr>
              <w:spacing w:after="0"/>
              <w:rPr>
                <w:sz w:val="1"/>
                <w:szCs w:val="1"/>
                <w:color w:val="auto"/>
              </w:rPr>
            </w:pPr>
          </w:p>
        </w:tc>
      </w:tr>
      <w:tr>
        <w:trPr>
          <w:trHeight w:val="145"/>
        </w:trPr>
        <w:tc>
          <w:tcPr>
            <w:tcW w:w="300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40" w:type="dxa"/>
            <w:vAlign w:val="bottom"/>
          </w:tcPr>
          <w:p>
            <w:pPr>
              <w:spacing w:after="0"/>
              <w:rPr>
                <w:sz w:val="12"/>
                <w:szCs w:val="12"/>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8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2"/>
                <w:szCs w:val="12"/>
                <w:color w:val="auto"/>
              </w:rPr>
            </w:pPr>
          </w:p>
        </w:tc>
        <w:tc>
          <w:tcPr>
            <w:tcW w:w="720" w:type="dxa"/>
            <w:vAlign w:val="bottom"/>
          </w:tcPr>
          <w:p>
            <w:pPr>
              <w:jc w:val="right"/>
              <w:ind w:right="169"/>
              <w:spacing w:after="0" w:line="145"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6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96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Debt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Equity (Deficit)</w:t>
            </w:r>
          </w:p>
        </w:tc>
        <w:tc>
          <w:tcPr>
            <w:tcW w:w="200" w:type="dxa"/>
            <w:vAlign w:val="bottom"/>
          </w:tcPr>
          <w:p>
            <w:pPr>
              <w:spacing w:after="0"/>
              <w:rPr>
                <w:sz w:val="12"/>
                <w:szCs w:val="12"/>
                <w:color w:val="auto"/>
              </w:rPr>
            </w:pPr>
          </w:p>
        </w:tc>
        <w:tc>
          <w:tcPr>
            <w:tcW w:w="8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Petro Travel Plaza Holdings, LLC</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83,882</w:t>
            </w:r>
          </w:p>
        </w:tc>
        <w:tc>
          <w:tcPr>
            <w:tcW w:w="2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(12,937)</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65,214</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26,728</w:t>
            </w:r>
          </w:p>
        </w:tc>
        <w:tc>
          <w:tcPr>
            <w:tcW w:w="120" w:type="dxa"/>
            <w:vAlign w:val="bottom"/>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84,225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(13,318)</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63,069</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25,441</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Arial" w:cs="Arial" w:eastAsia="Arial" w:hAnsi="Arial"/>
                <w:sz w:val="14"/>
                <w:szCs w:val="14"/>
                <w:color w:val="auto"/>
              </w:rPr>
              <w:t>TRCC/Rock Outlet Center,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58,347</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(27,157)</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30,325</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7,099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59,196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(27,707)</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30,684</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7,279</w:t>
            </w: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TRC-MRC 1, LLC</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23,687</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(22,470)</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24,085</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(22,787)</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20"/>
                <w:szCs w:val="20"/>
                <w:color w:val="auto"/>
              </w:rPr>
            </w:pPr>
            <w:r>
              <w:rPr>
                <w:rFonts w:ascii="Arial" w:cs="Arial" w:eastAsia="Arial" w:hAnsi="Arial"/>
                <w:sz w:val="14"/>
                <w:szCs w:val="14"/>
                <w:color w:val="auto"/>
              </w:rPr>
              <w:t>TRC-MRC 2, LLC</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18,450</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(22,280)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(3,016)</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18,398</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(22,612)</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(3,939)</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TRC-MRC 3, LLC</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35,982</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(34,066)</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(34,494)</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Arial" w:cs="Arial" w:eastAsia="Arial" w:hAnsi="Arial"/>
                <w:sz w:val="14"/>
                <w:szCs w:val="14"/>
                <w:color w:val="auto"/>
              </w:rPr>
              <w:t>TRC-MRC 4,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51,840</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(62,198)</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11,169</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50,497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(40,130)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8,974</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186"/>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TRC-MRC 5, LLC</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20,289</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(10,527)</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8,570</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4,286</w:t>
            </w:r>
          </w:p>
        </w:tc>
        <w:tc>
          <w:tcPr>
            <w:tcW w:w="120" w:type="dxa"/>
            <w:vAlign w:val="bottom"/>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8,602</w:t>
            </w: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176"/>
        </w:trPr>
        <w:tc>
          <w:tcPr>
            <w:tcW w:w="3000" w:type="dxa"/>
            <w:vAlign w:val="bottom"/>
          </w:tcPr>
          <w:p>
            <w:pPr>
              <w:ind w:left="10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292,477</w:t>
            </w:r>
          </w:p>
        </w:tc>
        <w:tc>
          <w:tcPr>
            <w:tcW w:w="2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(191,635)</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116,074</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38,350</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(161,048)</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102,520</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41,891</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Centennial Founders, LLC</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0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000" w:type="dxa"/>
            <w:vAlign w:val="bottom"/>
            <w:vMerge w:val="continue"/>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103,866</w:t>
            </w:r>
          </w:p>
        </w:tc>
        <w:tc>
          <w:tcPr>
            <w:tcW w:w="2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103,677</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102,984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gridSpan w:val="2"/>
          </w:tcPr>
          <w:p>
            <w:pPr>
              <w:jc w:val="right"/>
              <w:ind w:right="129"/>
              <w:spacing w:after="0"/>
              <w:rPr>
                <w:sz w:val="20"/>
                <w:szCs w:val="20"/>
                <w:color w:val="auto"/>
              </w:rPr>
            </w:pPr>
            <w:r>
              <w:rPr>
                <w:rFonts w:ascii="Arial" w:cs="Arial" w:eastAsia="Arial" w:hAnsi="Arial"/>
                <w:sz w:val="14"/>
                <w:szCs w:val="14"/>
                <w:color w:val="auto"/>
              </w:rPr>
              <w:t>—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102,689</w:t>
            </w: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80" w:hanging="253"/>
        <w:spacing w:after="0"/>
        <w:tabs>
          <w:tab w:leader="none" w:pos="280" w:val="left"/>
        </w:tabs>
        <w:numPr>
          <w:ilvl w:val="1"/>
          <w:numId w:val="15"/>
        </w:numPr>
        <w:rPr>
          <w:rFonts w:ascii="Arial" w:cs="Arial" w:eastAsia="Arial" w:hAnsi="Arial"/>
          <w:sz w:val="14"/>
          <w:szCs w:val="14"/>
          <w:color w:val="auto"/>
        </w:rPr>
      </w:pPr>
      <w:r>
        <w:rPr>
          <w:rFonts w:ascii="Arial" w:cs="Arial" w:eastAsia="Arial" w:hAnsi="Arial"/>
          <w:sz w:val="14"/>
          <w:szCs w:val="14"/>
          <w:color w:val="auto"/>
        </w:rPr>
        <w:t>Centennial Founders, LLC is consolidated within the Company's financial statements.</w:t>
      </w:r>
    </w:p>
    <w:p>
      <w:pPr>
        <w:spacing w:after="0" w:line="163" w:lineRule="exact"/>
        <w:rPr>
          <w:rFonts w:ascii="Arial" w:cs="Arial" w:eastAsia="Arial" w:hAnsi="Arial"/>
          <w:sz w:val="14"/>
          <w:szCs w:val="14"/>
          <w:color w:val="auto"/>
        </w:rPr>
      </w:pPr>
    </w:p>
    <w:p>
      <w:pPr>
        <w:ind w:left="320" w:hanging="315"/>
        <w:spacing w:after="0"/>
        <w:tabs>
          <w:tab w:leader="none" w:pos="32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87"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residential, and industrial development. The Company is the largest landowner and taxpayer within TCWD. The Company has a water service contract with TCWD that entitles it to receive all of TCWD’s SWP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40"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June 30, 2023, the Company paid $3,474,000 for these water contracts and related costs.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6EBF"/>
        </w:rPr>
        <w:t>ITEM 2.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Forward-Looking Statements</w:t>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3"/>
          <w:szCs w:val="13"/>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OVERVIEW</w:t>
      </w:r>
    </w:p>
    <w:p>
      <w:pPr>
        <w:spacing w:after="0" w:line="76" w:lineRule="exact"/>
        <w:rPr>
          <w:sz w:val="20"/>
          <w:szCs w:val="20"/>
          <w:color w:val="auto"/>
        </w:rPr>
      </w:pPr>
    </w:p>
    <w:p>
      <w:pPr>
        <w:ind w:right="160"/>
        <w:spacing w:after="0" w:line="288" w:lineRule="auto"/>
        <w:rPr>
          <w:sz w:val="20"/>
          <w:szCs w:val="20"/>
          <w:color w:val="auto"/>
        </w:rPr>
      </w:pPr>
      <w:r>
        <w:rPr>
          <w:rFonts w:ascii="Arial" w:cs="Arial" w:eastAsia="Arial" w:hAnsi="Arial"/>
          <w:sz w:val="13"/>
          <w:szCs w:val="13"/>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Business Objectives and Strategies</w:t>
      </w:r>
    </w:p>
    <w:p>
      <w:pPr>
        <w:spacing w:after="0" w:line="8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include up to 35,278 housing units, and more than 35 million square feet of commercial space. We have obtained entitlements for MV and the first approved final map for the project consisting of 401 residential lots and parcels for hospitality, amenities, and public uses. The Grapevine at Tejon Community has approved entitlements for 12,000 units and 5 million square feet of commercial development. Centennial at Tejon Ranch, or Centennial, had entitlements approved in 2018, and received legislative approvals in 2019 from the Los Angeles County Board of Supervisors. The approvals were litigated in May 2019 and the Company has since worked on addressing the ongoing litigation, including considering all options to address the Court’s January 2022 decision and the Court’s March 22, 2023 judgment. On May 26, 2023, we filed a Notice of Appeal with the Superior Court, thereby appealing the Superior Court’s decision to the Second District of the California Court of Appeal. See Note 12 (Commitments and Contingencies) of the Notes to Unaudited Consolidated Financial Statements for additional information regarding the Centennial litigation.</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are currently executing on value creation as we are engaged in construction, commercial sales, and leasing at our fully operational commercial/industrial center TRCC. As previously reported, we received approval from Kern County allowing for development of multi-family apartment uses within the TRCC, on a 27-acre site located immediately north of the Outlets at Tejon. This authorization allows us to develop up to a maximum of 495 multi-family residences, in thirteen apartment buildings, as well as approximately 6,500 square feet of community amenity space and up to 8,000 square feet of community serving retail. All of these efforts are supported by diverse revenue streams generated from other operations including: farming, mineral resources, ranch operations, and our various joint ventures.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006EBF"/>
        </w:rPr>
        <w:t>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 currently operate in five reporting segments: commercial/industrial real estate development; resort/residential real estate development; mineral resources; farming; and ranch operations.</w:t>
      </w:r>
    </w:p>
    <w:p>
      <w:pPr>
        <w:spacing w:after="0" w:line="95"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the power plant lease and communications leases.</w:t>
      </w:r>
    </w:p>
    <w:p>
      <w:pPr>
        <w:spacing w:after="0" w:line="46" w:lineRule="exact"/>
        <w:rPr>
          <w:sz w:val="20"/>
          <w:szCs w:val="20"/>
          <w:color w:val="auto"/>
        </w:rPr>
      </w:pPr>
    </w:p>
    <w:p>
      <w:pPr>
        <w:jc w:val="both"/>
        <w:ind w:right="140"/>
        <w:spacing w:after="0" w:line="297" w:lineRule="auto"/>
        <w:rPr>
          <w:sz w:val="20"/>
          <w:szCs w:val="20"/>
          <w:color w:val="auto"/>
        </w:rPr>
      </w:pPr>
      <w:r>
        <w:rPr>
          <w:rFonts w:ascii="Arial" w:cs="Arial" w:eastAsia="Arial" w:hAnsi="Arial"/>
          <w:sz w:val="13"/>
          <w:szCs w:val="13"/>
          <w:color w:val="auto"/>
        </w:rPr>
        <w:t>At the heart of the commercial/industrial real estate development segment is TRCC, a 20 million square foot commercial/industrial development on Interstate 5 just north of the Los Angeles basin. Over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380" w:hanging="260"/>
        <w:spacing w:after="0" w:line="28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joint venture with Rockefeller Development Group, or Rockefeller:</w:t>
      </w:r>
    </w:p>
    <w:p>
      <w:pPr>
        <w:spacing w:after="0" w:line="72" w:lineRule="exact"/>
        <w:rPr>
          <w:rFonts w:ascii="Arial" w:cs="Arial" w:eastAsia="Arial" w:hAnsi="Arial"/>
          <w:sz w:val="14"/>
          <w:szCs w:val="14"/>
          <w:color w:val="auto"/>
        </w:rPr>
      </w:pPr>
    </w:p>
    <w:p>
      <w:pPr>
        <w:ind w:left="1020" w:hanging="251"/>
        <w:spacing w:after="0"/>
        <w:tabs>
          <w:tab w:leader="none" w:pos="10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TRCC/Rock Outlet Center LLC operates the Outlets at Tejon, a net leasable 326,000 square foot shopping experience in TRCC-East;</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Five joint ventures with Majestic Realty Co., or Majestic, to develop, manage, and operate industrial buildings within TRCC:</w:t>
      </w:r>
    </w:p>
    <w:p>
      <w:pPr>
        <w:spacing w:after="0" w:line="83" w:lineRule="exact"/>
        <w:rPr>
          <w:rFonts w:ascii="Arial" w:cs="Arial" w:eastAsia="Arial" w:hAnsi="Arial"/>
          <w:sz w:val="14"/>
          <w:szCs w:val="14"/>
          <w:color w:val="auto"/>
        </w:rPr>
      </w:pPr>
    </w:p>
    <w:p>
      <w:pPr>
        <w:ind w:left="1020" w:hanging="251"/>
        <w:spacing w:after="0"/>
        <w:tabs>
          <w:tab w:leader="none" w:pos="10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TRC-MRC 1, LLC operates a 480,480 square foot industrial building in TRCC-East, which was completed during 2017 and is fully leased;</w:t>
      </w:r>
    </w:p>
    <w:p>
      <w:pPr>
        <w:spacing w:after="0" w:line="72" w:lineRule="exact"/>
        <w:rPr>
          <w:rFonts w:ascii="Arial" w:cs="Arial" w:eastAsia="Arial" w:hAnsi="Arial"/>
          <w:sz w:val="14"/>
          <w:szCs w:val="14"/>
          <w:color w:val="auto"/>
        </w:rPr>
      </w:pPr>
    </w:p>
    <w:p>
      <w:pPr>
        <w:ind w:left="1020" w:hanging="251"/>
        <w:spacing w:after="0"/>
        <w:tabs>
          <w:tab w:leader="none" w:pos="10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TRC-MRC 2, LLC owns and operates a 651,909 square foot building in TRCC-West that is fully leased;</w:t>
      </w:r>
    </w:p>
    <w:p>
      <w:pPr>
        <w:spacing w:after="0" w:line="83" w:lineRule="exact"/>
        <w:rPr>
          <w:rFonts w:ascii="Arial" w:cs="Arial" w:eastAsia="Arial" w:hAnsi="Arial"/>
          <w:sz w:val="14"/>
          <w:szCs w:val="14"/>
          <w:color w:val="auto"/>
        </w:rPr>
      </w:pPr>
    </w:p>
    <w:p>
      <w:pPr>
        <w:ind w:left="1020" w:hanging="251"/>
        <w:spacing w:after="0"/>
        <w:tabs>
          <w:tab w:leader="none" w:pos="10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TRC-MRC 3, LLC operates a 579,040 square foot industrial building in TRCC-East that is fully leased;</w:t>
      </w:r>
    </w:p>
    <w:p>
      <w:pPr>
        <w:spacing w:after="0" w:line="83" w:lineRule="exact"/>
        <w:rPr>
          <w:rFonts w:ascii="Arial" w:cs="Arial" w:eastAsia="Arial" w:hAnsi="Arial"/>
          <w:sz w:val="14"/>
          <w:szCs w:val="14"/>
          <w:color w:val="auto"/>
        </w:rPr>
      </w:pPr>
    </w:p>
    <w:p>
      <w:pPr>
        <w:ind w:left="1020" w:right="220" w:hanging="251"/>
        <w:spacing w:after="0" w:line="281" w:lineRule="auto"/>
        <w:tabs>
          <w:tab w:leader="none" w:pos="10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TRC-MRC 4, LLC was formed in 2021 to pursue the development, construction, leasing and management of a 629,274 square foot industrial building in TRCC-East that is fully leased; and</w:t>
      </w:r>
    </w:p>
    <w:p>
      <w:pPr>
        <w:spacing w:after="0" w:line="26" w:lineRule="exact"/>
        <w:rPr>
          <w:rFonts w:ascii="Arial" w:cs="Arial" w:eastAsia="Arial" w:hAnsi="Arial"/>
          <w:sz w:val="14"/>
          <w:szCs w:val="14"/>
          <w:color w:val="auto"/>
        </w:rPr>
      </w:pPr>
    </w:p>
    <w:p>
      <w:pPr>
        <w:ind w:left="1020" w:right="60" w:hanging="251"/>
        <w:spacing w:after="0" w:line="321" w:lineRule="auto"/>
        <w:tabs>
          <w:tab w:leader="none" w:pos="10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TRC-MRC 5 LLC was formed on March 29, 2022, to pursue the development, construction, lease-up, and management of an approximately 446,400 square foot industrial building located within TRCC-East. The project is currently under construction and is expected to be completed by the first quarter of 2024. The building is fully leased.</w:t>
      </w:r>
    </w:p>
    <w:p>
      <w:pPr>
        <w:spacing w:after="0" w:line="1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resort/residential real estate development segment is actively involved in the land entitlement and development process internally and through a joint venture. Our active developments within this segment are MV, Centennial, and Grapevine.</w:t>
      </w:r>
    </w:p>
    <w:p>
      <w:pPr>
        <w:spacing w:after="0" w:line="37" w:lineRule="exact"/>
        <w:rPr>
          <w:sz w:val="20"/>
          <w:szCs w:val="20"/>
          <w:color w:val="auto"/>
        </w:rPr>
      </w:pPr>
    </w:p>
    <w:p>
      <w:pPr>
        <w:ind w:left="520" w:right="40" w:hanging="260"/>
        <w:spacing w:after="0" w:line="267"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25" w:lineRule="exact"/>
        <w:rPr>
          <w:rFonts w:ascii="Arial" w:cs="Arial" w:eastAsia="Arial" w:hAnsi="Arial"/>
          <w:sz w:val="14"/>
          <w:szCs w:val="14"/>
          <w:color w:val="auto"/>
        </w:rPr>
      </w:pPr>
    </w:p>
    <w:p>
      <w:pPr>
        <w:ind w:left="520" w:right="100" w:hanging="260"/>
        <w:spacing w:after="0" w:line="279"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12 (Commitments and Contingencies) of the Notes to Unaudited Consolidated Financial Statements for additional information related to current litigation;</w:t>
      </w:r>
    </w:p>
    <w:p>
      <w:pPr>
        <w:spacing w:after="0" w:line="30" w:lineRule="exact"/>
        <w:rPr>
          <w:rFonts w:ascii="Arial" w:cs="Arial" w:eastAsia="Arial" w:hAnsi="Arial"/>
          <w:sz w:val="13"/>
          <w:szCs w:val="13"/>
          <w:color w:val="auto"/>
        </w:rPr>
      </w:pPr>
    </w:p>
    <w:p>
      <w:pPr>
        <w:ind w:left="520" w:right="400" w:hanging="260"/>
        <w:spacing w:after="0" w:line="26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and</w:t>
      </w:r>
    </w:p>
    <w:p>
      <w:pPr>
        <w:spacing w:after="0" w:line="26" w:lineRule="exact"/>
        <w:rPr>
          <w:rFonts w:ascii="Arial" w:cs="Arial" w:eastAsia="Arial" w:hAnsi="Arial"/>
          <w:sz w:val="14"/>
          <w:szCs w:val="14"/>
          <w:color w:val="auto"/>
        </w:rPr>
      </w:pPr>
    </w:p>
    <w:p>
      <w:pPr>
        <w:ind w:left="520" w:right="140" w:hanging="260"/>
        <w:spacing w:after="0" w:line="25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 use community development similar to Grapevine at Tejon Ranch, or other development uses as appropriate based upon market conditions at the time.</w:t>
      </w:r>
    </w:p>
    <w:p>
      <w:pPr>
        <w:spacing w:after="0" w:line="57" w:lineRule="exact"/>
        <w:rPr>
          <w:sz w:val="20"/>
          <w:szCs w:val="20"/>
          <w:color w:val="auto"/>
        </w:rPr>
      </w:pPr>
    </w:p>
    <w:p>
      <w:pPr>
        <w:ind w:right="740"/>
        <w:spacing w:after="0" w:line="281" w:lineRule="auto"/>
        <w:rPr>
          <w:sz w:val="20"/>
          <w:szCs w:val="20"/>
          <w:color w:val="auto"/>
        </w:rPr>
      </w:pPr>
      <w:r>
        <w:rPr>
          <w:rFonts w:ascii="Arial" w:cs="Arial" w:eastAsia="Arial" w:hAnsi="Arial"/>
          <w:sz w:val="14"/>
          <w:szCs w:val="14"/>
          <w:color w:val="auto"/>
        </w:rPr>
        <w:t>Please refer to our Annual Report on Form 10-K for the year ended December 31, 2022, for a more detailed description of our active developments within the resort/residential real estate development segment.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auto"/>
        </w:rPr>
        <w:t>Our mineral resources segment generates revenues from oil and gas royalty leases, rock and aggregate mining leases, a lease with National Cement Company of California Inc., and water sales.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farming segment produces revenues from the sale of wine grapes, almonds, and pistachios.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Lastly, the ranch operations segment consists of game management revenues and ancillary land uses such as grazing leases and filming.</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Summary of 2023 Performance</w:t>
      </w:r>
    </w:p>
    <w:p>
      <w:pPr>
        <w:spacing w:after="0" w:line="76"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For the three months ended June 30, 2023, we had net income attributable to common stockholders of $267,000 compared to a net loss of $667,000 for the three months ended June 30, 2022. The primary driver of this improvement was from our farming segment which had a $1,092,000 improvement in its operating results driven by lower fixed water costs. Additionally, our investment balances increased over the comparative period resulting in an increase in investment income of $540,000. Offsetting these improvements was the heavy California winter rainfalls, which severely limited water sales opportunities resulting in a $1,011,000 decline in mineral resources operating profits. Additionally, income taxes increased by $396,000 as a result of the overall improved operating results.</w:t>
      </w:r>
    </w:p>
    <w:p>
      <w:pPr>
        <w:spacing w:after="0" w:line="51"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For the six months ended June 30, 2023, we had net income attributable to common stockholders of $2,041,000 compared to $3,640,000 for the same period in 2022. This decline is attributed to a $4,278,000 decline in operating income. The primary factors driving this decline are the absence of having a land sale in 2023 along with limited opportunities to sell water as a result of the 100% SWP allocation. Operating profits within the farming segment partially offset these declines as a result of having lower fixed water costs and recognizing less cost of goods sold from selling fewer almonds over the comparative period. Additional factors offsetting the declines in operating profits include: improvements in joint venture operating results due to rent escalations and new leases that have higher leasing rates, higher investment income as a result of higher interest rates and invested balances, and lastly lower income taxes as a result of having less operating income.</w:t>
      </w:r>
    </w:p>
    <w:p>
      <w:pPr>
        <w:spacing w:after="0" w:line="39"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Critical Accounting Estimates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preparation of our interim financial statements in accordance with GAAP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3"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During the six months ended June 30, 2023, our critical accounting policies have not changed since the filing of our Annual Report on Form 10-K for the year ended December 31, 2022.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006EBF"/>
        </w:rPr>
        <w:t>Results of Operations by Segment</w:t>
      </w:r>
    </w:p>
    <w:p>
      <w:pPr>
        <w:spacing w:after="0" w:line="87" w:lineRule="exact"/>
        <w:rPr>
          <w:sz w:val="20"/>
          <w:szCs w:val="20"/>
          <w:color w:val="auto"/>
        </w:rPr>
      </w:pPr>
    </w:p>
    <w:p>
      <w:pPr>
        <w:ind w:right="460"/>
        <w:spacing w:after="0" w:line="281" w:lineRule="auto"/>
        <w:rPr>
          <w:sz w:val="20"/>
          <w:szCs w:val="20"/>
          <w:color w:val="auto"/>
        </w:rPr>
      </w:pPr>
      <w:r>
        <w:rPr>
          <w:rFonts w:ascii="Arial" w:cs="Arial" w:eastAsia="Arial" w:hAnsi="Arial"/>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006EBF"/>
              </w:rPr>
              <w:t>Real Estate – Commercial/Industrial:</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51"/>
        </w:trPr>
        <w:tc>
          <w:tcPr>
            <w:tcW w:w="2260" w:type="dxa"/>
            <w:vAlign w:val="bottom"/>
            <w:tcBorders>
              <w:top w:val="single" w:sz="8" w:color="006EBF"/>
            </w:tcBorders>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color w:val="auto"/>
              </w:rPr>
              <w:t>Three Months Ended June 30,</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color w:val="auto"/>
              </w:rPr>
              <w:t>Change</w:t>
            </w:r>
          </w:p>
        </w:tc>
        <w:tc>
          <w:tcPr>
            <w:tcW w:w="1240" w:type="dxa"/>
            <w:vAlign w:val="bottom"/>
            <w:tcBorders>
              <w:bottom w:val="single" w:sz="8" w:color="auto"/>
            </w:tcBorders>
          </w:tcPr>
          <w:p>
            <w:pPr>
              <w:spacing w:after="0"/>
              <w:rPr>
                <w:sz w:val="24"/>
                <w:szCs w:val="24"/>
                <w:color w:val="auto"/>
              </w:rPr>
            </w:pP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r>
      <w:tr>
        <w:trPr>
          <w:trHeight w:val="16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Commercial/industrial revenues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1"/>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Pastoria Energy Facility</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52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58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8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TRCC Leasing</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81"/>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TRCC management fees and reimbursements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5"/>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Commercial leases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Communication leases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0"/>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Landscaping and other</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33 %</w:t>
            </w:r>
          </w:p>
        </w:tc>
      </w:tr>
      <w:tr>
        <w:trPr>
          <w:trHeight w:val="17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commercial/industrial revenues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7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Total commercial/industrial expenses</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1,685</w:t>
            </w:r>
          </w:p>
        </w:tc>
        <w:tc>
          <w:tcPr>
            <w:tcW w:w="52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1,822</w:t>
            </w:r>
          </w:p>
        </w:tc>
        <w:tc>
          <w:tcPr>
            <w:tcW w:w="58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1"/>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from commercial/industrial</w:t>
            </w: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60" w:right="400" w:hanging="255"/>
        <w:spacing w:after="0" w:line="321"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Commercial/industrial real estate development segment revenues were $2,633,000 for the three months ended June 30, 2023, an increase of $171,000, or 7%, from $2,462,000 for the three months ended June 30, 2022. This increase is primarily attributed to normal rent escalations along with an increase in variable rent associated with our Calpine power plant lease.</w:t>
      </w:r>
    </w:p>
    <w:p>
      <w:pPr>
        <w:spacing w:after="0" w:line="13" w:lineRule="exact"/>
        <w:rPr>
          <w:rFonts w:ascii="Arial" w:cs="Arial" w:eastAsia="Arial" w:hAnsi="Arial"/>
          <w:sz w:val="13"/>
          <w:szCs w:val="13"/>
          <w:color w:val="auto"/>
        </w:rPr>
      </w:pPr>
    </w:p>
    <w:p>
      <w:pPr>
        <w:ind w:left="260" w:hanging="255"/>
        <w:spacing w:after="0" w:line="262" w:lineRule="auto"/>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Commercial/industrial real estate development segment expenses were $1,685,000 for the three months ended June 30, 2023, a decrease of $137,000, or 8%, from $1,822,000 for the three months ended June 30, 2022. This decrease is primarily attributed to a decline in legal fees of $71,000. Legal fees are typically transaction based. In years when there are large land sales, we expect an increase in legal fees. Through the first six months of 2023 there have been no land sales. Partially offsetting this decrease is an increase in marketing support, as we develop an updated marketing strategy for TRCC.</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4"/>
                <w:szCs w:val="14"/>
                <w:color w:val="auto"/>
                <w:w w:val="92"/>
              </w:rPr>
              <w:t>Six Months Ended June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color w:val="auto"/>
              </w:rPr>
              <w:t>Change</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180" w:type="dxa"/>
            <w:vAlign w:val="bottom"/>
          </w:tcPr>
          <w:p>
            <w:pPr>
              <w:jc w:val="right"/>
              <w:spacing w:after="0"/>
              <w:rPr>
                <w:sz w:val="20"/>
                <w:szCs w:val="20"/>
                <w:color w:val="auto"/>
              </w:rPr>
            </w:pPr>
            <w:r>
              <w:rPr>
                <w:rFonts w:ascii="Arial" w:cs="Arial" w:eastAsia="Arial" w:hAnsi="Arial"/>
                <w:sz w:val="14"/>
                <w:szCs w:val="14"/>
                <w:color w:val="auto"/>
              </w:rPr>
              <w:t>2023</w:t>
            </w:r>
          </w:p>
        </w:tc>
        <w:tc>
          <w:tcPr>
            <w:tcW w:w="780" w:type="dxa"/>
            <w:vAlign w:val="bottom"/>
          </w:tcPr>
          <w:p>
            <w:pPr>
              <w:spacing w:after="0"/>
              <w:rPr>
                <w:sz w:val="14"/>
                <w:szCs w:val="14"/>
                <w:color w:val="auto"/>
              </w:rPr>
            </w:pPr>
          </w:p>
        </w:tc>
        <w:tc>
          <w:tcPr>
            <w:tcW w:w="1440" w:type="dxa"/>
            <w:vAlign w:val="bottom"/>
            <w:gridSpan w:val="2"/>
          </w:tcPr>
          <w:p>
            <w:pPr>
              <w:jc w:val="right"/>
              <w:ind w:right="149"/>
              <w:spacing w:after="0"/>
              <w:rPr>
                <w:sz w:val="20"/>
                <w:szCs w:val="20"/>
                <w:color w:val="auto"/>
              </w:rPr>
            </w:pPr>
            <w:r>
              <w:rPr>
                <w:rFonts w:ascii="Arial" w:cs="Arial" w:eastAsia="Arial" w:hAnsi="Arial"/>
                <w:sz w:val="14"/>
                <w:szCs w:val="14"/>
                <w:color w:val="auto"/>
              </w:rPr>
              <w:t>2022</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60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Commercial revenues</w:t>
            </w:r>
          </w:p>
        </w:tc>
        <w:tc>
          <w:tcPr>
            <w:tcW w:w="1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Pastoria Energy Facility</w:t>
            </w:r>
          </w:p>
        </w:tc>
        <w:tc>
          <w:tcPr>
            <w:tcW w:w="118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144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240" w:type="dxa"/>
            <w:vAlign w:val="bottom"/>
          </w:tcPr>
          <w:p>
            <w:pPr>
              <w:ind w:left="180"/>
              <w:spacing w:after="0"/>
              <w:rPr>
                <w:sz w:val="20"/>
                <w:szCs w:val="20"/>
                <w:color w:val="auto"/>
              </w:rPr>
            </w:pPr>
            <w:r>
              <w:rPr>
                <w:rFonts w:ascii="Arial" w:cs="Arial" w:eastAsia="Arial" w:hAnsi="Arial"/>
                <w:sz w:val="14"/>
                <w:szCs w:val="14"/>
                <w:color w:val="auto"/>
              </w:rPr>
              <w:t>TRCC Leasing</w:t>
            </w:r>
          </w:p>
        </w:tc>
        <w:tc>
          <w:tcPr>
            <w:tcW w:w="1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10 %</w:t>
            </w:r>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TRCC management fees and reimbursements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40" w:type="dxa"/>
            <w:vAlign w:val="bottom"/>
          </w:tcPr>
          <w:p>
            <w:pPr>
              <w:ind w:left="180"/>
              <w:spacing w:after="0"/>
              <w:rPr>
                <w:sz w:val="20"/>
                <w:szCs w:val="20"/>
                <w:color w:val="auto"/>
              </w:rPr>
            </w:pPr>
            <w:r>
              <w:rPr>
                <w:rFonts w:ascii="Arial" w:cs="Arial" w:eastAsia="Arial" w:hAnsi="Arial"/>
                <w:sz w:val="14"/>
                <w:szCs w:val="14"/>
                <w:color w:val="auto"/>
              </w:rPr>
              <w:t>Commercial leases</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2 %</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Communication leases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240" w:type="dxa"/>
            <w:vAlign w:val="bottom"/>
          </w:tcPr>
          <w:p>
            <w:pPr>
              <w:ind w:left="180"/>
              <w:spacing w:after="0"/>
              <w:rPr>
                <w:sz w:val="20"/>
                <w:szCs w:val="20"/>
                <w:color w:val="auto"/>
              </w:rPr>
            </w:pPr>
            <w:r>
              <w:rPr>
                <w:rFonts w:ascii="Arial" w:cs="Arial" w:eastAsia="Arial" w:hAnsi="Arial"/>
                <w:sz w:val="14"/>
                <w:szCs w:val="14"/>
                <w:color w:val="auto"/>
              </w:rPr>
              <w:t>Landscaping and other</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36 %</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Land sale</w:t>
            </w:r>
          </w:p>
        </w:tc>
        <w:tc>
          <w:tcPr>
            <w:tcW w:w="1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Total commercial revenues</w:t>
            </w:r>
          </w:p>
        </w:tc>
        <w:tc>
          <w:tcPr>
            <w:tcW w:w="1180" w:type="dxa"/>
            <w:vAlign w:val="bottom"/>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5,309</w:t>
            </w:r>
          </w:p>
        </w:tc>
        <w:tc>
          <w:tcPr>
            <w:tcW w:w="1440" w:type="dxa"/>
            <w:vAlign w:val="bottom"/>
            <w:gridSpan w:val="2"/>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9,811</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commercial expenses</w:t>
            </w:r>
          </w:p>
        </w:tc>
        <w:tc>
          <w:tcPr>
            <w:tcW w:w="1180" w:type="dxa"/>
            <w:vAlign w:val="bottom"/>
            <w:tcBorders>
              <w:top w:val="single" w:sz="8" w:color="auto"/>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Operating income from commercial/industrial</w:t>
            </w:r>
          </w:p>
        </w:tc>
        <w:tc>
          <w:tcPr>
            <w:tcW w:w="118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5,253</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(3,324)</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0" w:name="page31"/>
    <w:bookmarkEnd w:id="30"/>
    <w:p>
      <w:pPr>
        <w:ind w:left="260" w:right="80" w:hanging="255"/>
        <w:spacing w:after="0" w:line="281"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Commercial/industrial real estate development segment revenues were $5,309,000 for the first six months of 2023, a decrease of $4,502,000, or 46%, from $9,811,000 for the first six months of 2022. The absence of land sales in 2023 was the primary driver of this decrease.</w:t>
      </w:r>
    </w:p>
    <w:p>
      <w:pPr>
        <w:spacing w:after="0" w:line="26" w:lineRule="exact"/>
        <w:rPr>
          <w:rFonts w:ascii="Arial" w:cs="Arial" w:eastAsia="Arial" w:hAnsi="Arial"/>
          <w:sz w:val="14"/>
          <w:szCs w:val="14"/>
          <w:color w:val="auto"/>
        </w:rPr>
      </w:pPr>
    </w:p>
    <w:p>
      <w:pPr>
        <w:ind w:left="260" w:right="260" w:hanging="255"/>
        <w:spacing w:after="0" w:line="281"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Commercial/industrial real estate development segment expenses were $3,380,000 during the first six months of 2023, a decrease of $1,178,000, or 26%, from $4,558,000 during the first six months of 2022. The decrease is attributed to not incurring land cost of sales due to the absence of land sales in 2023.</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logistics operators currently located within TRCC have demonstrated success in serving all of California and the western region of the United States, and we showcase their success in our marketing efforts. We expect to continue to focus our marketing strategy for TRCC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5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40" w:lineRule="exact"/>
        <w:rPr>
          <w:sz w:val="20"/>
          <w:szCs w:val="20"/>
          <w:color w:val="auto"/>
        </w:rPr>
      </w:pPr>
    </w:p>
    <w:p>
      <w:pPr>
        <w:ind w:right="100"/>
        <w:spacing w:after="0" w:line="288" w:lineRule="auto"/>
        <w:rPr>
          <w:sz w:val="20"/>
          <w:szCs w:val="20"/>
          <w:color w:val="auto"/>
        </w:rPr>
      </w:pPr>
      <w:r>
        <w:rPr>
          <w:rFonts w:ascii="Arial" w:cs="Arial" w:eastAsia="Arial" w:hAnsi="Arial"/>
          <w:sz w:val="13"/>
          <w:szCs w:val="13"/>
          <w:color w:val="auto"/>
        </w:rPr>
        <w:t>We believe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spacing w:after="0" w:line="3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Demand for large distribution facilities is continuing to drive development farther east in a search for large, entitled parcels.</w:t>
      </w:r>
    </w:p>
    <w:p>
      <w:pPr>
        <w:spacing w:after="0" w:line="50"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During the quarter ended June 30, 2023, vacancy rates in the Inland Empire ticked up 100 basis points to 2.9% and net absorption failed to surpass new supply. However, average asking rents posted a new record-high rate of $1.64 per square foot, a 6.5% increase from June 30, 2022. As lease rates increase in the Inland Empire, we may experience greater pricing advantages due to our lower land basis. The San Fernando Valley and Ventura County industrial markets continue to see tight conditions, as vacancy and availability sit at historically low numbers. Some vacancy was returned to the market, and the overall vacancy rate in the San Fernando Valley increased by 20 basis points to 0.8%, while in Ventura County, it also rose by 20 basis points to 1.5%. Average asking rates remained strong in the San Fernando Valley at $1.66 per square foot, whereas Ventura County saw a slight decrease to $1.23 per square foot.</w:t>
      </w:r>
    </w:p>
    <w:p>
      <w:pPr>
        <w:spacing w:after="0" w:line="9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Industrial vacancy rates are expected to remain low, and 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 The Company's TRC-MRC 5 LLC joint venture with Majestic Realty Co., or Majestic, a Los Angeles-based commercial industrial developer, was formed to pursue the development, construction, lease-up, and management of an approximately 446,400 square foot industrial building located within TRCC-East. This industrial building is currently under construction with completion expected during the first quarter of 2024. A lease was secured, in advance of construction, for the entirety of this space, with Sunrise Brands, a leading designer, producer, distributor, and retailer of both branded and private-label apparel.</w:t>
      </w:r>
    </w:p>
    <w:p>
      <w:pPr>
        <w:spacing w:after="0" w:line="44" w:lineRule="exact"/>
        <w:rPr>
          <w:sz w:val="20"/>
          <w:szCs w:val="20"/>
          <w:color w:val="auto"/>
        </w:rPr>
      </w:pPr>
    </w:p>
    <w:p>
      <w:pPr>
        <w:ind w:right="120"/>
        <w:spacing w:after="0" w:line="331" w:lineRule="auto"/>
        <w:rPr>
          <w:sz w:val="20"/>
          <w:szCs w:val="20"/>
          <w:color w:val="auto"/>
        </w:rPr>
      </w:pPr>
      <w:r>
        <w:rPr>
          <w:rFonts w:ascii="Arial" w:cs="Arial" w:eastAsia="Arial" w:hAnsi="Arial"/>
          <w:sz w:val="12"/>
          <w:szCs w:val="12"/>
          <w:color w:val="auto"/>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We continue to see the impact of inflation within our construction costs and expect our costs to be impacted by inflation throughout 2023. From a macroeconomic perspective, the tightening of capital markets may cause a near-term slow down in new commercial real estate developments.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31" w:name="page32"/>
    <w:bookmarkEnd w:id="31"/>
    <w:p>
      <w:pPr>
        <w:ind w:right="40"/>
        <w:spacing w:after="0" w:line="262" w:lineRule="auto"/>
        <w:rPr>
          <w:sz w:val="20"/>
          <w:szCs w:val="20"/>
          <w:color w:val="auto"/>
        </w:rPr>
      </w:pPr>
      <w:r>
        <w:rPr>
          <w:rFonts w:ascii="Arial" w:cs="Arial" w:eastAsia="Arial" w:hAnsi="Arial"/>
          <w:sz w:val="14"/>
          <w:szCs w:val="14"/>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Real Estate – Resort/Residential:</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We are in the preliminary stages of property development for this segment; hence, no revenues or profits are attributed to this segment.</w:t>
      </w:r>
    </w:p>
    <w:p>
      <w:pPr>
        <w:spacing w:after="0" w:line="72"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Resort/residential real estate development segment expenses were $324,000 for the three months ended June 30, 2023, a decrease of $99,000, or 23%, from $423,000 for the three months ended June 30, 2022. The decrease is mainly attributed to a decrease in payroll costs due to the departure of a highly compensated executive during 2023.</w:t>
      </w:r>
    </w:p>
    <w:p>
      <w:pPr>
        <w:spacing w:after="0" w:line="37"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Resort/residential real estate development segment expenses were $712,000 for the first six months of 2023, a decrease of $134,000, or 16%, from $846,000 for the first six months of 2022. The decrease is namely attributed to a decrease in payroll and consulting costs.</w:t>
      </w:r>
    </w:p>
    <w:p>
      <w:pPr>
        <w:spacing w:after="0" w:line="37"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Most of the expenditures and capital investment to be incurred within our resort/residential real estate segment are expected to continue to focus on the mixed-use master planned communities of Centennial, Grapevine, and Mountain Village.</w:t>
      </w:r>
    </w:p>
    <w:p>
      <w:pPr>
        <w:spacing w:after="0" w:line="40"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As we move forward with our master planned communities,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Mineral Resources: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62"/>
        </w:trPr>
        <w:tc>
          <w:tcPr>
            <w:tcW w:w="1180" w:type="dxa"/>
            <w:vAlign w:val="bottom"/>
            <w:tcBorders>
              <w:top w:val="single" w:sz="8" w:color="006EBF"/>
            </w:tcBorders>
          </w:tcPr>
          <w:p>
            <w:pPr>
              <w:spacing w:after="0"/>
              <w:rPr>
                <w:sz w:val="24"/>
                <w:szCs w:val="24"/>
                <w:color w:val="auto"/>
              </w:rPr>
            </w:pPr>
          </w:p>
        </w:tc>
        <w:tc>
          <w:tcPr>
            <w:tcW w:w="2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Borders>
              <w:bottom w:val="single" w:sz="8" w:color="auto"/>
            </w:tcBorders>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Mineral resources revenues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Oil and gas</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52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5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5"/>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Cement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Rock aggregate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Exploration leases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9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Water Sales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Reimbursables and other</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171"/>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mineral resources revenues</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76"/>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Total mineral resources expenses</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925</w:t>
            </w:r>
          </w:p>
        </w:tc>
        <w:tc>
          <w:tcPr>
            <w:tcW w:w="52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2,445</w:t>
            </w:r>
          </w:p>
        </w:tc>
        <w:tc>
          <w:tcPr>
            <w:tcW w:w="56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1"/>
        </w:trPr>
        <w:tc>
          <w:tcPr>
            <w:tcW w:w="3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from mineral resources</w:t>
            </w: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60" w:right="200" w:hanging="255"/>
        <w:spacing w:after="0" w:line="281"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Mineral resources segment revenues were $1,600,000 for the three months ended June 30, 2023, a decrease of $2,531,000, or 61%, from $4,131,000 for the three months ended June 30, 2022. The reduction in revenues is primarily attributed to a decline in water sales, as a result of increased water availability due to a very wet winter.</w:t>
      </w:r>
    </w:p>
    <w:p>
      <w:pPr>
        <w:spacing w:after="0" w:line="47" w:lineRule="exact"/>
        <w:rPr>
          <w:rFonts w:ascii="Arial" w:cs="Arial" w:eastAsia="Arial" w:hAnsi="Arial"/>
          <w:sz w:val="14"/>
          <w:szCs w:val="14"/>
          <w:color w:val="auto"/>
        </w:rPr>
      </w:pPr>
    </w:p>
    <w:p>
      <w:pPr>
        <w:ind w:left="260" w:right="20" w:hanging="255"/>
        <w:spacing w:after="0" w:line="281"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Mineral resources segment expenses were $925,000 for the three months ended June 30, 2023, a decrease of $1,520,000, or 62%, from $2,445,000 for the three months ended June 30, 2022. This decrease is consistent with the reduced water sales volume when compared to the previous year.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0"/>
        </w:trPr>
        <w:tc>
          <w:tcPr>
            <w:tcW w:w="38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529"/>
              <w:spacing w:after="0"/>
              <w:rPr>
                <w:sz w:val="20"/>
                <w:szCs w:val="20"/>
                <w:color w:val="auto"/>
              </w:rPr>
            </w:pPr>
            <w:r>
              <w:rPr>
                <w:rFonts w:ascii="Arial" w:cs="Arial" w:eastAsia="Arial" w:hAnsi="Arial"/>
                <w:sz w:val="14"/>
                <w:szCs w:val="14"/>
                <w:color w:val="auto"/>
                <w:w w:val="93"/>
              </w:rPr>
              <w:t>Six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color w:val="auto"/>
              </w:rPr>
              <w:t>Change</w:t>
            </w:r>
          </w:p>
        </w:tc>
        <w:tc>
          <w:tcPr>
            <w:tcW w:w="1140" w:type="dxa"/>
            <w:vAlign w:val="bottom"/>
            <w:tcBorders>
              <w:bottom w:val="single" w:sz="8" w:color="auto"/>
            </w:tcBorders>
          </w:tcPr>
          <w:p>
            <w:pPr>
              <w:spacing w:after="0"/>
              <w:rPr>
                <w:sz w:val="15"/>
                <w:szCs w:val="15"/>
                <w:color w:val="auto"/>
              </w:rPr>
            </w:pPr>
          </w:p>
        </w:tc>
      </w:tr>
      <w:tr>
        <w:trPr>
          <w:trHeight w:val="181"/>
        </w:trPr>
        <w:tc>
          <w:tcPr>
            <w:tcW w:w="38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180" w:type="dxa"/>
            <w:vAlign w:val="bottom"/>
          </w:tcPr>
          <w:p>
            <w:pPr>
              <w:jc w:val="right"/>
              <w:spacing w:after="0"/>
              <w:rPr>
                <w:sz w:val="20"/>
                <w:szCs w:val="20"/>
                <w:color w:val="auto"/>
              </w:rPr>
            </w:pPr>
            <w:r>
              <w:rPr>
                <w:rFonts w:ascii="Arial" w:cs="Arial" w:eastAsia="Arial" w:hAnsi="Arial"/>
                <w:sz w:val="14"/>
                <w:szCs w:val="14"/>
                <w:color w:val="auto"/>
              </w:rPr>
              <w:t>2023</w:t>
            </w:r>
          </w:p>
        </w:tc>
        <w:tc>
          <w:tcPr>
            <w:tcW w:w="780" w:type="dxa"/>
            <w:vAlign w:val="bottom"/>
          </w:tcPr>
          <w:p>
            <w:pPr>
              <w:spacing w:after="0"/>
              <w:rPr>
                <w:sz w:val="15"/>
                <w:szCs w:val="15"/>
                <w:color w:val="auto"/>
              </w:rPr>
            </w:pPr>
          </w:p>
        </w:tc>
        <w:tc>
          <w:tcPr>
            <w:tcW w:w="1440" w:type="dxa"/>
            <w:vAlign w:val="bottom"/>
            <w:gridSpan w:val="2"/>
          </w:tcPr>
          <w:p>
            <w:pPr>
              <w:jc w:val="right"/>
              <w:ind w:right="129"/>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68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tcPr>
          <w:p>
            <w:pPr>
              <w:ind w:left="20"/>
              <w:spacing w:after="0"/>
              <w:rPr>
                <w:sz w:val="20"/>
                <w:szCs w:val="20"/>
                <w:color w:val="auto"/>
              </w:rPr>
            </w:pPr>
            <w:r>
              <w:rPr>
                <w:rFonts w:ascii="Arial" w:cs="Arial" w:eastAsia="Arial" w:hAnsi="Arial"/>
                <w:sz w:val="14"/>
                <w:szCs w:val="14"/>
                <w:color w:val="auto"/>
              </w:rPr>
              <w:t>Mineral resources revenues</w:t>
            </w:r>
          </w:p>
        </w:tc>
        <w:tc>
          <w:tcPr>
            <w:tcW w:w="1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9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and gas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44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Cement</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Rock aggregate</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5"/>
        </w:trPr>
        <w:tc>
          <w:tcPr>
            <w:tcW w:w="3840" w:type="dxa"/>
            <w:vAlign w:val="bottom"/>
          </w:tcPr>
          <w:p>
            <w:pPr>
              <w:ind w:left="180"/>
              <w:spacing w:after="0"/>
              <w:rPr>
                <w:sz w:val="20"/>
                <w:szCs w:val="20"/>
                <w:color w:val="auto"/>
              </w:rPr>
            </w:pPr>
            <w:r>
              <w:rPr>
                <w:rFonts w:ascii="Arial" w:cs="Arial" w:eastAsia="Arial" w:hAnsi="Arial"/>
                <w:sz w:val="14"/>
                <w:szCs w:val="14"/>
                <w:color w:val="auto"/>
              </w:rPr>
              <w:t>Exploration leases</w:t>
            </w:r>
          </w:p>
        </w:tc>
        <w:tc>
          <w:tcPr>
            <w:tcW w:w="1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6"/>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 Sales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Reimbursables and other</w:t>
            </w:r>
          </w:p>
        </w:tc>
        <w:tc>
          <w:tcPr>
            <w:tcW w:w="1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33 %</w:t>
            </w:r>
          </w:p>
        </w:tc>
      </w:tr>
      <w:tr>
        <w:trPr>
          <w:trHeight w:val="182"/>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mineral resources revenues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8,512</w:t>
            </w:r>
          </w:p>
        </w:tc>
        <w:tc>
          <w:tcPr>
            <w:tcW w:w="144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16,099</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Total mineral resources expenses</w:t>
            </w:r>
          </w:p>
        </w:tc>
        <w:tc>
          <w:tcPr>
            <w:tcW w:w="1180" w:type="dxa"/>
            <w:vAlign w:val="bottom"/>
            <w:tcBorders>
              <w:top w:val="single" w:sz="8" w:color="auto"/>
              <w:bottom w:val="single" w:sz="8" w:color="auto"/>
            </w:tcBorders>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4,991</w:t>
            </w:r>
          </w:p>
        </w:tc>
        <w:tc>
          <w:tcPr>
            <w:tcW w:w="12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ind w:right="116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9,602</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(4,611)</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191"/>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from mineral resources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144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6,497</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340" w:hanging="255"/>
        <w:spacing w:after="0" w:line="267" w:lineRule="auto"/>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Mineral resources segment revenues were $8,512,000 for the first six months of 2023, a decrease of $7,587,000, or 47%, from $16,099,000 for the first six months of 2022. The reduction in revenues is primarily attributed to increased water availability. The SWP allocation is currently at 100%, whereas in 2022 it was at 5%, which severely limits the Company's water sales opportunities.</w:t>
      </w:r>
    </w:p>
    <w:p>
      <w:pPr>
        <w:spacing w:after="0" w:line="5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Mineral resources segment expenses were $4,991,000 for the first six months of 2023, a decrease of $4,611,000, or 48%, when compared to the same period in 2022. This decrease is consistent with the reduced water sales volume when compared to the previous year. This decrease was partially offset by an increase in property tax expense.</w:t>
      </w:r>
    </w:p>
    <w:p>
      <w:pPr>
        <w:spacing w:after="0" w:line="26"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As anticipated changes arise in the future related to groundwater management in California, such as limits on groundwater pumping, we believe our water assets, including water banking operations, ground water recharge programs, and access to water contracts like those we have purchased in the past, will become even more important and valuable in servicing our projects and providing opportunities for water sales to third parties.</w:t>
      </w:r>
    </w:p>
    <w:p>
      <w:pPr>
        <w:spacing w:after="0" w:line="89"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The price per barrel of oil has decreased from the first quarter of 2022 levels leading to declines in production. 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such as current conflicts in Eastern Europe. Production has seen an overall decline in California as a result of regulatory conditions.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Farming: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Borders>
              <w:bottom w:val="single" w:sz="8" w:color="auto"/>
            </w:tcBorders>
          </w:tcPr>
          <w:p>
            <w:pPr>
              <w:spacing w:after="0"/>
              <w:rPr>
                <w:sz w:val="15"/>
                <w:szCs w:val="15"/>
                <w:color w:val="auto"/>
              </w:rPr>
            </w:pP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Farming revenues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Almonds</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52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5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Hay</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99 %</w:t>
            </w:r>
          </w:p>
        </w:tc>
      </w:tr>
      <w:tr>
        <w:trPr>
          <w:trHeight w:val="176"/>
        </w:trPr>
        <w:tc>
          <w:tcPr>
            <w:tcW w:w="3840" w:type="dxa"/>
            <w:vAlign w:val="bottom"/>
          </w:tcPr>
          <w:p>
            <w:pPr>
              <w:ind w:left="20"/>
              <w:spacing w:after="0"/>
              <w:rPr>
                <w:sz w:val="20"/>
                <w:szCs w:val="20"/>
                <w:color w:val="auto"/>
              </w:rPr>
            </w:pPr>
            <w:r>
              <w:rPr>
                <w:rFonts w:ascii="Arial" w:cs="Arial" w:eastAsia="Arial" w:hAnsi="Arial"/>
                <w:sz w:val="14"/>
                <w:szCs w:val="14"/>
                <w:color w:val="auto"/>
              </w:rPr>
              <w:t>Total farming revenues</w:t>
            </w: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1,025</w:t>
            </w:r>
          </w:p>
        </w:tc>
        <w:tc>
          <w:tcPr>
            <w:tcW w:w="52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1,921</w:t>
            </w:r>
          </w:p>
        </w:tc>
        <w:tc>
          <w:tcPr>
            <w:tcW w:w="56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7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farming expenses</w:t>
            </w: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(1,988)</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Operating loss from farming</w:t>
            </w: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20"/>
        </w:trPr>
        <w:tc>
          <w:tcPr>
            <w:tcW w:w="3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60" w:right="40" w:hanging="255"/>
        <w:spacing w:after="0" w:line="267" w:lineRule="auto"/>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Farming segment revenues were $1,025,000 for the three months ended June 30, 2023, a decrease of $896,000, or 47%, from $1,921,000 during the same period in 2022. The decrease is attributed to a decrease in almond and hay sales. The decline in almond sales is attributed to carrying over less crop when compared to 2022. Comparatively we sold 508,000 and 722,000 pounds of almonds during the three months ended June 30, 2023 and 2022, respectively.</w:t>
      </w:r>
    </w:p>
    <w:p>
      <w:pPr>
        <w:spacing w:after="0" w:line="56" w:lineRule="exact"/>
        <w:rPr>
          <w:rFonts w:ascii="Arial" w:cs="Arial" w:eastAsia="Arial" w:hAnsi="Arial"/>
          <w:sz w:val="14"/>
          <w:szCs w:val="14"/>
          <w:color w:val="auto"/>
        </w:rPr>
      </w:pPr>
    </w:p>
    <w:p>
      <w:pPr>
        <w:jc w:val="both"/>
        <w:ind w:left="260" w:right="400" w:hanging="255"/>
        <w:spacing w:after="0" w:line="267" w:lineRule="auto"/>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Farming segment expenses were $1,474,000 for the three months ended June 30, 2023, a decrease of $1,988,000, or 57%, from $3,462,000 during the same period in 2022. The decrease in expenses resulted from having fewer almond sales over the comparative periods. Additionally, the Company incurred less fixed water charges from WRMWSD, given the increase in water availability in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180"/>
        </w:trPr>
        <w:tc>
          <w:tcPr>
            <w:tcW w:w="38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529"/>
              <w:spacing w:after="0"/>
              <w:rPr>
                <w:sz w:val="20"/>
                <w:szCs w:val="20"/>
                <w:color w:val="auto"/>
              </w:rPr>
            </w:pPr>
            <w:r>
              <w:rPr>
                <w:rFonts w:ascii="Arial" w:cs="Arial" w:eastAsia="Arial" w:hAnsi="Arial"/>
                <w:sz w:val="14"/>
                <w:szCs w:val="14"/>
                <w:color w:val="auto"/>
                <w:w w:val="94"/>
              </w:rPr>
              <w:t>Six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color w:val="auto"/>
              </w:rPr>
              <w:t>Change</w:t>
            </w:r>
          </w:p>
        </w:tc>
        <w:tc>
          <w:tcPr>
            <w:tcW w:w="1140" w:type="dxa"/>
            <w:vAlign w:val="bottom"/>
            <w:tcBorders>
              <w:bottom w:val="single" w:sz="8" w:color="auto"/>
            </w:tcBorders>
          </w:tcPr>
          <w:p>
            <w:pPr>
              <w:spacing w:after="0"/>
              <w:rPr>
                <w:sz w:val="15"/>
                <w:szCs w:val="15"/>
                <w:color w:val="auto"/>
              </w:rPr>
            </w:pPr>
          </w:p>
        </w:tc>
      </w:tr>
      <w:tr>
        <w:trPr>
          <w:trHeight w:val="181"/>
        </w:trPr>
        <w:tc>
          <w:tcPr>
            <w:tcW w:w="38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180" w:type="dxa"/>
            <w:vAlign w:val="bottom"/>
          </w:tcPr>
          <w:p>
            <w:pPr>
              <w:jc w:val="right"/>
              <w:spacing w:after="0"/>
              <w:rPr>
                <w:sz w:val="20"/>
                <w:szCs w:val="20"/>
                <w:color w:val="auto"/>
              </w:rPr>
            </w:pPr>
            <w:r>
              <w:rPr>
                <w:rFonts w:ascii="Arial" w:cs="Arial" w:eastAsia="Arial" w:hAnsi="Arial"/>
                <w:sz w:val="14"/>
                <w:szCs w:val="14"/>
                <w:color w:val="auto"/>
              </w:rPr>
              <w:t>2023</w:t>
            </w:r>
          </w:p>
        </w:tc>
        <w:tc>
          <w:tcPr>
            <w:tcW w:w="780" w:type="dxa"/>
            <w:vAlign w:val="bottom"/>
          </w:tcPr>
          <w:p>
            <w:pPr>
              <w:spacing w:after="0"/>
              <w:rPr>
                <w:sz w:val="15"/>
                <w:szCs w:val="15"/>
                <w:color w:val="auto"/>
              </w:rPr>
            </w:pPr>
          </w:p>
        </w:tc>
        <w:tc>
          <w:tcPr>
            <w:tcW w:w="1460" w:type="dxa"/>
            <w:vAlign w:val="bottom"/>
            <w:gridSpan w:val="2"/>
          </w:tcPr>
          <w:p>
            <w:pPr>
              <w:jc w:val="right"/>
              <w:ind w:right="149"/>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68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tcPr>
          <w:p>
            <w:pPr>
              <w:ind w:left="20"/>
              <w:spacing w:after="0"/>
              <w:rPr>
                <w:sz w:val="20"/>
                <w:szCs w:val="20"/>
                <w:color w:val="auto"/>
              </w:rPr>
            </w:pPr>
            <w:r>
              <w:rPr>
                <w:rFonts w:ascii="Arial" w:cs="Arial" w:eastAsia="Arial" w:hAnsi="Arial"/>
                <w:sz w:val="14"/>
                <w:szCs w:val="14"/>
                <w:color w:val="auto"/>
              </w:rPr>
              <w:t>Farming revenues</w:t>
            </w:r>
          </w:p>
        </w:tc>
        <w:tc>
          <w:tcPr>
            <w:tcW w:w="1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9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Almonds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460" w:type="dxa"/>
            <w:vAlign w:val="bottom"/>
            <w:gridSpan w:val="2"/>
            <w:shd w:val="clear" w:color="auto" w:fill="CCEEFF"/>
          </w:tcPr>
          <w:p>
            <w:pPr>
              <w:jc w:val="right"/>
              <w:ind w:right="12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Pistachios</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Wine grapes</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5"/>
        </w:trPr>
        <w:tc>
          <w:tcPr>
            <w:tcW w:w="3840" w:type="dxa"/>
            <w:vAlign w:val="bottom"/>
          </w:tcPr>
          <w:p>
            <w:pPr>
              <w:ind w:left="180"/>
              <w:spacing w:after="0"/>
              <w:rPr>
                <w:sz w:val="20"/>
                <w:szCs w:val="20"/>
                <w:color w:val="auto"/>
              </w:rPr>
            </w:pPr>
            <w:r>
              <w:rPr>
                <w:rFonts w:ascii="Arial" w:cs="Arial" w:eastAsia="Arial" w:hAnsi="Arial"/>
                <w:sz w:val="14"/>
                <w:szCs w:val="14"/>
                <w:color w:val="auto"/>
              </w:rPr>
              <w:t>Hay</w:t>
            </w:r>
          </w:p>
        </w:tc>
        <w:tc>
          <w:tcPr>
            <w:tcW w:w="1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224 %</w:t>
            </w: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Total farming revenues</w:t>
            </w:r>
          </w:p>
        </w:tc>
        <w:tc>
          <w:tcPr>
            <w:tcW w:w="1180" w:type="dxa"/>
            <w:vAlign w:val="bottom"/>
            <w:tcBorders>
              <w:bottom w:val="single" w:sz="8" w:color="auto"/>
            </w:tcBorders>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2"/>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farming expenses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1460" w:type="dxa"/>
            <w:vAlign w:val="bottom"/>
            <w:gridSpan w:val="2"/>
            <w:shd w:val="clear" w:color="auto" w:fill="CCEEFF"/>
          </w:tcPr>
          <w:p>
            <w:pPr>
              <w:jc w:val="right"/>
              <w:ind w:right="12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5,224</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Operating loss from farming</w:t>
            </w:r>
          </w:p>
        </w:tc>
        <w:tc>
          <w:tcPr>
            <w:tcW w:w="1180" w:type="dxa"/>
            <w:vAlign w:val="bottom"/>
            <w:tcBorders>
              <w:top w:val="single" w:sz="8" w:color="auto"/>
              <w:bottom w:val="single" w:sz="8" w:color="auto"/>
            </w:tcBorders>
          </w:tcPr>
          <w:p>
            <w:pPr>
              <w:jc w:val="right"/>
              <w:ind w:right="100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ind w:right="120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260" w:right="40" w:hanging="255"/>
        <w:spacing w:after="0" w:line="262" w:lineRule="auto"/>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Farming segment revenues were $2,210,000 for the first six months of 2023, a decrease of $366,000, or 14%, from $2,576,000 during the same period in 2022. The decline is primarily driven by a decline in almond selling price, along with variations in the mix of almonds sold. During 2022, a majority of the almonds sold were of the Nonpareil and Monterey varieties, which generally sell at a higher price. In terms of units sold, the Company sold 914,000 and 991,000 pounds of almonds during the six months ended June 30, 2023 and 2022, respectively. The aforementioned declines in almond revenues were partially offset by water usage reimbursements classified under "Other".</w:t>
      </w:r>
    </w:p>
    <w:p>
      <w:pPr>
        <w:spacing w:after="0" w:line="60" w:lineRule="exact"/>
        <w:rPr>
          <w:rFonts w:ascii="Arial" w:cs="Arial" w:eastAsia="Arial" w:hAnsi="Arial"/>
          <w:sz w:val="14"/>
          <w:szCs w:val="14"/>
          <w:color w:val="auto"/>
        </w:rPr>
      </w:pPr>
    </w:p>
    <w:p>
      <w:pPr>
        <w:ind w:left="260" w:right="280" w:hanging="255"/>
        <w:spacing w:after="0" w:line="267" w:lineRule="auto"/>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Farming segment expenses were $3,487,000 for the first six months of 2023, a decrease of $1,737,000, or 33%, from $5,224,000 when compared to the same period in 2022. The decline in farming expenses is primarily driven by lower almond cost of sales that resulted from lower almond carrying costs as a result of an inventory write down that was recorded on the 2022 crop. Additionally, the Company incurred less fixed water charges from WRMWSD given the increase in water availability in 2023.</w:t>
      </w: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almond, pistachio, and wine grape crop sales are highly seasonal with most of our sales occurring during the third and fourth quarters. Each year almonds and pistachios are sold at market prices, while grapes are sold to wineries at contracted prices. We expect that our farming operations during 2023 will continue to be impacted by higher costs of production, such as fuel costs, fertilizer costs, pest control costs, and labor costs. Higher than historically normal almond inventory levels are anticipated to have a continuing adverse effect on selling prices for the remainder of 2023. The current subjective estimate for the 2023 almond crop is 2.6 billion pounds, which is consistent with 2022.</w:t>
      </w:r>
    </w:p>
    <w:p>
      <w:pPr>
        <w:spacing w:after="0" w:line="40"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Weather conditions can also impact the number of tree and vine dormant hours, which are integral to tree and vine growth. We will not know the impact of 2022/2023 winter weather conditions on 2023 production until the late summer of 2023.</w:t>
      </w:r>
    </w:p>
    <w:p>
      <w:pPr>
        <w:spacing w:after="0" w:line="37" w:lineRule="exact"/>
        <w:rPr>
          <w:sz w:val="20"/>
          <w:szCs w:val="20"/>
          <w:color w:val="auto"/>
        </w:rPr>
      </w:pPr>
    </w:p>
    <w:p>
      <w:pPr>
        <w:jc w:val="both"/>
        <w:ind w:right="360"/>
        <w:spacing w:after="0" w:line="297" w:lineRule="auto"/>
        <w:rPr>
          <w:sz w:val="20"/>
          <w:szCs w:val="20"/>
          <w:color w:val="auto"/>
        </w:rPr>
      </w:pPr>
      <w:r>
        <w:rPr>
          <w:rFonts w:ascii="Arial" w:cs="Arial" w:eastAsia="Arial" w:hAnsi="Arial"/>
          <w:sz w:val="13"/>
          <w:szCs w:val="13"/>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Ranch Operations: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3"/>
        </w:trPr>
        <w:tc>
          <w:tcPr>
            <w:tcW w:w="1160" w:type="dxa"/>
            <w:vAlign w:val="bottom"/>
            <w:tcBorders>
              <w:top w:val="single" w:sz="8" w:color="006EBF"/>
            </w:tcBorders>
          </w:tcPr>
          <w:p>
            <w:pPr>
              <w:spacing w:after="0"/>
              <w:rPr>
                <w:sz w:val="18"/>
                <w:szCs w:val="18"/>
                <w:color w:val="auto"/>
              </w:rPr>
            </w:pPr>
          </w:p>
        </w:tc>
        <w:tc>
          <w:tcPr>
            <w:tcW w:w="26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Borders>
              <w:bottom w:val="single" w:sz="8" w:color="auto"/>
            </w:tcBorders>
          </w:tcPr>
          <w:p>
            <w:pPr>
              <w:spacing w:after="0"/>
              <w:rPr>
                <w:sz w:val="18"/>
                <w:szCs w:val="18"/>
                <w:color w:val="auto"/>
              </w:rPr>
            </w:pPr>
          </w:p>
        </w:tc>
      </w:tr>
      <w:tr>
        <w:trPr>
          <w:trHeight w:val="18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Ranch Operations revenues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91"/>
        </w:trPr>
        <w:tc>
          <w:tcPr>
            <w:tcW w:w="384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4"/>
                <w:szCs w:val="14"/>
                <w:color w:val="auto"/>
              </w:rPr>
              <w:t xml:space="preserve">Game management and other </w:t>
            </w:r>
            <w:r>
              <w:rPr>
                <w:rFonts w:ascii="Arial" w:cs="Arial" w:eastAsia="Arial" w:hAnsi="Arial"/>
                <w:sz w:val="18"/>
                <w:szCs w:val="18"/>
                <w:color w:val="auto"/>
                <w:vertAlign w:val="superscript"/>
              </w:rPr>
              <w:t>1</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52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5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Grazing</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r>
      <w:tr>
        <w:trPr>
          <w:trHeight w:val="171"/>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Ranch Operations revenues</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76"/>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Total Ranch Operations expenses</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1,338</w:t>
            </w:r>
          </w:p>
        </w:tc>
        <w:tc>
          <w:tcPr>
            <w:tcW w:w="52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1,250</w:t>
            </w:r>
          </w:p>
        </w:tc>
        <w:tc>
          <w:tcPr>
            <w:tcW w:w="56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201"/>
        </w:trPr>
        <w:tc>
          <w:tcPr>
            <w:tcW w:w="3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loss from Ranch Operations</w:t>
            </w: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ind w:left="100" w:hanging="81"/>
        <w:spacing w:after="0" w:line="202" w:lineRule="auto"/>
        <w:tabs>
          <w:tab w:leader="none" w:pos="100" w:val="left"/>
        </w:tabs>
        <w:numPr>
          <w:ilvl w:val="1"/>
          <w:numId w:val="24"/>
        </w:numPr>
        <w:rPr>
          <w:rFonts w:ascii="Arial" w:cs="Arial" w:eastAsia="Arial" w:hAnsi="Arial"/>
          <w:sz w:val="17"/>
          <w:szCs w:val="17"/>
          <w:color w:val="auto"/>
          <w:vertAlign w:val="superscript"/>
        </w:rPr>
      </w:pPr>
      <w:r>
        <w:rPr>
          <w:rFonts w:ascii="Arial" w:cs="Arial" w:eastAsia="Arial" w:hAnsi="Arial"/>
          <w:sz w:val="13"/>
          <w:szCs w:val="13"/>
          <w:color w:val="auto"/>
        </w:rPr>
        <w:t>Game management and other revenues consist of revenues from hunting, filming, High Desert Hunt Club (a premier upland bird hunting club), and other ancillary activities.</w:t>
      </w:r>
    </w:p>
    <w:p>
      <w:pPr>
        <w:spacing w:after="0" w:line="132" w:lineRule="exact"/>
        <w:rPr>
          <w:rFonts w:ascii="Arial" w:cs="Arial" w:eastAsia="Arial" w:hAnsi="Arial"/>
          <w:sz w:val="17"/>
          <w:szCs w:val="17"/>
          <w:color w:val="auto"/>
          <w:vertAlign w:val="superscript"/>
        </w:rPr>
      </w:pPr>
    </w:p>
    <w:p>
      <w:pPr>
        <w:ind w:left="260" w:right="440" w:hanging="255"/>
        <w:spacing w:after="0" w:line="281" w:lineRule="auto"/>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Ranch operations revenues were $840,000 for the three months ended June 30, 2023, an increase of $85,000, or 11%, from $755,000 for the same period in 2022. The increase is primarily attributed to higher grazing lease revenues.</w:t>
      </w:r>
    </w:p>
    <w:p>
      <w:pPr>
        <w:spacing w:after="0" w:line="26" w:lineRule="exact"/>
        <w:rPr>
          <w:rFonts w:ascii="Arial" w:cs="Arial" w:eastAsia="Arial" w:hAnsi="Arial"/>
          <w:sz w:val="14"/>
          <w:szCs w:val="14"/>
          <w:color w:val="auto"/>
        </w:rPr>
      </w:pPr>
    </w:p>
    <w:p>
      <w:pPr>
        <w:ind w:left="260" w:right="60" w:hanging="255"/>
        <w:spacing w:after="0" w:line="251" w:lineRule="auto"/>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Ranch operations expenses were $1,338,000 for the three months ended June 30, 2023, an increase of $88,000, or 7%, from $1,250,000 for the same period in 2022. This slight increase is attributed to an increase in insurance costs and outside landscaping services when compared to the prior period. The increase in landscaping services will continue throughout the year as we shift to third-parties for landscaping services.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509"/>
              <w:spacing w:after="0"/>
              <w:rPr>
                <w:sz w:val="20"/>
                <w:szCs w:val="20"/>
                <w:color w:val="auto"/>
              </w:rPr>
            </w:pPr>
            <w:r>
              <w:rPr>
                <w:rFonts w:ascii="Arial" w:cs="Arial" w:eastAsia="Arial" w:hAnsi="Arial"/>
                <w:sz w:val="14"/>
                <w:szCs w:val="14"/>
                <w:color w:val="auto"/>
                <w:w w:val="93"/>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Change</w:t>
            </w:r>
          </w:p>
        </w:tc>
        <w:tc>
          <w:tcPr>
            <w:tcW w:w="1060" w:type="dxa"/>
            <w:vAlign w:val="bottom"/>
            <w:tcBorders>
              <w:bottom w:val="single" w:sz="8" w:color="auto"/>
            </w:tcBorders>
          </w:tcPr>
          <w:p>
            <w:pPr>
              <w:spacing w:after="0"/>
              <w:rPr>
                <w:sz w:val="15"/>
                <w:szCs w:val="15"/>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120" w:type="dxa"/>
            <w:vAlign w:val="bottom"/>
          </w:tcPr>
          <w:p>
            <w:pPr>
              <w:jc w:val="right"/>
              <w:spacing w:after="0"/>
              <w:rPr>
                <w:sz w:val="20"/>
                <w:szCs w:val="20"/>
                <w:color w:val="auto"/>
              </w:rPr>
            </w:pPr>
            <w:r>
              <w:rPr>
                <w:rFonts w:ascii="Arial" w:cs="Arial" w:eastAsia="Arial" w:hAnsi="Arial"/>
                <w:sz w:val="14"/>
                <w:szCs w:val="14"/>
                <w:color w:val="auto"/>
              </w:rPr>
              <w:t>2023</w:t>
            </w:r>
          </w:p>
        </w:tc>
        <w:tc>
          <w:tcPr>
            <w:tcW w:w="780" w:type="dxa"/>
            <w:vAlign w:val="bottom"/>
          </w:tcPr>
          <w:p>
            <w:pPr>
              <w:spacing w:after="0"/>
              <w:rPr>
                <w:sz w:val="14"/>
                <w:szCs w:val="14"/>
                <w:color w:val="auto"/>
              </w:rPr>
            </w:pPr>
          </w:p>
        </w:tc>
        <w:tc>
          <w:tcPr>
            <w:tcW w:w="1420" w:type="dxa"/>
            <w:vAlign w:val="bottom"/>
            <w:gridSpan w:val="2"/>
          </w:tcPr>
          <w:p>
            <w:pPr>
              <w:jc w:val="right"/>
              <w:ind w:right="149"/>
              <w:spacing w:after="0"/>
              <w:rPr>
                <w:sz w:val="20"/>
                <w:szCs w:val="20"/>
                <w:color w:val="auto"/>
              </w:rPr>
            </w:pPr>
            <w:r>
              <w:rPr>
                <w:rFonts w:ascii="Arial" w:cs="Arial" w:eastAsia="Arial" w:hAnsi="Arial"/>
                <w:sz w:val="14"/>
                <w:szCs w:val="14"/>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6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629"/>
              <w:spacing w:after="0"/>
              <w:rPr>
                <w:sz w:val="20"/>
                <w:szCs w:val="20"/>
                <w:color w:val="auto"/>
              </w:rPr>
            </w:pPr>
            <w:r>
              <w:rPr>
                <w:rFonts w:ascii="Arial" w:cs="Arial" w:eastAsia="Arial" w:hAnsi="Arial"/>
                <w:sz w:val="14"/>
                <w:szCs w:val="14"/>
                <w:color w:val="auto"/>
              </w:rPr>
              <w:t>%</w:t>
            </w: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Ranch Operations revenues</w:t>
            </w:r>
          </w:p>
        </w:tc>
        <w:tc>
          <w:tcPr>
            <w:tcW w:w="1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181"/>
        </w:trPr>
        <w:tc>
          <w:tcPr>
            <w:tcW w:w="41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Game Management and other </w:t>
            </w:r>
            <w:r>
              <w:rPr>
                <w:rFonts w:ascii="Arial" w:cs="Arial" w:eastAsia="Arial" w:hAnsi="Arial"/>
                <w:sz w:val="18"/>
                <w:szCs w:val="18"/>
                <w:color w:val="auto"/>
                <w:vertAlign w:val="superscript"/>
              </w:rPr>
              <w:t>1</w:t>
            </w: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42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4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5"/>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Grazing</w:t>
            </w: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r>
      <w:tr>
        <w:trPr>
          <w:trHeight w:val="1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Ranch Operations revenues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8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Total Ranch Operations expenses</w:t>
            </w: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2,668</w:t>
            </w: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19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from Ranch Operations</w:t>
            </w: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420" w:type="dxa"/>
            <w:vAlign w:val="bottom"/>
            <w:gridSpan w:val="2"/>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4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ind w:left="120" w:hanging="84"/>
        <w:spacing w:after="0" w:line="208" w:lineRule="auto"/>
        <w:tabs>
          <w:tab w:leader="none" w:pos="1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128" w:lineRule="exact"/>
        <w:rPr>
          <w:rFonts w:ascii="Arial" w:cs="Arial" w:eastAsia="Arial" w:hAnsi="Arial"/>
          <w:sz w:val="18"/>
          <w:szCs w:val="18"/>
          <w:color w:val="auto"/>
          <w:vertAlign w:val="superscript"/>
        </w:rPr>
      </w:pPr>
    </w:p>
    <w:p>
      <w:pPr>
        <w:ind w:left="260" w:hanging="255"/>
        <w:spacing w:after="0" w:line="267"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Ranch operations revenues were $2,332,000 for the first six months of 2023, an increase of $529,000, or 29%, from $1,803,000 for the same period in 2022. The increase is primarily attributed to higher grazing lease revenues. Additionally, this segment had higher filming location revenues that resulted from a major television series that temporarily relocated its filming operations, as a result of adverse weather conditions at their normal filming site.</w:t>
      </w:r>
    </w:p>
    <w:p>
      <w:pPr>
        <w:spacing w:after="0" w:line="56" w:lineRule="exact"/>
        <w:rPr>
          <w:rFonts w:ascii="Arial" w:cs="Arial" w:eastAsia="Arial" w:hAnsi="Arial"/>
          <w:sz w:val="14"/>
          <w:szCs w:val="14"/>
          <w:color w:val="auto"/>
        </w:rPr>
      </w:pPr>
    </w:p>
    <w:p>
      <w:pPr>
        <w:ind w:left="260" w:right="80" w:hanging="255"/>
        <w:spacing w:after="0" w:line="281"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Ranch operations expenses were $2,668,000 for the first six months of 2023, an increase of $103,000, or 4%, from $2,565,000 for the same period in 2022. This slight increase is attributed to an increase in insurance costs and outside landscaping services when compared to the prior period.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Corporate and Other:</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Corporate general and administrative costs were $2,222,000 for the three months ended June 30, 2023, an increase of $37,000, or 2%, from $2,185,000 for the same period in 2022.</w:t>
      </w:r>
    </w:p>
    <w:p>
      <w:pPr>
        <w:spacing w:after="0" w:line="83"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Corporate general and administrative costs were $4,509,000 for the first six months of June 30, 2023, a decrease of $91,000, or 2%, from $4,600,000 for the same period in 2022. The decline in expenses relates to the absence of deferred loan cost write-offs that occurred during the previous year when the Company terminated a borrowing arrangement with Wells Fargo and entered into a new arrangement with Bank of America.</w:t>
      </w:r>
    </w:p>
    <w:p>
      <w:pPr>
        <w:spacing w:after="0" w:line="36"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Total other income was $587,000 for the three months ended June 30, 2023, an increase of $599,000, from a loss of $12,000 for the same period in 2022. This increase is primarily attributed to an increase in interest income resulting from an increase in marketable securities invested and higher interest rates over the comparative periods.</w:t>
      </w:r>
    </w:p>
    <w:p>
      <w:pPr>
        <w:spacing w:after="0" w:line="37"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Total other income was $1,377,000 for the six months ended June 30, 2023, an increase of $454,000, from $923,000 for the same period in 2022. This increase is attributed to an increase in interest income resulting from an increase in marketable securities invested and higher interest rates over the comparative periods.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Joint Ventures: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Equity in earnings (loss)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Petro Travel Plaza Holdings, LLC</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18-19 West, LLC</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TRCC/Rock Outlet Center, LLC</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TRC-MRC 1, LLC</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TRC-MRC 2, LLC</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TRC-MRC 3, LLC</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19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TRC-MRC 4, LLC</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TRC-MRC 5, LLC</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equity in earnings</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1"/>
                <w:szCs w:val="11"/>
                <w:color w:val="auto"/>
              </w:rPr>
              <w:t>*Percentage change not meaningful</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84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260" w:right="14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Equity in earnings was $1,938,000 for the three months ended June 30, 2023, an increase of $275,000, from $1,663,000 during the same period in 2022. The increase is primarily attributed to a combination of new leases at higher rental rates and rent escalations for the TRC-MRC 1-3 joint ventures.</w:t>
      </w:r>
    </w:p>
    <w:p>
      <w:pPr>
        <w:spacing w:after="0" w:line="58"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09"/>
              <w:spacing w:after="0"/>
              <w:rPr>
                <w:sz w:val="20"/>
                <w:szCs w:val="20"/>
                <w:color w:val="auto"/>
              </w:rPr>
            </w:pPr>
            <w:r>
              <w:rPr>
                <w:rFonts w:ascii="Arial" w:cs="Arial" w:eastAsia="Arial" w:hAnsi="Arial"/>
                <w:sz w:val="14"/>
                <w:szCs w:val="14"/>
                <w:color w:val="auto"/>
              </w:rPr>
              <w:t>Six Months Ended June 30,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color w:val="auto"/>
              </w:rPr>
              <w:t>Change</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Arial" w:cs="Arial" w:eastAsia="Arial" w:hAnsi="Arial"/>
                <w:sz w:val="14"/>
                <w:szCs w:val="14"/>
                <w:color w:val="auto"/>
              </w:rPr>
              <w:t>($ in thousands)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20"/>
                <w:szCs w:val="20"/>
                <w:color w:val="auto"/>
              </w:rPr>
            </w:pPr>
            <w:r>
              <w:rPr>
                <w:rFonts w:ascii="Arial" w:cs="Arial" w:eastAsia="Arial" w:hAnsi="Arial"/>
                <w:sz w:val="14"/>
                <w:szCs w:val="14"/>
                <w:color w:val="auto"/>
              </w:rPr>
              <w:t>Equity in earnings (loss)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Petro Travel Plaza Holdings, LLC</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3,087</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w:t>
            </w:r>
          </w:p>
        </w:tc>
        <w:tc>
          <w:tcPr>
            <w:tcW w:w="5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740" w:type="dxa"/>
            <w:vAlign w:val="bottom"/>
          </w:tcPr>
          <w:p>
            <w:pPr>
              <w:ind w:left="160"/>
              <w:spacing w:after="0"/>
              <w:rPr>
                <w:sz w:val="20"/>
                <w:szCs w:val="20"/>
                <w:color w:val="auto"/>
              </w:rPr>
            </w:pPr>
            <w:r>
              <w:rPr>
                <w:rFonts w:ascii="Arial" w:cs="Arial" w:eastAsia="Arial" w:hAnsi="Arial"/>
                <w:sz w:val="14"/>
                <w:szCs w:val="14"/>
                <w:color w:val="auto"/>
              </w:rPr>
              <w:t>18-19 West, LLC</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6"/>
        </w:trPr>
        <w:tc>
          <w:tcPr>
            <w:tcW w:w="3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TRCC/Rock Outlet Center, LLC</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80"/>
        </w:trPr>
        <w:tc>
          <w:tcPr>
            <w:tcW w:w="3740" w:type="dxa"/>
            <w:vAlign w:val="bottom"/>
          </w:tcPr>
          <w:p>
            <w:pPr>
              <w:ind w:left="160"/>
              <w:spacing w:after="0"/>
              <w:rPr>
                <w:sz w:val="20"/>
                <w:szCs w:val="20"/>
                <w:color w:val="auto"/>
              </w:rPr>
            </w:pPr>
            <w:r>
              <w:rPr>
                <w:rFonts w:ascii="Arial" w:cs="Arial" w:eastAsia="Arial" w:hAnsi="Arial"/>
                <w:sz w:val="14"/>
                <w:szCs w:val="14"/>
                <w:color w:val="auto"/>
              </w:rPr>
              <w:t>TRC-MRC 1,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TRC-MRC 2, LLC</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80"/>
        </w:trPr>
        <w:tc>
          <w:tcPr>
            <w:tcW w:w="3740" w:type="dxa"/>
            <w:vAlign w:val="bottom"/>
          </w:tcPr>
          <w:p>
            <w:pPr>
              <w:ind w:left="160"/>
              <w:spacing w:after="0"/>
              <w:rPr>
                <w:sz w:val="20"/>
                <w:szCs w:val="20"/>
                <w:color w:val="auto"/>
              </w:rPr>
            </w:pPr>
            <w:r>
              <w:rPr>
                <w:rFonts w:ascii="Arial" w:cs="Arial" w:eastAsia="Arial" w:hAnsi="Arial"/>
                <w:sz w:val="14"/>
                <w:szCs w:val="14"/>
                <w:color w:val="auto"/>
              </w:rPr>
              <w:t>TRC-MRC 3,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1"/>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TRC-MRC 4,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TRC-MRC 5, LLC</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equity in earnings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*Percentage change not meaningful</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right="20" w:hanging="255"/>
        <w:spacing w:after="0" w:line="267"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Equity in earnings was $3,455,000 for the six months ended June 30, 2023, an increase of $579,000, or 20%, from $2,876,000 during the same period in 2022. The increase is primarily attributed to a combination of new leases at higher rental rates and rent escalations for the TRC-MRC 1-3 joint ventures. Additionally, the lease within the TRC-MRC 4 joint venture commenced in late 2022, bringing on a new revenue stream.</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"Non-GAAP Financial Measures" for further financial discussion of the results of our joint ventures.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General Outlook</w:t>
      </w:r>
    </w:p>
    <w:p>
      <w:pPr>
        <w:spacing w:after="0" w:line="87"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46"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2022, or Annual Report, and to Part I, Item 1A - "Risk Factors" of our Annual Report. We continue to be involved in various legal proceedings related to leased acreage. For further discussion, please refer to Note 12 (Commitments and Contingencies) of the Notes to Unaudited Consolidated Financial Statements in this report.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6EBF"/>
        </w:rPr>
        <w:t>Income Taxes</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For the six months ended June 30, 2023, we had net income tax expense of $1,404,000 compared to $3,041,000 for the six months ended June 30, 2022. The effective tax rates approximated 41% and 45% for the six months ended June 30, 2023 and 2022, respectively. As of June 30, 2023, income tax payables were $873,000. We classify interest and penalties incurred on tax payments as income tax expenses. Our effective tax rates were higher than statutory rates primarily because of permanent differences related to Section 162(m). The Section 162(m) compensation deduction limitations occurred due to changes in tax law arising from the 2017 Tax Cuts and Jobs Act.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Cash Flow and Liquidity</w:t>
      </w:r>
    </w:p>
    <w:p>
      <w:pPr>
        <w:spacing w:after="0" w:line="87"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18" w:lineRule="exact"/>
        <w:rPr>
          <w:sz w:val="20"/>
          <w:szCs w:val="20"/>
          <w:color w:val="auto"/>
        </w:rPr>
      </w:pPr>
    </w:p>
    <w:p>
      <w:pPr>
        <w:ind w:right="520"/>
        <w:spacing w:after="0" w:line="267" w:lineRule="auto"/>
        <w:rPr>
          <w:sz w:val="20"/>
          <w:szCs w:val="20"/>
          <w:color w:val="auto"/>
        </w:rPr>
      </w:pPr>
      <w:r>
        <w:rPr>
          <w:rFonts w:ascii="Arial" w:cs="Arial" w:eastAsia="Arial" w:hAnsi="Arial"/>
          <w:sz w:val="14"/>
          <w:szCs w:val="14"/>
          <w:color w:val="auto"/>
        </w:rPr>
        <w:t>To enhance shareholder value over the long-term, we expect to continue to make investments in our real estate segments to secure land entitlement approvals, build infrastructure for our developments,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46" w:lineRule="exact"/>
        <w:rPr>
          <w:sz w:val="20"/>
          <w:szCs w:val="20"/>
          <w:color w:val="auto"/>
        </w:rPr>
      </w:pPr>
    </w:p>
    <w:p>
      <w:pPr>
        <w:ind w:right="1960"/>
        <w:spacing w:after="0" w:line="392" w:lineRule="auto"/>
        <w:rPr>
          <w:sz w:val="20"/>
          <w:szCs w:val="20"/>
          <w:color w:val="auto"/>
        </w:rPr>
      </w:pPr>
      <w:r>
        <w:rPr>
          <w:rFonts w:ascii="Arial" w:cs="Arial" w:eastAsia="Arial" w:hAnsi="Arial"/>
          <w:sz w:val="14"/>
          <w:szCs w:val="14"/>
          <w:color w:val="auto"/>
        </w:rPr>
        <w:t>Our cash, cash equivalents and marketable securities totaled $66,993,000 as of June 30, 2023, a decrease of $5,570,000 from $72,563,000 as of December 31, 2022. The following table shows our cash flow activities for the six months ended June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2022</w:t>
            </w:r>
          </w:p>
        </w:tc>
      </w:tr>
      <w:tr>
        <w:trPr>
          <w:trHeight w:val="182"/>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1"/>
              </w:rPr>
              <w:t>1,169</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w:t>
            </w:r>
          </w:p>
        </w:tc>
      </w:tr>
      <w:tr>
        <w:trPr>
          <w:trHeight w:val="180"/>
        </w:trPr>
        <w:tc>
          <w:tcPr>
            <w:tcW w:w="76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180" w:type="dxa"/>
            <w:vAlign w:val="bottom"/>
          </w:tcPr>
          <w:p>
            <w:pPr>
              <w:jc w:val="right"/>
              <w:ind w:right="1009"/>
              <w:spacing w:after="0"/>
              <w:rPr>
                <w:sz w:val="20"/>
                <w:szCs w:val="20"/>
                <w:color w:val="auto"/>
              </w:rPr>
            </w:pPr>
            <w:r>
              <w:rPr>
                <w:rFonts w:ascii="Arial" w:cs="Arial" w:eastAsia="Arial" w:hAnsi="Arial"/>
                <w:sz w:val="14"/>
                <w:szCs w:val="14"/>
                <w:color w:val="auto"/>
              </w:rPr>
              <w:t>$</w:t>
            </w:r>
          </w:p>
        </w:tc>
        <w:tc>
          <w:tcPr>
            <w:tcW w:w="600" w:type="dxa"/>
            <w:vAlign w:val="bottom"/>
          </w:tcPr>
          <w:p>
            <w:pPr>
              <w:jc w:val="center"/>
              <w:ind w:left="69"/>
              <w:spacing w:after="0"/>
              <w:rPr>
                <w:sz w:val="20"/>
                <w:szCs w:val="20"/>
                <w:color w:val="auto"/>
              </w:rPr>
            </w:pPr>
            <w:r>
              <w:rPr>
                <w:rFonts w:ascii="Arial" w:cs="Arial" w:eastAsia="Arial" w:hAnsi="Arial"/>
                <w:sz w:val="14"/>
                <w:szCs w:val="14"/>
                <w:color w:val="auto"/>
                <w:w w:val="94"/>
              </w:rPr>
              <w:t>(9,480)</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(18,427)</w:t>
            </w:r>
          </w:p>
        </w:tc>
      </w:tr>
      <w:tr>
        <w:trPr>
          <w:trHeight w:val="181"/>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4"/>
              </w:rPr>
              <w:t>(3,466)</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2023, our operations provided $1,169,000 primarily as a result of distributions of earnings from unconsolidated joint ventures and net income from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2022, our operations provided $2,658,000 primarily as a result of distributions of earnings from unconsolidated joint ventures and net income from operations.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2023, investing activities used $9,480,000. We made capital expenditures, inclusive of capitalized interest and payroll (exclusive of stock compensation), of</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$10,188,000, which includes predevelopment activities for our master planned communities; $1,006,000 consisting of permitting efforts for MV; $664,000 consisting of permitting efforts for Grapevine; and costs related to litigation defense for Centennial of $1,628,000. At TRCC, we spent $3,667,000 on infrastructure improvements at TRCC-East. Within our farming segment, we spent $2,738,000, which includes cultural costs for orchards currently classified as under development and replacing machinery and equipment. Lastly, we used $4,666,000 to acquire water assets. We had marketable securities of $53,038,000 that matured, and we reinvested $58,930,000. Lastly, we received proceeds of $10,692,000, and $1,324,000 from joint venture distributions, and water sales,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2022, investing activities used $18,427,000. We made capital expenditures, inclusive of capitalized interest and payroll (exclusive of stock compensation), of</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$12,288,000, which includes predevelopment activities for our master planned communities; $1,292,000 consisting of permitting efforts for MV; $420,000 consisting of permitting efforts for Grapevine, and costs related to litigation defense for Centennial of $2,067,000. At TRCC, we spent $4,480,000 on infrastructure improvements and planning on the residential community at TRCC-East. Within our farming segment, we spent $3,690,000 which includes cultural costs for orchards not currently in production and replacing machinery and equipment. Lastly, we used $988,000 to acquire water assets. We had marketable securities of $20,322,000 that matured, and we reinvested $36,783,000. Lastly, we received proceeds of $2,899,000, $3,973,000, and $4,438,000, from joint venture distributions, water sales, and land sales,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37" w:name="page38"/>
    <w:bookmarkEnd w:id="37"/>
    <w:p>
      <w:pPr>
        <w:ind w:right="80"/>
        <w:spacing w:after="0" w:line="281" w:lineRule="auto"/>
        <w:rPr>
          <w:sz w:val="20"/>
          <w:szCs w:val="20"/>
          <w:color w:val="auto"/>
        </w:rPr>
      </w:pPr>
      <w:r>
        <w:rPr>
          <w:rFonts w:ascii="Arial" w:cs="Arial" w:eastAsia="Arial" w:hAnsi="Arial"/>
          <w:sz w:val="14"/>
          <w:szCs w:val="14"/>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6"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Our estimated capital investment, inclusive of capitalized interest and payroll, for the remainder of 2023 is primarily related to our real estate projects. These estimated investments include approximately $10,198,000 of infrastructure development at TRCC-East to support continued commercial retail and industrial development and to design and construct water facilities to support future anticipated absorption. We also plan to continue to invest in cultural costs tied to new almond orchards and vineyards, and to replace farm equipment. The farm investments are part of a long-term farm management program to redevelop declining orchards and vineyards to maintain and improve future farm revenues. Lastly, we expect to invest up to $4,542,000 for land planning, litigation/appeals, federal and state agency permitting activities, and development activities at MV, Centennial, and Grapevine during the remainder of 2023.</w:t>
      </w:r>
    </w:p>
    <w:p>
      <w:pPr>
        <w:spacing w:after="0" w:line="3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six months ended June 30, 2023 and 2022, was $1,210,000 and $1,154,000, respectively, and is classified within real estate development. We also capitalized payroll costs related to development, pre-construction, and construction projects which aggregated $1,258,000 and $1,311,000 for the six months ended June 30, 2023 and 2022, respectively. Expenditures for repairs and maintenance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2023, financing activities used $3,466,000, which was attributable to long-term debt service of $872,000, and tax payments on vested share grants of $2,594,000.</w:t>
      </w:r>
    </w:p>
    <w:p>
      <w:pPr>
        <w:spacing w:after="0" w:line="95"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During the first six months of 2022, financing activities used $2,062,000, which was attributable to long-term debt service of $50,962,000, tax payments on vested share grants of $1,122,000, offset by debt issuance of $49,080,000 and proceeds from interest rate swap termination of $1,123,000.</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Based on our experience, we believe we will have adequate cash flows, cash balances, and availability on our line of credit (discussed below) over the next twelve months to fund internal operations. As we move forward with the completion of our litigation, permitting and engineering design for our master planned communities and prepare to move into the development stage, we will need to secure additional funding through the issuance of equity or secure other forms of financing such as joint ventures and possibly debt financing.</w:t>
      </w:r>
    </w:p>
    <w:p>
      <w:pPr>
        <w:spacing w:after="0" w:line="45"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We regularly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Capital Structure and Financial Condition</w:t>
      </w:r>
    </w:p>
    <w:p>
      <w:pPr>
        <w:spacing w:after="0" w:line="87"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At June 30, 2023, total capitalization at book value was $528,359,000, consisting of $49,282,000 of debt and $479,077,000 of equity, resulting in a debt-to-total-capitalization ratio of approximately 9.3%.</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On June 30, 2022, we entered into a variable rate term note, or New Term Note, and a New Revolving Line of Credit Note, or New RLC, with Bank of America, N.A, (Lender) or collectively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New Credit Facility. The New Term Loan provides a principal amount of $49,080,000 and a maturity date of June 30, 2032, which was used to pay off the existing Wells Fargo Amended Term Note.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We evaluated the exchange under ASC 470 and determined that the exchange should be treated as a debt extinguishment. The amount available from the New RLC under the New Credit Facility is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$40,607,000. As a subfacility under the New RLC, the Lender agrees to provide up to $10,000,000 of capacity to issue standby letters of credit. The Company currently has $4,393,000 outstanding 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 standby letter of credit (see Off-Balance Sheet Arrangements section below for further discussion). We can issue an additional $5,607,000 in standby letters of credit. The allocation of the credit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availability to a letter of credit does not incur an interest cost.</w:t>
      </w:r>
    </w:p>
    <w:p>
      <w:pPr>
        <w:spacing w:after="0" w:line="73"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The New Term Note had a $47,721,000 balance as of June 30, 2023. The interest rate per annum applicable to the New Term Loan is the daily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30, 2032. The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38" w:name="page39"/>
    <w:bookmarkEnd w:id="38"/>
    <w:p>
      <w:pPr>
        <w:ind w:right="120"/>
        <w:spacing w:after="0" w:line="281" w:lineRule="auto"/>
        <w:rPr>
          <w:sz w:val="20"/>
          <w:szCs w:val="20"/>
          <w:color w:val="auto"/>
        </w:rPr>
      </w:pPr>
      <w:r>
        <w:rPr>
          <w:rFonts w:ascii="Arial" w:cs="Arial" w:eastAsia="Arial" w:hAnsi="Arial"/>
          <w:sz w:val="14"/>
          <w:szCs w:val="14"/>
          <w:color w:val="auto"/>
        </w:rPr>
        <w:t>New Credit Facility is secured by our farmland and farm assets, which include equipment, crops and crop receivables; the PEF power plant lease and lease site; and related accounts and other rights to payment and inventory.</w:t>
      </w:r>
    </w:p>
    <w:p>
      <w:pPr>
        <w:spacing w:after="0" w:line="90"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color w:val="auto"/>
        </w:rPr>
        <w:t>The New RLC had no outstanding balance as of June 30, 2023. At our option, the interest rate on this line of credit can float at a rate equal to Daily SOFR plus 1.37% or can be fixed at a rate equal to Term SOFR plus 1.37% for interest periods elected by us. During the term of the New RLC (which expires on June 30, 2027), the Company can borrow at any time and partially or wholly repay any outstanding borrowings and then re-borrow, as necessary.</w:t>
      </w:r>
    </w:p>
    <w:p>
      <w:pPr>
        <w:spacing w:after="0" w:line="99"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Any future borrowings under the New RLC are expected to be used for ongoing working capital requirements and other general corporate purposes. To maintain availability of funds under the New RLC, undrawn amounts under the New RLC will accrue a commitment fee of 10 basis points per annum. Our ability to borrow additional funds in the future under the New RLC is subject to compliance with certain financial covenants and making certain representations and warranties, which are typical in this type of borrowing arrangement.</w:t>
      </w:r>
    </w:p>
    <w:p>
      <w:pPr>
        <w:spacing w:after="0" w:line="18"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The New Credit Facility requires compliance with two financial covenants: (a) total liabilities divided by tangible net worth not greater than 0.75 to 1.0 at each quarter end; and (b) a debt service coverage ratio not less than 1.25 to 1.00 as of each quarter end on a rolling four quarter basis.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At June 30, 2023 and December 31, 2022, the Company was in compliance with all financial covenants.</w:t>
      </w:r>
    </w:p>
    <w:p>
      <w:pPr>
        <w:spacing w:after="0" w:line="83" w:lineRule="exact"/>
        <w:rPr>
          <w:sz w:val="20"/>
          <w:szCs w:val="20"/>
          <w:color w:val="auto"/>
        </w:rPr>
      </w:pPr>
    </w:p>
    <w:p>
      <w:pPr>
        <w:ind w:right="660"/>
        <w:spacing w:after="0" w:line="350" w:lineRule="auto"/>
        <w:rPr>
          <w:sz w:val="20"/>
          <w:szCs w:val="20"/>
          <w:color w:val="auto"/>
        </w:rPr>
      </w:pPr>
      <w:r>
        <w:rPr>
          <w:rFonts w:ascii="Arial" w:cs="Arial" w:eastAsia="Arial" w:hAnsi="Arial"/>
          <w:sz w:val="12"/>
          <w:szCs w:val="12"/>
          <w:color w:val="auto"/>
        </w:rPr>
        <w:t>The New Credit Facility also contains customary negative covenants that limit the ability for us to, among other things, make capital expenditures, incur indebtedness and issue guaranties, consummate certain assets sales, acquisitions or mergers, make investments, pay dividends or repurchase stock, make a change in capital ownership, or incur liens on any assets.</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New Credit Facility contains customary events of default, including: failure to make required payments; failure to comply with terms of the New Credit Facility; bankruptcy and insolvency. The New Credit Facility contains other customary terms and conditions, including representations and warranties, which are typical for credit facilities of this type.</w:t>
      </w:r>
    </w:p>
    <w:p>
      <w:pPr>
        <w:spacing w:after="0" w:line="3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also have a $4,750,000 promissory note agreement, whose monthly principal and interest began October 1, 2013. The interest rate on this promissory note is 4.25% per annum, with principal and interest payments ending on September 1, 2028. The balance as of June 30, 2023 was $1,561,000.</w:t>
      </w:r>
    </w:p>
    <w:p>
      <w:pPr>
        <w:spacing w:after="0" w:line="37"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1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May 2022, we filed an updated shelf registration statement on Form S-3, which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50" w:lineRule="exact"/>
        <w:rPr>
          <w:sz w:val="20"/>
          <w:szCs w:val="20"/>
          <w:color w:val="auto"/>
        </w:rPr>
      </w:pPr>
    </w:p>
    <w:p>
      <w:pPr>
        <w:jc w:val="both"/>
        <w:ind w:right="220"/>
        <w:spacing w:after="0" w:line="297" w:lineRule="auto"/>
        <w:rPr>
          <w:sz w:val="20"/>
          <w:szCs w:val="20"/>
          <w:color w:val="auto"/>
        </w:rPr>
      </w:pPr>
      <w:r>
        <w:rPr>
          <w:rFonts w:ascii="Arial" w:cs="Arial" w:eastAsia="Arial" w:hAnsi="Arial"/>
          <w:sz w:val="13"/>
          <w:szCs w:val="13"/>
          <w:color w:val="auto"/>
        </w:rPr>
        <w:t>Although we have a strong liquidity position at June 30, 2023 with $66,993,000 in cash and securities and $40,607,000 available on our New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spacing w:after="0" w:line="29"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006EBF"/>
        </w:rPr>
        <w:t>Contractual Cash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cash obligations and commercial commitments as of June 30, 2023, to be paid over the next five years and thereafter:</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color w:val="auto"/>
              </w:rPr>
              <w:t>Payments Due by Period</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1"/>
        </w:trPr>
        <w:tc>
          <w:tcPr>
            <w:tcW w:w="39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98"/>
              </w:rPr>
              <w:t>One Year or Less</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Years 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Years 4-5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Thereafter</w:t>
            </w:r>
          </w:p>
        </w:tc>
      </w:tr>
      <w:tr>
        <w:trPr>
          <w:trHeight w:val="171"/>
        </w:trPr>
        <w:tc>
          <w:tcPr>
            <w:tcW w:w="3940" w:type="dxa"/>
            <w:vAlign w:val="bottom"/>
          </w:tcPr>
          <w:p>
            <w:pPr>
              <w:ind w:left="20"/>
              <w:spacing w:after="0"/>
              <w:rPr>
                <w:sz w:val="20"/>
                <w:szCs w:val="20"/>
                <w:color w:val="auto"/>
              </w:rPr>
            </w:pPr>
            <w:r>
              <w:rPr>
                <w:rFonts w:ascii="Arial" w:cs="Arial" w:eastAsia="Arial" w:hAnsi="Arial"/>
                <w:sz w:val="14"/>
                <w:szCs w:val="14"/>
                <w:color w:val="auto"/>
              </w:rPr>
              <w:t>Contractual Obligations: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water payments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200,387</w:t>
            </w:r>
          </w:p>
        </w:tc>
      </w:tr>
      <w:tr>
        <w:trPr>
          <w:trHeight w:val="185"/>
        </w:trPr>
        <w:tc>
          <w:tcPr>
            <w:tcW w:w="3940" w:type="dxa"/>
            <w:vAlign w:val="bottom"/>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49,282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39,233</w:t>
            </w:r>
          </w:p>
        </w:tc>
      </w:tr>
      <w:tr>
        <w:trPr>
          <w:trHeight w:val="186"/>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on long-term debt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6,450</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Cash contract commitments</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9,989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1,071</w:t>
            </w:r>
          </w:p>
        </w:tc>
      </w:tr>
      <w:tr>
        <w:trPr>
          <w:trHeight w:val="19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Defined Benefit Plan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SERP</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4,973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2,291</w:t>
            </w:r>
          </w:p>
        </w:tc>
      </w:tr>
      <w:tr>
        <w:trPr>
          <w:trHeight w:val="180"/>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Financing fees</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3940" w:type="dxa"/>
            <w:vAlign w:val="bottom"/>
          </w:tcPr>
          <w:p>
            <w:pPr>
              <w:ind w:left="280"/>
              <w:spacing w:after="0"/>
              <w:rPr>
                <w:sz w:val="20"/>
                <w:szCs w:val="20"/>
                <w:color w:val="auto"/>
              </w:rPr>
            </w:pPr>
            <w:r>
              <w:rPr>
                <w:rFonts w:ascii="Arial" w:cs="Arial" w:eastAsia="Arial" w:hAnsi="Arial"/>
                <w:sz w:val="14"/>
                <w:szCs w:val="14"/>
                <w:color w:val="auto"/>
              </w:rPr>
              <w:t>Total contractual obligations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353,790</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24,540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38,275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38,981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251,994</w:t>
            </w:r>
          </w:p>
        </w:tc>
      </w:tr>
      <w:tr>
        <w:trPr>
          <w:trHeight w:val="20"/>
        </w:trPr>
        <w:tc>
          <w:tcPr>
            <w:tcW w:w="3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table above includes only those contracts that include fixed or minimum obligations. It does not include normal purchases that are made in the ordinary course of business.</w:t>
      </w:r>
    </w:p>
    <w:p>
      <w:pPr>
        <w:spacing w:after="0" w:line="8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36" w:lineRule="exact"/>
        <w:rPr>
          <w:sz w:val="20"/>
          <w:szCs w:val="20"/>
          <w:color w:val="auto"/>
        </w:rPr>
      </w:pPr>
    </w:p>
    <w:p>
      <w:pPr>
        <w:jc w:val="both"/>
        <w:ind w:right="380"/>
        <w:spacing w:after="0" w:line="267" w:lineRule="auto"/>
        <w:rPr>
          <w:sz w:val="20"/>
          <w:szCs w:val="20"/>
          <w:color w:val="auto"/>
        </w:rPr>
      </w:pPr>
      <w:r>
        <w:rPr>
          <w:rFonts w:ascii="Arial" w:cs="Arial" w:eastAsia="Arial" w:hAnsi="Arial"/>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46" w:lineRule="exact"/>
        <w:rPr>
          <w:sz w:val="20"/>
          <w:szCs w:val="20"/>
          <w:color w:val="auto"/>
        </w:rPr>
      </w:pPr>
    </w:p>
    <w:p>
      <w:pPr>
        <w:jc w:val="both"/>
        <w:ind w:right="180"/>
        <w:spacing w:after="0" w:line="297" w:lineRule="auto"/>
        <w:rPr>
          <w:sz w:val="20"/>
          <w:szCs w:val="20"/>
          <w:color w:val="auto"/>
        </w:rPr>
      </w:pPr>
      <w:r>
        <w:rPr>
          <w:rFonts w:ascii="Arial" w:cs="Arial" w:eastAsia="Arial" w:hAnsi="Arial"/>
          <w:sz w:val="13"/>
          <w:szCs w:val="13"/>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expect to contribute $165,000 to our defined benefit plan in 2023.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20"/>
                <w:szCs w:val="20"/>
                <w:color w:val="auto"/>
              </w:rPr>
            </w:pPr>
            <w:r>
              <w:rPr>
                <w:rFonts w:ascii="Arial" w:cs="Arial" w:eastAsia="Arial" w:hAnsi="Arial"/>
                <w:sz w:val="14"/>
                <w:szCs w:val="14"/>
                <w:b w:val="1"/>
                <w:bCs w:val="1"/>
                <w:color w:val="006EBF"/>
              </w:rPr>
              <w:t>Off-Balance Sheet Arrangements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7000" w:type="dxa"/>
            <w:vAlign w:val="bottom"/>
            <w:gridSpan w:val="6"/>
          </w:tcPr>
          <w:p>
            <w:pPr>
              <w:spacing w:after="0"/>
              <w:rPr>
                <w:sz w:val="20"/>
                <w:szCs w:val="20"/>
                <w:color w:val="auto"/>
              </w:rPr>
            </w:pPr>
            <w:r>
              <w:rPr>
                <w:rFonts w:ascii="Arial" w:cs="Arial" w:eastAsia="Arial" w:hAnsi="Arial"/>
                <w:sz w:val="14"/>
                <w:szCs w:val="14"/>
                <w:color w:val="auto"/>
              </w:rPr>
              <w:t>The following table shows contingent obligations we have with respect to certain bonds issued by the CFDs: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4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center"/>
              <w:ind w:right="169"/>
              <w:spacing w:after="0"/>
              <w:rPr>
                <w:sz w:val="20"/>
                <w:szCs w:val="20"/>
                <w:color w:val="auto"/>
              </w:rPr>
            </w:pPr>
            <w:r>
              <w:rPr>
                <w:rFonts w:ascii="Arial" w:cs="Arial" w:eastAsia="Arial" w:hAnsi="Arial"/>
                <w:sz w:val="14"/>
                <w:szCs w:val="14"/>
                <w:color w:val="auto"/>
                <w:w w:val="93"/>
              </w:rPr>
              <w:t>Amount of Commitment Expiration Per Period</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1"/>
        </w:trPr>
        <w:tc>
          <w:tcPr>
            <w:tcW w:w="43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&lt; 1 year</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w w:val="89"/>
              </w:rPr>
              <w:t>2 -3 Years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4 -5 Years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After 5 Years</w:t>
            </w:r>
          </w:p>
        </w:tc>
      </w:tr>
      <w:tr>
        <w:trPr>
          <w:trHeight w:val="161"/>
        </w:trPr>
        <w:tc>
          <w:tcPr>
            <w:tcW w:w="4300" w:type="dxa"/>
            <w:vAlign w:val="bottom"/>
          </w:tcPr>
          <w:p>
            <w:pPr>
              <w:ind w:left="20"/>
              <w:spacing w:after="0"/>
              <w:rPr>
                <w:sz w:val="20"/>
                <w:szCs w:val="20"/>
                <w:color w:val="auto"/>
              </w:rPr>
            </w:pPr>
            <w:r>
              <w:rPr>
                <w:rFonts w:ascii="Arial" w:cs="Arial" w:eastAsia="Arial" w:hAnsi="Arial"/>
                <w:sz w:val="14"/>
                <w:szCs w:val="14"/>
                <w:color w:val="auto"/>
              </w:rPr>
              <w:t>Other Commercial Commitments:</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1"/>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Standby letter of credit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t>
            </w:r>
          </w:p>
        </w:tc>
      </w:tr>
      <w:tr>
        <w:trPr>
          <w:trHeight w:val="171"/>
        </w:trPr>
        <w:tc>
          <w:tcPr>
            <w:tcW w:w="4300" w:type="dxa"/>
            <w:vAlign w:val="bottom"/>
          </w:tcPr>
          <w:p>
            <w:pPr>
              <w:ind w:left="120"/>
              <w:spacing w:after="0"/>
              <w:rPr>
                <w:sz w:val="20"/>
                <w:szCs w:val="20"/>
                <w:color w:val="auto"/>
              </w:rPr>
            </w:pPr>
            <w:r>
              <w:rPr>
                <w:rFonts w:ascii="Arial" w:cs="Arial" w:eastAsia="Arial" w:hAnsi="Arial"/>
                <w:sz w:val="14"/>
                <w:szCs w:val="14"/>
                <w:color w:val="auto"/>
              </w:rPr>
              <w:t>Total other commercial commitments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4,393</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4"/>
                <w:szCs w:val="14"/>
                <w:color w:val="auto"/>
              </w:rPr>
              <w:t>—</w:t>
            </w: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The TRPFFA is a joint powers authority formed by Kern County and TCWD to finance public infrastructure within our Kern County developments. TRPFFA created two CFDs, the West CFD and the East CFD. The West CFD has placed liens on 420 acres of our land to secure payment of special taxes related to $19,540,000 of bond debt sold by TRPFFA for TRCC-West. The East CFD has placed liens on 1,931 acres of our land to secure payments of special taxes related to $72,055,000 of bond debt sold by TRPFFA for TRCC-East. At TRCC-West, the West CFD has no additional bond debt approved for issuance. At TRCC-East, the East CFD has approximately $44,035,000 of additional bond debt authorized by TRPFFA.</w:t>
      </w:r>
    </w:p>
    <w:p>
      <w:pPr>
        <w:spacing w:after="0" w:line="36"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color w:val="auto"/>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we, as the largest landowner in the CFD, fails to make its property tax payments. As development occurs within TRCC-East, there is a mechanism in the bond documents to reduce the amount of the letter of credit. As of June 30, 2023, we believe that the letter of credit will likely never be drawn upon. This letter of credit is for a two-year period and will be renewed in two-year intervals as necessary. The annual cost related to the letter of credit is approximately $62,000. The tax assessment of each individual property sold or leased within each CFD is not determinable at this time because it is based on the current tax rate of the property at the time of sale or at the time it is leased to a third-party. Accordingly, we are not required to recognize an obligation as of June 30, 2023.</w:t>
      </w:r>
    </w:p>
    <w:p>
      <w:pPr>
        <w:spacing w:after="0" w:line="28"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As of June 30, 2023, aggregate outstanding debt of unconsolidated joint ventures was $191,635,000; $178,698,000 of this debt is subject to various degrees of guarantees ranging from 0% to 100% of the total debt outstanding, with construction loans generally being 100% guaranteed. As of June 30, 2023, only $37,684,000 of outstanding debt is subject to guarantees. Because of positive cash flow generation within the Rockefeller and Majestic joint ventures, we, as of June 30, 2023, do not expect any guarantee to be called upon. We do not provide a guarantee on the $12,937,000 of debt related to our joint venture with TA/Petro.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006EBF"/>
        </w:rPr>
        <w:t>Non-GAAP Financial Measures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3"/>
          <w:szCs w:val="13"/>
          <w:color w:val="auto"/>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809"/>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90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2"/>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5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(loss) income attributable to non-controlling interest</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w:t>
            </w:r>
          </w:p>
        </w:tc>
        <w:tc>
          <w:tcPr>
            <w:tcW w:w="0" w:type="dxa"/>
            <w:vAlign w:val="bottom"/>
          </w:tcPr>
          <w:p>
            <w:pPr>
              <w:spacing w:after="0"/>
              <w:rPr>
                <w:sz w:val="1"/>
                <w:szCs w:val="1"/>
                <w:color w:val="auto"/>
              </w:rPr>
            </w:pP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color w:val="auto"/>
              </w:rPr>
              <w:t>Interest, net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Consolidated</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Our share of interest expense from unconsolidated joint ventures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82"/>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interest, net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3,041</w:t>
            </w:r>
          </w:p>
        </w:tc>
        <w:tc>
          <w:tcPr>
            <w:tcW w:w="0" w:type="dxa"/>
            <w:vAlign w:val="bottom"/>
          </w:tcPr>
          <w:p>
            <w:pPr>
              <w:spacing w:after="0"/>
              <w:rPr>
                <w:sz w:val="1"/>
                <w:szCs w:val="1"/>
                <w:color w:val="auto"/>
              </w:rPr>
            </w:pPr>
          </w:p>
        </w:tc>
      </w:tr>
      <w:tr>
        <w:trPr>
          <w:trHeight w:val="18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tcPr>
          <w:p>
            <w:pPr>
              <w:ind w:left="120"/>
              <w:spacing w:after="0"/>
              <w:rPr>
                <w:sz w:val="20"/>
                <w:szCs w:val="20"/>
                <w:color w:val="auto"/>
              </w:rPr>
            </w:pPr>
            <w:r>
              <w:rPr>
                <w:rFonts w:ascii="Arial" w:cs="Arial" w:eastAsia="Arial" w:hAnsi="Arial"/>
                <w:sz w:val="14"/>
                <w:szCs w:val="14"/>
                <w:color w:val="auto"/>
              </w:rPr>
              <w:t>Consolidated</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43"/>
        </w:trPr>
        <w:tc>
          <w:tcPr>
            <w:tcW w:w="420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w w:val="95"/>
              </w:rPr>
              <w:t>Our share of depreciation and amortization from unconsolidated joint</w:t>
            </w:r>
          </w:p>
        </w:tc>
        <w:tc>
          <w:tcPr>
            <w:tcW w:w="4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ventures</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Total depreciation and amortization</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2,326</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4,588</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12,106</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 compensation expense</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14,193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6"/>
          </w:tcPr>
          <w:p>
            <w:pPr>
              <w:jc w:val="right"/>
              <w:ind w:right="269"/>
              <w:spacing w:after="0"/>
              <w:rPr>
                <w:sz w:val="20"/>
                <w:szCs w:val="20"/>
                <w:color w:val="auto"/>
              </w:rPr>
            </w:pPr>
            <w:r>
              <w:rPr>
                <w:rFonts w:ascii="Arial" w:cs="Arial" w:eastAsia="Arial" w:hAnsi="Arial"/>
                <w:sz w:val="14"/>
                <w:szCs w:val="14"/>
                <w:color w:val="auto"/>
              </w:rPr>
              <w:t>Three Months Ended June 30,</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gridSpan w:val="4"/>
          </w:tcPr>
          <w:p>
            <w:pPr>
              <w:jc w:val="right"/>
              <w:ind w:right="289"/>
              <w:spacing w:after="0"/>
              <w:rPr>
                <w:sz w:val="20"/>
                <w:szCs w:val="20"/>
                <w:color w:val="auto"/>
              </w:rPr>
            </w:pPr>
            <w:r>
              <w:rPr>
                <w:rFonts w:ascii="Arial" w:cs="Arial" w:eastAsia="Arial" w:hAnsi="Arial"/>
                <w:sz w:val="14"/>
                <w:szCs w:val="14"/>
                <w:color w:val="auto"/>
              </w:rPr>
              <w:t>Six Months Ended June 30,</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6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2023</w:t>
            </w:r>
          </w:p>
        </w:tc>
        <w:tc>
          <w:tcPr>
            <w:tcW w:w="5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2022</w:t>
            </w:r>
          </w:p>
        </w:tc>
        <w:tc>
          <w:tcPr>
            <w:tcW w:w="5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2023</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w:t>
            </w: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100"/>
              <w:spacing w:after="0"/>
              <w:rPr>
                <w:sz w:val="20"/>
                <w:szCs w:val="20"/>
                <w:color w:val="auto"/>
              </w:rPr>
            </w:pPr>
            <w:r>
              <w:rPr>
                <w:rFonts w:ascii="Arial" w:cs="Arial" w:eastAsia="Arial" w:hAnsi="Arial"/>
                <w:sz w:val="14"/>
                <w:szCs w:val="14"/>
                <w:color w:val="auto"/>
              </w:rPr>
              <w:t>Revenues</w:t>
            </w:r>
          </w:p>
        </w:tc>
        <w:tc>
          <w:tcPr>
            <w:tcW w:w="120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2,633</w:t>
            </w:r>
          </w:p>
        </w:tc>
        <w:tc>
          <w:tcPr>
            <w:tcW w:w="60" w:type="dxa"/>
            <w:vAlign w:val="bottom"/>
          </w:tcPr>
          <w:p>
            <w:pPr>
              <w:spacing w:after="0"/>
              <w:rPr>
                <w:sz w:val="15"/>
                <w:szCs w:val="15"/>
                <w:color w:val="auto"/>
              </w:rPr>
            </w:pPr>
          </w:p>
        </w:tc>
        <w:tc>
          <w:tcPr>
            <w:tcW w:w="1220" w:type="dxa"/>
            <w:vAlign w:val="bottom"/>
            <w:gridSpan w:val="3"/>
          </w:tcPr>
          <w:p>
            <w:pPr>
              <w:jc w:val="right"/>
              <w:ind w:right="96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2,462</w:t>
            </w:r>
          </w:p>
        </w:tc>
        <w:tc>
          <w:tcPr>
            <w:tcW w:w="40" w:type="dxa"/>
            <w:vAlign w:val="bottom"/>
          </w:tcPr>
          <w:p>
            <w:pPr>
              <w:spacing w:after="0"/>
              <w:rPr>
                <w:sz w:val="15"/>
                <w:szCs w:val="15"/>
                <w:color w:val="auto"/>
              </w:rPr>
            </w:pPr>
          </w:p>
        </w:tc>
        <w:tc>
          <w:tcPr>
            <w:tcW w:w="1200" w:type="dxa"/>
            <w:vAlign w:val="bottom"/>
            <w:gridSpan w:val="3"/>
          </w:tcPr>
          <w:p>
            <w:pPr>
              <w:jc w:val="right"/>
              <w:ind w:right="9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5,309</w:t>
            </w:r>
          </w:p>
        </w:tc>
        <w:tc>
          <w:tcPr>
            <w:tcW w:w="116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9,811</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Expenses</w:t>
            </w:r>
          </w:p>
        </w:tc>
        <w:tc>
          <w:tcPr>
            <w:tcW w:w="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w:t>
            </w: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Commercial/Industrial operating income</w:t>
            </w:r>
          </w:p>
        </w:tc>
        <w:tc>
          <w:tcPr>
            <w:tcW w:w="120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948</w:t>
            </w:r>
          </w:p>
        </w:tc>
        <w:tc>
          <w:tcPr>
            <w:tcW w:w="60" w:type="dxa"/>
            <w:vAlign w:val="bottom"/>
          </w:tcPr>
          <w:p>
            <w:pPr>
              <w:spacing w:after="0"/>
              <w:rPr>
                <w:sz w:val="15"/>
                <w:szCs w:val="15"/>
                <w:color w:val="auto"/>
              </w:rPr>
            </w:pPr>
          </w:p>
        </w:tc>
        <w:tc>
          <w:tcPr>
            <w:tcW w:w="1220" w:type="dxa"/>
            <w:vAlign w:val="bottom"/>
            <w:gridSpan w:val="3"/>
          </w:tcPr>
          <w:p>
            <w:pPr>
              <w:jc w:val="right"/>
              <w:ind w:right="96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640</w:t>
            </w:r>
          </w:p>
        </w:tc>
        <w:tc>
          <w:tcPr>
            <w:tcW w:w="40" w:type="dxa"/>
            <w:vAlign w:val="bottom"/>
          </w:tcPr>
          <w:p>
            <w:pPr>
              <w:spacing w:after="0"/>
              <w:rPr>
                <w:sz w:val="15"/>
                <w:szCs w:val="15"/>
                <w:color w:val="auto"/>
              </w:rPr>
            </w:pPr>
          </w:p>
        </w:tc>
        <w:tc>
          <w:tcPr>
            <w:tcW w:w="1200" w:type="dxa"/>
            <w:vAlign w:val="bottom"/>
            <w:gridSpan w:val="3"/>
          </w:tcPr>
          <w:p>
            <w:pPr>
              <w:jc w:val="right"/>
              <w:ind w:right="9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1,929</w:t>
            </w:r>
          </w:p>
        </w:tc>
        <w:tc>
          <w:tcPr>
            <w:tcW w:w="116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5,253</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Plus: Commercial/Industrial depreciation and amortization</w:t>
            </w: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120"/>
              <w:spacing w:after="0"/>
              <w:rPr>
                <w:sz w:val="20"/>
                <w:szCs w:val="20"/>
                <w:color w:val="auto"/>
              </w:rPr>
            </w:pPr>
            <w:r>
              <w:rPr>
                <w:rFonts w:ascii="Arial" w:cs="Arial" w:eastAsia="Arial" w:hAnsi="Arial"/>
                <w:sz w:val="14"/>
                <w:szCs w:val="14"/>
                <w:color w:val="auto"/>
              </w:rPr>
              <w:t>Plus: General, administrative, cost of sales and other expenses</w:t>
            </w: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1,445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4,112</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Other revenues including land sales</w:t>
            </w:r>
          </w:p>
        </w:tc>
        <w:tc>
          <w:tcPr>
            <w:tcW w:w="6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(6,234)</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1,863</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1,672</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3,845</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3,360</w:t>
            </w:r>
          </w:p>
        </w:tc>
        <w:tc>
          <w:tcPr>
            <w:tcW w:w="20" w:type="dxa"/>
            <w:vAlign w:val="bottom"/>
          </w:tcPr>
          <w:p>
            <w:pPr>
              <w:spacing w:after="0"/>
              <w:rPr>
                <w:sz w:val="14"/>
                <w:szCs w:val="14"/>
                <w:color w:val="auto"/>
              </w:rPr>
            </w:pPr>
          </w:p>
        </w:tc>
      </w:tr>
      <w:tr>
        <w:trPr>
          <w:trHeight w:val="20"/>
        </w:trPr>
        <w:tc>
          <w:tcPr>
            <w:tcW w:w="4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60" w:type="dxa"/>
            <w:vAlign w:val="bottom"/>
          </w:tcPr>
          <w:p>
            <w:pPr>
              <w:spacing w:after="0"/>
              <w:rPr>
                <w:sz w:val="22"/>
                <w:szCs w:val="22"/>
                <w:color w:val="auto"/>
              </w:rPr>
            </w:pPr>
          </w:p>
        </w:tc>
        <w:tc>
          <w:tcPr>
            <w:tcW w:w="2940" w:type="dxa"/>
            <w:vAlign w:val="bottom"/>
            <w:gridSpan w:val="6"/>
          </w:tcPr>
          <w:p>
            <w:pPr>
              <w:jc w:val="right"/>
              <w:ind w:right="309"/>
              <w:spacing w:after="0"/>
              <w:rPr>
                <w:sz w:val="20"/>
                <w:szCs w:val="20"/>
                <w:color w:val="auto"/>
              </w:rPr>
            </w:pPr>
            <w:r>
              <w:rPr>
                <w:rFonts w:ascii="Arial" w:cs="Arial" w:eastAsia="Arial" w:hAnsi="Arial"/>
                <w:sz w:val="14"/>
                <w:szCs w:val="14"/>
                <w:color w:val="auto"/>
              </w:rPr>
              <w:t>Three Months Ended June 30,</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20" w:type="dxa"/>
            <w:vAlign w:val="bottom"/>
            <w:gridSpan w:val="4"/>
          </w:tcPr>
          <w:p>
            <w:pPr>
              <w:jc w:val="right"/>
              <w:ind w:right="289"/>
              <w:spacing w:after="0"/>
              <w:rPr>
                <w:sz w:val="20"/>
                <w:szCs w:val="20"/>
                <w:color w:val="auto"/>
              </w:rPr>
            </w:pPr>
            <w:r>
              <w:rPr>
                <w:rFonts w:ascii="Arial" w:cs="Arial" w:eastAsia="Arial" w:hAnsi="Arial"/>
                <w:sz w:val="14"/>
                <w:szCs w:val="14"/>
                <w:color w:val="auto"/>
              </w:rPr>
              <w:t>Six Months Ended June 30,</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1"/>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Net operating income</w:t>
            </w:r>
          </w:p>
        </w:tc>
        <w:tc>
          <w:tcPr>
            <w:tcW w:w="1200" w:type="dxa"/>
            <w:vAlign w:val="bottom"/>
            <w:tcBorders>
              <w:top w:val="single" w:sz="8" w:color="auto"/>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r>
      <w:tr>
        <w:trPr>
          <w:trHeight w:val="182"/>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Pastoria Energy Facility</w:t>
            </w:r>
          </w:p>
        </w:tc>
        <w:tc>
          <w:tcPr>
            <w:tcW w:w="120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160" w:type="dxa"/>
            <w:vAlign w:val="bottom"/>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20" w:type="dxa"/>
            <w:vAlign w:val="bottom"/>
            <w:shd w:val="clear" w:color="auto" w:fill="CCEEFF"/>
          </w:tcPr>
          <w:p>
            <w:pPr>
              <w:spacing w:after="0"/>
              <w:rPr>
                <w:sz w:val="15"/>
                <w:szCs w:val="15"/>
                <w:color w:val="auto"/>
              </w:rPr>
            </w:pPr>
          </w:p>
        </w:tc>
      </w:tr>
      <w:tr>
        <w:trPr>
          <w:trHeight w:val="180"/>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TRCC</w:t>
            </w: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576</w:t>
            </w:r>
          </w:p>
        </w:tc>
        <w:tc>
          <w:tcPr>
            <w:tcW w:w="20" w:type="dxa"/>
            <w:vAlign w:val="bottom"/>
          </w:tcPr>
          <w:p>
            <w:pPr>
              <w:spacing w:after="0"/>
              <w:rPr>
                <w:sz w:val="15"/>
                <w:szCs w:val="15"/>
                <w:color w:val="auto"/>
              </w:rPr>
            </w:pPr>
          </w:p>
        </w:tc>
      </w:tr>
      <w:tr>
        <w:trPr>
          <w:trHeight w:val="181"/>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Communication leases</w:t>
            </w: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20" w:type="dxa"/>
            <w:vAlign w:val="bottom"/>
            <w:shd w:val="clear" w:color="auto" w:fill="CCEEFF"/>
          </w:tcPr>
          <w:p>
            <w:pPr>
              <w:spacing w:after="0"/>
              <w:rPr>
                <w:sz w:val="15"/>
                <w:szCs w:val="15"/>
                <w:color w:val="auto"/>
              </w:rPr>
            </w:pPr>
          </w:p>
        </w:tc>
      </w:tr>
      <w:tr>
        <w:trPr>
          <w:trHeight w:val="191"/>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commercial leases</w:t>
            </w:r>
          </w:p>
        </w:tc>
        <w:tc>
          <w:tcPr>
            <w:tcW w:w="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20" w:type="dxa"/>
            <w:vAlign w:val="bottom"/>
            <w:tcBorders>
              <w:bottom w:val="single" w:sz="8" w:color="auto"/>
            </w:tcBorders>
          </w:tcPr>
          <w:p>
            <w:pPr>
              <w:spacing w:after="0"/>
              <w:rPr>
                <w:sz w:val="16"/>
                <w:szCs w:val="16"/>
                <w:color w:val="auto"/>
              </w:rPr>
            </w:pPr>
          </w:p>
        </w:tc>
      </w:tr>
      <w:tr>
        <w:trPr>
          <w:trHeight w:val="196"/>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1200" w:type="dxa"/>
            <w:vAlign w:val="bottom"/>
            <w:tcBorders>
              <w:bottom w:val="single" w:sz="8" w:color="auto"/>
            </w:tcBorders>
            <w:gridSpan w:val="2"/>
            <w:shd w:val="clear" w:color="auto" w:fill="CCEEFF"/>
          </w:tcPr>
          <w:p>
            <w:pPr>
              <w:jc w:val="right"/>
              <w:ind w:right="1029"/>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1,863</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ind w:right="1009"/>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989"/>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3,845</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3,360</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39"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80" w:type="dxa"/>
            <w:vAlign w:val="bottom"/>
            <w:gridSpan w:val="4"/>
          </w:tcPr>
          <w:p>
            <w:pPr>
              <w:ind w:left="500"/>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4"/>
          </w:tcPr>
          <w:p>
            <w:pPr>
              <w:jc w:val="right"/>
              <w:ind w:right="869"/>
              <w:spacing w:after="0"/>
              <w:rPr>
                <w:sz w:val="20"/>
                <w:szCs w:val="20"/>
                <w:color w:val="auto"/>
              </w:rPr>
            </w:pPr>
            <w:r>
              <w:rPr>
                <w:rFonts w:ascii="Arial" w:cs="Arial" w:eastAsia="Arial" w:hAnsi="Arial"/>
                <w:sz w:val="14"/>
                <w:szCs w:val="14"/>
                <w:color w:val="auto"/>
              </w:rPr>
              <w:t>Six Months Ended June 30,</w:t>
            </w:r>
          </w:p>
        </w:tc>
      </w:tr>
      <w:tr>
        <w:trPr>
          <w:trHeight w:val="180"/>
        </w:trPr>
        <w:tc>
          <w:tcPr>
            <w:tcW w:w="42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2022</w:t>
            </w:r>
          </w:p>
        </w:tc>
      </w:tr>
      <w:tr>
        <w:trPr>
          <w:trHeight w:val="17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of unconsolidated joint ventures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3,302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4,714</w:t>
            </w:r>
          </w:p>
        </w:tc>
      </w:tr>
      <w:tr>
        <w:trPr>
          <w:trHeight w:val="191"/>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 of unconsolidated joint ventures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2,417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w:t>
            </w:r>
          </w:p>
        </w:tc>
      </w:tr>
      <w:tr>
        <w:trPr>
          <w:trHeight w:val="17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of unconsolidated joint ventures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5,719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7,136</w:t>
            </w:r>
          </w:p>
        </w:tc>
      </w:tr>
      <w:tr>
        <w:trPr>
          <w:trHeight w:val="180"/>
        </w:trPr>
        <w:tc>
          <w:tcPr>
            <w:tcW w:w="4240" w:type="dxa"/>
            <w:vAlign w:val="bottom"/>
          </w:tcPr>
          <w:p>
            <w:pPr>
              <w:ind w:left="20"/>
              <w:spacing w:after="0"/>
              <w:rPr>
                <w:sz w:val="20"/>
                <w:szCs w:val="20"/>
                <w:color w:val="auto"/>
              </w:rPr>
            </w:pPr>
            <w:r>
              <w:rPr>
                <w:rFonts w:ascii="Arial" w:cs="Arial" w:eastAsia="Arial" w:hAnsi="Arial"/>
                <w:sz w:val="14"/>
                <w:szCs w:val="14"/>
                <w:color w:val="auto"/>
              </w:rPr>
              <w:t>Depreciation and amortization of unconsolidated joint ventures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2,534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4,958</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4,197</w:t>
            </w:r>
          </w:p>
        </w:tc>
      </w:tr>
      <w:tr>
        <w:trPr>
          <w:trHeight w:val="20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income of unconsolidated joint ventures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8,253</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15,566</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30"/>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6EBF"/>
        </w:rPr>
        <w:t>ITEM 3. QUANTITATIVE AND QUALITATIVE DISCLOSURES ABOUT MARKET RISK</w:t>
      </w:r>
    </w:p>
    <w:p>
      <w:pPr>
        <w:spacing w:after="0" w:line="76"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Market Risks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Our exposure to financial market risks includes changes to interest rates and credit risks related to marketable securities, interest rates related to our outstanding indebtedness and trade receivables.</w:t>
      </w:r>
    </w:p>
    <w:p>
      <w:pPr>
        <w:spacing w:after="0" w:line="95"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primary objective of our investment activities is to preserve capital,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99"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New RLC had no outstanding balance as of June 30, 2023. At our option, the interest rate on this line of credit can float at a rate equal to Daily SOFR plus 1.37% or can be fixed at a rate equal to Term SOFR plus1.37% above Term SOFR for interest periods elected by us. During the term of the New RLC (which expires on June 30, 2027), we can borrow at any time and partially or wholly repay any outstanding borrowings and then re-borrow, as necessary.</w:t>
      </w:r>
    </w:p>
    <w:p>
      <w:pPr>
        <w:spacing w:after="0" w:line="46"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We are exposed to interest rate risk on our long-term debt. Long-term debt consists of two term loans, one of which has a balance of $47,721,000 as of June 30, 2023 and is tied to the daily SOFR plus a margin of 1.55 percentage points. The interest rate for the term of the New Term Note has been fixed through the use of an interest rate swap at a rate of 4.62%. The outstanding balance on the second term loan as of June 30, 2023 was $1,561,000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36" w:lineRule="exact"/>
        <w:rPr>
          <w:sz w:val="20"/>
          <w:szCs w:val="20"/>
          <w:color w:val="auto"/>
        </w:rPr>
      </w:pPr>
    </w:p>
    <w:p>
      <w:pPr>
        <w:jc w:val="both"/>
        <w:ind w:right="200"/>
        <w:spacing w:after="0" w:line="267" w:lineRule="auto"/>
        <w:rPr>
          <w:sz w:val="20"/>
          <w:szCs w:val="20"/>
          <w:color w:val="auto"/>
        </w:rPr>
      </w:pPr>
      <w:r>
        <w:rPr>
          <w:rFonts w:ascii="Arial" w:cs="Arial" w:eastAsia="Arial" w:hAnsi="Arial"/>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36"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Rate Sensitivity Financial Market Risks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At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percentage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04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2024</w:t>
            </w:r>
          </w:p>
        </w:tc>
        <w:tc>
          <w:tcPr>
            <w:tcW w:w="102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2025</w:t>
            </w:r>
          </w:p>
        </w:tc>
        <w:tc>
          <w:tcPr>
            <w:tcW w:w="100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2026</w:t>
            </w:r>
          </w:p>
        </w:tc>
        <w:tc>
          <w:tcPr>
            <w:tcW w:w="96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2027</w:t>
            </w:r>
          </w:p>
        </w:tc>
        <w:tc>
          <w:tcPr>
            <w:tcW w:w="100" w:type="dxa"/>
            <w:vAlign w:val="bottom"/>
          </w:tcPr>
          <w:p>
            <w:pPr>
              <w:spacing w:after="0"/>
              <w:rPr>
                <w:sz w:val="15"/>
                <w:szCs w:val="15"/>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5"/>
                <w:szCs w:val="15"/>
                <w:color w:val="auto"/>
              </w:rPr>
            </w:pPr>
          </w:p>
        </w:tc>
        <w:tc>
          <w:tcPr>
            <w:tcW w:w="1000" w:type="dxa"/>
            <w:vAlign w:val="bottom"/>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r>
      <w:tr>
        <w:trPr>
          <w:trHeight w:val="170"/>
        </w:trPr>
        <w:tc>
          <w:tcPr>
            <w:tcW w:w="40" w:type="dxa"/>
            <w:vAlign w:val="bottom"/>
          </w:tcPr>
          <w:p>
            <w:pPr>
              <w:spacing w:after="0"/>
              <w:rPr>
                <w:sz w:val="14"/>
                <w:szCs w:val="14"/>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$26,495</w:t>
            </w:r>
          </w:p>
        </w:tc>
        <w:tc>
          <w:tcPr>
            <w:tcW w:w="10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$13,287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0"/>
              </w:rPr>
              <w:t>$39,782</w:t>
            </w:r>
          </w:p>
        </w:tc>
        <w:tc>
          <w:tcPr>
            <w:tcW w:w="10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$39,651</w:t>
            </w: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2880" w:type="dxa"/>
            <w:vAlign w:val="bottom"/>
          </w:tcPr>
          <w:p>
            <w:pPr>
              <w:ind w:left="100"/>
              <w:spacing w:after="0"/>
              <w:rPr>
                <w:sz w:val="20"/>
                <w:szCs w:val="20"/>
                <w:color w:val="auto"/>
              </w:rPr>
            </w:pPr>
            <w:r>
              <w:rPr>
                <w:rFonts w:ascii="Arial" w:cs="Arial" w:eastAsia="Arial" w:hAnsi="Arial"/>
                <w:sz w:val="14"/>
                <w:szCs w:val="14"/>
                <w:color w:val="auto"/>
              </w:rPr>
              <w:t>Weighted average interest rate</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4.66%</w:t>
            </w:r>
          </w:p>
        </w:tc>
        <w:tc>
          <w:tcPr>
            <w:tcW w:w="1040" w:type="dxa"/>
            <w:vAlign w:val="bottom"/>
            <w:gridSpan w:val="2"/>
          </w:tcPr>
          <w:p>
            <w:pPr>
              <w:jc w:val="center"/>
              <w:ind w:left="29"/>
              <w:spacing w:after="0"/>
              <w:rPr>
                <w:sz w:val="20"/>
                <w:szCs w:val="20"/>
                <w:color w:val="auto"/>
              </w:rPr>
            </w:pPr>
            <w:r>
              <w:rPr>
                <w:rFonts w:ascii="Arial" w:cs="Arial" w:eastAsia="Arial" w:hAnsi="Arial"/>
                <w:sz w:val="14"/>
                <w:szCs w:val="14"/>
                <w:color w:val="auto"/>
                <w:w w:val="95"/>
              </w:rPr>
              <w:t>5.00%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auto"/>
                <w:w w:val="90"/>
              </w:rPr>
              <w:t>4.77%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40" w:type="dxa"/>
            <w:vAlign w:val="bottom"/>
          </w:tcPr>
          <w:p>
            <w:pPr>
              <w:spacing w:after="0"/>
              <w:rPr>
                <w:sz w:val="16"/>
                <w:szCs w:val="16"/>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Long-term debt ($4.75M note)</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$134</w:t>
            </w:r>
          </w:p>
        </w:tc>
        <w:tc>
          <w:tcPr>
            <w:tcW w:w="104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$277</w:t>
            </w:r>
          </w:p>
        </w:tc>
        <w:tc>
          <w:tcPr>
            <w:tcW w:w="102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$289</w:t>
            </w:r>
          </w:p>
        </w:tc>
        <w:tc>
          <w:tcPr>
            <w:tcW w:w="100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$302</w:t>
            </w:r>
          </w:p>
        </w:tc>
        <w:tc>
          <w:tcPr>
            <w:tcW w:w="96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$315</w:t>
            </w:r>
          </w:p>
        </w:tc>
        <w:tc>
          <w:tcPr>
            <w:tcW w:w="126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$244</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$1,561</w:t>
            </w:r>
          </w:p>
        </w:tc>
        <w:tc>
          <w:tcPr>
            <w:tcW w:w="1040" w:type="dxa"/>
            <w:vAlign w:val="bottom"/>
            <w:gridSpan w:val="2"/>
          </w:tcPr>
          <w:p>
            <w:pPr>
              <w:jc w:val="center"/>
              <w:ind w:left="9"/>
              <w:spacing w:after="0"/>
              <w:rPr>
                <w:sz w:val="20"/>
                <w:szCs w:val="20"/>
                <w:color w:val="auto"/>
              </w:rPr>
            </w:pPr>
            <w:r>
              <w:rPr>
                <w:rFonts w:ascii="Arial" w:cs="Arial" w:eastAsia="Arial" w:hAnsi="Arial"/>
                <w:sz w:val="14"/>
                <w:szCs w:val="14"/>
                <w:color w:val="auto"/>
                <w:w w:val="93"/>
              </w:rPr>
              <w:t>$1,561</w:t>
            </w: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4.25%</w:t>
            </w:r>
          </w:p>
        </w:tc>
        <w:tc>
          <w:tcPr>
            <w:tcW w:w="10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4.25%</w:t>
            </w:r>
          </w:p>
        </w:tc>
        <w:tc>
          <w:tcPr>
            <w:tcW w:w="10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0"/>
              </w:rPr>
              <w:t>4.25%</w:t>
            </w:r>
          </w:p>
        </w:tc>
        <w:tc>
          <w:tcPr>
            <w:tcW w:w="9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4.25%</w:t>
            </w:r>
          </w:p>
        </w:tc>
        <w:tc>
          <w:tcPr>
            <w:tcW w:w="126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5"/>
              </w:rPr>
              <w:t>4.25%</w:t>
            </w:r>
          </w:p>
        </w:tc>
        <w:tc>
          <w:tcPr>
            <w:tcW w:w="11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Long-term debt ($49.1M note)</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$772</w:t>
            </w:r>
          </w:p>
        </w:tc>
        <w:tc>
          <w:tcPr>
            <w:tcW w:w="104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$1,589</w:t>
            </w:r>
          </w:p>
        </w:tc>
        <w:tc>
          <w:tcPr>
            <w:tcW w:w="102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$1,669</w:t>
            </w:r>
          </w:p>
        </w:tc>
        <w:tc>
          <w:tcPr>
            <w:tcW w:w="100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$1,753</w:t>
            </w:r>
          </w:p>
        </w:tc>
        <w:tc>
          <w:tcPr>
            <w:tcW w:w="96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$1,840</w:t>
            </w:r>
          </w:p>
        </w:tc>
        <w:tc>
          <w:tcPr>
            <w:tcW w:w="1260" w:type="dxa"/>
            <w:vAlign w:val="bottom"/>
            <w:gridSpan w:val="2"/>
          </w:tcPr>
          <w:p>
            <w:pPr>
              <w:jc w:val="center"/>
              <w:ind w:left="49"/>
              <w:spacing w:after="0"/>
              <w:rPr>
                <w:sz w:val="20"/>
                <w:szCs w:val="20"/>
                <w:color w:val="auto"/>
              </w:rPr>
            </w:pPr>
            <w:r>
              <w:rPr>
                <w:rFonts w:ascii="Arial" w:cs="Arial" w:eastAsia="Arial" w:hAnsi="Arial"/>
                <w:sz w:val="14"/>
                <w:szCs w:val="14"/>
                <w:color w:val="auto"/>
                <w:w w:val="90"/>
              </w:rPr>
              <w:t>$40,098</w:t>
            </w:r>
          </w:p>
        </w:tc>
        <w:tc>
          <w:tcPr>
            <w:tcW w:w="1100" w:type="dxa"/>
            <w:vAlign w:val="bottom"/>
            <w:gridSpan w:val="2"/>
          </w:tcPr>
          <w:p>
            <w:pPr>
              <w:jc w:val="center"/>
              <w:ind w:left="49"/>
              <w:spacing w:after="0"/>
              <w:rPr>
                <w:sz w:val="20"/>
                <w:szCs w:val="20"/>
                <w:color w:val="auto"/>
              </w:rPr>
            </w:pPr>
            <w:r>
              <w:rPr>
                <w:rFonts w:ascii="Arial" w:cs="Arial" w:eastAsia="Arial" w:hAnsi="Arial"/>
                <w:sz w:val="14"/>
                <w:szCs w:val="14"/>
                <w:color w:val="auto"/>
                <w:w w:val="90"/>
              </w:rPr>
              <w:t>$47,721</w:t>
            </w:r>
          </w:p>
        </w:tc>
        <w:tc>
          <w:tcPr>
            <w:tcW w:w="1040" w:type="dxa"/>
            <w:vAlign w:val="bottom"/>
            <w:gridSpan w:val="2"/>
          </w:tcPr>
          <w:p>
            <w:pPr>
              <w:jc w:val="center"/>
              <w:ind w:left="29"/>
              <w:spacing w:after="0"/>
              <w:rPr>
                <w:sz w:val="20"/>
                <w:szCs w:val="20"/>
                <w:color w:val="auto"/>
              </w:rPr>
            </w:pPr>
            <w:r>
              <w:rPr>
                <w:rFonts w:ascii="Arial" w:cs="Arial" w:eastAsia="Arial" w:hAnsi="Arial"/>
                <w:sz w:val="14"/>
                <w:szCs w:val="14"/>
                <w:color w:val="auto"/>
                <w:w w:val="90"/>
              </w:rPr>
              <w:t>$47,721</w:t>
            </w:r>
          </w:p>
        </w:tc>
        <w:tc>
          <w:tcPr>
            <w:tcW w:w="20" w:type="dxa"/>
            <w:vAlign w:val="bottom"/>
          </w:tcPr>
          <w:p>
            <w:pPr>
              <w:spacing w:after="0"/>
              <w:rPr>
                <w:sz w:val="15"/>
                <w:szCs w:val="15"/>
                <w:color w:val="auto"/>
              </w:rPr>
            </w:pPr>
          </w:p>
        </w:tc>
      </w:tr>
      <w:tr>
        <w:trPr>
          <w:trHeight w:val="191"/>
        </w:trPr>
        <w:tc>
          <w:tcPr>
            <w:tcW w:w="40" w:type="dxa"/>
            <w:vAlign w:val="bottom"/>
          </w:tcPr>
          <w:p>
            <w:pPr>
              <w:spacing w:after="0"/>
              <w:rPr>
                <w:sz w:val="16"/>
                <w:szCs w:val="16"/>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4.62%</w:t>
            </w:r>
          </w:p>
        </w:tc>
        <w:tc>
          <w:tcPr>
            <w:tcW w:w="10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4.62%</w:t>
            </w:r>
          </w:p>
        </w:tc>
        <w:tc>
          <w:tcPr>
            <w:tcW w:w="10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10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0"/>
              </w:rPr>
              <w:t>4.62%</w:t>
            </w:r>
          </w:p>
        </w:tc>
        <w:tc>
          <w:tcPr>
            <w:tcW w:w="9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4.62%</w:t>
            </w:r>
          </w:p>
        </w:tc>
        <w:tc>
          <w:tcPr>
            <w:tcW w:w="126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5"/>
              </w:rPr>
              <w:t>4.62%</w:t>
            </w:r>
          </w:p>
        </w:tc>
        <w:tc>
          <w:tcPr>
            <w:tcW w:w="11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859"/>
        </w:trPr>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gridSpan w:val="2"/>
          </w:tcPr>
          <w:p>
            <w:pPr>
              <w:jc w:val="right"/>
              <w:ind w:right="109"/>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4"/>
          <w:szCs w:val="14"/>
          <w:b w:val="1"/>
          <w:bCs w:val="1"/>
          <w:color w:val="auto"/>
        </w:rPr>
        <w:t>Interest Rate Sensitivity Financial Market Risks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At December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percentage data)</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90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2024</w:t>
            </w:r>
          </w:p>
        </w:tc>
        <w:tc>
          <w:tcPr>
            <w:tcW w:w="88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2025</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2026</w:t>
            </w:r>
          </w:p>
        </w:tc>
        <w:tc>
          <w:tcPr>
            <w:tcW w:w="106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2027</w:t>
            </w:r>
          </w:p>
        </w:tc>
        <w:tc>
          <w:tcPr>
            <w:tcW w:w="10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5"/>
                <w:szCs w:val="15"/>
                <w:color w:val="auto"/>
              </w:rPr>
            </w:pPr>
          </w:p>
        </w:tc>
        <w:tc>
          <w:tcPr>
            <w:tcW w:w="1000" w:type="dxa"/>
            <w:vAlign w:val="bottom"/>
          </w:tcPr>
          <w:p>
            <w:pPr>
              <w:ind w:left="36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Arial" w:cs="Arial" w:eastAsia="Arial" w:hAnsi="Arial"/>
                <w:sz w:val="14"/>
                <w:szCs w:val="14"/>
                <w:color w:val="auto"/>
              </w:rPr>
              <w:t>Fair Value</w:t>
            </w:r>
          </w:p>
        </w:tc>
      </w:tr>
      <w:tr>
        <w:trPr>
          <w:trHeight w:val="170"/>
        </w:trPr>
        <w:tc>
          <w:tcPr>
            <w:tcW w:w="29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191"/>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$32,652</w:t>
            </w:r>
          </w:p>
        </w:tc>
        <w:tc>
          <w:tcPr>
            <w:tcW w:w="9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$1,000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0"/>
              </w:rPr>
              <w:t>$33,652</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0"/>
              </w:rPr>
              <w:t>$33,444</w:t>
            </w:r>
          </w:p>
        </w:tc>
      </w:tr>
      <w:tr>
        <w:trPr>
          <w:trHeight w:val="180"/>
        </w:trPr>
        <w:tc>
          <w:tcPr>
            <w:tcW w:w="2940" w:type="dxa"/>
            <w:vAlign w:val="bottom"/>
          </w:tcPr>
          <w:p>
            <w:pPr>
              <w:ind w:left="100"/>
              <w:spacing w:after="0"/>
              <w:rPr>
                <w:sz w:val="20"/>
                <w:szCs w:val="20"/>
                <w:color w:val="auto"/>
              </w:rPr>
            </w:pPr>
            <w:r>
              <w:rPr>
                <w:rFonts w:ascii="Arial" w:cs="Arial" w:eastAsia="Arial" w:hAnsi="Arial"/>
                <w:sz w:val="14"/>
                <w:szCs w:val="14"/>
                <w:color w:val="auto"/>
              </w:rPr>
              <w:t>Weighted average interest rate</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2.82%</w:t>
            </w:r>
          </w:p>
        </w:tc>
        <w:tc>
          <w:tcPr>
            <w:tcW w:w="900" w:type="dxa"/>
            <w:vAlign w:val="bottom"/>
            <w:gridSpan w:val="2"/>
          </w:tcPr>
          <w:p>
            <w:pPr>
              <w:jc w:val="center"/>
              <w:ind w:left="29"/>
              <w:spacing w:after="0"/>
              <w:rPr>
                <w:sz w:val="20"/>
                <w:szCs w:val="20"/>
                <w:color w:val="auto"/>
              </w:rPr>
            </w:pPr>
            <w:r>
              <w:rPr>
                <w:rFonts w:ascii="Arial" w:cs="Arial" w:eastAsia="Arial" w:hAnsi="Arial"/>
                <w:sz w:val="14"/>
                <w:szCs w:val="14"/>
                <w:color w:val="auto"/>
                <w:w w:val="90"/>
              </w:rPr>
              <w:t>5.20%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auto"/>
                <w:w w:val="90"/>
              </w:rPr>
              <w:t>2.89%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5"/>
        </w:trPr>
        <w:tc>
          <w:tcPr>
            <w:tcW w:w="2940" w:type="dxa"/>
            <w:vAlign w:val="bottom"/>
          </w:tcPr>
          <w:p>
            <w:pPr>
              <w:spacing w:after="0"/>
              <w:rPr>
                <w:sz w:val="20"/>
                <w:szCs w:val="20"/>
                <w:color w:val="auto"/>
              </w:rPr>
            </w:pPr>
            <w:r>
              <w:rPr>
                <w:rFonts w:ascii="Arial" w:cs="Arial" w:eastAsia="Arial" w:hAnsi="Arial"/>
                <w:sz w:val="14"/>
                <w:szCs w:val="14"/>
                <w:color w:val="auto"/>
              </w:rPr>
              <w:t>Long-term debt ($4.75M note)</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$265</w:t>
            </w:r>
          </w:p>
        </w:tc>
        <w:tc>
          <w:tcPr>
            <w:tcW w:w="90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$277</w:t>
            </w:r>
          </w:p>
        </w:tc>
        <w:tc>
          <w:tcPr>
            <w:tcW w:w="88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$289</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$302</w:t>
            </w:r>
          </w:p>
        </w:tc>
        <w:tc>
          <w:tcPr>
            <w:tcW w:w="106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$315</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w w:val="89"/>
              </w:rPr>
              <w:t>$244</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$1,692</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$1,692</w:t>
            </w:r>
          </w:p>
        </w:tc>
      </w:tr>
      <w:tr>
        <w:trPr>
          <w:trHeight w:val="186"/>
        </w:trPr>
        <w:tc>
          <w:tcPr>
            <w:tcW w:w="2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9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4.25%</w:t>
            </w:r>
          </w:p>
        </w:tc>
        <w:tc>
          <w:tcPr>
            <w:tcW w:w="8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4.25%</w:t>
            </w:r>
          </w:p>
        </w:tc>
        <w:tc>
          <w:tcPr>
            <w:tcW w:w="9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4.25%</w:t>
            </w:r>
          </w:p>
        </w:tc>
        <w:tc>
          <w:tcPr>
            <w:tcW w:w="10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4.25%</w:t>
            </w:r>
          </w:p>
        </w:tc>
        <w:tc>
          <w:tcPr>
            <w:tcW w:w="11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4.25%</w:t>
            </w:r>
          </w:p>
        </w:tc>
        <w:tc>
          <w:tcPr>
            <w:tcW w:w="11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4.25%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0"/>
        </w:trPr>
        <w:tc>
          <w:tcPr>
            <w:tcW w:w="2940" w:type="dxa"/>
            <w:vAlign w:val="bottom"/>
          </w:tcPr>
          <w:p>
            <w:pPr>
              <w:spacing w:after="0"/>
              <w:rPr>
                <w:sz w:val="20"/>
                <w:szCs w:val="20"/>
                <w:color w:val="auto"/>
              </w:rPr>
            </w:pPr>
            <w:r>
              <w:rPr>
                <w:rFonts w:ascii="Arial" w:cs="Arial" w:eastAsia="Arial" w:hAnsi="Arial"/>
                <w:sz w:val="14"/>
                <w:szCs w:val="14"/>
                <w:color w:val="auto"/>
              </w:rPr>
              <w:t>Long-term debt ($49.1M note)</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$1,513</w:t>
            </w:r>
          </w:p>
        </w:tc>
        <w:tc>
          <w:tcPr>
            <w:tcW w:w="900" w:type="dxa"/>
            <w:vAlign w:val="bottom"/>
            <w:gridSpan w:val="2"/>
          </w:tcPr>
          <w:p>
            <w:pPr>
              <w:jc w:val="center"/>
              <w:ind w:left="29"/>
              <w:spacing w:after="0"/>
              <w:rPr>
                <w:sz w:val="20"/>
                <w:szCs w:val="20"/>
                <w:color w:val="auto"/>
              </w:rPr>
            </w:pPr>
            <w:r>
              <w:rPr>
                <w:rFonts w:ascii="Arial" w:cs="Arial" w:eastAsia="Arial" w:hAnsi="Arial"/>
                <w:sz w:val="14"/>
                <w:szCs w:val="14"/>
                <w:color w:val="auto"/>
                <w:w w:val="93"/>
              </w:rPr>
              <w:t>$1,589</w:t>
            </w:r>
          </w:p>
        </w:tc>
        <w:tc>
          <w:tcPr>
            <w:tcW w:w="880" w:type="dxa"/>
            <w:vAlign w:val="bottom"/>
            <w:gridSpan w:val="2"/>
          </w:tcPr>
          <w:p>
            <w:pPr>
              <w:jc w:val="center"/>
              <w:ind w:left="29"/>
              <w:spacing w:after="0"/>
              <w:rPr>
                <w:sz w:val="20"/>
                <w:szCs w:val="20"/>
                <w:color w:val="auto"/>
              </w:rPr>
            </w:pPr>
            <w:r>
              <w:rPr>
                <w:rFonts w:ascii="Arial" w:cs="Arial" w:eastAsia="Arial" w:hAnsi="Arial"/>
                <w:sz w:val="14"/>
                <w:szCs w:val="14"/>
                <w:color w:val="auto"/>
                <w:w w:val="88"/>
              </w:rPr>
              <w:t>$1,669</w:t>
            </w:r>
          </w:p>
        </w:tc>
        <w:tc>
          <w:tcPr>
            <w:tcW w:w="940" w:type="dxa"/>
            <w:vAlign w:val="bottom"/>
            <w:gridSpan w:val="2"/>
          </w:tcPr>
          <w:p>
            <w:pPr>
              <w:jc w:val="center"/>
              <w:ind w:left="49"/>
              <w:spacing w:after="0"/>
              <w:rPr>
                <w:sz w:val="20"/>
                <w:szCs w:val="20"/>
                <w:color w:val="auto"/>
              </w:rPr>
            </w:pPr>
            <w:r>
              <w:rPr>
                <w:rFonts w:ascii="Arial" w:cs="Arial" w:eastAsia="Arial" w:hAnsi="Arial"/>
                <w:sz w:val="14"/>
                <w:szCs w:val="14"/>
                <w:color w:val="auto"/>
                <w:w w:val="88"/>
              </w:rPr>
              <w:t>$1,753</w:t>
            </w:r>
          </w:p>
        </w:tc>
        <w:tc>
          <w:tcPr>
            <w:tcW w:w="1060" w:type="dxa"/>
            <w:vAlign w:val="bottom"/>
            <w:gridSpan w:val="2"/>
          </w:tcPr>
          <w:p>
            <w:pPr>
              <w:jc w:val="center"/>
              <w:ind w:left="49"/>
              <w:spacing w:after="0"/>
              <w:rPr>
                <w:sz w:val="20"/>
                <w:szCs w:val="20"/>
                <w:color w:val="auto"/>
              </w:rPr>
            </w:pPr>
            <w:r>
              <w:rPr>
                <w:rFonts w:ascii="Arial" w:cs="Arial" w:eastAsia="Arial" w:hAnsi="Arial"/>
                <w:sz w:val="14"/>
                <w:szCs w:val="14"/>
                <w:color w:val="auto"/>
                <w:w w:val="88"/>
              </w:rPr>
              <w:t>$1,840</w:t>
            </w:r>
          </w:p>
        </w:tc>
        <w:tc>
          <w:tcPr>
            <w:tcW w:w="1140" w:type="dxa"/>
            <w:vAlign w:val="bottom"/>
            <w:gridSpan w:val="2"/>
          </w:tcPr>
          <w:p>
            <w:pPr>
              <w:jc w:val="center"/>
              <w:ind w:left="49"/>
              <w:spacing w:after="0"/>
              <w:rPr>
                <w:sz w:val="20"/>
                <w:szCs w:val="20"/>
                <w:color w:val="auto"/>
              </w:rPr>
            </w:pPr>
            <w:r>
              <w:rPr>
                <w:rFonts w:ascii="Arial" w:cs="Arial" w:eastAsia="Arial" w:hAnsi="Arial"/>
                <w:sz w:val="14"/>
                <w:szCs w:val="14"/>
                <w:color w:val="auto"/>
                <w:w w:val="90"/>
              </w:rPr>
              <w:t>$40,098</w:t>
            </w:r>
          </w:p>
        </w:tc>
        <w:tc>
          <w:tcPr>
            <w:tcW w:w="110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$48,462</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90"/>
              </w:rPr>
              <w:t>$48,462</w:t>
            </w:r>
          </w:p>
        </w:tc>
      </w:tr>
      <w:tr>
        <w:trPr>
          <w:trHeight w:val="191"/>
        </w:trPr>
        <w:tc>
          <w:tcPr>
            <w:tcW w:w="2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4.62%</w:t>
            </w:r>
          </w:p>
        </w:tc>
        <w:tc>
          <w:tcPr>
            <w:tcW w:w="9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8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4.62%</w:t>
            </w:r>
          </w:p>
        </w:tc>
        <w:tc>
          <w:tcPr>
            <w:tcW w:w="9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10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11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110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0"/>
              </w:rPr>
              <w:t>4.62%</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Commodity Price Exposure</w:t>
      </w:r>
    </w:p>
    <w:p>
      <w:pPr>
        <w:spacing w:after="0" w:line="8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 As of the date of this report, there are no receivables that are subject to commodity price fluctuations given that there were no pistachio yields in 2022.</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6EBF"/>
        </w:rPr>
        <w:t>ITEM 4. CONTROLS AND PROCEDURES</w:t>
      </w:r>
    </w:p>
    <w:p>
      <w:pPr>
        <w:spacing w:after="0" w:line="98" w:lineRule="exact"/>
        <w:rPr>
          <w:sz w:val="20"/>
          <w:szCs w:val="20"/>
          <w:color w:val="auto"/>
        </w:rPr>
      </w:pPr>
    </w:p>
    <w:p>
      <w:pPr>
        <w:ind w:left="460" w:hanging="455"/>
        <w:spacing w:after="0"/>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Evaluation of Disclosure Controls and Procedures</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65" w:lineRule="exact"/>
        <w:rPr>
          <w:sz w:val="20"/>
          <w:szCs w:val="20"/>
          <w:color w:val="auto"/>
        </w:rPr>
      </w:pPr>
    </w:p>
    <w:p>
      <w:pPr>
        <w:ind w:left="460" w:hanging="455"/>
        <w:spacing w:after="0"/>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w:t>
      </w:r>
    </w:p>
    <w:p>
      <w:pPr>
        <w:spacing w:after="0" w:line="136"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1. Legal Proceedings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12 (Commitments and Contingencies) in the Notes to Unaudited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1A. 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to the risk factors previously disclosed in Part I, Item 1A in our most recent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2. Unregistered Sales of Equity Securities and Use of Proceeds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3. Defaults Upon Senior Securities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4. Mine Safety Disclosures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5. Other Information</w:t>
      </w:r>
    </w:p>
    <w:p>
      <w:pPr>
        <w:spacing w:after="0" w:line="23" w:lineRule="exact"/>
        <w:rPr>
          <w:sz w:val="20"/>
          <w:szCs w:val="20"/>
          <w:color w:val="auto"/>
        </w:rPr>
      </w:pPr>
    </w:p>
    <w:p>
      <w:pPr>
        <w:ind w:right="40" w:firstLine="5"/>
        <w:spacing w:after="0" w:line="256" w:lineRule="auto"/>
        <w:tabs>
          <w:tab w:leader="none" w:pos="185"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 the Company’s 2022 Annual Meeting of Stockholders held on May 9, 2023, the Company’s stockholders voted on, among other matters, a non-binding proposal on the frequency of future advisory votes to approve executive compensation. As previously reported by the Company, a majority of the votes cast by the stockholders voted to conduct future advisory votes to approve executive compensation every year, consistent with the previously approved recommendation of the Company’s Board of Directors to its stockholders. Accordingly, the Company’s policy is to conduct a non-binding advisory vote to approve executive compensation every year. In the future, this policy could change if the Board of Directors determines that a different frequency is in the best interests of the Company and its stockholders.</w:t>
      </w:r>
    </w:p>
    <w:p>
      <w:pPr>
        <w:spacing w:after="0" w:line="54" w:lineRule="exact"/>
        <w:rPr>
          <w:rFonts w:ascii="Arial" w:cs="Arial" w:eastAsia="Arial" w:hAnsi="Arial"/>
          <w:sz w:val="14"/>
          <w:szCs w:val="14"/>
          <w:color w:val="auto"/>
        </w:rPr>
      </w:pPr>
    </w:p>
    <w:p>
      <w:pPr>
        <w:ind w:left="200" w:hanging="195"/>
        <w:spacing w:after="0"/>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72" w:lineRule="exact"/>
        <w:rPr>
          <w:rFonts w:ascii="Arial" w:cs="Arial" w:eastAsia="Arial" w:hAnsi="Arial"/>
          <w:sz w:val="14"/>
          <w:szCs w:val="14"/>
          <w:color w:val="auto"/>
        </w:rPr>
      </w:pPr>
    </w:p>
    <w:p>
      <w:pPr>
        <w:ind w:left="200" w:hanging="195"/>
        <w:spacing w:after="0"/>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06EBF"/>
                <w:w w:val="91"/>
              </w:rPr>
              <w:t>Item 6. Exhibits:</w:t>
            </w:r>
          </w:p>
        </w:tc>
        <w:tc>
          <w:tcPr>
            <w:tcW w:w="8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6EBF"/>
          </w:tcPr>
          <w:p>
            <w:pPr>
              <w:spacing w:after="0" w:line="20" w:lineRule="exact"/>
              <w:rPr>
                <w:sz w:val="1"/>
                <w:szCs w:val="1"/>
                <w:color w:val="auto"/>
              </w:rPr>
            </w:pPr>
          </w:p>
        </w:tc>
        <w:tc>
          <w:tcPr>
            <w:tcW w:w="9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gridSpan w:val="3"/>
          </w:tcPr>
          <w:p>
            <w:pPr>
              <w:ind w:left="840"/>
              <w:spacing w:after="0"/>
              <w:rPr>
                <w:rFonts w:ascii="Arial" w:cs="Arial" w:eastAsia="Arial" w:hAnsi="Arial"/>
                <w:sz w:val="14"/>
                <w:szCs w:val="14"/>
                <w:color w:val="auto"/>
              </w:rPr>
            </w:pPr>
            <w:r>
              <w:rPr>
                <w:rFonts w:ascii="Arial" w:cs="Arial" w:eastAsia="Arial" w:hAnsi="Arial"/>
                <w:sz w:val="14"/>
                <w:szCs w:val="14"/>
                <w:color w:val="auto"/>
              </w:rPr>
              <w:t xml:space="preserve">3.1   </w:t>
            </w:r>
            <w:hyperlink r:id="rId68">
              <w:r>
                <w:rPr>
                  <w:rFonts w:ascii="Arial" w:cs="Arial" w:eastAsia="Arial" w:hAnsi="Arial"/>
                  <w:sz w:val="14"/>
                  <w:szCs w:val="14"/>
                  <w:color w:val="auto"/>
                </w:rPr>
                <w:t>Restated Certificate of Incorporation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60" w:type="dxa"/>
            <w:vAlign w:val="bottom"/>
            <w:gridSpan w:val="3"/>
          </w:tcPr>
          <w:p>
            <w:pPr>
              <w:ind w:left="840"/>
              <w:spacing w:after="0"/>
              <w:rPr>
                <w:rFonts w:ascii="Arial" w:cs="Arial" w:eastAsia="Arial" w:hAnsi="Arial"/>
                <w:sz w:val="14"/>
                <w:szCs w:val="14"/>
                <w:color w:val="auto"/>
              </w:rPr>
            </w:pPr>
            <w:r>
              <w:rPr>
                <w:rFonts w:ascii="Arial" w:cs="Arial" w:eastAsia="Arial" w:hAnsi="Arial"/>
                <w:sz w:val="14"/>
                <w:szCs w:val="14"/>
                <w:color w:val="auto"/>
              </w:rPr>
              <w:t xml:space="preserve">3.2   </w:t>
            </w:r>
            <w:hyperlink r:id="rId69">
              <w:r>
                <w:rPr>
                  <w:rFonts w:ascii="Arial" w:cs="Arial" w:eastAsia="Arial" w:hAnsi="Arial"/>
                  <w:sz w:val="14"/>
                  <w:szCs w:val="14"/>
                  <w:color w:val="auto"/>
                </w:rPr>
                <w:t>Amended and Restated Bylaws</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2</w:t>
            </w:r>
          </w:p>
        </w:tc>
        <w:tc>
          <w:tcPr>
            <w:tcW w:w="0" w:type="dxa"/>
            <w:vAlign w:val="bottom"/>
          </w:tcPr>
          <w:p>
            <w:pPr>
              <w:spacing w:after="0"/>
              <w:rPr>
                <w:sz w:val="1"/>
                <w:szCs w:val="1"/>
                <w:color w:val="auto"/>
              </w:rPr>
            </w:pPr>
          </w:p>
        </w:tc>
      </w:tr>
      <w:tr>
        <w:trPr>
          <w:trHeight w:val="180"/>
        </w:trPr>
        <w:tc>
          <w:tcPr>
            <w:tcW w:w="1200" w:type="dxa"/>
            <w:vAlign w:val="bottom"/>
            <w:gridSpan w:val="3"/>
          </w:tcPr>
          <w:p>
            <w:pPr>
              <w:ind w:left="860"/>
              <w:spacing w:after="0"/>
              <w:rPr>
                <w:sz w:val="20"/>
                <w:szCs w:val="20"/>
                <w:color w:val="auto"/>
              </w:rPr>
            </w:pPr>
            <w:r>
              <w:rPr>
                <w:rFonts w:ascii="Arial" w:cs="Arial" w:eastAsia="Arial" w:hAnsi="Arial"/>
                <w:sz w:val="14"/>
                <w:szCs w:val="14"/>
                <w:color w:val="auto"/>
              </w:rPr>
              <w:t>4.3</w:t>
            </w:r>
          </w:p>
        </w:tc>
        <w:tc>
          <w:tcPr>
            <w:tcW w:w="8880" w:type="dxa"/>
            <w:vAlign w:val="bottom"/>
          </w:tcPr>
          <w:p>
            <w:pPr>
              <w:ind w:left="60"/>
              <w:spacing w:after="0"/>
              <w:rPr>
                <w:rFonts w:ascii="Arial" w:cs="Arial" w:eastAsia="Arial" w:hAnsi="Arial"/>
                <w:sz w:val="14"/>
                <w:szCs w:val="14"/>
                <w:color w:val="auto"/>
              </w:rPr>
            </w:pPr>
            <w:hyperlink r:id="rId70">
              <w:r>
                <w:rPr>
                  <w:rFonts w:ascii="Arial" w:cs="Arial" w:eastAsia="Arial" w:hAnsi="Arial"/>
                  <w:sz w:val="14"/>
                  <w:szCs w:val="14"/>
                  <w:color w:val="auto"/>
                </w:rPr>
                <w:t>Registration and Reimbursement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5</w:t>
            </w:r>
          </w:p>
        </w:tc>
        <w:tc>
          <w:tcPr>
            <w:tcW w:w="0" w:type="dxa"/>
            <w:vAlign w:val="bottom"/>
          </w:tcPr>
          <w:p>
            <w:pPr>
              <w:spacing w:after="0"/>
              <w:rPr>
                <w:sz w:val="1"/>
                <w:szCs w:val="1"/>
                <w:color w:val="auto"/>
              </w:rPr>
            </w:pPr>
          </w:p>
        </w:tc>
      </w:tr>
      <w:tr>
        <w:trPr>
          <w:trHeight w:val="191"/>
        </w:trPr>
        <w:tc>
          <w:tcPr>
            <w:tcW w:w="1200" w:type="dxa"/>
            <w:vAlign w:val="bottom"/>
            <w:gridSpan w:val="3"/>
          </w:tcPr>
          <w:p>
            <w:pPr>
              <w:ind w:left="860"/>
              <w:spacing w:after="0"/>
              <w:rPr>
                <w:sz w:val="20"/>
                <w:szCs w:val="20"/>
                <w:color w:val="auto"/>
              </w:rPr>
            </w:pPr>
            <w:r>
              <w:rPr>
                <w:rFonts w:ascii="Arial" w:cs="Arial" w:eastAsia="Arial" w:hAnsi="Arial"/>
                <w:sz w:val="14"/>
                <w:szCs w:val="14"/>
                <w:color w:val="auto"/>
              </w:rPr>
              <w:t>4.5</w:t>
            </w:r>
          </w:p>
        </w:tc>
        <w:tc>
          <w:tcPr>
            <w:tcW w:w="8880" w:type="dxa"/>
            <w:vAlign w:val="bottom"/>
          </w:tcPr>
          <w:p>
            <w:pPr>
              <w:ind w:left="60"/>
              <w:spacing w:after="0"/>
              <w:rPr>
                <w:rFonts w:ascii="Arial" w:cs="Arial" w:eastAsia="Arial" w:hAnsi="Arial"/>
                <w:sz w:val="14"/>
                <w:szCs w:val="14"/>
                <w:color w:val="auto"/>
              </w:rPr>
            </w:pPr>
            <w:hyperlink r:id="rId71">
              <w:r>
                <w:rPr>
                  <w:rFonts w:ascii="Arial" w:cs="Arial" w:eastAsia="Arial" w:hAnsi="Arial"/>
                  <w:sz w:val="14"/>
                  <w:szCs w:val="14"/>
                  <w:color w:val="auto"/>
                </w:rPr>
                <w:t>Form of Indenture for Debt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37</w:t>
            </w:r>
          </w:p>
        </w:tc>
        <w:tc>
          <w:tcPr>
            <w:tcW w:w="0" w:type="dxa"/>
            <w:vAlign w:val="bottom"/>
          </w:tcPr>
          <w:p>
            <w:pPr>
              <w:spacing w:after="0"/>
              <w:rPr>
                <w:sz w:val="1"/>
                <w:szCs w:val="1"/>
                <w:color w:val="auto"/>
              </w:rPr>
            </w:pPr>
          </w:p>
        </w:tc>
      </w:tr>
      <w:tr>
        <w:trPr>
          <w:trHeight w:val="138"/>
        </w:trPr>
        <w:tc>
          <w:tcPr>
            <w:tcW w:w="1200" w:type="dxa"/>
            <w:vAlign w:val="bottom"/>
            <w:gridSpan w:val="3"/>
          </w:tcPr>
          <w:p>
            <w:pPr>
              <w:jc w:val="right"/>
              <w:ind w:right="120"/>
              <w:spacing w:after="0" w:line="139" w:lineRule="exact"/>
              <w:rPr>
                <w:sz w:val="20"/>
                <w:szCs w:val="20"/>
                <w:color w:val="auto"/>
              </w:rPr>
            </w:pPr>
            <w:r>
              <w:rPr>
                <w:rFonts w:ascii="Arial" w:cs="Arial" w:eastAsia="Arial" w:hAnsi="Arial"/>
                <w:sz w:val="14"/>
                <w:szCs w:val="14"/>
                <w:color w:val="auto"/>
              </w:rPr>
              <w:t>10.1</w:t>
            </w:r>
          </w:p>
        </w:tc>
        <w:tc>
          <w:tcPr>
            <w:tcW w:w="8880" w:type="dxa"/>
            <w:vAlign w:val="bottom"/>
          </w:tcPr>
          <w:p>
            <w:pPr>
              <w:ind w:left="60"/>
              <w:spacing w:after="0" w:line="139" w:lineRule="exact"/>
              <w:rPr>
                <w:sz w:val="20"/>
                <w:szCs w:val="20"/>
                <w:color w:val="auto"/>
              </w:rPr>
            </w:pPr>
            <w:r>
              <w:rPr>
                <w:rFonts w:ascii="Arial" w:cs="Arial" w:eastAsia="Arial" w:hAnsi="Arial"/>
                <w:sz w:val="14"/>
                <w:szCs w:val="14"/>
                <w:color w:val="auto"/>
              </w:rPr>
              <w:t>Water Service Contract with Wheeler Ridge-Maricopa Water Storage District (without exhibits), amendments originally filed under Item 11 to</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FN 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80" w:type="dxa"/>
            <w:vAlign w:val="bottom"/>
          </w:tcPr>
          <w:p>
            <w:pPr>
              <w:ind w:left="60"/>
              <w:spacing w:after="0"/>
              <w:rPr>
                <w:sz w:val="20"/>
                <w:szCs w:val="20"/>
                <w:color w:val="auto"/>
              </w:rPr>
            </w:pPr>
            <w:r>
              <w:rPr>
                <w:rFonts w:ascii="Arial" w:cs="Arial" w:eastAsia="Arial" w:hAnsi="Arial"/>
                <w:sz w:val="14"/>
                <w:szCs w:val="14"/>
                <w:color w:val="auto"/>
              </w:rPr>
              <w:t>Registrant's Annual Report on Form 10-K</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10.7</w:t>
            </w:r>
          </w:p>
        </w:tc>
        <w:tc>
          <w:tcPr>
            <w:tcW w:w="8880" w:type="dxa"/>
            <w:vAlign w:val="bottom"/>
          </w:tcPr>
          <w:p>
            <w:pPr>
              <w:ind w:left="60"/>
              <w:spacing w:after="0"/>
              <w:rPr>
                <w:rFonts w:ascii="Arial" w:cs="Arial" w:eastAsia="Arial" w:hAnsi="Arial"/>
                <w:sz w:val="14"/>
                <w:szCs w:val="14"/>
                <w:color w:val="auto"/>
              </w:rPr>
            </w:pPr>
            <w:hyperlink r:id="rId72">
              <w:r>
                <w:rPr>
                  <w:rFonts w:ascii="Arial" w:cs="Arial" w:eastAsia="Arial" w:hAnsi="Arial"/>
                  <w:sz w:val="14"/>
                  <w:szCs w:val="14"/>
                  <w:color w:val="auto"/>
                </w:rPr>
                <w:t>*Severance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10.8</w:t>
            </w:r>
          </w:p>
        </w:tc>
        <w:tc>
          <w:tcPr>
            <w:tcW w:w="8880" w:type="dxa"/>
            <w:vAlign w:val="bottom"/>
          </w:tcPr>
          <w:p>
            <w:pPr>
              <w:ind w:left="60"/>
              <w:spacing w:after="0"/>
              <w:rPr>
                <w:rFonts w:ascii="Arial" w:cs="Arial" w:eastAsia="Arial" w:hAnsi="Arial"/>
                <w:sz w:val="14"/>
                <w:szCs w:val="14"/>
                <w:color w:val="auto"/>
              </w:rPr>
            </w:pPr>
            <w:hyperlink r:id="rId72">
              <w:r>
                <w:rPr>
                  <w:rFonts w:ascii="Arial" w:cs="Arial" w:eastAsia="Arial" w:hAnsi="Arial"/>
                  <w:sz w:val="14"/>
                  <w:szCs w:val="14"/>
                  <w:color w:val="auto"/>
                </w:rPr>
                <w:t>*Director Compensation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10.9</w:t>
            </w:r>
          </w:p>
        </w:tc>
        <w:tc>
          <w:tcPr>
            <w:tcW w:w="8880" w:type="dxa"/>
            <w:vAlign w:val="bottom"/>
          </w:tcPr>
          <w:p>
            <w:pPr>
              <w:ind w:left="60"/>
              <w:spacing w:after="0"/>
              <w:rPr>
                <w:rFonts w:ascii="Arial" w:cs="Arial" w:eastAsia="Arial" w:hAnsi="Arial"/>
                <w:sz w:val="14"/>
                <w:szCs w:val="14"/>
                <w:color w:val="auto"/>
              </w:rPr>
            </w:pPr>
            <w:hyperlink r:id="rId73">
              <w:r>
                <w:rPr>
                  <w:rFonts w:ascii="Arial" w:cs="Arial" w:eastAsia="Arial" w:hAnsi="Arial"/>
                  <w:sz w:val="14"/>
                  <w:szCs w:val="14"/>
                  <w:color w:val="auto"/>
                </w:rPr>
                <w:t>*Amended and Restated Non-Employee Director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8</w:t>
            </w:r>
          </w:p>
        </w:tc>
        <w:tc>
          <w:tcPr>
            <w:tcW w:w="0" w:type="dxa"/>
            <w:vAlign w:val="bottom"/>
          </w:tcPr>
          <w:p>
            <w:pPr>
              <w:spacing w:after="0"/>
              <w:rPr>
                <w:sz w:val="1"/>
                <w:szCs w:val="1"/>
                <w:color w:val="auto"/>
              </w:rPr>
            </w:pPr>
          </w:p>
        </w:tc>
      </w:tr>
      <w:tr>
        <w:trPr>
          <w:trHeight w:val="276"/>
        </w:trPr>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10.9(1)</w:t>
            </w:r>
          </w:p>
        </w:tc>
        <w:tc>
          <w:tcPr>
            <w:tcW w:w="8880" w:type="dxa"/>
            <w:vAlign w:val="bottom"/>
          </w:tcPr>
          <w:p>
            <w:pPr>
              <w:ind w:left="60"/>
              <w:spacing w:after="0"/>
              <w:rPr>
                <w:rFonts w:ascii="Arial" w:cs="Arial" w:eastAsia="Arial" w:hAnsi="Arial"/>
                <w:sz w:val="14"/>
                <w:szCs w:val="14"/>
                <w:color w:val="auto"/>
              </w:rPr>
            </w:pPr>
            <w:hyperlink r:id="rId72">
              <w:r>
                <w:rPr>
                  <w:rFonts w:ascii="Arial" w:cs="Arial" w:eastAsia="Arial" w:hAnsi="Arial"/>
                  <w:sz w:val="14"/>
                  <w:szCs w:val="14"/>
                  <w:color w:val="auto"/>
                </w:rPr>
                <w:t>*Stock Option Agreement Pursuant to the Non-Employee Director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91"/>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10.10</w:t>
            </w:r>
          </w:p>
        </w:tc>
        <w:tc>
          <w:tcPr>
            <w:tcW w:w="8880" w:type="dxa"/>
            <w:vAlign w:val="bottom"/>
          </w:tcPr>
          <w:p>
            <w:pPr>
              <w:ind w:left="60"/>
              <w:spacing w:after="0"/>
              <w:rPr>
                <w:rFonts w:ascii="Arial" w:cs="Arial" w:eastAsia="Arial" w:hAnsi="Arial"/>
                <w:sz w:val="14"/>
                <w:szCs w:val="14"/>
                <w:color w:val="auto"/>
              </w:rPr>
            </w:pPr>
            <w:hyperlink r:id="rId74">
              <w:r>
                <w:rPr>
                  <w:rFonts w:ascii="Arial" w:cs="Arial" w:eastAsia="Arial" w:hAnsi="Arial"/>
                  <w:sz w:val="14"/>
                  <w:szCs w:val="14"/>
                  <w:color w:val="auto"/>
                </w:rPr>
                <w:t>*Amended and Restated 1998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9</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10.10(1)</w:t>
            </w:r>
          </w:p>
        </w:tc>
        <w:tc>
          <w:tcPr>
            <w:tcW w:w="8880" w:type="dxa"/>
            <w:vAlign w:val="bottom"/>
          </w:tcPr>
          <w:p>
            <w:pPr>
              <w:ind w:left="60"/>
              <w:spacing w:after="0"/>
              <w:rPr>
                <w:rFonts w:ascii="Arial" w:cs="Arial" w:eastAsia="Arial" w:hAnsi="Arial"/>
                <w:sz w:val="14"/>
                <w:szCs w:val="14"/>
                <w:color w:val="auto"/>
              </w:rPr>
            </w:pPr>
            <w:hyperlink r:id="rId72">
              <w:r>
                <w:rPr>
                  <w:rFonts w:ascii="Arial" w:cs="Arial" w:eastAsia="Arial" w:hAnsi="Arial"/>
                  <w:sz w:val="14"/>
                  <w:szCs w:val="14"/>
                  <w:color w:val="auto"/>
                </w:rPr>
                <w:t>*Stock Option Agreement Pursuant to the 1998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10.12</w:t>
            </w:r>
          </w:p>
        </w:tc>
        <w:tc>
          <w:tcPr>
            <w:tcW w:w="8880" w:type="dxa"/>
            <w:vAlign w:val="bottom"/>
          </w:tcPr>
          <w:p>
            <w:pPr>
              <w:ind w:left="60"/>
              <w:spacing w:after="0"/>
              <w:rPr>
                <w:rFonts w:ascii="Arial" w:cs="Arial" w:eastAsia="Arial" w:hAnsi="Arial"/>
                <w:sz w:val="14"/>
                <w:szCs w:val="14"/>
                <w:color w:val="auto"/>
              </w:rPr>
            </w:pPr>
            <w:hyperlink r:id="rId75">
              <w:r>
                <w:rPr>
                  <w:rFonts w:ascii="Arial" w:cs="Arial" w:eastAsia="Arial" w:hAnsi="Arial"/>
                  <w:sz w:val="14"/>
                  <w:szCs w:val="14"/>
                  <w:color w:val="auto"/>
                </w:rPr>
                <w:t>Ground Lease with Pastoria Energy Facility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10</w:t>
            </w:r>
          </w:p>
        </w:tc>
        <w:tc>
          <w:tcPr>
            <w:tcW w:w="0" w:type="dxa"/>
            <w:vAlign w:val="bottom"/>
          </w:tcPr>
          <w:p>
            <w:pPr>
              <w:spacing w:after="0"/>
              <w:rPr>
                <w:sz w:val="1"/>
                <w:szCs w:val="1"/>
                <w:color w:val="auto"/>
              </w:rPr>
            </w:pPr>
          </w:p>
        </w:tc>
      </w:tr>
      <w:tr>
        <w:trPr>
          <w:trHeight w:val="191"/>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10.15</w:t>
            </w:r>
          </w:p>
        </w:tc>
        <w:tc>
          <w:tcPr>
            <w:tcW w:w="8880" w:type="dxa"/>
            <w:vAlign w:val="bottom"/>
          </w:tcPr>
          <w:p>
            <w:pPr>
              <w:ind w:left="60"/>
              <w:spacing w:after="0"/>
              <w:rPr>
                <w:rFonts w:ascii="Arial" w:cs="Arial" w:eastAsia="Arial" w:hAnsi="Arial"/>
                <w:sz w:val="14"/>
                <w:szCs w:val="14"/>
                <w:color w:val="auto"/>
              </w:rPr>
            </w:pPr>
            <w:hyperlink r:id="rId76">
              <w:r>
                <w:rPr>
                  <w:rFonts w:ascii="Arial" w:cs="Arial" w:eastAsia="Arial" w:hAnsi="Arial"/>
                  <w:sz w:val="14"/>
                  <w:szCs w:val="14"/>
                  <w:color w:val="auto"/>
                </w:rPr>
                <w:t>Form of Securities Purchase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11</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10.16</w:t>
            </w:r>
          </w:p>
        </w:tc>
        <w:tc>
          <w:tcPr>
            <w:tcW w:w="8880" w:type="dxa"/>
            <w:vAlign w:val="bottom"/>
          </w:tcPr>
          <w:p>
            <w:pPr>
              <w:ind w:left="60"/>
              <w:spacing w:after="0"/>
              <w:rPr>
                <w:rFonts w:ascii="Arial" w:cs="Arial" w:eastAsia="Arial" w:hAnsi="Arial"/>
                <w:sz w:val="14"/>
                <w:szCs w:val="14"/>
                <w:color w:val="auto"/>
              </w:rPr>
            </w:pPr>
            <w:hyperlink r:id="rId77">
              <w:r>
                <w:rPr>
                  <w:rFonts w:ascii="Arial" w:cs="Arial" w:eastAsia="Arial" w:hAnsi="Arial"/>
                  <w:sz w:val="14"/>
                  <w:szCs w:val="14"/>
                  <w:color w:val="auto"/>
                </w:rPr>
                <w:t>Form of Registration Rights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12</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10.17</w:t>
            </w:r>
          </w:p>
        </w:tc>
        <w:tc>
          <w:tcPr>
            <w:tcW w:w="8880" w:type="dxa"/>
            <w:vAlign w:val="bottom"/>
          </w:tcPr>
          <w:p>
            <w:pPr>
              <w:ind w:left="60"/>
              <w:spacing w:after="0"/>
              <w:rPr>
                <w:rFonts w:ascii="Arial" w:cs="Arial" w:eastAsia="Arial" w:hAnsi="Arial"/>
                <w:sz w:val="14"/>
                <w:szCs w:val="14"/>
                <w:color w:val="auto"/>
              </w:rPr>
            </w:pPr>
            <w:hyperlink r:id="rId78">
              <w:r>
                <w:rPr>
                  <w:rFonts w:ascii="Arial" w:cs="Arial" w:eastAsia="Arial" w:hAnsi="Arial"/>
                  <w:sz w:val="14"/>
                  <w:szCs w:val="14"/>
                  <w:color w:val="auto"/>
                </w:rPr>
                <w:t>*2004 Stock Incentive Program</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91"/>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10.18</w:t>
            </w:r>
          </w:p>
        </w:tc>
        <w:tc>
          <w:tcPr>
            <w:tcW w:w="8880" w:type="dxa"/>
            <w:vAlign w:val="bottom"/>
          </w:tcPr>
          <w:p>
            <w:pPr>
              <w:ind w:left="60"/>
              <w:spacing w:after="0"/>
              <w:rPr>
                <w:rFonts w:ascii="Arial" w:cs="Arial" w:eastAsia="Arial" w:hAnsi="Arial"/>
                <w:sz w:val="14"/>
                <w:szCs w:val="14"/>
                <w:color w:val="auto"/>
              </w:rPr>
            </w:pPr>
            <w:hyperlink r:id="rId79">
              <w:r>
                <w:rPr>
                  <w:rFonts w:ascii="Arial" w:cs="Arial" w:eastAsia="Arial" w:hAnsi="Arial"/>
                  <w:sz w:val="14"/>
                  <w:szCs w:val="14"/>
                  <w:color w:val="auto"/>
                </w:rPr>
                <w:t>*Form of Restricted Stock Agreement for Directors</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10.19</w:t>
            </w:r>
          </w:p>
        </w:tc>
        <w:tc>
          <w:tcPr>
            <w:tcW w:w="8880" w:type="dxa"/>
            <w:vAlign w:val="bottom"/>
          </w:tcPr>
          <w:p>
            <w:pPr>
              <w:ind w:left="60"/>
              <w:spacing w:after="0"/>
              <w:rPr>
                <w:rFonts w:ascii="Arial" w:cs="Arial" w:eastAsia="Arial" w:hAnsi="Arial"/>
                <w:sz w:val="14"/>
                <w:szCs w:val="14"/>
                <w:color w:val="auto"/>
              </w:rPr>
            </w:pPr>
            <w:hyperlink r:id="rId80">
              <w:r>
                <w:rPr>
                  <w:rFonts w:ascii="Arial" w:cs="Arial" w:eastAsia="Arial" w:hAnsi="Arial"/>
                  <w:sz w:val="14"/>
                  <w:szCs w:val="14"/>
                  <w:color w:val="auto"/>
                </w:rPr>
                <w:t>*Form of Restricted Stock Unit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10.23</w:t>
            </w:r>
          </w:p>
        </w:tc>
        <w:tc>
          <w:tcPr>
            <w:tcW w:w="8880" w:type="dxa"/>
            <w:vAlign w:val="bottom"/>
          </w:tcPr>
          <w:p>
            <w:pPr>
              <w:ind w:left="60"/>
              <w:spacing w:after="0"/>
              <w:rPr>
                <w:rFonts w:ascii="Arial" w:cs="Arial" w:eastAsia="Arial" w:hAnsi="Arial"/>
                <w:sz w:val="14"/>
                <w:szCs w:val="14"/>
                <w:color w:val="auto"/>
              </w:rPr>
            </w:pPr>
            <w:hyperlink r:id="rId81">
              <w:r>
                <w:rPr>
                  <w:rFonts w:ascii="Arial" w:cs="Arial" w:eastAsia="Arial" w:hAnsi="Arial"/>
                  <w:sz w:val="14"/>
                  <w:szCs w:val="14"/>
                  <w:color w:val="auto"/>
                </w:rPr>
                <w:t>Limited Liability Company Agreement of Tejon Mountain Village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14</w:t>
            </w:r>
          </w:p>
        </w:tc>
        <w:tc>
          <w:tcPr>
            <w:tcW w:w="0" w:type="dxa"/>
            <w:vAlign w:val="bottom"/>
          </w:tcPr>
          <w:p>
            <w:pPr>
              <w:spacing w:after="0"/>
              <w:rPr>
                <w:sz w:val="1"/>
                <w:szCs w:val="1"/>
                <w:color w:val="auto"/>
              </w:rPr>
            </w:pPr>
          </w:p>
        </w:tc>
      </w:tr>
      <w:tr>
        <w:trPr>
          <w:trHeight w:val="191"/>
        </w:trPr>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10.24</w:t>
            </w:r>
          </w:p>
        </w:tc>
        <w:tc>
          <w:tcPr>
            <w:tcW w:w="8880" w:type="dxa"/>
            <w:vAlign w:val="bottom"/>
          </w:tcPr>
          <w:p>
            <w:pPr>
              <w:ind w:left="60"/>
              <w:spacing w:after="0"/>
              <w:rPr>
                <w:rFonts w:ascii="Arial" w:cs="Arial" w:eastAsia="Arial" w:hAnsi="Arial"/>
                <w:sz w:val="14"/>
                <w:szCs w:val="14"/>
                <w:color w:val="auto"/>
              </w:rPr>
            </w:pPr>
            <w:hyperlink r:id="rId82">
              <w:r>
                <w:rPr>
                  <w:rFonts w:ascii="Arial" w:cs="Arial" w:eastAsia="Arial" w:hAnsi="Arial"/>
                  <w:sz w:val="14"/>
                  <w:szCs w:val="14"/>
                  <w:color w:val="auto"/>
                </w:rPr>
                <w:t>Tejon Ranch Conservation and Land Use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15</w:t>
            </w:r>
          </w:p>
        </w:tc>
        <w:tc>
          <w:tcPr>
            <w:tcW w:w="0" w:type="dxa"/>
            <w:vAlign w:val="bottom"/>
          </w:tcPr>
          <w:p>
            <w:pPr>
              <w:spacing w:after="0"/>
              <w:rPr>
                <w:sz w:val="1"/>
                <w:szCs w:val="1"/>
                <w:color w:val="auto"/>
              </w:rPr>
            </w:pPr>
          </w:p>
        </w:tc>
      </w:tr>
      <w:tr>
        <w:trPr>
          <w:trHeight w:val="67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80" w:type="dxa"/>
            <w:vAlign w:val="bottom"/>
          </w:tcPr>
          <w:p>
            <w:pPr>
              <w:ind w:left="4380"/>
              <w:spacing w:after="0"/>
              <w:rPr>
                <w:sz w:val="20"/>
                <w:szCs w:val="20"/>
                <w:color w:val="auto"/>
              </w:rPr>
            </w:pPr>
            <w:r>
              <w:rPr>
                <w:rFonts w:ascii="Arial" w:cs="Arial" w:eastAsia="Arial" w:hAnsi="Arial"/>
                <w:sz w:val="14"/>
                <w:szCs w:val="14"/>
                <w:color w:val="auto"/>
              </w:rPr>
              <w:t>47</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10.25</w:t>
            </w:r>
          </w:p>
        </w:tc>
        <w:tc>
          <w:tcPr>
            <w:tcW w:w="8680" w:type="dxa"/>
            <w:vAlign w:val="bottom"/>
          </w:tcPr>
          <w:p>
            <w:pPr>
              <w:ind w:left="60"/>
              <w:spacing w:after="0"/>
              <w:rPr>
                <w:rFonts w:ascii="Arial" w:cs="Arial" w:eastAsia="Arial" w:hAnsi="Arial"/>
                <w:sz w:val="14"/>
                <w:szCs w:val="14"/>
                <w:color w:val="auto"/>
              </w:rPr>
            </w:pPr>
            <w:hyperlink r:id="rId85">
              <w:r>
                <w:rPr>
                  <w:rFonts w:ascii="Arial" w:cs="Arial" w:eastAsia="Arial" w:hAnsi="Arial"/>
                  <w:sz w:val="14"/>
                  <w:szCs w:val="14"/>
                  <w:color w:val="auto"/>
                </w:rPr>
                <w:t>Second Amended and Restated Limited Liability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16</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10.26</w:t>
            </w:r>
          </w:p>
        </w:tc>
        <w:tc>
          <w:tcPr>
            <w:tcW w:w="8680" w:type="dxa"/>
            <w:vAlign w:val="bottom"/>
          </w:tcPr>
          <w:p>
            <w:pPr>
              <w:ind w:left="60"/>
              <w:spacing w:after="0"/>
              <w:rPr>
                <w:rFonts w:ascii="Arial" w:cs="Arial" w:eastAsia="Arial" w:hAnsi="Arial"/>
                <w:sz w:val="14"/>
                <w:szCs w:val="14"/>
                <w:color w:val="auto"/>
              </w:rPr>
            </w:pPr>
            <w:hyperlink r:id="rId86">
              <w:r>
                <w:rPr>
                  <w:rFonts w:ascii="Arial" w:cs="Arial" w:eastAsia="Arial" w:hAnsi="Arial"/>
                  <w:sz w:val="14"/>
                  <w:szCs w:val="14"/>
                  <w:color w:val="auto"/>
                </w:rPr>
                <w:t>*Executive Employment Agreement - Allen E. Lyda</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17</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10.27</w:t>
            </w:r>
          </w:p>
        </w:tc>
        <w:tc>
          <w:tcPr>
            <w:tcW w:w="8680" w:type="dxa"/>
            <w:vAlign w:val="bottom"/>
          </w:tcPr>
          <w:p>
            <w:pPr>
              <w:ind w:left="60"/>
              <w:spacing w:after="0"/>
              <w:rPr>
                <w:rFonts w:ascii="Arial" w:cs="Arial" w:eastAsia="Arial" w:hAnsi="Arial"/>
                <w:sz w:val="14"/>
                <w:szCs w:val="14"/>
                <w:color w:val="auto"/>
              </w:rPr>
            </w:pPr>
            <w:hyperlink r:id="rId87">
              <w:r>
                <w:rPr>
                  <w:rFonts w:ascii="Arial" w:cs="Arial" w:eastAsia="Arial" w:hAnsi="Arial"/>
                  <w:sz w:val="14"/>
                  <w:szCs w:val="14"/>
                  <w:color w:val="auto"/>
                </w:rPr>
                <w:t>Limited Liability Company Agreement of TRCC/Rock Outlet Center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18</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10.28</w:t>
            </w:r>
          </w:p>
        </w:tc>
        <w:tc>
          <w:tcPr>
            <w:tcW w:w="8680" w:type="dxa"/>
            <w:vAlign w:val="bottom"/>
          </w:tcPr>
          <w:p>
            <w:pPr>
              <w:ind w:left="60"/>
              <w:spacing w:after="0"/>
              <w:rPr>
                <w:rFonts w:ascii="Arial" w:cs="Arial" w:eastAsia="Arial" w:hAnsi="Arial"/>
                <w:sz w:val="14"/>
                <w:szCs w:val="14"/>
                <w:color w:val="auto"/>
              </w:rPr>
            </w:pPr>
            <w:hyperlink r:id="rId88">
              <w:r>
                <w:rPr>
                  <w:rFonts w:ascii="Arial" w:cs="Arial" w:eastAsia="Arial" w:hAnsi="Arial"/>
                  <w:sz w:val="14"/>
                  <w:szCs w:val="14"/>
                  <w:color w:val="auto"/>
                </w:rPr>
                <w:t>Warrant Agreement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19</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10.29</w:t>
            </w:r>
          </w:p>
        </w:tc>
        <w:tc>
          <w:tcPr>
            <w:tcW w:w="8680" w:type="dxa"/>
            <w:vAlign w:val="bottom"/>
          </w:tcPr>
          <w:p>
            <w:pPr>
              <w:ind w:left="60"/>
              <w:spacing w:after="0"/>
              <w:rPr>
                <w:rFonts w:ascii="Arial" w:cs="Arial" w:eastAsia="Arial" w:hAnsi="Arial"/>
                <w:sz w:val="14"/>
                <w:szCs w:val="14"/>
                <w:color w:val="auto"/>
              </w:rPr>
            </w:pPr>
            <w:hyperlink r:id="rId89">
              <w:r>
                <w:rPr>
                  <w:rFonts w:ascii="Arial" w:cs="Arial" w:eastAsia="Arial" w:hAnsi="Arial"/>
                  <w:sz w:val="14"/>
                  <w:szCs w:val="14"/>
                  <w:color w:val="auto"/>
                </w:rPr>
                <w:t>Amendments to Limited Liability Company Agreement of Tejon Mountain Village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20</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10.30</w:t>
            </w:r>
          </w:p>
        </w:tc>
        <w:tc>
          <w:tcPr>
            <w:tcW w:w="8680" w:type="dxa"/>
            <w:vAlign w:val="bottom"/>
          </w:tcPr>
          <w:p>
            <w:pPr>
              <w:ind w:left="60"/>
              <w:spacing w:after="0"/>
              <w:rPr>
                <w:rFonts w:ascii="Arial" w:cs="Arial" w:eastAsia="Arial" w:hAnsi="Arial"/>
                <w:sz w:val="14"/>
                <w:szCs w:val="14"/>
                <w:color w:val="auto"/>
              </w:rPr>
            </w:pPr>
            <w:hyperlink r:id="rId90">
              <w:r>
                <w:rPr>
                  <w:rFonts w:ascii="Arial" w:cs="Arial" w:eastAsia="Arial" w:hAnsi="Arial"/>
                  <w:sz w:val="14"/>
                  <w:szCs w:val="14"/>
                  <w:color w:val="auto"/>
                </w:rPr>
                <w:t>Membership Interest Purchase Agreement - Tejon Mountain Village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21</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10.31</w:t>
            </w:r>
          </w:p>
        </w:tc>
        <w:tc>
          <w:tcPr>
            <w:tcW w:w="8680" w:type="dxa"/>
            <w:vAlign w:val="bottom"/>
          </w:tcPr>
          <w:p>
            <w:pPr>
              <w:ind w:left="60"/>
              <w:spacing w:after="0"/>
              <w:rPr>
                <w:rFonts w:ascii="Arial" w:cs="Arial" w:eastAsia="Arial" w:hAnsi="Arial"/>
                <w:sz w:val="14"/>
                <w:szCs w:val="14"/>
                <w:color w:val="auto"/>
              </w:rPr>
            </w:pPr>
            <w:hyperlink r:id="rId91">
              <w:r>
                <w:rPr>
                  <w:rFonts w:ascii="Arial" w:cs="Arial" w:eastAsia="Arial" w:hAnsi="Arial"/>
                  <w:sz w:val="14"/>
                  <w:szCs w:val="14"/>
                  <w:color w:val="auto"/>
                </w:rPr>
                <w:t>Amended and Restated Credit Agreement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22</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10.32</w:t>
            </w:r>
          </w:p>
        </w:tc>
        <w:tc>
          <w:tcPr>
            <w:tcW w:w="8680" w:type="dxa"/>
            <w:vAlign w:val="bottom"/>
          </w:tcPr>
          <w:p>
            <w:pPr>
              <w:ind w:left="60"/>
              <w:spacing w:after="0"/>
              <w:rPr>
                <w:rFonts w:ascii="Arial" w:cs="Arial" w:eastAsia="Arial" w:hAnsi="Arial"/>
                <w:sz w:val="14"/>
                <w:szCs w:val="14"/>
                <w:color w:val="auto"/>
              </w:rPr>
            </w:pPr>
            <w:hyperlink r:id="rId92">
              <w:r>
                <w:rPr>
                  <w:rFonts w:ascii="Arial" w:cs="Arial" w:eastAsia="Arial" w:hAnsi="Arial"/>
                  <w:sz w:val="14"/>
                  <w:szCs w:val="14"/>
                  <w:color w:val="auto"/>
                </w:rPr>
                <w:t>Term Note</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25</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10.33</w:t>
            </w:r>
          </w:p>
        </w:tc>
        <w:tc>
          <w:tcPr>
            <w:tcW w:w="8680" w:type="dxa"/>
            <w:vAlign w:val="bottom"/>
          </w:tcPr>
          <w:p>
            <w:pPr>
              <w:ind w:left="60"/>
              <w:spacing w:after="0"/>
              <w:rPr>
                <w:rFonts w:ascii="Arial" w:cs="Arial" w:eastAsia="Arial" w:hAnsi="Arial"/>
                <w:sz w:val="14"/>
                <w:szCs w:val="14"/>
                <w:color w:val="auto"/>
              </w:rPr>
            </w:pPr>
            <w:hyperlink r:id="rId93">
              <w:r>
                <w:rPr>
                  <w:rFonts w:ascii="Arial" w:cs="Arial" w:eastAsia="Arial" w:hAnsi="Arial"/>
                  <w:sz w:val="14"/>
                  <w:szCs w:val="14"/>
                  <w:color w:val="auto"/>
                </w:rPr>
                <w:t>Revolving Line of Credit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36</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10.34</w:t>
            </w:r>
          </w:p>
        </w:tc>
        <w:tc>
          <w:tcPr>
            <w:tcW w:w="8680" w:type="dxa"/>
            <w:vAlign w:val="bottom"/>
          </w:tcPr>
          <w:p>
            <w:pPr>
              <w:ind w:left="60"/>
              <w:spacing w:after="0"/>
              <w:rPr>
                <w:rFonts w:ascii="Arial" w:cs="Arial" w:eastAsia="Arial" w:hAnsi="Arial"/>
                <w:sz w:val="14"/>
                <w:szCs w:val="14"/>
                <w:color w:val="auto"/>
              </w:rPr>
            </w:pPr>
            <w:hyperlink r:id="rId94">
              <w:r>
                <w:rPr>
                  <w:rFonts w:ascii="Arial" w:cs="Arial" w:eastAsia="Arial" w:hAnsi="Arial"/>
                  <w:sz w:val="14"/>
                  <w:szCs w:val="14"/>
                  <w:color w:val="auto"/>
                </w:rPr>
                <w:t>Amendments to Lease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23</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10.35</w:t>
            </w:r>
          </w:p>
        </w:tc>
        <w:tc>
          <w:tcPr>
            <w:tcW w:w="8680" w:type="dxa"/>
            <w:vAlign w:val="bottom"/>
          </w:tcPr>
          <w:p>
            <w:pPr>
              <w:ind w:left="60"/>
              <w:spacing w:after="0"/>
              <w:rPr>
                <w:rFonts w:ascii="Arial" w:cs="Arial" w:eastAsia="Arial" w:hAnsi="Arial"/>
                <w:sz w:val="14"/>
                <w:szCs w:val="14"/>
                <w:color w:val="auto"/>
              </w:rPr>
            </w:pPr>
            <w:hyperlink r:id="rId95">
              <w:r>
                <w:rPr>
                  <w:rFonts w:ascii="Arial" w:cs="Arial" w:eastAsia="Arial" w:hAnsi="Arial"/>
                  <w:sz w:val="14"/>
                  <w:szCs w:val="14"/>
                  <w:color w:val="auto"/>
                </w:rPr>
                <w:t>Water Supply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24</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10.37</w:t>
            </w:r>
          </w:p>
        </w:tc>
        <w:tc>
          <w:tcPr>
            <w:tcW w:w="8680" w:type="dxa"/>
            <w:vAlign w:val="bottom"/>
          </w:tcPr>
          <w:p>
            <w:pPr>
              <w:ind w:left="60"/>
              <w:spacing w:after="0"/>
              <w:rPr>
                <w:rFonts w:ascii="Arial" w:cs="Arial" w:eastAsia="Arial" w:hAnsi="Arial"/>
                <w:sz w:val="14"/>
                <w:szCs w:val="14"/>
                <w:color w:val="auto"/>
              </w:rPr>
            </w:pPr>
            <w:hyperlink r:id="rId96">
              <w:r>
                <w:rPr>
                  <w:rFonts w:ascii="Arial" w:cs="Arial" w:eastAsia="Arial" w:hAnsi="Arial"/>
                  <w:sz w:val="14"/>
                  <w:szCs w:val="14"/>
                  <w:color w:val="auto"/>
                </w:rPr>
                <w:t>Limited Liability Company Agreement of TRC-MRC 2,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26</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10.38</w:t>
            </w:r>
          </w:p>
        </w:tc>
        <w:tc>
          <w:tcPr>
            <w:tcW w:w="8680" w:type="dxa"/>
            <w:vAlign w:val="bottom"/>
          </w:tcPr>
          <w:p>
            <w:pPr>
              <w:ind w:left="60"/>
              <w:spacing w:after="0"/>
              <w:rPr>
                <w:rFonts w:ascii="Arial" w:cs="Arial" w:eastAsia="Arial" w:hAnsi="Arial"/>
                <w:sz w:val="14"/>
                <w:szCs w:val="14"/>
                <w:color w:val="auto"/>
              </w:rPr>
            </w:pPr>
            <w:hyperlink r:id="rId97">
              <w:r>
                <w:rPr>
                  <w:rFonts w:ascii="Arial" w:cs="Arial" w:eastAsia="Arial" w:hAnsi="Arial"/>
                  <w:sz w:val="14"/>
                  <w:szCs w:val="14"/>
                  <w:color w:val="auto"/>
                </w:rPr>
                <w:t>Limited Liability Company Agreement of TRC-MRC 1,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27</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10.39</w:t>
            </w:r>
          </w:p>
        </w:tc>
        <w:tc>
          <w:tcPr>
            <w:tcW w:w="8680" w:type="dxa"/>
            <w:vAlign w:val="bottom"/>
          </w:tcPr>
          <w:p>
            <w:pPr>
              <w:ind w:left="60"/>
              <w:spacing w:after="0"/>
              <w:rPr>
                <w:rFonts w:ascii="Arial" w:cs="Arial" w:eastAsia="Arial" w:hAnsi="Arial"/>
                <w:sz w:val="14"/>
                <w:szCs w:val="14"/>
                <w:color w:val="auto"/>
              </w:rPr>
            </w:pPr>
            <w:hyperlink r:id="rId98">
              <w:r>
                <w:rPr>
                  <w:rFonts w:ascii="Arial" w:cs="Arial" w:eastAsia="Arial" w:hAnsi="Arial"/>
                  <w:sz w:val="14"/>
                  <w:szCs w:val="14"/>
                  <w:color w:val="auto"/>
                </w:rPr>
                <w:t>Centennial Founders LLC, Redemption and Withdrawal Agreement - Lewis Tejon Member,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28</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10.40</w:t>
            </w:r>
          </w:p>
        </w:tc>
        <w:tc>
          <w:tcPr>
            <w:tcW w:w="8680" w:type="dxa"/>
            <w:vAlign w:val="bottom"/>
          </w:tcPr>
          <w:p>
            <w:pPr>
              <w:ind w:left="60"/>
              <w:spacing w:after="0"/>
              <w:rPr>
                <w:rFonts w:ascii="Arial" w:cs="Arial" w:eastAsia="Arial" w:hAnsi="Arial"/>
                <w:sz w:val="14"/>
                <w:szCs w:val="14"/>
                <w:color w:val="auto"/>
              </w:rPr>
            </w:pPr>
            <w:hyperlink r:id="rId99">
              <w:r>
                <w:rPr>
                  <w:rFonts w:ascii="Arial" w:cs="Arial" w:eastAsia="Arial" w:hAnsi="Arial"/>
                  <w:sz w:val="14"/>
                  <w:szCs w:val="14"/>
                  <w:color w:val="auto"/>
                </w:rPr>
                <w:t>First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29</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10.41</w:t>
            </w:r>
          </w:p>
        </w:tc>
        <w:tc>
          <w:tcPr>
            <w:tcW w:w="8680" w:type="dxa"/>
            <w:vAlign w:val="bottom"/>
          </w:tcPr>
          <w:p>
            <w:pPr>
              <w:ind w:left="60"/>
              <w:spacing w:after="0"/>
              <w:rPr>
                <w:rFonts w:ascii="Arial" w:cs="Arial" w:eastAsia="Arial" w:hAnsi="Arial"/>
                <w:sz w:val="14"/>
                <w:szCs w:val="14"/>
                <w:color w:val="auto"/>
              </w:rPr>
            </w:pPr>
            <w:hyperlink r:id="rId100">
              <w:r>
                <w:rPr>
                  <w:rFonts w:ascii="Arial" w:cs="Arial" w:eastAsia="Arial" w:hAnsi="Arial"/>
                  <w:sz w:val="14"/>
                  <w:szCs w:val="14"/>
                  <w:color w:val="auto"/>
                </w:rPr>
                <w:t>Second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30</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10.42</w:t>
            </w:r>
          </w:p>
        </w:tc>
        <w:tc>
          <w:tcPr>
            <w:tcW w:w="8680" w:type="dxa"/>
            <w:vAlign w:val="bottom"/>
          </w:tcPr>
          <w:p>
            <w:pPr>
              <w:ind w:left="60"/>
              <w:spacing w:after="0"/>
              <w:rPr>
                <w:rFonts w:ascii="Arial" w:cs="Arial" w:eastAsia="Arial" w:hAnsi="Arial"/>
                <w:sz w:val="14"/>
                <w:szCs w:val="14"/>
                <w:color w:val="auto"/>
              </w:rPr>
            </w:pPr>
            <w:hyperlink r:id="rId101">
              <w:r>
                <w:rPr>
                  <w:rFonts w:ascii="Arial" w:cs="Arial" w:eastAsia="Arial" w:hAnsi="Arial"/>
                  <w:sz w:val="14"/>
                  <w:szCs w:val="14"/>
                  <w:color w:val="auto"/>
                </w:rPr>
                <w:t>Limited Liability Company Agreement of TRC-MRC 3,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31</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10.43</w:t>
            </w:r>
          </w:p>
        </w:tc>
        <w:tc>
          <w:tcPr>
            <w:tcW w:w="8680" w:type="dxa"/>
            <w:vAlign w:val="bottom"/>
          </w:tcPr>
          <w:p>
            <w:pPr>
              <w:ind w:left="60"/>
              <w:spacing w:after="0"/>
              <w:rPr>
                <w:rFonts w:ascii="Arial" w:cs="Arial" w:eastAsia="Arial" w:hAnsi="Arial"/>
                <w:sz w:val="14"/>
                <w:szCs w:val="14"/>
                <w:color w:val="auto"/>
              </w:rPr>
            </w:pPr>
            <w:hyperlink r:id="rId102">
              <w:r>
                <w:rPr>
                  <w:rFonts w:ascii="Arial" w:cs="Arial" w:eastAsia="Arial" w:hAnsi="Arial"/>
                  <w:sz w:val="14"/>
                  <w:szCs w:val="14"/>
                  <w:color w:val="auto"/>
                </w:rPr>
                <w:t>Fourth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10.44</w:t>
            </w:r>
          </w:p>
        </w:tc>
        <w:tc>
          <w:tcPr>
            <w:tcW w:w="8680" w:type="dxa"/>
            <w:vAlign w:val="bottom"/>
          </w:tcPr>
          <w:p>
            <w:pPr>
              <w:ind w:left="60"/>
              <w:spacing w:after="0"/>
              <w:rPr>
                <w:rFonts w:ascii="Arial" w:cs="Arial" w:eastAsia="Arial" w:hAnsi="Arial"/>
                <w:sz w:val="14"/>
                <w:szCs w:val="14"/>
                <w:color w:val="auto"/>
              </w:rPr>
            </w:pPr>
            <w:hyperlink r:id="rId103">
              <w:r>
                <w:rPr>
                  <w:rFonts w:ascii="Arial" w:cs="Arial" w:eastAsia="Arial" w:hAnsi="Arial"/>
                  <w:sz w:val="14"/>
                  <w:szCs w:val="14"/>
                  <w:color w:val="auto"/>
                </w:rPr>
                <w:t>Centennial Founders, LLC Redemption and Withdrawal Agreement - CalAtlantic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10.45</w:t>
            </w:r>
          </w:p>
        </w:tc>
        <w:tc>
          <w:tcPr>
            <w:tcW w:w="8680" w:type="dxa"/>
            <w:vAlign w:val="bottom"/>
          </w:tcPr>
          <w:p>
            <w:pPr>
              <w:ind w:left="60"/>
              <w:spacing w:after="0"/>
              <w:rPr>
                <w:rFonts w:ascii="Arial" w:cs="Arial" w:eastAsia="Arial" w:hAnsi="Arial"/>
                <w:sz w:val="14"/>
                <w:szCs w:val="14"/>
                <w:color w:val="auto"/>
              </w:rPr>
            </w:pPr>
            <w:hyperlink r:id="rId104">
              <w:r>
                <w:rPr>
                  <w:rFonts w:ascii="Arial" w:cs="Arial" w:eastAsia="Arial" w:hAnsi="Arial"/>
                  <w:sz w:val="14"/>
                  <w:szCs w:val="14"/>
                  <w:color w:val="auto"/>
                </w:rPr>
                <w:t>Amended Revolving Line of Credit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34</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10.46</w:t>
            </w:r>
          </w:p>
        </w:tc>
        <w:tc>
          <w:tcPr>
            <w:tcW w:w="8680" w:type="dxa"/>
            <w:vAlign w:val="bottom"/>
          </w:tcPr>
          <w:p>
            <w:pPr>
              <w:ind w:left="60"/>
              <w:spacing w:after="0"/>
              <w:rPr>
                <w:rFonts w:ascii="Arial" w:cs="Arial" w:eastAsia="Arial" w:hAnsi="Arial"/>
                <w:sz w:val="14"/>
                <w:szCs w:val="14"/>
                <w:color w:val="auto"/>
              </w:rPr>
            </w:pPr>
            <w:hyperlink r:id="rId105">
              <w:r>
                <w:rPr>
                  <w:rFonts w:ascii="Arial" w:cs="Arial" w:eastAsia="Arial" w:hAnsi="Arial"/>
                  <w:sz w:val="14"/>
                  <w:szCs w:val="14"/>
                  <w:color w:val="auto"/>
                </w:rPr>
                <w:t>Amended Term Note</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35</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10.47</w:t>
            </w:r>
          </w:p>
        </w:tc>
        <w:tc>
          <w:tcPr>
            <w:tcW w:w="8680" w:type="dxa"/>
            <w:vAlign w:val="bottom"/>
          </w:tcPr>
          <w:p>
            <w:pPr>
              <w:ind w:left="60"/>
              <w:spacing w:after="0"/>
              <w:rPr>
                <w:rFonts w:ascii="Arial" w:cs="Arial" w:eastAsia="Arial" w:hAnsi="Arial"/>
                <w:sz w:val="14"/>
                <w:szCs w:val="14"/>
                <w:color w:val="auto"/>
              </w:rPr>
            </w:pPr>
            <w:hyperlink r:id="rId106">
              <w:r>
                <w:rPr>
                  <w:rFonts w:ascii="Arial" w:cs="Arial" w:eastAsia="Arial" w:hAnsi="Arial"/>
                  <w:sz w:val="14"/>
                  <w:szCs w:val="14"/>
                  <w:color w:val="auto"/>
                </w:rPr>
                <w:t>*Executive Officer Severance Agreement - Gregory S. Bielli</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10.48</w:t>
            </w:r>
          </w:p>
        </w:tc>
        <w:tc>
          <w:tcPr>
            <w:tcW w:w="8680" w:type="dxa"/>
            <w:vAlign w:val="bottom"/>
          </w:tcPr>
          <w:p>
            <w:pPr>
              <w:ind w:left="60"/>
              <w:spacing w:after="0"/>
              <w:rPr>
                <w:rFonts w:ascii="Arial" w:cs="Arial" w:eastAsia="Arial" w:hAnsi="Arial"/>
                <w:sz w:val="14"/>
                <w:szCs w:val="14"/>
                <w:color w:val="auto"/>
              </w:rPr>
            </w:pPr>
            <w:hyperlink r:id="rId107">
              <w:r>
                <w:rPr>
                  <w:rFonts w:ascii="Arial" w:cs="Arial" w:eastAsia="Arial" w:hAnsi="Arial"/>
                  <w:sz w:val="14"/>
                  <w:szCs w:val="14"/>
                  <w:color w:val="auto"/>
                </w:rPr>
                <w:t>Limited Liability Company Agreement of TRC-MRC 4,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39</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10.49</w:t>
            </w:r>
          </w:p>
        </w:tc>
        <w:tc>
          <w:tcPr>
            <w:tcW w:w="8680" w:type="dxa"/>
            <w:vAlign w:val="bottom"/>
          </w:tcPr>
          <w:p>
            <w:pPr>
              <w:ind w:left="60"/>
              <w:spacing w:after="0"/>
              <w:rPr>
                <w:rFonts w:ascii="Arial" w:cs="Arial" w:eastAsia="Arial" w:hAnsi="Arial"/>
                <w:sz w:val="14"/>
                <w:szCs w:val="14"/>
                <w:color w:val="auto"/>
              </w:rPr>
            </w:pPr>
            <w:hyperlink r:id="rId108">
              <w:r>
                <w:rPr>
                  <w:rFonts w:ascii="Arial" w:cs="Arial" w:eastAsia="Arial" w:hAnsi="Arial"/>
                  <w:sz w:val="14"/>
                  <w:szCs w:val="14"/>
                  <w:color w:val="auto"/>
                </w:rPr>
                <w:t>Settlement Agreement of CEQA litigation with Climate Resolve</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40</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10.50</w:t>
            </w:r>
          </w:p>
        </w:tc>
        <w:tc>
          <w:tcPr>
            <w:tcW w:w="8680" w:type="dxa"/>
            <w:vAlign w:val="bottom"/>
          </w:tcPr>
          <w:p>
            <w:pPr>
              <w:ind w:left="60"/>
              <w:spacing w:after="0"/>
              <w:rPr>
                <w:rFonts w:ascii="Arial" w:cs="Arial" w:eastAsia="Arial" w:hAnsi="Arial"/>
                <w:sz w:val="14"/>
                <w:szCs w:val="14"/>
                <w:color w:val="auto"/>
              </w:rPr>
            </w:pPr>
            <w:hyperlink r:id="rId109">
              <w:r>
                <w:rPr>
                  <w:rFonts w:ascii="Arial" w:cs="Arial" w:eastAsia="Arial" w:hAnsi="Arial"/>
                  <w:sz w:val="14"/>
                  <w:szCs w:val="14"/>
                  <w:color w:val="auto"/>
                </w:rPr>
                <w:t>Limited Liability Company Agreement of TRC-MRC Multi I,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41</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10.51</w:t>
            </w:r>
          </w:p>
        </w:tc>
        <w:tc>
          <w:tcPr>
            <w:tcW w:w="8680" w:type="dxa"/>
            <w:vAlign w:val="bottom"/>
          </w:tcPr>
          <w:p>
            <w:pPr>
              <w:ind w:left="60"/>
              <w:spacing w:after="0"/>
              <w:rPr>
                <w:rFonts w:ascii="Arial" w:cs="Arial" w:eastAsia="Arial" w:hAnsi="Arial"/>
                <w:sz w:val="14"/>
                <w:szCs w:val="14"/>
                <w:color w:val="auto"/>
              </w:rPr>
            </w:pPr>
            <w:hyperlink r:id="rId110">
              <w:r>
                <w:rPr>
                  <w:rFonts w:ascii="Arial" w:cs="Arial" w:eastAsia="Arial" w:hAnsi="Arial"/>
                  <w:sz w:val="14"/>
                  <w:szCs w:val="14"/>
                  <w:color w:val="auto"/>
                </w:rPr>
                <w:t>Limited Liability Company Agreement of TRC-MRC 5,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42</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10.52</w:t>
            </w:r>
          </w:p>
        </w:tc>
        <w:tc>
          <w:tcPr>
            <w:tcW w:w="8680" w:type="dxa"/>
            <w:vAlign w:val="bottom"/>
          </w:tcPr>
          <w:p>
            <w:pPr>
              <w:ind w:left="60"/>
              <w:spacing w:after="0"/>
              <w:rPr>
                <w:rFonts w:ascii="Arial" w:cs="Arial" w:eastAsia="Arial" w:hAnsi="Arial"/>
                <w:sz w:val="14"/>
                <w:szCs w:val="14"/>
                <w:color w:val="auto"/>
              </w:rPr>
            </w:pPr>
            <w:hyperlink r:id="rId111">
              <w:r>
                <w:rPr>
                  <w:rFonts w:ascii="Arial" w:cs="Arial" w:eastAsia="Arial" w:hAnsi="Arial"/>
                  <w:sz w:val="14"/>
                  <w:szCs w:val="14"/>
                  <w:color w:val="auto"/>
                </w:rPr>
                <w:t>Credit Agreement Between Tejon Ranchcorp and Bank of America, N.A.</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43</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10.53</w:t>
            </w:r>
          </w:p>
        </w:tc>
        <w:tc>
          <w:tcPr>
            <w:tcW w:w="8680" w:type="dxa"/>
            <w:vAlign w:val="bottom"/>
          </w:tcPr>
          <w:p>
            <w:pPr>
              <w:ind w:left="60"/>
              <w:spacing w:after="0"/>
              <w:rPr>
                <w:sz w:val="20"/>
                <w:szCs w:val="20"/>
                <w:color w:val="auto"/>
              </w:rPr>
            </w:pPr>
            <w:r>
              <w:rPr>
                <w:rFonts w:ascii="Arial" w:cs="Arial" w:eastAsia="Arial" w:hAnsi="Arial"/>
                <w:sz w:val="14"/>
                <w:szCs w:val="14"/>
                <w:color w:val="auto"/>
              </w:rPr>
              <w:t>Executive Officer Severance Agreement – Marc Hardy</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31.1</w:t>
            </w:r>
          </w:p>
        </w:tc>
        <w:tc>
          <w:tcPr>
            <w:tcW w:w="8680" w:type="dxa"/>
            <w:vAlign w:val="bottom"/>
          </w:tcPr>
          <w:p>
            <w:pPr>
              <w:ind w:left="60"/>
              <w:spacing w:after="0"/>
              <w:rPr>
                <w:sz w:val="20"/>
                <w:szCs w:val="20"/>
                <w:color w:val="auto"/>
              </w:rPr>
            </w:pPr>
            <w:r>
              <w:rPr>
                <w:rFonts w:ascii="Arial" w:cs="Arial" w:eastAsia="Arial" w:hAnsi="Arial"/>
                <w:sz w:val="14"/>
                <w:szCs w:val="14"/>
                <w:color w:val="auto"/>
              </w:rPr>
              <w:t>Certification Pursuant to Section 302 of the Sarbanes-Oxley Act of 2002</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91"/>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8680" w:type="dxa"/>
            <w:vAlign w:val="bottom"/>
          </w:tcPr>
          <w:p>
            <w:pPr>
              <w:ind w:left="60"/>
              <w:spacing w:after="0"/>
              <w:rPr>
                <w:sz w:val="20"/>
                <w:szCs w:val="20"/>
                <w:color w:val="auto"/>
              </w:rPr>
            </w:pPr>
            <w:r>
              <w:rPr>
                <w:rFonts w:ascii="Arial" w:cs="Arial" w:eastAsia="Arial" w:hAnsi="Arial"/>
                <w:sz w:val="14"/>
                <w:szCs w:val="14"/>
                <w:color w:val="auto"/>
              </w:rPr>
              <w:t>Certification Pursuant to Section 302 of the Sarbanes-Oxley Act of 2002</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8680" w:type="dxa"/>
            <w:vAlign w:val="bottom"/>
          </w:tcPr>
          <w:p>
            <w:pPr>
              <w:ind w:left="60"/>
              <w:spacing w:after="0"/>
              <w:rPr>
                <w:sz w:val="20"/>
                <w:szCs w:val="20"/>
                <w:color w:val="auto"/>
              </w:rPr>
            </w:pPr>
            <w:r>
              <w:rPr>
                <w:rFonts w:ascii="Arial" w:cs="Arial" w:eastAsia="Arial" w:hAnsi="Arial"/>
                <w:sz w:val="14"/>
                <w:szCs w:val="14"/>
                <w:color w:val="auto"/>
              </w:rPr>
              <w:t>Certification Pursuant to 18 U.S.C. Section 1350, as Adopted Pursuant to Section 906 of the Sarbanes-Oxley Act of 2002</w:t>
            </w:r>
          </w:p>
        </w:tc>
        <w:tc>
          <w:tcPr>
            <w:tcW w:w="1340" w:type="dxa"/>
            <w:vAlign w:val="bottom"/>
          </w:tcPr>
          <w:p>
            <w:pPr>
              <w:jc w:val="right"/>
              <w:spacing w:after="0"/>
              <w:rPr>
                <w:sz w:val="20"/>
                <w:szCs w:val="20"/>
                <w:color w:val="auto"/>
              </w:rPr>
            </w:pPr>
            <w:r>
              <w:rPr>
                <w:rFonts w:ascii="Arial" w:cs="Arial" w:eastAsia="Arial" w:hAnsi="Arial"/>
                <w:sz w:val="14"/>
                <w:szCs w:val="14"/>
                <w:color w:val="auto"/>
              </w:rPr>
              <w:t>Furnished</w:t>
            </w:r>
          </w:p>
        </w:tc>
      </w:tr>
      <w:tr>
        <w:trPr>
          <w:trHeight w:val="149"/>
        </w:trPr>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101.INS</w:t>
            </w:r>
          </w:p>
        </w:tc>
        <w:tc>
          <w:tcPr>
            <w:tcW w:w="8680" w:type="dxa"/>
            <w:vAlign w:val="bottom"/>
          </w:tcPr>
          <w:p>
            <w:pPr>
              <w:ind w:left="60"/>
              <w:spacing w:after="0" w:line="149" w:lineRule="exact"/>
              <w:rPr>
                <w:sz w:val="20"/>
                <w:szCs w:val="20"/>
                <w:color w:val="auto"/>
              </w:rPr>
            </w:pPr>
            <w:r>
              <w:rPr>
                <w:rFonts w:ascii="Arial" w:cs="Arial" w:eastAsia="Arial" w:hAnsi="Arial"/>
                <w:sz w:val="14"/>
                <w:szCs w:val="14"/>
                <w:color w:val="auto"/>
                <w:w w:val="96"/>
              </w:rPr>
              <w:t>XBRL Instance Document - the instance document does not appear in the Interactive Data File because its XBRL tags are embedded within the</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spacing w:after="0"/>
              <w:rPr>
                <w:sz w:val="15"/>
                <w:szCs w:val="15"/>
                <w:color w:val="auto"/>
              </w:rPr>
            </w:pPr>
          </w:p>
        </w:tc>
        <w:tc>
          <w:tcPr>
            <w:tcW w:w="8680" w:type="dxa"/>
            <w:vAlign w:val="bottom"/>
          </w:tcPr>
          <w:p>
            <w:pPr>
              <w:ind w:left="60"/>
              <w:spacing w:after="0"/>
              <w:rPr>
                <w:sz w:val="20"/>
                <w:szCs w:val="20"/>
                <w:color w:val="auto"/>
              </w:rPr>
            </w:pPr>
            <w:r>
              <w:rPr>
                <w:rFonts w:ascii="Arial" w:cs="Arial" w:eastAsia="Arial" w:hAnsi="Arial"/>
                <w:sz w:val="14"/>
                <w:szCs w:val="14"/>
                <w:color w:val="auto"/>
              </w:rPr>
              <w:t>Inline XBRL document.</w:t>
            </w:r>
          </w:p>
        </w:tc>
        <w:tc>
          <w:tcPr>
            <w:tcW w:w="1340" w:type="dxa"/>
            <w:vAlign w:val="bottom"/>
          </w:tcPr>
          <w:p>
            <w:pPr>
              <w:spacing w:after="0"/>
              <w:rPr>
                <w:sz w:val="15"/>
                <w:szCs w:val="15"/>
                <w:color w:val="auto"/>
              </w:rPr>
            </w:pP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1"/>
              </w:rPr>
              <w:t>101.SCH</w:t>
            </w:r>
          </w:p>
        </w:tc>
        <w:tc>
          <w:tcPr>
            <w:tcW w:w="868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5"/>
              </w:rPr>
              <w:t>101.CAL</w:t>
            </w:r>
          </w:p>
        </w:tc>
        <w:tc>
          <w:tcPr>
            <w:tcW w:w="868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4"/>
              </w:rPr>
              <w:t>101.DEF</w:t>
            </w:r>
          </w:p>
        </w:tc>
        <w:tc>
          <w:tcPr>
            <w:tcW w:w="868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91"/>
        </w:trPr>
        <w:tc>
          <w:tcPr>
            <w:tcW w:w="600" w:type="dxa"/>
            <w:vAlign w:val="bottom"/>
          </w:tcPr>
          <w:p>
            <w:pPr>
              <w:jc w:val="right"/>
              <w:spacing w:after="0"/>
              <w:rPr>
                <w:sz w:val="20"/>
                <w:szCs w:val="20"/>
                <w:color w:val="auto"/>
              </w:rPr>
            </w:pPr>
            <w:r>
              <w:rPr>
                <w:rFonts w:ascii="Arial" w:cs="Arial" w:eastAsia="Arial" w:hAnsi="Arial"/>
                <w:sz w:val="14"/>
                <w:szCs w:val="14"/>
                <w:color w:val="auto"/>
                <w:w w:val="96"/>
              </w:rPr>
              <w:t>101.LAB</w:t>
            </w:r>
          </w:p>
        </w:tc>
        <w:tc>
          <w:tcPr>
            <w:tcW w:w="868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2"/>
              </w:rPr>
              <w:t>101.PRE</w:t>
            </w:r>
          </w:p>
        </w:tc>
        <w:tc>
          <w:tcPr>
            <w:tcW w:w="868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bl>
    <w:p>
      <w:pPr>
        <w:ind w:left="460" w:right="4800" w:hanging="137"/>
        <w:spacing w:after="0" w:line="313" w:lineRule="auto"/>
        <w:tabs>
          <w:tab w:leader="none" w:pos="661"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20"/>
          </w:cols>
          <w:pgMar w:left="900" w:top="765"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Arial" w:cs="Arial" w:eastAsia="Arial" w:hAnsi="Arial"/>
                <w:sz w:val="14"/>
                <w:szCs w:val="14"/>
                <w:color w:val="auto"/>
              </w:rPr>
              <w:t>FN 1</w:t>
            </w:r>
          </w:p>
        </w:tc>
        <w:tc>
          <w:tcPr>
            <w:tcW w:w="10600" w:type="dxa"/>
            <w:vAlign w:val="bottom"/>
          </w:tcPr>
          <w:p>
            <w:pPr>
              <w:ind w:left="320"/>
              <w:spacing w:after="0"/>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 3.1 to our Quarterly Report on Form 10-Q for the period</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ended June 30, 2021, is incorporated herein by reference.</w:t>
            </w:r>
          </w:p>
        </w:tc>
      </w:tr>
      <w:tr>
        <w:trPr>
          <w:trHeight w:val="160"/>
        </w:trPr>
        <w:tc>
          <w:tcPr>
            <w:tcW w:w="680" w:type="dxa"/>
            <w:vAlign w:val="bottom"/>
          </w:tcPr>
          <w:p>
            <w:pPr>
              <w:ind w:left="20"/>
              <w:spacing w:after="0" w:line="159" w:lineRule="exact"/>
              <w:rPr>
                <w:sz w:val="20"/>
                <w:szCs w:val="20"/>
                <w:color w:val="auto"/>
              </w:rPr>
            </w:pPr>
            <w:r>
              <w:rPr>
                <w:rFonts w:ascii="Arial" w:cs="Arial" w:eastAsia="Arial" w:hAnsi="Arial"/>
                <w:sz w:val="14"/>
                <w:szCs w:val="14"/>
                <w:color w:val="auto"/>
              </w:rPr>
              <w:t>FN 2</w:t>
            </w:r>
          </w:p>
        </w:tc>
        <w:tc>
          <w:tcPr>
            <w:tcW w:w="10600" w:type="dxa"/>
            <w:vAlign w:val="bottom"/>
          </w:tcPr>
          <w:p>
            <w:pPr>
              <w:ind w:left="320"/>
              <w:spacing w:after="0" w:line="159" w:lineRule="exact"/>
              <w:rPr>
                <w:rFonts w:ascii="Arial" w:cs="Arial" w:eastAsia="Arial" w:hAnsi="Arial"/>
                <w:sz w:val="14"/>
                <w:szCs w:val="14"/>
                <w:color w:val="auto"/>
                <w:w w:val="94"/>
              </w:rPr>
            </w:pPr>
            <w:hyperlink r:id="rId113">
              <w:r>
                <w:rPr>
                  <w:rFonts w:ascii="Arial" w:cs="Arial" w:eastAsia="Arial" w:hAnsi="Arial"/>
                  <w:sz w:val="14"/>
                  <w:szCs w:val="14"/>
                  <w:color w:val="auto"/>
                  <w:w w:val="94"/>
                </w:rPr>
                <w:t>This document, filed with the Securities and Exchange Commission in Washington, D.C. (file number 1-07183) as Exhibit 3.1 to our Current Report on Form 8-K filed on March</w:t>
              </w:r>
            </w:hyperlink>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rFonts w:ascii="Arial" w:cs="Arial" w:eastAsia="Arial" w:hAnsi="Arial"/>
                <w:sz w:val="14"/>
                <w:szCs w:val="14"/>
                <w:color w:val="auto"/>
              </w:rPr>
            </w:pPr>
            <w:hyperlink r:id="rId113">
              <w:r>
                <w:rPr>
                  <w:rFonts w:ascii="Arial" w:cs="Arial" w:eastAsia="Arial" w:hAnsi="Arial"/>
                  <w:sz w:val="14"/>
                  <w:szCs w:val="14"/>
                  <w:color w:val="auto"/>
                </w:rPr>
                <w:t>24, 2023, is incorporated herein by reference.</w:t>
              </w:r>
            </w:hyperlink>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5</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8"/>
              </w:rPr>
              <w:t>This document, filed with the Securities and Exchange Commission in Washington, D.C. (file number 1-07183) as Exhibit 4.1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December 20, 2005,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6</w:t>
            </w:r>
          </w:p>
        </w:tc>
        <w:tc>
          <w:tcPr>
            <w:tcW w:w="10600" w:type="dxa"/>
            <w:vAlign w:val="bottom"/>
          </w:tcPr>
          <w:p>
            <w:pPr>
              <w:ind w:left="32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under Item 14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ended December 31, 1994, is incorporated herein by reference. This Exhibit was not filed with the Securities and Exchange Commission in an electronic format.</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7</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under Item 14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ended December 31, 1997,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8</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10.9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ended December 31, 2008,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9</w:t>
            </w:r>
          </w:p>
        </w:tc>
        <w:tc>
          <w:tcPr>
            <w:tcW w:w="10600" w:type="dxa"/>
            <w:vAlign w:val="bottom"/>
          </w:tcPr>
          <w:p>
            <w:pPr>
              <w:ind w:left="32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10.10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ended December 31, 2008,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10</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10.16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ended December 31, 2001,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11</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4.1 to our Current Report on Form 8-K filed on May 7,</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2004,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12</w:t>
            </w:r>
          </w:p>
        </w:tc>
        <w:tc>
          <w:tcPr>
            <w:tcW w:w="10600" w:type="dxa"/>
            <w:vAlign w:val="bottom"/>
          </w:tcPr>
          <w:p>
            <w:pPr>
              <w:ind w:left="32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4.2 to our Current Report on Form 8-K filed on May 7,</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2004,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13</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Exhibits 10.21-10.23 to our Annual Report on Form 10-K for the</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year ended December 31, 2004,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14</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10.24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May 24, 2006,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15</w:t>
            </w:r>
          </w:p>
        </w:tc>
        <w:tc>
          <w:tcPr>
            <w:tcW w:w="10600" w:type="dxa"/>
            <w:vAlign w:val="bottom"/>
          </w:tcPr>
          <w:p>
            <w:pPr>
              <w:ind w:left="320"/>
              <w:spacing w:after="0" w:line="13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10.28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June 23, 2008,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16</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10.25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period ended June 30, 2009,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17</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10.26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period ended March 31, 2013, for the period ended March 31,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18</w:t>
            </w:r>
          </w:p>
        </w:tc>
        <w:tc>
          <w:tcPr>
            <w:tcW w:w="10600" w:type="dxa"/>
            <w:vAlign w:val="bottom"/>
          </w:tcPr>
          <w:p>
            <w:pPr>
              <w:ind w:left="320"/>
              <w:spacing w:after="0" w:line="139" w:lineRule="exact"/>
              <w:rPr>
                <w:sz w:val="20"/>
                <w:szCs w:val="20"/>
                <w:color w:val="auto"/>
              </w:rPr>
            </w:pPr>
            <w:r>
              <w:rPr>
                <w:rFonts w:ascii="Arial" w:cs="Arial" w:eastAsia="Arial" w:hAnsi="Arial"/>
                <w:sz w:val="14"/>
                <w:szCs w:val="14"/>
                <w:color w:val="auto"/>
                <w:w w:val="92"/>
              </w:rPr>
              <w:t>This document, filed with the Securities and Exchange Commission in Washington, D.C. (file number 1-07183) as Exhibit 10.27 to our Current Report on Form 8-K filed on June 4,</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2013,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19</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8"/>
              </w:rPr>
              <w:t>This document, filed with the Securities and Exchange Commission in Washington, D.C. (file number 1-07183) as Exhibit 10.1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August 8, 2013,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20</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10.29 to our Amended Annual Report on Form 10-K/A</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for the year ended December 31,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21</w:t>
            </w:r>
          </w:p>
        </w:tc>
        <w:tc>
          <w:tcPr>
            <w:tcW w:w="10600" w:type="dxa"/>
            <w:vAlign w:val="bottom"/>
          </w:tcPr>
          <w:p>
            <w:pPr>
              <w:ind w:left="32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10.30 to our Current Report on Form 8-K filed on July</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16, 2014,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22</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Exhibits 10.31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October 17, 2014,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23</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ended December 31,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24</w:t>
            </w:r>
          </w:p>
        </w:tc>
        <w:tc>
          <w:tcPr>
            <w:tcW w:w="10600" w:type="dxa"/>
            <w:vAlign w:val="bottom"/>
          </w:tcPr>
          <w:p>
            <w:pPr>
              <w:ind w:left="32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10.35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period ended June 30, 2015,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25</w:t>
            </w:r>
          </w:p>
        </w:tc>
        <w:tc>
          <w:tcPr>
            <w:tcW w:w="10600" w:type="dxa"/>
            <w:vAlign w:val="bottom"/>
          </w:tcPr>
          <w:p>
            <w:pPr>
              <w:ind w:left="320"/>
              <w:spacing w:after="0" w:line="14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10.32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20"/>
              <w:spacing w:after="0"/>
              <w:rPr>
                <w:sz w:val="20"/>
                <w:szCs w:val="20"/>
                <w:color w:val="auto"/>
              </w:rPr>
            </w:pPr>
            <w:r>
              <w:rPr>
                <w:rFonts w:ascii="Arial" w:cs="Arial" w:eastAsia="Arial" w:hAnsi="Arial"/>
                <w:sz w:val="14"/>
                <w:szCs w:val="14"/>
                <w:color w:val="auto"/>
              </w:rPr>
              <w:t>October 17, 2014, is incorporated herein by reference.</w:t>
            </w:r>
          </w:p>
        </w:tc>
      </w:tr>
      <w:tr>
        <w:trPr>
          <w:trHeight w:val="679"/>
        </w:trPr>
        <w:tc>
          <w:tcPr>
            <w:tcW w:w="680" w:type="dxa"/>
            <w:vAlign w:val="bottom"/>
          </w:tcPr>
          <w:p>
            <w:pPr>
              <w:spacing w:after="0"/>
              <w:rPr>
                <w:sz w:val="24"/>
                <w:szCs w:val="24"/>
                <w:color w:val="auto"/>
              </w:rPr>
            </w:pPr>
          </w:p>
        </w:tc>
        <w:tc>
          <w:tcPr>
            <w:tcW w:w="10600" w:type="dxa"/>
            <w:vAlign w:val="bottom"/>
          </w:tcPr>
          <w:p>
            <w:pPr>
              <w:ind w:left="4900"/>
              <w:spacing w:after="0"/>
              <w:rPr>
                <w:sz w:val="20"/>
                <w:szCs w:val="20"/>
                <w:color w:val="auto"/>
              </w:rPr>
            </w:pPr>
            <w:r>
              <w:rPr>
                <w:rFonts w:ascii="Arial" w:cs="Arial" w:eastAsia="Arial" w:hAnsi="Arial"/>
                <w:sz w:val="14"/>
                <w:szCs w:val="14"/>
                <w:color w:val="auto"/>
              </w:rPr>
              <w:t>49</w:t>
            </w:r>
          </w:p>
        </w:tc>
      </w:tr>
      <w:tr>
        <w:trPr>
          <w:trHeight w:val="87"/>
        </w:trPr>
        <w:tc>
          <w:tcPr>
            <w:tcW w:w="680" w:type="dxa"/>
            <w:vAlign w:val="bottom"/>
            <w:tcBorders>
              <w:bottom w:val="single" w:sz="8" w:color="9A9A9A"/>
            </w:tcBorders>
          </w:tcPr>
          <w:p>
            <w:pPr>
              <w:spacing w:after="0"/>
              <w:rPr>
                <w:sz w:val="7"/>
                <w:szCs w:val="7"/>
                <w:color w:val="auto"/>
              </w:rPr>
            </w:pPr>
          </w:p>
        </w:tc>
        <w:tc>
          <w:tcPr>
            <w:tcW w:w="10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Arial" w:cs="Arial" w:eastAsia="Arial" w:hAnsi="Arial"/>
                <w:sz w:val="14"/>
                <w:szCs w:val="14"/>
                <w:color w:val="auto"/>
              </w:rPr>
              <w:t>FN 26</w:t>
            </w:r>
          </w:p>
        </w:tc>
        <w:tc>
          <w:tcPr>
            <w:tcW w:w="10600" w:type="dxa"/>
            <w:vAlign w:val="bottom"/>
          </w:tcPr>
          <w:p>
            <w:pPr>
              <w:ind w:left="300"/>
              <w:spacing w:after="0"/>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10.37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June 30, 2016,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27</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10.38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2016,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28</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10.39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29</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10.40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30</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10.41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31</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10.42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32</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10.43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2018,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33</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2018,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34</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10.45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2019,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35</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10.46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2019,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36</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10.33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October 17, 2014,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37</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333-231032) as Exhibit 4.6 to our Registration Statement on Form S-3 filed</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on April 25, 2019,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38</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10.47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2019,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39</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10.48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March 31, 2021,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40</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10.49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2021,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41</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10.50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2021, is incorporated herein by reference.</w:t>
            </w:r>
          </w:p>
        </w:tc>
      </w:tr>
      <w:tr>
        <w:trPr>
          <w:trHeight w:val="149"/>
        </w:trPr>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FN 42</w:t>
            </w:r>
          </w:p>
        </w:tc>
        <w:tc>
          <w:tcPr>
            <w:tcW w:w="10600" w:type="dxa"/>
            <w:vAlign w:val="bottom"/>
          </w:tcPr>
          <w:p>
            <w:pPr>
              <w:ind w:left="300"/>
              <w:spacing w:after="0" w:line="14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 10.51 to our Quarterly Report on Form 10-Q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March 31, 2022,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43</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 10.51 to our Quarterly Report on Form 10-Q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September 30, 2022, is incorporated herein by reference.</w:t>
            </w:r>
          </w:p>
        </w:tc>
      </w:tr>
      <w:tr>
        <w:trPr>
          <w:trHeight w:val="679"/>
        </w:trPr>
        <w:tc>
          <w:tcPr>
            <w:tcW w:w="680" w:type="dxa"/>
            <w:vAlign w:val="bottom"/>
          </w:tcPr>
          <w:p>
            <w:pPr>
              <w:spacing w:after="0"/>
              <w:rPr>
                <w:sz w:val="24"/>
                <w:szCs w:val="24"/>
                <w:color w:val="auto"/>
              </w:rPr>
            </w:pPr>
          </w:p>
        </w:tc>
        <w:tc>
          <w:tcPr>
            <w:tcW w:w="10600" w:type="dxa"/>
            <w:vAlign w:val="bottom"/>
          </w:tcPr>
          <w:p>
            <w:pPr>
              <w:ind w:left="4900"/>
              <w:spacing w:after="0"/>
              <w:rPr>
                <w:sz w:val="20"/>
                <w:szCs w:val="20"/>
                <w:color w:val="auto"/>
              </w:rPr>
            </w:pPr>
            <w:r>
              <w:rPr>
                <w:rFonts w:ascii="Arial" w:cs="Arial" w:eastAsia="Arial" w:hAnsi="Arial"/>
                <w:sz w:val="14"/>
                <w:szCs w:val="14"/>
                <w:color w:val="auto"/>
              </w:rPr>
              <w:t>50</w:t>
            </w:r>
          </w:p>
        </w:tc>
      </w:tr>
      <w:tr>
        <w:trPr>
          <w:trHeight w:val="87"/>
        </w:trPr>
        <w:tc>
          <w:tcPr>
            <w:tcW w:w="680" w:type="dxa"/>
            <w:vAlign w:val="bottom"/>
            <w:tcBorders>
              <w:bottom w:val="single" w:sz="8" w:color="9A9A9A"/>
            </w:tcBorders>
          </w:tcPr>
          <w:p>
            <w:pPr>
              <w:spacing w:after="0"/>
              <w:rPr>
                <w:sz w:val="7"/>
                <w:szCs w:val="7"/>
                <w:color w:val="auto"/>
              </w:rPr>
            </w:pPr>
          </w:p>
        </w:tc>
        <w:tc>
          <w:tcPr>
            <w:tcW w:w="10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0" w:name="page51"/>
    <w:bookmarkEnd w:id="50"/>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TEJON RANCH CO.</w:t>
      </w:r>
    </w:p>
    <w:p>
      <w:pPr>
        <w:sectPr>
          <w:pgSz w:w="11900" w:h="16838" w:orient="portrait"/>
          <w:cols w:equalWidth="0" w:num="1">
            <w:col w:w="10320"/>
          </w:cols>
          <w:pgMar w:left="300" w:top="730" w:right="12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188658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8658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8658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35839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Gregory S. Bielli</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(Principal Executive Officer)</w:t>
      </w:r>
    </w:p>
    <w:p>
      <w:pPr>
        <w:spacing w:after="0" w:line="242"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35839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Brett A. Brown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Executive Vice President and Chief Financial Officer</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(Principal Financial Officer)</w:t>
      </w:r>
    </w:p>
    <w:p>
      <w:pPr>
        <w:spacing w:after="0" w:line="232"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2"/>
          <w:szCs w:val="12"/>
          <w:color w:val="auto"/>
        </w:rPr>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35839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Robert D. Velasquez</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Chief Accounting Officer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(Principal Accounting Officer)</w:t>
      </w:r>
    </w:p>
    <w:p>
      <w:pPr>
        <w:spacing w:after="0" w:line="200" w:lineRule="exact"/>
        <w:rPr>
          <w:sz w:val="20"/>
          <w:szCs w:val="20"/>
          <w:color w:val="auto"/>
        </w:rPr>
      </w:pPr>
    </w:p>
    <w:p>
      <w:pPr>
        <w:sectPr>
          <w:pgSz w:w="11900" w:h="16838" w:orient="portrait"/>
          <w:cols w:equalWidth="0" w:num="2">
            <w:col w:w="4900" w:space="720"/>
            <w:col w:w="4700"/>
          </w:cols>
          <w:pgMar w:left="300" w:top="730" w:right="1279" w:bottom="1440" w:gutter="0" w:footer="0" w:header="0"/>
          <w:type w:val="continuous"/>
        </w:sect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320"/>
          </w:cols>
          <w:pgMar w:left="300" w:top="730" w:right="1279" w:bottom="1440" w:gutter="0" w:footer="0" w:header="0"/>
          <w:type w:val="continuous"/>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71107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I, Gregory S. Bielli, certify that:</w:t>
      </w:r>
    </w:p>
    <w:p>
      <w:pPr>
        <w:spacing w:after="0" w:line="136"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60" w:hanging="260"/>
        <w:spacing w:after="0" w:line="321" w:lineRule="auto"/>
        <w:tabs>
          <w:tab w:leader="none" w:pos="520" w:val="left"/>
        </w:tabs>
        <w:numPr>
          <w:ilvl w:val="1"/>
          <w:numId w:val="3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740" w:val="left"/>
          <w:tab w:leader="none" w:pos="59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August 3, 2023</w:t>
      </w:r>
      <w:r>
        <w:rPr>
          <w:sz w:val="20"/>
          <w:szCs w:val="20"/>
          <w:color w:val="auto"/>
        </w:rPr>
        <w:tab/>
      </w:r>
      <w:r>
        <w:rPr>
          <w:rFonts w:ascii="Arial" w:cs="Arial" w:eastAsia="Arial" w:hAnsi="Arial"/>
          <w:sz w:val="13"/>
          <w:szCs w:val="13"/>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12065</wp:posOffset>
            </wp:positionV>
            <wp:extent cx="334835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0"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Gregory S. Bielli</w:t>
      </w:r>
    </w:p>
    <w:p>
      <w:pPr>
        <w:spacing w:after="0" w:line="30"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1280"/>
          </w:cols>
          <w:pgMar w:left="300" w:top="730" w:right="3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Brett A. Brown, certify that:</w:t>
      </w:r>
    </w:p>
    <w:p>
      <w:pPr>
        <w:spacing w:after="0" w:line="136"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60" w:hanging="260"/>
        <w:spacing w:after="0" w:line="321" w:lineRule="auto"/>
        <w:tabs>
          <w:tab w:leader="none" w:pos="52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3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20" w:val="left"/>
        </w:tabs>
        <w:numPr>
          <w:ilvl w:val="1"/>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2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740" w:val="left"/>
          <w:tab w:leader="none" w:pos="42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August 3, 2023</w:t>
      </w:r>
      <w:r>
        <w:rPr>
          <w:sz w:val="20"/>
          <w:szCs w:val="20"/>
          <w:color w:val="auto"/>
        </w:rPr>
        <w:tab/>
      </w:r>
      <w:r>
        <w:rPr>
          <w:rFonts w:ascii="Arial" w:cs="Arial" w:eastAsia="Arial" w:hAnsi="Arial"/>
          <w:sz w:val="13"/>
          <w:szCs w:val="13"/>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12065</wp:posOffset>
            </wp:positionV>
            <wp:extent cx="443293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4432935" cy="6985"/>
                    </a:xfrm>
                    <a:prstGeom prst="rect">
                      <a:avLst/>
                    </a:prstGeom>
                    <a:noFill/>
                  </pic:spPr>
                </pic:pic>
              </a:graphicData>
            </a:graphic>
          </wp:anchor>
        </w:drawing>
      </w:r>
    </w:p>
    <w:p>
      <w:pPr>
        <w:spacing w:after="0" w:line="10"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Brett A. Brown</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280"/>
          </w:cols>
          <w:pgMar w:left="300" w:top="730" w:right="319" w:bottom="1440" w:gutter="0" w:footer="0" w:header="0"/>
        </w:sectPr>
      </w:pPr>
    </w:p>
    <w:bookmarkStart w:id="60" w:name="page61"/>
    <w:bookmarkEnd w:id="60"/>
    <w:p>
      <w:pPr>
        <w:ind w:left="5260"/>
        <w:spacing w:after="0"/>
        <w:rPr>
          <w:sz w:val="20"/>
          <w:szCs w:val="20"/>
          <w:color w:val="auto"/>
        </w:rPr>
      </w:pPr>
      <w:r>
        <w:rPr>
          <w:rFonts w:ascii="Arial" w:cs="Arial" w:eastAsia="Arial" w:hAnsi="Arial"/>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Each of the undersigned hereby certifies, in his capacity as an officer of Tejon Ranch Co. (the “Company”), for purposes of 18 U.S.C. Section 1350, as adopted pursuant to Section 906 of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Sarbanes-Oxley Act of 2002, that to his own knowledge:</w:t>
      </w:r>
    </w:p>
    <w:p>
      <w:pPr>
        <w:spacing w:after="0" w:line="189"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Quarterly Report of the Company on Form 10-Q for the period ended June 30, 2023 fully complies with the requirements of Section 13(a) of the Securities Exchange Act of 1934; and</w:t>
      </w:r>
    </w:p>
    <w:p>
      <w:pPr>
        <w:spacing w:after="0" w:line="42" w:lineRule="exact"/>
        <w:rPr>
          <w:rFonts w:ascii="Arial" w:cs="Arial" w:eastAsia="Arial" w:hAnsi="Arial"/>
          <w:sz w:val="12"/>
          <w:szCs w:val="12"/>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contained in such report fairly presents, in all material respects, the financial condition and results of operation of the Company.</w:t>
      </w:r>
    </w:p>
    <w:p>
      <w:pPr>
        <w:spacing w:after="0" w:line="126"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17" w:lineRule="exact"/>
        <w:rPr>
          <w:sz w:val="20"/>
          <w:szCs w:val="20"/>
          <w:color w:val="auto"/>
        </w:rPr>
      </w:pPr>
    </w:p>
    <w:p>
      <w:pPr>
        <w:ind w:left="20"/>
        <w:spacing w:after="0"/>
        <w:tabs>
          <w:tab w:leader="none" w:pos="33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August 3, 2023</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42913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429133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Gregory S. Bielli</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429133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429133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Brett A. Brown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 Vice President and Chief Financial Officer</w:t>
      </w:r>
    </w:p>
    <w:sectPr>
      <w:pgSz w:w="11900" w:h="16838" w:orient="portrait"/>
      <w:cols w:equalWidth="0" w:num="1">
        <w:col w:w="11120"/>
      </w:cols>
      <w:pgMar w:left="300" w:top="73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4"/>
    </w:lvl>
  </w:abstractNum>
  <w:abstractNum w:abstractNumId="4">
    <w:nsid w:val="257130A3"/>
    <w:multiLevelType w:val="hybridMultilevel"/>
    <w:lvl w:ilvl="0">
      <w:lvlJc w:val="left"/>
      <w:lvlText w:val="%1."/>
      <w:numFmt w:val="decimal"/>
      <w:start w:val="5"/>
    </w:lvl>
  </w:abstractNum>
  <w:abstractNum w:abstractNumId="5">
    <w:nsid w:val="62BBD95A"/>
    <w:multiLevelType w:val="hybridMultilevel"/>
    <w:lvl w:ilvl="0">
      <w:lvlJc w:val="left"/>
      <w:lvlText w:val="%1."/>
      <w:numFmt w:val="decimal"/>
      <w:start w:val="8"/>
    </w:lvl>
  </w:abstractNum>
  <w:abstractNum w:abstractNumId="6">
    <w:nsid w:val="436C6125"/>
    <w:multiLevelType w:val="hybridMultilevel"/>
    <w:lvl w:ilvl="0">
      <w:lvlJc w:val="left"/>
      <w:lvlText w:val="%1."/>
      <w:numFmt w:val="decimal"/>
      <w:start w:val="9"/>
    </w:lvl>
  </w:abstractNum>
  <w:abstractNum w:abstractNumId="7">
    <w:nsid w:val="628C895D"/>
    <w:multiLevelType w:val="hybridMultilevel"/>
    <w:lvl w:ilvl="0">
      <w:lvlJc w:val="left"/>
      <w:lvlText w:val="%1."/>
      <w:numFmt w:val="decimal"/>
      <w:start w:val="10"/>
    </w:lvl>
  </w:abstractNum>
  <w:abstractNum w:abstractNumId="8">
    <w:nsid w:val="333AB105"/>
    <w:multiLevelType w:val="hybridMultilevel"/>
    <w:lvl w:ilvl="0">
      <w:lvlJc w:val="left"/>
      <w:lvlText w:val="%1."/>
      <w:numFmt w:val="decimal"/>
      <w:start w:val="11"/>
    </w:lvl>
  </w:abstractNum>
  <w:abstractNum w:abstractNumId="9">
    <w:nsid w:val="721DA317"/>
    <w:multiLevelType w:val="hybridMultilevel"/>
    <w:lvl w:ilvl="0">
      <w:lvlJc w:val="left"/>
      <w:lvlText w:val="%1."/>
      <w:numFmt w:val="decimal"/>
      <w:start w:val="12"/>
    </w:lvl>
  </w:abstractNum>
  <w:abstractNum w:abstractNumId="10">
    <w:nsid w:val="2443A858"/>
    <w:multiLevelType w:val="hybridMultilevel"/>
    <w:lvl w:ilvl="0">
      <w:lvlJc w:val="left"/>
      <w:lvlText w:val="•"/>
      <w:numFmt w:val="bullet"/>
      <w:start w:val="1"/>
    </w:lvl>
    <w:lvl w:ilvl="1">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5"/>
    </w:lvl>
    <w:lvl w:ilvl="1">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lvl w:ilvl="1">
      <w:lvlJc w:val="left"/>
      <w:lvlText w:val="1"/>
      <w:numFmt w:val="bullet"/>
      <w:start w:val="1"/>
    </w:lvl>
  </w:abstractNum>
  <w:abstractNum w:abstractNumId="24">
    <w:nsid w:val="3A95F874"/>
    <w:multiLevelType w:val="hybridMultilevel"/>
    <w:lvl w:ilvl="0">
      <w:lvlJc w:val="left"/>
      <w:lvlText w:val="•"/>
      <w:numFmt w:val="bullet"/>
      <w:start w:val="1"/>
    </w:lvl>
    <w:lvl w:ilvl="1">
      <w:lvlJc w:val="left"/>
      <w:lvlText w:val="1"/>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0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112" Type="http://schemas.openxmlformats.org/officeDocument/2006/relationships/image" Target="media/image63.png"/><Relationship Id="rId114" Type="http://schemas.openxmlformats.org/officeDocument/2006/relationships/image" Target="media/image64.png"/><Relationship Id="rId115" Type="http://schemas.openxmlformats.org/officeDocument/2006/relationships/image" Target="media/image65.png"/><Relationship Id="rId116"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68" Type="http://schemas.openxmlformats.org/officeDocument/2006/relationships/hyperlink" Target="http://www.sec.gov/Archives/edgar/data/96869/000009686921000016/ex31restatedcertificateo.htm" TargetMode="External"/><Relationship Id="rId69" Type="http://schemas.openxmlformats.org/officeDocument/2006/relationships/hyperlink" Target="http://www.sec.gov/Archives/edgar/data/96869/000119312520151616/d937443dex991.htm" TargetMode="External"/><Relationship Id="rId70" Type="http://schemas.openxmlformats.org/officeDocument/2006/relationships/hyperlink" Target="http://www.sec.gov/Archives/edgar/data/96869/000119312505245123/dex41.htm" TargetMode="External"/><Relationship Id="rId71" Type="http://schemas.openxmlformats.org/officeDocument/2006/relationships/hyperlink" Target="http://www.sec.gov/Archives/edgar/data/96869/000119312519119877/d718363dex46.htm" TargetMode="External"/><Relationship Id="rId72" Type="http://schemas.openxmlformats.org/officeDocument/2006/relationships/hyperlink" Target="http://www.sec.gov/Archives/edgar/data/96869/0000096869-98-000002.txt" TargetMode="External"/><Relationship Id="rId73" Type="http://schemas.openxmlformats.org/officeDocument/2006/relationships/hyperlink" Target="http://www.sec.gov/Archives/edgar/data/96869/000119312509042772/dex109.htm" TargetMode="External"/><Relationship Id="rId74" Type="http://schemas.openxmlformats.org/officeDocument/2006/relationships/hyperlink" Target="http://www.sec.gov/Archives/edgar/data/96869/000119312509042772/dex1010.htm" TargetMode="External"/><Relationship Id="rId75" Type="http://schemas.openxmlformats.org/officeDocument/2006/relationships/hyperlink" Target="http://www.sec.gov/Archives/edgar/data/96869/000102140802004535/dex1016.txt" TargetMode="External"/><Relationship Id="rId76" Type="http://schemas.openxmlformats.org/officeDocument/2006/relationships/hyperlink" Target="http://www.sec.gov/Archives/edgar/data/96869/000119312504082310/dex41.htm" TargetMode="External"/><Relationship Id="rId77" Type="http://schemas.openxmlformats.org/officeDocument/2006/relationships/hyperlink" Target="http://www.sec.gov/Archives/edgar/data/96869/000119312504082310/dex42.htm" TargetMode="External"/><Relationship Id="rId78" Type="http://schemas.openxmlformats.org/officeDocument/2006/relationships/hyperlink" Target="http://www.sec.gov/Archives/edgar/data/96869/000119312505051499/dex1021.htm" TargetMode="External"/><Relationship Id="rId79" Type="http://schemas.openxmlformats.org/officeDocument/2006/relationships/hyperlink" Target="http://www.sec.gov/Archives/edgar/data/96869/000119312505051499/dex1023.htm" TargetMode="External"/><Relationship Id="rId80" Type="http://schemas.openxmlformats.org/officeDocument/2006/relationships/hyperlink" Target="http://www.sec.gov/Archives/edgar/data/96869/000119312505051499/dex1022.htm" TargetMode="External"/><Relationship Id="rId81" Type="http://schemas.openxmlformats.org/officeDocument/2006/relationships/hyperlink" Target="http://www.sec.gov/Archives/edgar/data/96869/000119312506118520/dex1024.htm" TargetMode="External"/><Relationship Id="rId82" Type="http://schemas.openxmlformats.org/officeDocument/2006/relationships/hyperlink" Target="http://www.sec.gov/Archives/edgar/data/96869/000119312508138009/dex1028.htm" TargetMode="External"/><Relationship Id="rId85" Type="http://schemas.openxmlformats.org/officeDocument/2006/relationships/hyperlink" Target="http://www.sec.gov/Archives/edgar/data/96869/000119312509170594/dex1025.htm" TargetMode="External"/><Relationship Id="rId86" Type="http://schemas.openxmlformats.org/officeDocument/2006/relationships/hyperlink" Target="http://www.sec.gov/Archives/edgar/data/96869/000144530513001209/exhibit1026-execagreementa.htm" TargetMode="External"/><Relationship Id="rId87" Type="http://schemas.openxmlformats.org/officeDocument/2006/relationships/hyperlink" Target="http://www.sec.gov/Archives/edgar/data/96869/000119312513246605/d549609dex1027.htm" TargetMode="External"/><Relationship Id="rId88" Type="http://schemas.openxmlformats.org/officeDocument/2006/relationships/hyperlink" Target="http://www.sec.gov/Archives/edgar/data/96869/000119312513326495/d581835dex101.htm" TargetMode="External"/><Relationship Id="rId89" Type="http://schemas.openxmlformats.org/officeDocument/2006/relationships/hyperlink" Target="http://www.sec.gov/Archives/edgar/data/96869/000009686914000009/exhibit1029tmvamendments20.htm" TargetMode="External"/><Relationship Id="rId90" Type="http://schemas.openxmlformats.org/officeDocument/2006/relationships/hyperlink" Target="http://www.sec.gov/Archives/edgar/data/96869/000119312514270067/d758856dex1030.htm" TargetMode="External"/><Relationship Id="rId91" Type="http://schemas.openxmlformats.org/officeDocument/2006/relationships/hyperlink" Target="http://www.sec.gov/Archives/edgar/data/96869/000119312514375013/d806135dex1031.htm" TargetMode="External"/><Relationship Id="rId92" Type="http://schemas.openxmlformats.org/officeDocument/2006/relationships/hyperlink" Target="http://www.sec.gov/Archives/edgar/data/96869/000119312514375013/d806135dex1032.htm" TargetMode="External"/><Relationship Id="rId93" Type="http://schemas.openxmlformats.org/officeDocument/2006/relationships/hyperlink" Target="http://www.sec.gov/Archives/edgar/data/96869/000119312514375013/d806135dex1033.htm" TargetMode="External"/><Relationship Id="rId94" Type="http://schemas.openxmlformats.org/officeDocument/2006/relationships/hyperlink" Target="http://www.sec.gov/Archives/edgar/data/96869/000009686915000003/exhibit1034calpineagreemen.htm" TargetMode="External"/><Relationship Id="rId95" Type="http://schemas.openxmlformats.org/officeDocument/2006/relationships/hyperlink" Target="http://www.sec.gov/Archives/edgar/data/96869/000009686915000010/ex1035q32015.htm" TargetMode="External"/><Relationship Id="rId96" Type="http://schemas.openxmlformats.org/officeDocument/2006/relationships/hyperlink" Target="http://www.sec.gov/Archives/edgar/data/96869/000009686916000017/ex1037limitedliabilityagre.htm" TargetMode="External"/><Relationship Id="rId97" Type="http://schemas.openxmlformats.org/officeDocument/2006/relationships/hyperlink" Target="http://www.sec.gov/Archives/edgar/data/96869/000009686916000019/ex1038llagreementoftrc-mrc1.htm" TargetMode="External"/><Relationship Id="rId98" Type="http://schemas.openxmlformats.org/officeDocument/2006/relationships/hyperlink" Target="http://www.sec.gov/Archives/edgar/data/96869/000009686917000002/exhibit1039centennialredem.htm" TargetMode="External"/><Relationship Id="rId99" Type="http://schemas.openxmlformats.org/officeDocument/2006/relationships/hyperlink" Target="http://www.sec.gov/Archives/edgar/data/96869/000009686917000002/exhibit1040firstamendmentt.htm" TargetMode="External"/><Relationship Id="rId100" Type="http://schemas.openxmlformats.org/officeDocument/2006/relationships/hyperlink" Target="http://www.sec.gov/Archives/edgar/data/96869/000009686917000002/exhibit1041secondamendment.htm" TargetMode="External"/><Relationship Id="rId101" Type="http://schemas.openxmlformats.org/officeDocument/2006/relationships/hyperlink" Target="http://www.sec.gov/Archives/edgar/data/96869/000009686918000015/ex1042trcmrc3llc.htm" TargetMode="External"/><Relationship Id="rId102" Type="http://schemas.openxmlformats.org/officeDocument/2006/relationships/hyperlink" Target="http://www.sec.gov/Archives/edgar/data/96869/000009686919000004/exhibit1043201810k.htm" TargetMode="External"/><Relationship Id="rId103" Type="http://schemas.openxmlformats.org/officeDocument/2006/relationships/hyperlink" Target="http://www.sec.gov/Archives/edgar/data/96869/000009686919000004/exhibit1044201810k.htm" TargetMode="External"/><Relationship Id="rId104" Type="http://schemas.openxmlformats.org/officeDocument/2006/relationships/hyperlink" Target="http://www.sec.gov/Archives/edgar/data/96869/000009686919000014/ex1046aloc.htm" TargetMode="External"/><Relationship Id="rId105" Type="http://schemas.openxmlformats.org/officeDocument/2006/relationships/hyperlink" Target="http://www.sec.gov/Archives/edgar/data/96869/000009686919000014/ex1045atn.htm" TargetMode="External"/><Relationship Id="rId106" Type="http://schemas.openxmlformats.org/officeDocument/2006/relationships/hyperlink" Target="http://www.sec.gov/Archives/edgar/data/96869/000009686920000007/exhibit1047-gregbseverance.htm" TargetMode="External"/><Relationship Id="rId107" Type="http://schemas.openxmlformats.org/officeDocument/2006/relationships/hyperlink" Target="http://www.sec.gov/Archives/edgar/data/96869/000009686921000011/ex1048mrc4llc.htm" TargetMode="External"/><Relationship Id="rId108" Type="http://schemas.openxmlformats.org/officeDocument/2006/relationships/hyperlink" Target="http://www.sec.gov/Archives/edgar/data/96869/000009686922000005/exhibit1048centennialcrf.htm" TargetMode="External"/><Relationship Id="rId109" Type="http://schemas.openxmlformats.org/officeDocument/2006/relationships/hyperlink" Target="http://www.sec.gov/Archives/edgar/data/96869/000009686922000005/exhibit1050trc-mrcmultii.htm" TargetMode="External"/><Relationship Id="rId110" Type="http://schemas.openxmlformats.org/officeDocument/2006/relationships/hyperlink" Target="http://www.sec.gov/Archives/edgar/data/96869/000009686922000009/ex1051mrc5.htm" TargetMode="External"/><Relationship Id="rId111" Type="http://schemas.openxmlformats.org/officeDocument/2006/relationships/hyperlink" Target="http://www.sec.gov/Archives/edgar/data/96869/000009686922000012/ex1052creditagreementbof.htm" TargetMode="External"/><Relationship Id="rId113" Type="http://schemas.openxmlformats.org/officeDocument/2006/relationships/hyperlink" Target="http://www.sec.gov/ix?doc=/Archives/edgar/data/96869/000119312523079260/d48710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2023-08-03T13:36:02Z</dcterms:created>
  <dcterms:modified xsi:type="dcterms:W3CDTF">2023-08-03T13:36:02Z</dcterms:modified>
</cp:coreProperties>
</file>