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0544d8k.htm"/>
      <w:bookmarkStart w:id="1" w:name="ksd5054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Tejon Ranch Co.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1-07183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77-0196136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P. O. Box 1000, Lebec,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93243</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661-248-3000</w:t>
      </w:r>
    </w:p>
    <w:p>
      <w:pPr>
        <w:pStyle w:val="TextBody"/>
        <w:bidi w:val="0"/>
        <w:spacing w:before="200" w:after="0"/>
        <w:jc w:val="center"/>
        <w:rPr>
          <w:rFonts w:ascii="Times New Roman" w:hAnsi="Times New Roman"/>
          <w:b/>
          <w:sz w:val="16"/>
        </w:rPr>
      </w:pPr>
      <w:r>
        <w:rPr>
          <w:rFonts w:ascii="Times New Roman" w:hAnsi="Times New Roman"/>
          <w:b/>
          <w:sz w:val="16"/>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TRC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Tejon Ranch Co. (the “Company”) announced in a press release issued July 30, 2026 (the “Press Release”) that it will hold a conference call on August 6, 2026 at 5:00 p.m. Eastern Time for the Company’s shareholders and other interested parties in connection with the Company’s release of second quarter 2026 operating and financial results, which will be released before the market opens on August 6, 2026. During the conference call the Company will address questions that are emailed in advance, instructions for which are provided in the Press Release. </w:t>
      </w:r>
    </w:p>
    <w:p>
      <w:pPr>
        <w:pStyle w:val="TextBody"/>
        <w:bidi w:val="0"/>
        <w:spacing w:before="240" w:after="0"/>
        <w:jc w:val="left"/>
        <w:rPr>
          <w:rFonts w:ascii="Times New Roman" w:hAnsi="Times New Roman"/>
          <w:sz w:val="20"/>
        </w:rPr>
      </w:pPr>
      <w:r>
        <w:rPr>
          <w:rFonts w:ascii="Times New Roman" w:hAnsi="Times New Roman"/>
          <w:sz w:val="20"/>
        </w:rPr>
        <w:t xml:space="preserve">Information on how interested shareholders and other parties may register to attend this event is included in the Press Release. A copy of this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Current Report on Form 8-K (including the exhibit attached as Exhibit 99.1 hereto) is being furnished pursuant to Item 7.01 of Form 8-K and shall not be deemed to be “filed” for the purposes of Section 18 of the Securities Exchange Act of 1934, as amended (the “Exchange Act”), or otherwise subject to the liabilities of that section, nor shall it be deemed to be incorporated by reference in any filing under the Securities Act (including the exhibit attached as Exhibit 99.1 hereto).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exhibits that are furnished herewith, see the Index to Exhibits immediately following. </w:t>
      </w:r>
    </w:p>
    <w:p>
      <w:pPr>
        <w:pStyle w:val="TextBody"/>
        <w:bidi w:val="0"/>
        <w:spacing w:before="480" w:after="0"/>
        <w:jc w:val="center"/>
        <w:rPr>
          <w:rFonts w:ascii="Times New Roman" w:hAnsi="Times New Roman"/>
          <w:b/>
          <w:sz w:val="20"/>
        </w:rPr>
      </w:pPr>
      <w:r>
        <w:rPr>
          <w:rFonts w:ascii="Times New Roman" w:hAnsi="Times New Roman"/>
          <w:b/>
          <w:sz w:val="20"/>
        </w:rPr>
        <w:t xml:space="preserve">INDEX TO EXHIBITS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455"/>
        <w:gridCol w:w="7880"/>
      </w:tblGrid>
      <w:tr>
        <w:trPr/>
        <w:tc>
          <w:tcPr>
            <w:tcW w:w="455" w:type="dxa"/>
            <w:tcBorders/>
            <w:vAlign w:val="center"/>
          </w:tcPr>
          <w:p>
            <w:pPr>
              <w:pStyle w:val="TableContents"/>
              <w:bidi w:val="0"/>
              <w:spacing w:before="0" w:after="283"/>
              <w:jc w:val="left"/>
              <w:rPr/>
            </w:pPr>
            <w:r>
              <w:rPr/>
              <w:t>99.1</w:t>
            </w:r>
          </w:p>
        </w:tc>
        <w:tc>
          <w:tcPr>
            <w:tcW w:w="7880" w:type="dxa"/>
            <w:tcBorders/>
            <w:vAlign w:val="center"/>
          </w:tcPr>
          <w:p>
            <w:pPr>
              <w:pStyle w:val="TableContents"/>
              <w:bidi w:val="0"/>
              <w:spacing w:before="0" w:after="0"/>
              <w:jc w:val="left"/>
              <w:rPr/>
            </w:pPr>
            <w:hyperlink w:anchor="d50544dex991.htm">
              <w:r>
                <w:rPr>
                  <w:rStyle w:val="InternetLink"/>
                  <w:rFonts w:ascii="Times New Roman" w:hAnsi="Times New Roman"/>
                  <w:sz w:val="20"/>
                </w:rPr>
                <w:t xml:space="preserve">Press Release dated July 30, 2026 announcing the Company’s second quarter 2026 earnings call </w:t>
              </w:r>
            </w:hyperlink>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395"/>
        <w:gridCol w:w="6575"/>
      </w:tblGrid>
      <w:tr>
        <w:trPr/>
        <w:tc>
          <w:tcPr>
            <w:tcW w:w="395" w:type="dxa"/>
            <w:tcBorders/>
            <w:vAlign w:val="center"/>
          </w:tcPr>
          <w:p>
            <w:pPr>
              <w:pStyle w:val="TableContents"/>
              <w:bidi w:val="0"/>
              <w:spacing w:before="0" w:after="283"/>
              <w:jc w:val="left"/>
              <w:rPr/>
            </w:pPr>
            <w:r>
              <w:rPr/>
              <w:t>104</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Cover Page Interactive Data File (embedded within the Inline XBRL document).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48" w:type="dxa"/>
        <w:jc w:val="left"/>
        <w:tblInd w:w="0" w:type="dxa"/>
        <w:tblLayout w:type="fixed"/>
        <w:tblCellMar>
          <w:top w:w="0" w:type="dxa"/>
          <w:left w:w="0" w:type="dxa"/>
          <w:bottom w:w="0" w:type="dxa"/>
          <w:right w:w="0" w:type="dxa"/>
        </w:tblCellMar>
      </w:tblPr>
      <w:tblGrid>
        <w:gridCol w:w="594"/>
        <w:gridCol w:w="938"/>
        <w:gridCol w:w="361"/>
        <w:gridCol w:w="60"/>
        <w:gridCol w:w="650"/>
        <w:gridCol w:w="60"/>
        <w:gridCol w:w="4985"/>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30, 2026</w:t>
            </w:r>
          </w:p>
        </w:tc>
        <w:tc>
          <w:tcPr>
            <w:tcW w:w="60" w:type="dxa"/>
            <w:tcBorders/>
            <w:vAlign w:val="center"/>
          </w:tcPr>
          <w:p>
            <w:pPr>
              <w:pStyle w:val="TableContents"/>
              <w:bidi w:val="0"/>
              <w:spacing w:before="0" w:after="283"/>
              <w:jc w:val="left"/>
              <w:rPr/>
            </w:pPr>
            <w:r>
              <w:rPr/>
              <w:t> </w:t>
            </w:r>
          </w:p>
        </w:tc>
        <w:tc>
          <w:tcPr>
            <w:tcW w:w="5695" w:type="dxa"/>
            <w:gridSpan w:val="3"/>
            <w:tcBorders/>
            <w:vAlign w:val="center"/>
          </w:tcPr>
          <w:p>
            <w:pPr>
              <w:pStyle w:val="TableContents"/>
              <w:bidi w:val="0"/>
              <w:spacing w:before="0" w:after="283"/>
              <w:jc w:val="left"/>
              <w:rPr/>
            </w:pPr>
            <w:r>
              <w:rPr/>
              <w:t>TEJON RANCH CO.</w:t>
            </w:r>
          </w:p>
        </w:tc>
      </w:tr>
      <w:tr>
        <w:trPr/>
        <w:tc>
          <w:tcPr>
            <w:tcW w:w="594"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045"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b/>
                <w:sz w:val="20"/>
              </w:rPr>
              <w:t>MICHAEL R.W. HOUSTON</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Michael R.W. Houston</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Senior Vice President, General Counsel &amp; Secretary</w:t>
            </w:r>
          </w:p>
        </w:tc>
      </w:tr>
    </w:tbl>
    <w:p>
      <w:pPr>
        <w:pStyle w:val="TextBody"/>
        <w:bidi w:val="0"/>
        <w:spacing w:before="0" w:after="0"/>
        <w:jc w:val="right"/>
        <w:rPr>
          <w:rFonts w:ascii="Times New Roman" w:hAnsi="Times New Roman"/>
          <w:b/>
          <w:sz w:val="20"/>
        </w:rPr>
      </w:pPr>
      <w:bookmarkStart w:id="2" w:name="d50544dex991.htm"/>
      <w:bookmarkStart w:id="3" w:name="ksd5054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1813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81350" cy="533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TEJON RANCH CO. ANNOUNCES DATE FOR SECOND QUARTER 2026 </w:t>
      </w:r>
    </w:p>
    <w:p>
      <w:pPr>
        <w:pStyle w:val="TextBody"/>
        <w:bidi w:val="0"/>
        <w:spacing w:before="0" w:after="0"/>
        <w:jc w:val="center"/>
        <w:rPr>
          <w:rFonts w:ascii="Times New Roman" w:hAnsi="Times New Roman"/>
          <w:b/>
          <w:sz w:val="20"/>
        </w:rPr>
      </w:pPr>
      <w:r>
        <w:rPr>
          <w:rFonts w:ascii="Times New Roman" w:hAnsi="Times New Roman"/>
          <w:b/>
          <w:sz w:val="20"/>
        </w:rPr>
        <w:t xml:space="preserve">EARNINGS RELEASE AND CONFERENCE CALL </w:t>
      </w:r>
    </w:p>
    <w:p>
      <w:pPr>
        <w:pStyle w:val="TextBody"/>
        <w:bidi w:val="0"/>
        <w:spacing w:before="240" w:after="0"/>
        <w:jc w:val="left"/>
        <w:rPr>
          <w:rFonts w:ascii="Times New Roman" w:hAnsi="Times New Roman"/>
          <w:sz w:val="20"/>
        </w:rPr>
      </w:pPr>
      <w:r>
        <w:rPr>
          <w:rFonts w:ascii="Times New Roman" w:hAnsi="Times New Roman"/>
          <w:b/>
          <w:sz w:val="20"/>
        </w:rPr>
        <w:t>TEJON RANCH, California – July</w:t>
      </w:r>
      <w:r>
        <w:rPr>
          <w:rFonts w:ascii="Times New Roman" w:hAnsi="Times New Roman"/>
          <w:sz w:val="20"/>
        </w:rPr>
        <w:t> </w:t>
      </w:r>
      <w:r>
        <w:rPr>
          <w:rFonts w:ascii="Times New Roman" w:hAnsi="Times New Roman"/>
          <w:b/>
          <w:sz w:val="20"/>
        </w:rPr>
        <w:t xml:space="preserve">30, 2026 </w:t>
      </w:r>
      <w:r>
        <w:rPr>
          <w:rFonts w:ascii="Times New Roman" w:hAnsi="Times New Roman"/>
          <w:sz w:val="20"/>
        </w:rPr>
        <w:t xml:space="preserve">- Tejon Ranch Co., or the Company, (NYSE: TRC), a diversified real estate development and agribusiness company, today announced it will release its second quarter 2026 operating and financial results before the market opens on August 6, 2026. In connection with this announcement, the Company will host a conference call on August 6, 2026 at 5:00 p.m. Eastern Time. During the call, President &amp; CEO Matt Walker and CFO Robert Velasquez will provide an update on the Company’s recent initiatives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Management will address questions e-mailed in advance by investors to: </w:t>
      </w:r>
      <w:r>
        <w:rPr>
          <w:rFonts w:ascii="Times New Roman" w:hAnsi="Times New Roman"/>
          <w:sz w:val="20"/>
          <w:u w:val="single"/>
        </w:rPr>
        <w:t>IR@tejonranch.com</w:t>
      </w:r>
      <w:r>
        <w:rPr>
          <w:rFonts w:ascii="Times New Roman" w:hAnsi="Times New Roman"/>
          <w:sz w:val="20"/>
        </w:rPr>
        <w:t xml:space="preserve">. Questions must be submitted by 2:00 p.m. ET on August 6, 2026. </w:t>
      </w:r>
    </w:p>
    <w:p>
      <w:pPr>
        <w:pStyle w:val="TextBody"/>
        <w:bidi w:val="0"/>
        <w:spacing w:before="360" w:after="0"/>
        <w:jc w:val="left"/>
        <w:rPr>
          <w:rFonts w:ascii="Times New Roman" w:hAnsi="Times New Roman"/>
          <w:b/>
          <w:sz w:val="20"/>
        </w:rPr>
      </w:pPr>
      <w:r>
        <w:rPr>
          <w:rFonts w:ascii="Times New Roman" w:hAnsi="Times New Roman"/>
          <w:b/>
          <w:sz w:val="20"/>
        </w:rPr>
        <w:t xml:space="preserve">Webcast </w:t>
      </w:r>
    </w:p>
    <w:p>
      <w:pPr>
        <w:pStyle w:val="TextBody"/>
        <w:bidi w:val="0"/>
        <w:spacing w:before="120" w:after="0"/>
        <w:jc w:val="left"/>
        <w:rPr>
          <w:rFonts w:ascii="Times New Roman" w:hAnsi="Times New Roman"/>
          <w:sz w:val="20"/>
        </w:rPr>
      </w:pPr>
      <w:r>
        <w:rPr>
          <w:rFonts w:ascii="Times New Roman" w:hAnsi="Times New Roman"/>
          <w:sz w:val="20"/>
        </w:rPr>
        <w:t xml:space="preserve">An audio webcast of the conference call will be available through the “Investors” section of the Company’s website at </w:t>
      </w:r>
      <w:r>
        <w:rPr>
          <w:rFonts w:ascii="Times New Roman" w:hAnsi="Times New Roman"/>
          <w:sz w:val="20"/>
          <w:u w:val="single"/>
        </w:rPr>
        <w:t>www.tejonranch.com</w:t>
      </w:r>
      <w:r>
        <w:rPr>
          <w:rFonts w:ascii="Times New Roman" w:hAnsi="Times New Roman"/>
          <w:sz w:val="20"/>
        </w:rPr>
        <w:t xml:space="preserve">. To listen to the broadcast, go to the site at least 15 minutes prior to the scheduled start time in order to register and install any necessary audio software. A replay of the audio webcast will be available for one year on the Company’s website shortly after the conclusion of the call. Details on how to access the call are below. </w:t>
      </w:r>
    </w:p>
    <w:p>
      <w:pPr>
        <w:pStyle w:val="TextBody"/>
        <w:bidi w:val="0"/>
        <w:spacing w:before="360" w:after="0"/>
        <w:jc w:val="left"/>
        <w:rPr>
          <w:rFonts w:ascii="Times New Roman" w:hAnsi="Times New Roman"/>
          <w:b/>
          <w:sz w:val="20"/>
        </w:rPr>
      </w:pPr>
      <w:r>
        <w:rPr>
          <w:rFonts w:ascii="Times New Roman" w:hAnsi="Times New Roman"/>
          <w:b/>
          <w:sz w:val="20"/>
        </w:rPr>
        <w:t xml:space="preserve">To dial into the Telephone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Domestic: 1-877-704-4453 </w:t>
      </w:r>
    </w:p>
    <w:p>
      <w:pPr>
        <w:pStyle w:val="TextBody"/>
        <w:bidi w:val="0"/>
        <w:spacing w:before="0" w:after="0"/>
        <w:jc w:val="left"/>
        <w:rPr>
          <w:rFonts w:ascii="Times New Roman" w:hAnsi="Times New Roman"/>
          <w:sz w:val="20"/>
        </w:rPr>
      </w:pPr>
      <w:r>
        <w:rPr>
          <w:rFonts w:ascii="Times New Roman" w:hAnsi="Times New Roman"/>
          <w:sz w:val="20"/>
        </w:rPr>
        <w:t xml:space="preserve">International: 1-201-389-0920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Playback: </w:t>
      </w:r>
    </w:p>
    <w:p>
      <w:pPr>
        <w:pStyle w:val="TextBody"/>
        <w:bidi w:val="0"/>
        <w:spacing w:before="120" w:after="0"/>
        <w:jc w:val="left"/>
        <w:rPr>
          <w:rFonts w:ascii="Times New Roman" w:hAnsi="Times New Roman"/>
          <w:sz w:val="20"/>
        </w:rPr>
      </w:pPr>
      <w:r>
        <w:rPr>
          <w:rFonts w:ascii="Times New Roman" w:hAnsi="Times New Roman"/>
          <w:sz w:val="20"/>
        </w:rPr>
        <w:t xml:space="preserve">Domestic: 1-844-512-2921 </w:t>
      </w:r>
    </w:p>
    <w:p>
      <w:pPr>
        <w:pStyle w:val="TextBody"/>
        <w:bidi w:val="0"/>
        <w:spacing w:before="0" w:after="0"/>
        <w:jc w:val="left"/>
        <w:rPr>
          <w:rFonts w:ascii="Times New Roman" w:hAnsi="Times New Roman"/>
          <w:sz w:val="20"/>
        </w:rPr>
      </w:pPr>
      <w:r>
        <w:rPr>
          <w:rFonts w:ascii="Times New Roman" w:hAnsi="Times New Roman"/>
          <w:sz w:val="20"/>
        </w:rPr>
        <w:t xml:space="preserve">International: 1-412-317-6671 </w:t>
      </w:r>
    </w:p>
    <w:p>
      <w:pPr>
        <w:pStyle w:val="TextBody"/>
        <w:bidi w:val="0"/>
        <w:spacing w:before="0" w:after="0"/>
        <w:jc w:val="left"/>
        <w:rPr>
          <w:rFonts w:ascii="Times New Roman" w:hAnsi="Times New Roman"/>
          <w:sz w:val="20"/>
        </w:rPr>
      </w:pPr>
      <w:r>
        <w:rPr>
          <w:rFonts w:ascii="Times New Roman" w:hAnsi="Times New Roman"/>
          <w:sz w:val="20"/>
        </w:rPr>
        <w:t xml:space="preserve">Passcode: 13759631 </w:t>
      </w:r>
    </w:p>
    <w:p>
      <w:pPr>
        <w:pStyle w:val="TextBody"/>
        <w:bidi w:val="0"/>
        <w:spacing w:before="0" w:after="0"/>
        <w:jc w:val="left"/>
        <w:rPr>
          <w:rFonts w:ascii="Times New Roman" w:hAnsi="Times New Roman"/>
          <w:sz w:val="20"/>
        </w:rPr>
      </w:pPr>
      <w:r>
        <w:rPr>
          <w:rFonts w:ascii="Times New Roman" w:hAnsi="Times New Roman"/>
          <w:sz w:val="20"/>
        </w:rPr>
        <w:t xml:space="preserve">The full playback can be accessed through Thursday, September 3,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Tejon Ranch Co. </w:t>
      </w:r>
    </w:p>
    <w:p>
      <w:pPr>
        <w:pStyle w:val="TextBody"/>
        <w:bidi w:val="0"/>
        <w:spacing w:before="120" w:after="0"/>
        <w:jc w:val="left"/>
        <w:rPr>
          <w:rFonts w:ascii="Times New Roman" w:hAnsi="Times New Roman"/>
          <w:sz w:val="20"/>
        </w:rPr>
      </w:pPr>
      <w:r>
        <w:rPr>
          <w:rFonts w:ascii="Times New Roman" w:hAnsi="Times New Roman"/>
          <w:sz w:val="20"/>
        </w:rPr>
        <w:t xml:space="preserve">Tejon Ranch Co. (NYSE: TRC) is a California-based company whose 270,000-acre landholding supports a diversified portfolio of real estate and land-based businesses. Strategically located approximately 60 miles north of Los Angeles and 30 miles south of Bakersfield, the Company’s operations include the development and operations of commercial and industrial real estate, master planned communities, as well as farming, grazing and game management. Tejon Ranch Co. also generates revenue through ground leases, royalty agreements, and rights-of-way easements supporting infrastructure, energy, telecommunications and utility uses. For more information, please visit </w:t>
      </w:r>
      <w:r>
        <w:rPr>
          <w:rFonts w:ascii="Times New Roman" w:hAnsi="Times New Roman"/>
          <w:sz w:val="20"/>
          <w:u w:val="single"/>
        </w:rPr>
        <w:t>www.tejonranch.com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Nicholas Ortiz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Corporate Communications &amp; Public Affairs </w:t>
      </w:r>
    </w:p>
    <w:p>
      <w:pPr>
        <w:pStyle w:val="TextBody"/>
        <w:bidi w:val="0"/>
        <w:spacing w:before="0" w:after="0"/>
        <w:jc w:val="left"/>
        <w:rPr>
          <w:rFonts w:ascii="Times New Roman" w:hAnsi="Times New Roman"/>
          <w:sz w:val="20"/>
        </w:rPr>
      </w:pPr>
      <w:r>
        <w:rPr>
          <w:rFonts w:ascii="Times New Roman" w:hAnsi="Times New Roman"/>
          <w:sz w:val="20"/>
        </w:rPr>
        <w:t xml:space="preserve">nortiz@TejonRanch.com </w:t>
      </w:r>
    </w:p>
    <w:p>
      <w:pPr>
        <w:pStyle w:val="TextBody"/>
        <w:bidi w:val="0"/>
        <w:spacing w:before="0" w:after="0"/>
        <w:jc w:val="left"/>
        <w:rPr>
          <w:rFonts w:ascii="Times New Roman" w:hAnsi="Times New Roman"/>
          <w:sz w:val="20"/>
        </w:rPr>
      </w:pPr>
      <w:r>
        <w:rPr>
          <w:rFonts w:ascii="Times New Roman" w:hAnsi="Times New Roman"/>
          <w:sz w:val="20"/>
        </w:rPr>
        <w:t xml:space="preserve">(661) 331-0313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974</Words>
  <Characters>5389</Characters>
  <CharactersWithSpaces>6354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