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44" w:lineRule="exact"/>
        <w:rPr>
          <w:sz w:val="24"/>
          <w:szCs w:val="24"/>
          <w:color w:val="auto"/>
        </w:rPr>
      </w:pPr>
    </w:p>
    <w:p>
      <w:pPr>
        <w:jc w:val="center"/>
        <w:ind w:left="3860" w:right="1300" w:hanging="2450"/>
        <w:spacing w:after="0" w:line="280" w:lineRule="auto"/>
        <w:tabs>
          <w:tab w:leader="none" w:pos="161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600" w:hanging="196"/>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9" w:lineRule="exact"/>
        <w:rPr>
          <w:sz w:val="24"/>
          <w:szCs w:val="24"/>
          <w:color w:val="auto"/>
        </w:rPr>
      </w:pPr>
    </w:p>
    <w:p>
      <w:pPr>
        <w:ind w:left="39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103505</wp:posOffset>
            </wp:positionV>
            <wp:extent cx="63436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TEJON RANCH CO.</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77-0196136</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(I.R.S. Employer Identification No.)</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P.O. Box 1000, Tejon Ranch, California 93243</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(661) 248-3000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4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$0.50 par value</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TRC</w:t>
            </w:r>
          </w:p>
        </w:tc>
        <w:tc>
          <w:tcPr>
            <w:tcW w:w="100" w:type="dxa"/>
            <w:vAlign w:val="bottom"/>
          </w:tcPr>
          <w:p>
            <w:pPr>
              <w:spacing w:after="0"/>
              <w:rPr>
                <w:sz w:val="19"/>
                <w:szCs w:val="19"/>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363" w:lineRule="exact"/>
        <w:rPr>
          <w:sz w:val="24"/>
          <w:szCs w:val="24"/>
          <w:color w:val="auto"/>
        </w:rPr>
      </w:pPr>
    </w:p>
    <w:p>
      <w:pPr>
        <w:ind w:left="20" w:right="260"/>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8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9" w:lineRule="exact"/>
        <w:rPr>
          <w:sz w:val="24"/>
          <w:szCs w:val="24"/>
          <w:color w:val="auto"/>
        </w:rPr>
      </w:pPr>
    </w:p>
    <w:p>
      <w:pPr>
        <w:ind w:left="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958" w:right="439" w:bottom="1440" w:gutter="0" w:footer="0" w:header="0"/>
        </w:sectPr>
      </w:pPr>
    </w:p>
    <w:p>
      <w:pPr>
        <w:spacing w:after="0" w:line="116" w:lineRule="exact"/>
        <w:rPr>
          <w:sz w:val="24"/>
          <w:szCs w:val="24"/>
          <w:color w:val="auto"/>
        </w:rPr>
      </w:pPr>
    </w:p>
    <w:p>
      <w:pPr>
        <w:ind w:left="20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2">
            <w:col w:w="4540" w:space="720"/>
            <w:col w:w="5880"/>
          </w:cols>
          <w:pgMar w:left="320" w:top="958" w:right="439" w:bottom="1440" w:gutter="0" w:footer="0" w:header="0"/>
          <w:type w:val="continuous"/>
        </w:sectPr>
      </w:pPr>
    </w:p>
    <w:p>
      <w:pPr>
        <w:ind w:left="2120"/>
        <w:spacing w:after="0" w:line="173"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2">
            <w:col w:w="3840" w:space="720"/>
            <w:col w:w="6580"/>
          </w:cols>
          <w:pgMar w:left="320" w:top="958" w:right="439" w:bottom="1440" w:gutter="0" w:footer="0" w:header="0"/>
          <w:type w:val="continuous"/>
        </w:sectPr>
      </w:pPr>
    </w:p>
    <w:p>
      <w:pPr>
        <w:jc w:val="center"/>
        <w:ind w:right="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140"/>
          </w:cols>
          <w:pgMar w:left="320" w:top="958" w:right="439" w:bottom="1440" w:gutter="0" w:footer="0" w:header="0"/>
          <w:type w:val="continuous"/>
        </w:sectPr>
      </w:pPr>
    </w:p>
    <w:p>
      <w:pPr>
        <w:spacing w:after="0" w:line="234" w:lineRule="exact"/>
        <w:rPr>
          <w:sz w:val="24"/>
          <w:szCs w:val="24"/>
          <w:color w:val="auto"/>
        </w:rPr>
      </w:pPr>
    </w:p>
    <w:p>
      <w:pPr>
        <w:ind w:left="20" w:right="46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3"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the Company’s outstanding shares of Common Stock on October 31, 2021 was 26,359,611.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8"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vMerge w:val="restart"/>
          </w:tcPr>
          <w:p>
            <w:pPr>
              <w:ind w:left="20"/>
              <w:spacing w:after="0"/>
              <w:rPr>
                <w:sz w:val="20"/>
                <w:szCs w:val="20"/>
                <w:color w:val="auto"/>
              </w:rPr>
            </w:pPr>
            <w:r>
              <w:rPr>
                <w:rFonts w:ascii="Arial" w:cs="Arial" w:eastAsia="Arial" w:hAnsi="Arial"/>
                <w:sz w:val="18"/>
                <w:szCs w:val="18"/>
                <w:color w:val="auto"/>
              </w:rPr>
              <w:t>PART I.</w:t>
            </w:r>
          </w:p>
        </w:tc>
        <w:tc>
          <w:tcPr>
            <w:tcW w:w="9480" w:type="dxa"/>
            <w:vAlign w:val="bottom"/>
            <w:vMerge w:val="restart"/>
          </w:tcPr>
          <w:p>
            <w:pPr>
              <w:ind w:left="160"/>
              <w:spacing w:after="0"/>
              <w:rPr>
                <w:sz w:val="20"/>
                <w:szCs w:val="20"/>
                <w:color w:val="auto"/>
              </w:rPr>
            </w:pPr>
            <w:r>
              <w:rPr>
                <w:rFonts w:ascii="Arial" w:cs="Arial" w:eastAsia="Arial" w:hAnsi="Arial"/>
                <w:sz w:val="18"/>
                <w:szCs w:val="18"/>
                <w:color w:val="auto"/>
              </w:rPr>
              <w:t>FINANCIAL INFORMATION</w:t>
            </w: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9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1.</w:t>
            </w:r>
          </w:p>
        </w:tc>
        <w:tc>
          <w:tcPr>
            <w:tcW w:w="948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w w:val="97"/>
              </w:rPr>
            </w:pPr>
            <w:hyperlink w:anchor="page3">
              <w:r>
                <w:rPr>
                  <w:rFonts w:ascii="Arial" w:cs="Arial" w:eastAsia="Arial" w:hAnsi="Arial"/>
                  <w:sz w:val="18"/>
                  <w:szCs w:val="18"/>
                  <w:color w:val="auto"/>
                  <w:w w:val="97"/>
                </w:rPr>
                <w:t xml:space="preserve">Unaudited Consolidated Statements of Operations for the Three and Nine Months Ended September 30, 2021 and </w:t>
              </w:r>
            </w:hyperlink>
            <w:r>
              <w:rPr>
                <w:rFonts w:ascii="Arial" w:cs="Arial" w:eastAsia="Arial" w:hAnsi="Arial"/>
                <w:sz w:val="18"/>
                <w:szCs w:val="18"/>
                <w:color w:val="auto"/>
                <w:w w:val="97"/>
              </w:rPr>
              <w:t>2020</w:t>
            </w:r>
          </w:p>
        </w:tc>
        <w:tc>
          <w:tcPr>
            <w:tcW w:w="940" w:type="dxa"/>
            <w:vAlign w:val="bottom"/>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w w:val="94"/>
              </w:rPr>
            </w:pPr>
            <w:hyperlink w:anchor="page3">
              <w:r>
                <w:rPr>
                  <w:rFonts w:ascii="Arial" w:cs="Arial" w:eastAsia="Arial" w:hAnsi="Arial"/>
                  <w:sz w:val="18"/>
                  <w:szCs w:val="18"/>
                  <w:color w:val="auto"/>
                  <w:w w:val="94"/>
                </w:rPr>
                <w:t xml:space="preserve">Unaudited Consolidated Statements of Comprehensive Income </w:t>
              </w:r>
            </w:hyperlink>
            <w:r>
              <w:rPr>
                <w:rFonts w:ascii="Arial" w:cs="Arial" w:eastAsia="Arial" w:hAnsi="Arial"/>
                <w:sz w:val="18"/>
                <w:szCs w:val="18"/>
                <w:color w:val="auto"/>
                <w:w w:val="94"/>
              </w:rPr>
              <w:t>(Loss) for the Three and Nine Months Ended September 30,</w:t>
            </w:r>
          </w:p>
        </w:tc>
        <w:tc>
          <w:tcPr>
            <w:tcW w:w="940" w:type="dxa"/>
            <w:vAlign w:val="bottom"/>
            <w:vMerge w:val="restart"/>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4</w:t>
              </w:r>
            </w:hyperlink>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9480" w:type="dxa"/>
            <w:vAlign w:val="bottom"/>
          </w:tcPr>
          <w:p>
            <w:pPr>
              <w:ind w:left="160"/>
              <w:spacing w:after="0"/>
              <w:rPr>
                <w:sz w:val="20"/>
                <w:szCs w:val="20"/>
                <w:color w:val="auto"/>
              </w:rPr>
            </w:pPr>
            <w:r>
              <w:rPr>
                <w:rFonts w:ascii="Arial" w:cs="Arial" w:eastAsia="Arial" w:hAnsi="Arial"/>
                <w:sz w:val="18"/>
                <w:szCs w:val="18"/>
                <w:color w:val="auto"/>
              </w:rPr>
              <w:t>2021 and 2020</w:t>
            </w: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Balance Sheets as of September 30, 2021 (unaudited) and December 31, </w:t>
              </w:r>
            </w:hyperlink>
            <w:r>
              <w:rPr>
                <w:rFonts w:ascii="Arial" w:cs="Arial" w:eastAsia="Arial" w:hAnsi="Arial"/>
                <w:sz w:val="18"/>
                <w:szCs w:val="18"/>
                <w:color w:val="auto"/>
              </w:rPr>
              <w:t>2020</w:t>
            </w:r>
          </w:p>
        </w:tc>
        <w:tc>
          <w:tcPr>
            <w:tcW w:w="94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Unaudited Consolidated Statements of Cash Flows for the Nine Months Ended September 30, 2021 and </w:t>
              </w:r>
            </w:hyperlink>
            <w:r>
              <w:rPr>
                <w:rFonts w:ascii="Arial" w:cs="Arial" w:eastAsia="Arial" w:hAnsi="Arial"/>
                <w:sz w:val="18"/>
                <w:szCs w:val="18"/>
                <w:color w:val="auto"/>
              </w:rPr>
              <w:t>2020</w:t>
            </w:r>
          </w:p>
        </w:tc>
        <w:tc>
          <w:tcPr>
            <w:tcW w:w="94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w w:val="94"/>
              </w:rPr>
            </w:pPr>
            <w:hyperlink w:anchor="page5">
              <w:r>
                <w:rPr>
                  <w:rFonts w:ascii="Arial" w:cs="Arial" w:eastAsia="Arial" w:hAnsi="Arial"/>
                  <w:sz w:val="18"/>
                  <w:szCs w:val="18"/>
                  <w:color w:val="auto"/>
                  <w:w w:val="94"/>
                </w:rPr>
                <w:t>Unaudited Consolidated Statement of Changes in Equity and Noncontrolling Interests for the Three and Nine Months Ended</w:t>
              </w:r>
            </w:hyperlink>
          </w:p>
        </w:tc>
        <w:tc>
          <w:tcPr>
            <w:tcW w:w="940" w:type="dxa"/>
            <w:vAlign w:val="bottom"/>
            <w:vMerge w:val="restart"/>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8</w:t>
              </w:r>
            </w:hyperlink>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9480" w:type="dxa"/>
            <w:vAlign w:val="bottom"/>
          </w:tcPr>
          <w:p>
            <w:pPr>
              <w:ind w:left="160"/>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September 30, 2021 and </w:t>
              </w:r>
            </w:hyperlink>
            <w:r>
              <w:rPr>
                <w:rFonts w:ascii="Arial" w:cs="Arial" w:eastAsia="Arial" w:hAnsi="Arial"/>
                <w:sz w:val="18"/>
                <w:szCs w:val="18"/>
                <w:color w:val="auto"/>
              </w:rPr>
              <w:t>2020</w:t>
            </w: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9480" w:type="dxa"/>
            <w:vAlign w:val="bottom"/>
          </w:tcPr>
          <w:p>
            <w:pPr>
              <w:ind w:left="160"/>
              <w:spacing w:after="0"/>
              <w:rPr>
                <w:rFonts w:ascii="Arial" w:cs="Arial" w:eastAsia="Arial" w:hAnsi="Arial"/>
                <w:sz w:val="18"/>
                <w:szCs w:val="18"/>
                <w:color w:val="auto"/>
              </w:rPr>
            </w:pPr>
            <w:hyperlink w:anchor="page9">
              <w:r>
                <w:rPr>
                  <w:rFonts w:ascii="Arial" w:cs="Arial" w:eastAsia="Arial" w:hAnsi="Arial"/>
                  <w:sz w:val="18"/>
                  <w:szCs w:val="18"/>
                  <w:color w:val="auto"/>
                </w:rPr>
                <w:t>Notes to Unaudited Consolidated Financial Statements</w:t>
              </w:r>
            </w:hyperlink>
          </w:p>
        </w:tc>
        <w:tc>
          <w:tcPr>
            <w:tcW w:w="940" w:type="dxa"/>
            <w:vAlign w:val="bottom"/>
          </w:tcPr>
          <w:p>
            <w:pPr>
              <w:jc w:val="center"/>
              <w:spacing w:after="0"/>
              <w:rPr>
                <w:rFonts w:ascii="Arial" w:cs="Arial" w:eastAsia="Arial" w:hAnsi="Arial"/>
                <w:sz w:val="18"/>
                <w:szCs w:val="18"/>
                <w:color w:val="auto"/>
                <w:w w:val="89"/>
              </w:rPr>
            </w:pPr>
            <w:hyperlink w:anchor="page9">
              <w:r>
                <w:rPr>
                  <w:rFonts w:ascii="Arial" w:cs="Arial" w:eastAsia="Arial" w:hAnsi="Arial"/>
                  <w:sz w:val="18"/>
                  <w:szCs w:val="18"/>
                  <w:color w:val="auto"/>
                  <w:w w:val="89"/>
                </w:rPr>
                <w:t>10</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2.</w:t>
            </w:r>
          </w:p>
        </w:tc>
        <w:tc>
          <w:tcPr>
            <w:tcW w:w="9480" w:type="dxa"/>
            <w:vAlign w:val="bottom"/>
          </w:tcPr>
          <w:p>
            <w:pPr>
              <w:ind w:left="160"/>
              <w:spacing w:after="0"/>
              <w:rPr>
                <w:rFonts w:ascii="Arial" w:cs="Arial" w:eastAsia="Arial" w:hAnsi="Arial"/>
                <w:sz w:val="18"/>
                <w:szCs w:val="18"/>
                <w:color w:val="auto"/>
              </w:rPr>
            </w:pPr>
            <w:hyperlink w:anchor="page29">
              <w:r>
                <w:rPr>
                  <w:rFonts w:ascii="Arial" w:cs="Arial" w:eastAsia="Arial" w:hAnsi="Arial"/>
                  <w:sz w:val="18"/>
                  <w:szCs w:val="18"/>
                  <w:color w:val="auto"/>
                </w:rPr>
                <w:t>Management’s Discussion and Analysis of Financial Condition and Results of Operations</w:t>
              </w:r>
            </w:hyperlink>
          </w:p>
        </w:tc>
        <w:tc>
          <w:tcPr>
            <w:tcW w:w="940" w:type="dxa"/>
            <w:vAlign w:val="bottom"/>
          </w:tcPr>
          <w:p>
            <w:pPr>
              <w:jc w:val="center"/>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30</w:t>
              </w:r>
            </w:hyperlink>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Arial" w:cs="Arial" w:eastAsia="Arial" w:hAnsi="Arial"/>
                <w:sz w:val="18"/>
                <w:szCs w:val="18"/>
                <w:color w:val="auto"/>
              </w:rPr>
              <w:t>Item 3.</w:t>
            </w:r>
          </w:p>
        </w:tc>
        <w:tc>
          <w:tcPr>
            <w:tcW w:w="9480" w:type="dxa"/>
            <w:vAlign w:val="bottom"/>
          </w:tcPr>
          <w:p>
            <w:pPr>
              <w:ind w:left="160"/>
              <w:spacing w:after="0"/>
              <w:rPr>
                <w:rFonts w:ascii="Arial" w:cs="Arial" w:eastAsia="Arial" w:hAnsi="Arial"/>
                <w:sz w:val="18"/>
                <w:szCs w:val="18"/>
                <w:color w:val="auto"/>
              </w:rPr>
            </w:pPr>
            <w:hyperlink w:anchor="page49">
              <w:r>
                <w:rPr>
                  <w:rFonts w:ascii="Arial" w:cs="Arial" w:eastAsia="Arial" w:hAnsi="Arial"/>
                  <w:sz w:val="18"/>
                  <w:szCs w:val="18"/>
                  <w:color w:val="auto"/>
                </w:rPr>
                <w:t>Quantitative and Qualitative Disclosures About Market Risk</w:t>
              </w:r>
            </w:hyperlink>
          </w:p>
        </w:tc>
        <w:tc>
          <w:tcPr>
            <w:tcW w:w="940" w:type="dxa"/>
            <w:vAlign w:val="bottom"/>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50</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4.</w:t>
            </w:r>
          </w:p>
        </w:tc>
        <w:tc>
          <w:tcPr>
            <w:tcW w:w="9480" w:type="dxa"/>
            <w:vAlign w:val="bottom"/>
          </w:tcPr>
          <w:p>
            <w:pPr>
              <w:ind w:left="160"/>
              <w:spacing w:after="0"/>
              <w:rPr>
                <w:rFonts w:ascii="Arial" w:cs="Arial" w:eastAsia="Arial" w:hAnsi="Arial"/>
                <w:sz w:val="18"/>
                <w:szCs w:val="18"/>
                <w:color w:val="auto"/>
              </w:rPr>
            </w:pPr>
            <w:hyperlink w:anchor="page51">
              <w:r>
                <w:rPr>
                  <w:rFonts w:ascii="Arial" w:cs="Arial" w:eastAsia="Arial" w:hAnsi="Arial"/>
                  <w:sz w:val="18"/>
                  <w:szCs w:val="18"/>
                  <w:color w:val="auto"/>
                </w:rPr>
                <w:t>Controls and Procedures</w:t>
              </w:r>
            </w:hyperlink>
          </w:p>
        </w:tc>
        <w:tc>
          <w:tcPr>
            <w:tcW w:w="94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52</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PART II.</w:t>
            </w:r>
          </w:p>
        </w:tc>
        <w:tc>
          <w:tcPr>
            <w:tcW w:w="9480" w:type="dxa"/>
            <w:vAlign w:val="bottom"/>
          </w:tcPr>
          <w:p>
            <w:pPr>
              <w:ind w:left="160"/>
              <w:spacing w:after="0"/>
              <w:rPr>
                <w:rFonts w:ascii="Arial" w:cs="Arial" w:eastAsia="Arial" w:hAnsi="Arial"/>
                <w:sz w:val="18"/>
                <w:szCs w:val="18"/>
                <w:color w:val="auto"/>
              </w:rPr>
            </w:pPr>
            <w:hyperlink w:anchor="page52">
              <w:r>
                <w:rPr>
                  <w:rFonts w:ascii="Arial" w:cs="Arial" w:eastAsia="Arial" w:hAnsi="Arial"/>
                  <w:sz w:val="18"/>
                  <w:szCs w:val="18"/>
                  <w:color w:val="auto"/>
                </w:rPr>
                <w:t>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1.</w:t>
            </w:r>
          </w:p>
        </w:tc>
        <w:tc>
          <w:tcPr>
            <w:tcW w:w="9480" w:type="dxa"/>
            <w:vAlign w:val="bottom"/>
          </w:tcPr>
          <w:p>
            <w:pPr>
              <w:ind w:left="160"/>
              <w:spacing w:after="0"/>
              <w:rPr>
                <w:rFonts w:ascii="Arial" w:cs="Arial" w:eastAsia="Arial" w:hAnsi="Arial"/>
                <w:sz w:val="18"/>
                <w:szCs w:val="18"/>
                <w:color w:val="auto"/>
              </w:rPr>
            </w:pPr>
            <w:hyperlink w:anchor="page53">
              <w:r>
                <w:rPr>
                  <w:rFonts w:ascii="Arial" w:cs="Arial" w:eastAsia="Arial" w:hAnsi="Arial"/>
                  <w:sz w:val="18"/>
                  <w:szCs w:val="18"/>
                  <w:color w:val="auto"/>
                </w:rPr>
                <w:t>Legal Proceedings</w:t>
              </w:r>
            </w:hyperlink>
          </w:p>
        </w:tc>
        <w:tc>
          <w:tcPr>
            <w:tcW w:w="94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Arial" w:cs="Arial" w:eastAsia="Arial" w:hAnsi="Arial"/>
                <w:sz w:val="18"/>
                <w:szCs w:val="18"/>
                <w:color w:val="auto"/>
              </w:rPr>
              <w:t>Item 1A.</w:t>
            </w:r>
          </w:p>
        </w:tc>
        <w:tc>
          <w:tcPr>
            <w:tcW w:w="9480" w:type="dxa"/>
            <w:vAlign w:val="bottom"/>
          </w:tcPr>
          <w:p>
            <w:pPr>
              <w:ind w:left="160"/>
              <w:spacing w:after="0"/>
              <w:rPr>
                <w:rFonts w:ascii="Arial" w:cs="Arial" w:eastAsia="Arial" w:hAnsi="Arial"/>
                <w:sz w:val="18"/>
                <w:szCs w:val="18"/>
                <w:color w:val="auto"/>
              </w:rPr>
            </w:pPr>
            <w:hyperlink w:anchor="page53">
              <w:r>
                <w:rPr>
                  <w:rFonts w:ascii="Arial" w:cs="Arial" w:eastAsia="Arial" w:hAnsi="Arial"/>
                  <w:sz w:val="18"/>
                  <w:szCs w:val="18"/>
                  <w:color w:val="auto"/>
                </w:rPr>
                <w:t>Risk Factors</w:t>
              </w:r>
            </w:hyperlink>
          </w:p>
        </w:tc>
        <w:tc>
          <w:tcPr>
            <w:tcW w:w="94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2.</w:t>
            </w:r>
          </w:p>
        </w:tc>
        <w:tc>
          <w:tcPr>
            <w:tcW w:w="9480" w:type="dxa"/>
            <w:vAlign w:val="bottom"/>
          </w:tcPr>
          <w:p>
            <w:pPr>
              <w:ind w:left="160"/>
              <w:spacing w:after="0"/>
              <w:rPr>
                <w:rFonts w:ascii="Arial" w:cs="Arial" w:eastAsia="Arial" w:hAnsi="Arial"/>
                <w:sz w:val="18"/>
                <w:szCs w:val="18"/>
                <w:color w:val="auto"/>
              </w:rPr>
            </w:pPr>
            <w:hyperlink w:anchor="page53">
              <w:r>
                <w:rPr>
                  <w:rFonts w:ascii="Arial" w:cs="Arial" w:eastAsia="Arial" w:hAnsi="Arial"/>
                  <w:sz w:val="18"/>
                  <w:szCs w:val="18"/>
                  <w:color w:val="auto"/>
                </w:rPr>
                <w:t>Unregistered Sales of Equity Securities and Use of Proceeds</w:t>
              </w:r>
            </w:hyperlink>
          </w:p>
        </w:tc>
        <w:tc>
          <w:tcPr>
            <w:tcW w:w="94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Arial" w:cs="Arial" w:eastAsia="Arial" w:hAnsi="Arial"/>
                <w:sz w:val="18"/>
                <w:szCs w:val="18"/>
                <w:color w:val="auto"/>
              </w:rPr>
              <w:t>Item 3.</w:t>
            </w:r>
          </w:p>
        </w:tc>
        <w:tc>
          <w:tcPr>
            <w:tcW w:w="9480" w:type="dxa"/>
            <w:vAlign w:val="bottom"/>
          </w:tcPr>
          <w:p>
            <w:pPr>
              <w:ind w:left="160"/>
              <w:spacing w:after="0"/>
              <w:rPr>
                <w:rFonts w:ascii="Arial" w:cs="Arial" w:eastAsia="Arial" w:hAnsi="Arial"/>
                <w:sz w:val="18"/>
                <w:szCs w:val="18"/>
                <w:color w:val="auto"/>
              </w:rPr>
            </w:pPr>
            <w:hyperlink w:anchor="page53">
              <w:r>
                <w:rPr>
                  <w:rFonts w:ascii="Arial" w:cs="Arial" w:eastAsia="Arial" w:hAnsi="Arial"/>
                  <w:sz w:val="18"/>
                  <w:szCs w:val="18"/>
                  <w:color w:val="auto"/>
                </w:rPr>
                <w:t>Defaults Upon Senior Securities</w:t>
              </w:r>
            </w:hyperlink>
          </w:p>
        </w:tc>
        <w:tc>
          <w:tcPr>
            <w:tcW w:w="94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4.</w:t>
            </w:r>
          </w:p>
        </w:tc>
        <w:tc>
          <w:tcPr>
            <w:tcW w:w="9480" w:type="dxa"/>
            <w:vAlign w:val="bottom"/>
          </w:tcPr>
          <w:p>
            <w:pPr>
              <w:ind w:left="160"/>
              <w:spacing w:after="0"/>
              <w:rPr>
                <w:rFonts w:ascii="Arial" w:cs="Arial" w:eastAsia="Arial" w:hAnsi="Arial"/>
                <w:sz w:val="18"/>
                <w:szCs w:val="18"/>
                <w:color w:val="auto"/>
              </w:rPr>
            </w:pPr>
            <w:hyperlink w:anchor="page53">
              <w:r>
                <w:rPr>
                  <w:rFonts w:ascii="Arial" w:cs="Arial" w:eastAsia="Arial" w:hAnsi="Arial"/>
                  <w:sz w:val="18"/>
                  <w:szCs w:val="18"/>
                  <w:color w:val="auto"/>
                </w:rPr>
                <w:t>Mine Safety Disclosures</w:t>
              </w:r>
            </w:hyperlink>
          </w:p>
        </w:tc>
        <w:tc>
          <w:tcPr>
            <w:tcW w:w="94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Arial" w:cs="Arial" w:eastAsia="Arial" w:hAnsi="Arial"/>
                <w:sz w:val="18"/>
                <w:szCs w:val="18"/>
                <w:color w:val="auto"/>
              </w:rPr>
              <w:t>Item 5.</w:t>
            </w:r>
          </w:p>
        </w:tc>
        <w:tc>
          <w:tcPr>
            <w:tcW w:w="9480" w:type="dxa"/>
            <w:vAlign w:val="bottom"/>
          </w:tcPr>
          <w:p>
            <w:pPr>
              <w:ind w:left="160"/>
              <w:spacing w:after="0"/>
              <w:rPr>
                <w:rFonts w:ascii="Arial" w:cs="Arial" w:eastAsia="Arial" w:hAnsi="Arial"/>
                <w:sz w:val="18"/>
                <w:szCs w:val="18"/>
                <w:color w:val="auto"/>
              </w:rPr>
            </w:pPr>
            <w:hyperlink w:anchor="page53">
              <w:r>
                <w:rPr>
                  <w:rFonts w:ascii="Arial" w:cs="Arial" w:eastAsia="Arial" w:hAnsi="Arial"/>
                  <w:sz w:val="18"/>
                  <w:szCs w:val="18"/>
                  <w:color w:val="auto"/>
                </w:rPr>
                <w:t>Other Information</w:t>
              </w:r>
            </w:hyperlink>
          </w:p>
        </w:tc>
        <w:tc>
          <w:tcPr>
            <w:tcW w:w="94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Item 6.</w:t>
            </w:r>
          </w:p>
        </w:tc>
        <w:tc>
          <w:tcPr>
            <w:tcW w:w="9480" w:type="dxa"/>
            <w:vAlign w:val="bottom"/>
          </w:tcPr>
          <w:p>
            <w:pPr>
              <w:ind w:left="160"/>
              <w:spacing w:after="0"/>
              <w:rPr>
                <w:rFonts w:ascii="Arial" w:cs="Arial" w:eastAsia="Arial" w:hAnsi="Arial"/>
                <w:sz w:val="18"/>
                <w:szCs w:val="18"/>
                <w:color w:val="auto"/>
              </w:rPr>
            </w:pPr>
            <w:hyperlink w:anchor="page53">
              <w:r>
                <w:rPr>
                  <w:rFonts w:ascii="Arial" w:cs="Arial" w:eastAsia="Arial" w:hAnsi="Arial"/>
                  <w:sz w:val="18"/>
                  <w:szCs w:val="18"/>
                  <w:color w:val="auto"/>
                </w:rPr>
                <w:t>Exhibits</w:t>
              </w:r>
            </w:hyperlink>
          </w:p>
        </w:tc>
        <w:tc>
          <w:tcPr>
            <w:tcW w:w="94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391"/>
        </w:trPr>
        <w:tc>
          <w:tcPr>
            <w:tcW w:w="10300" w:type="dxa"/>
            <w:vAlign w:val="bottom"/>
            <w:gridSpan w:val="2"/>
          </w:tcPr>
          <w:p>
            <w:pPr>
              <w:ind w:left="20"/>
              <w:spacing w:after="0"/>
              <w:rPr>
                <w:rFonts w:ascii="Arial" w:cs="Arial" w:eastAsia="Arial" w:hAnsi="Arial"/>
                <w:sz w:val="18"/>
                <w:szCs w:val="18"/>
                <w:color w:val="auto"/>
              </w:rPr>
            </w:pPr>
            <w:hyperlink w:anchor="page56">
              <w:r>
                <w:rPr>
                  <w:rFonts w:ascii="Arial" w:cs="Arial" w:eastAsia="Arial" w:hAnsi="Arial"/>
                  <w:sz w:val="18"/>
                  <w:szCs w:val="18"/>
                  <w:color w:val="auto"/>
                </w:rPr>
                <w:t>SIGNATURES</w:t>
              </w:r>
            </w:hyperlink>
          </w:p>
        </w:tc>
        <w:tc>
          <w:tcPr>
            <w:tcW w:w="940" w:type="dxa"/>
            <w:vAlign w:val="bottom"/>
          </w:tcPr>
          <w:p>
            <w:pPr>
              <w:jc w:val="center"/>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57</w:t>
              </w:r>
            </w:hyperlink>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w:t>
            </w:r>
          </w:p>
        </w:tc>
        <w:tc>
          <w:tcPr>
            <w:tcW w:w="9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820" w:type="dxa"/>
            <w:vAlign w:val="bottom"/>
          </w:tcPr>
          <w:p>
            <w:pPr>
              <w:spacing w:after="0"/>
              <w:rPr>
                <w:sz w:val="24"/>
                <w:szCs w:val="24"/>
                <w:color w:val="auto"/>
              </w:rPr>
            </w:pPr>
          </w:p>
        </w:tc>
        <w:tc>
          <w:tcPr>
            <w:tcW w:w="9480" w:type="dxa"/>
            <w:vAlign w:val="bottom"/>
          </w:tcPr>
          <w:p>
            <w:pPr>
              <w:ind w:left="476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9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3460" w:type="dxa"/>
            <w:vAlign w:val="bottom"/>
            <w:gridSpan w:val="6"/>
          </w:tcPr>
          <w:p>
            <w:pPr>
              <w:ind w:left="380"/>
              <w:spacing w:after="0"/>
              <w:rPr>
                <w:sz w:val="20"/>
                <w:szCs w:val="20"/>
                <w:color w:val="auto"/>
              </w:rPr>
            </w:pPr>
            <w:r>
              <w:rPr>
                <w:rFonts w:ascii="Arial" w:cs="Arial" w:eastAsia="Arial" w:hAnsi="Arial"/>
                <w:sz w:val="18"/>
                <w:szCs w:val="18"/>
                <w:color w:val="auto"/>
              </w:rPr>
              <w:t>Three Months Ended September 30,</w:t>
            </w:r>
          </w:p>
        </w:tc>
        <w:tc>
          <w:tcPr>
            <w:tcW w:w="240" w:type="dxa"/>
            <w:vAlign w:val="bottom"/>
          </w:tcPr>
          <w:p>
            <w:pPr>
              <w:spacing w:after="0"/>
              <w:rPr>
                <w:sz w:val="20"/>
                <w:szCs w:val="20"/>
                <w:color w:val="auto"/>
              </w:rPr>
            </w:pPr>
          </w:p>
        </w:tc>
        <w:tc>
          <w:tcPr>
            <w:tcW w:w="3100" w:type="dxa"/>
            <w:vAlign w:val="bottom"/>
            <w:gridSpan w:val="4"/>
          </w:tcPr>
          <w:p>
            <w:pPr>
              <w:jc w:val="right"/>
              <w:ind w:right="310"/>
              <w:spacing w:after="0"/>
              <w:rPr>
                <w:sz w:val="20"/>
                <w:szCs w:val="20"/>
                <w:color w:val="auto"/>
              </w:rPr>
            </w:pPr>
            <w:r>
              <w:rPr>
                <w:rFonts w:ascii="Arial" w:cs="Arial" w:eastAsia="Arial" w:hAnsi="Arial"/>
                <w:sz w:val="18"/>
                <w:szCs w:val="18"/>
                <w:color w:val="auto"/>
                <w:w w:val="95"/>
              </w:rPr>
              <w:t>Nine Months Ended September 30,</w:t>
            </w:r>
          </w:p>
        </w:tc>
        <w:tc>
          <w:tcPr>
            <w:tcW w:w="0" w:type="dxa"/>
            <w:vAlign w:val="bottom"/>
          </w:tcPr>
          <w:p>
            <w:pPr>
              <w:spacing w:after="0"/>
              <w:rPr>
                <w:sz w:val="1"/>
                <w:szCs w:val="1"/>
                <w:color w:val="auto"/>
              </w:rPr>
            </w:pPr>
          </w:p>
        </w:tc>
      </w:tr>
      <w:tr>
        <w:trPr>
          <w:trHeight w:val="223"/>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 commercial/industrial</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Mineral resources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9,276</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Farming</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Ranch operations</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14,962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28,601</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 commercial/industrial</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Real estate - resort/residential</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Mineral resources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Farming</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10,909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Ranch operations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Corporate expenses</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expenses</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16,177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33,974</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(1,215)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Investment income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sale of real estate</w:t>
            </w: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income</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line="156" w:lineRule="exact"/>
              <w:rPr>
                <w:sz w:val="20"/>
                <w:szCs w:val="20"/>
                <w:color w:val="auto"/>
              </w:rPr>
            </w:pPr>
            <w:r>
              <w:rPr>
                <w:rFonts w:ascii="Arial" w:cs="Arial" w:eastAsia="Arial" w:hAnsi="Arial"/>
                <w:sz w:val="18"/>
                <w:szCs w:val="18"/>
                <w:color w:val="auto"/>
                <w:w w:val="94"/>
              </w:rPr>
              <w:t>(Loss) income from operations before equity in earnings of</w:t>
            </w:r>
          </w:p>
        </w:tc>
        <w:tc>
          <w:tcPr>
            <w:tcW w:w="10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4"/>
              </w:rPr>
              <w:t>(1,186)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unconsolidated joint ventures</w:t>
            </w:r>
          </w:p>
        </w:tc>
        <w:tc>
          <w:tcPr>
            <w:tcW w:w="10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joint ventures, net</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income (loss) attributable to non-controlling interest</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(loss) per share attributable to common</w:t>
            </w:r>
          </w:p>
        </w:tc>
        <w:tc>
          <w:tcPr>
            <w:tcW w:w="104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basic</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Net income (loss) per share attributable to common</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40" w:type="dxa"/>
            <w:vAlign w:val="bottom"/>
            <w:vMerge w:val="continue"/>
          </w:tcPr>
          <w:p>
            <w:pPr>
              <w:spacing w:after="0"/>
              <w:rPr>
                <w:sz w:val="10"/>
                <w:szCs w:val="10"/>
                <w:color w:val="auto"/>
              </w:rPr>
            </w:pPr>
          </w:p>
        </w:tc>
        <w:tc>
          <w:tcPr>
            <w:tcW w:w="1040" w:type="dxa"/>
            <w:vAlign w:val="bottom"/>
            <w:vMerge w:val="restart"/>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0"/>
                <w:szCs w:val="10"/>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8"/>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stockholders, diluted</w:t>
            </w:r>
          </w:p>
        </w:tc>
        <w:tc>
          <w:tcPr>
            <w:tcW w:w="104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September 30,</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w w:val="95"/>
              </w:rPr>
              <w:t>Nine Months Ended September 30,</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Other comprehensive gain (loss):</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available-for-sale securities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gain (loss) on interest rate swap</w:t>
            </w: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gain (loss) before taxes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176"/>
        </w:trPr>
        <w:tc>
          <w:tcPr>
            <w:tcW w:w="4440" w:type="dxa"/>
            <w:vAlign w:val="bottom"/>
          </w:tcPr>
          <w:p>
            <w:pPr>
              <w:ind w:left="360"/>
              <w:spacing w:after="0" w:line="176" w:lineRule="exact"/>
              <w:rPr>
                <w:sz w:val="20"/>
                <w:szCs w:val="20"/>
                <w:color w:val="auto"/>
              </w:rPr>
            </w:pPr>
            <w:r>
              <w:rPr>
                <w:rFonts w:ascii="Arial" w:cs="Arial" w:eastAsia="Arial" w:hAnsi="Arial"/>
                <w:sz w:val="18"/>
                <w:szCs w:val="18"/>
                <w:color w:val="auto"/>
              </w:rPr>
              <w:t>(Expense) benefit for income taxes related to other</w:t>
            </w:r>
          </w:p>
        </w:tc>
        <w:tc>
          <w:tcPr>
            <w:tcW w:w="11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3"/>
              </w:rPr>
              <w:t>(78)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comprehensive income items</w:t>
            </w: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gain (loss)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Comprehensive income (loss) attributable to non-controlling</w:t>
            </w:r>
          </w:p>
        </w:tc>
        <w:tc>
          <w:tcPr>
            <w:tcW w:w="1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3"/>
              </w:rPr>
              <w:t>(14)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1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440" w:type="dxa"/>
            <w:vAlign w:val="bottom"/>
          </w:tcPr>
          <w:p>
            <w:pPr>
              <w:ind w:left="20"/>
              <w:spacing w:after="0" w:line="156" w:lineRule="exact"/>
              <w:rPr>
                <w:sz w:val="20"/>
                <w:szCs w:val="20"/>
                <w:color w:val="auto"/>
              </w:rPr>
            </w:pPr>
            <w:r>
              <w:rPr>
                <w:rFonts w:ascii="Arial" w:cs="Arial" w:eastAsia="Arial" w:hAnsi="Arial"/>
                <w:sz w:val="18"/>
                <w:szCs w:val="18"/>
                <w:color w:val="auto"/>
              </w:rPr>
              <w:t>Comprehensive income (loss) attributable to common</w:t>
            </w:r>
          </w:p>
        </w:tc>
        <w:tc>
          <w:tcPr>
            <w:tcW w:w="1100" w:type="dxa"/>
            <w:vAlign w:val="bottom"/>
            <w:vMerge w:val="restart"/>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3"/>
                <w:szCs w:val="13"/>
                <w:color w:val="auto"/>
              </w:rPr>
            </w:pPr>
          </w:p>
        </w:tc>
        <w:tc>
          <w:tcPr>
            <w:tcW w:w="1260" w:type="dxa"/>
            <w:vAlign w:val="bottom"/>
            <w:vMerge w:val="restart"/>
          </w:tcPr>
          <w:p>
            <w:pPr>
              <w:jc w:val="right"/>
              <w:ind w:right="1050"/>
              <w:spacing w:after="0"/>
              <w:rPr>
                <w:sz w:val="20"/>
                <w:szCs w:val="20"/>
                <w:color w:val="auto"/>
              </w:rPr>
            </w:pPr>
            <w:r>
              <w:rPr>
                <w:rFonts w:ascii="Arial" w:cs="Arial" w:eastAsia="Arial" w:hAnsi="Arial"/>
                <w:sz w:val="18"/>
                <w:szCs w:val="18"/>
                <w:color w:val="auto"/>
                <w:w w:val="99"/>
              </w:rPr>
              <w:t>$</w:t>
            </w:r>
          </w:p>
        </w:tc>
        <w:tc>
          <w:tcPr>
            <w:tcW w:w="360" w:type="dxa"/>
            <w:vAlign w:val="bottom"/>
            <w:vMerge w:val="restart"/>
          </w:tcPr>
          <w:p>
            <w:pPr>
              <w:ind w:left="2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08"/>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stockholders</w:t>
            </w:r>
          </w:p>
        </w:tc>
        <w:tc>
          <w:tcPr>
            <w:tcW w:w="110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September 30, 2021</w:t>
            </w:r>
          </w:p>
        </w:tc>
        <w:tc>
          <w:tcPr>
            <w:tcW w:w="200" w:type="dxa"/>
            <w:vAlign w:val="bottom"/>
          </w:tcPr>
          <w:p>
            <w:pPr>
              <w:spacing w:after="0"/>
              <w:rPr>
                <w:sz w:val="19"/>
                <w:szCs w:val="19"/>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2020</w:t>
            </w:r>
          </w:p>
        </w:tc>
        <w:tc>
          <w:tcPr>
            <w:tcW w:w="0" w:type="dxa"/>
            <w:vAlign w:val="bottom"/>
          </w:tcPr>
          <w:p>
            <w:pPr>
              <w:spacing w:after="0"/>
              <w:rPr>
                <w:sz w:val="1"/>
                <w:szCs w:val="1"/>
                <w:color w:val="auto"/>
              </w:rPr>
            </w:pPr>
          </w:p>
        </w:tc>
      </w:tr>
      <w:tr>
        <w:trPr>
          <w:trHeight w:val="230"/>
        </w:trPr>
        <w:tc>
          <w:tcPr>
            <w:tcW w:w="726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54,919</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Arial" w:cs="Arial" w:eastAsia="Arial" w:hAnsi="Arial"/>
                <w:sz w:val="18"/>
                <w:szCs w:val="18"/>
                <w:color w:val="auto"/>
              </w:rPr>
              <w:t>Marketable securities - available-for-sale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29"/>
        </w:trPr>
        <w:tc>
          <w:tcPr>
            <w:tcW w:w="726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61,764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68,515</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and improvements - held for lease,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w:t>
            </w:r>
          </w:p>
        </w:tc>
        <w:tc>
          <w:tcPr>
            <w:tcW w:w="0" w:type="dxa"/>
            <w:vAlign w:val="bottom"/>
          </w:tcPr>
          <w:p>
            <w:pPr>
              <w:spacing w:after="0"/>
              <w:rPr>
                <w:sz w:val="1"/>
                <w:szCs w:val="1"/>
                <w:color w:val="auto"/>
              </w:rPr>
            </w:pPr>
          </w:p>
        </w:tc>
      </w:tr>
      <w:tr>
        <w:trPr>
          <w:trHeight w:val="175"/>
        </w:trPr>
        <w:tc>
          <w:tcPr>
            <w:tcW w:w="7260" w:type="dxa"/>
            <w:vAlign w:val="bottom"/>
          </w:tcPr>
          <w:p>
            <w:pPr>
              <w:ind w:left="20"/>
              <w:spacing w:after="0" w:line="176" w:lineRule="exact"/>
              <w:rPr>
                <w:sz w:val="20"/>
                <w:szCs w:val="20"/>
                <w:color w:val="auto"/>
              </w:rPr>
            </w:pPr>
            <w:r>
              <w:rPr>
                <w:rFonts w:ascii="Arial" w:cs="Arial" w:eastAsia="Arial" w:hAnsi="Arial"/>
                <w:sz w:val="18"/>
                <w:szCs w:val="18"/>
                <w:color w:val="auto"/>
                <w:w w:val="90"/>
              </w:rPr>
              <w:t>Real estate development (includes $110,668 at September 30, 2021 and $108,600 at December 31,</w:t>
            </w: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316,143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310,439</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2020, attributable to Centennial Founders, LLC, Note 15)</w:t>
            </w: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42,517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33,524</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 water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56,698</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536,349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Arial" w:cs="Arial" w:eastAsia="Arial" w:hAnsi="Arial"/>
                <w:sz w:val="18"/>
                <w:szCs w:val="18"/>
                <w:color w:val="auto"/>
              </w:rPr>
              <w:t>Accrued liabilities and other</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52,587</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gains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0" w:type="dxa"/>
            <w:vAlign w:val="bottom"/>
          </w:tcPr>
          <w:p>
            <w:pPr>
              <w:spacing w:after="0"/>
              <w:rPr>
                <w:sz w:val="1"/>
                <w:szCs w:val="1"/>
                <w:color w:val="auto"/>
              </w:rPr>
            </w:pPr>
          </w:p>
        </w:tc>
      </w:tr>
      <w:tr>
        <w:trPr>
          <w:trHeight w:val="223"/>
        </w:trPr>
        <w:tc>
          <w:tcPr>
            <w:tcW w:w="726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91,018</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Tejon Ranch Co. Stockholders’ 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Arial" w:cs="Arial" w:eastAsia="Arial" w:hAnsi="Arial"/>
                <w:sz w:val="18"/>
                <w:szCs w:val="18"/>
                <w:color w:val="auto"/>
              </w:rPr>
              <w:t>Common stock, $0.50 par value per share:</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Authorized shares - 30,000,000</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680"/>
              <w:spacing w:after="0" w:line="176" w:lineRule="exact"/>
              <w:rPr>
                <w:sz w:val="20"/>
                <w:szCs w:val="20"/>
                <w:color w:val="auto"/>
              </w:rPr>
            </w:pPr>
            <w:r>
              <w:rPr>
                <w:rFonts w:ascii="Arial" w:cs="Arial" w:eastAsia="Arial" w:hAnsi="Arial"/>
                <w:sz w:val="18"/>
                <w:szCs w:val="18"/>
                <w:color w:val="auto"/>
                <w:w w:val="95"/>
              </w:rPr>
              <w:t>Issued and outstanding shares - 26,352,193 at September 30, 2021 and 26,276,830 at</w:t>
            </w: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13,175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342,059</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84,487</w:t>
            </w:r>
          </w:p>
        </w:tc>
        <w:tc>
          <w:tcPr>
            <w:tcW w:w="0" w:type="dxa"/>
            <w:vAlign w:val="bottom"/>
          </w:tcPr>
          <w:p>
            <w:pPr>
              <w:spacing w:after="0"/>
              <w:rPr>
                <w:sz w:val="1"/>
                <w:szCs w:val="1"/>
                <w:color w:val="auto"/>
              </w:rPr>
            </w:pPr>
          </w:p>
        </w:tc>
      </w:tr>
      <w:tr>
        <w:trPr>
          <w:trHeight w:val="223"/>
        </w:trPr>
        <w:tc>
          <w:tcPr>
            <w:tcW w:w="7260" w:type="dxa"/>
            <w:vAlign w:val="bottom"/>
          </w:tcPr>
          <w:p>
            <w:pPr>
              <w:ind w:left="360"/>
              <w:spacing w:after="0"/>
              <w:rPr>
                <w:sz w:val="20"/>
                <w:szCs w:val="20"/>
                <w:color w:val="auto"/>
              </w:rPr>
            </w:pPr>
            <w:r>
              <w:rPr>
                <w:rFonts w:ascii="Arial" w:cs="Arial" w:eastAsia="Arial" w:hAnsi="Arial"/>
                <w:sz w:val="18"/>
                <w:szCs w:val="18"/>
                <w:color w:val="auto"/>
              </w:rPr>
              <w:t>Total Tejon Ranch Co. Stockholders’ Equity</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436,080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429,963</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445,331</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536,349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Adjustments to reconcile net income (loss) to net cash used by operating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Arial" w:cs="Arial" w:eastAsia="Arial" w:hAnsi="Arial"/>
                <w:sz w:val="18"/>
                <w:szCs w:val="18"/>
                <w:color w:val="auto"/>
              </w:rPr>
              <w:t>Amortization of premium/discount of marketable securities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 in earnings of unconsolidated joint ventures,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Arial" w:cs="Arial" w:eastAsia="Arial" w:hAnsi="Arial"/>
                <w:sz w:val="18"/>
                <w:szCs w:val="18"/>
                <w:color w:val="auto"/>
              </w:rPr>
              <w:t>Non-cash retirement plan (benefit)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Non-cash profits recognized from land contribution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line="230" w:lineRule="exact"/>
              <w:rPr>
                <w:sz w:val="20"/>
                <w:szCs w:val="20"/>
                <w:color w:val="auto"/>
              </w:rPr>
            </w:pPr>
            <w:r>
              <w:rPr>
                <w:rFonts w:ascii="Arial" w:cs="Arial" w:eastAsia="Arial" w:hAnsi="Arial"/>
                <w:sz w:val="18"/>
                <w:szCs w:val="18"/>
                <w:color w:val="auto"/>
              </w:rPr>
              <w:t>Profit from water sales</w:t>
            </w:r>
            <w:r>
              <w:rPr>
                <w:rFonts w:ascii="Arial" w:cs="Arial" w:eastAsia="Arial" w:hAnsi="Arial"/>
                <w:sz w:val="23"/>
                <w:szCs w:val="23"/>
                <w:color w:val="auto"/>
                <w:vertAlign w:val="superscript"/>
              </w:rPr>
              <w:t>1</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Non-cash write-off of leasing assets</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Arial" w:cs="Arial" w:eastAsia="Arial" w:hAnsi="Arial"/>
                <w:sz w:val="18"/>
                <w:szCs w:val="18"/>
                <w:color w:val="auto"/>
              </w:rPr>
              <w:t>Gain on sale of property plant and equipment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Arial" w:cs="Arial" w:eastAsia="Arial" w:hAnsi="Arial"/>
                <w:sz w:val="18"/>
                <w:szCs w:val="18"/>
                <w:color w:val="auto"/>
              </w:rPr>
              <w:t>Stock compensation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Excess tax shortfall from stock-based compensation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7720" w:type="dxa"/>
            <w:vAlign w:val="bottom"/>
          </w:tcPr>
          <w:p>
            <w:pPr>
              <w:ind w:left="360"/>
              <w:spacing w:after="0"/>
              <w:rPr>
                <w:sz w:val="20"/>
                <w:szCs w:val="20"/>
                <w:color w:val="auto"/>
              </w:rPr>
            </w:pPr>
            <w:r>
              <w:rPr>
                <w:rFonts w:ascii="Arial" w:cs="Arial" w:eastAsia="Arial" w:hAnsi="Arial"/>
                <w:sz w:val="18"/>
                <w:szCs w:val="18"/>
                <w:color w:val="auto"/>
              </w:rPr>
              <w:t>Distribution of earnings from unconsolidated joint ventures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Arial" w:cs="Arial" w:eastAsia="Arial" w:hAnsi="Arial"/>
                <w:sz w:val="18"/>
                <w:szCs w:val="18"/>
                <w:color w:val="auto"/>
              </w:rPr>
              <w:t>Receivables, inventories, prepaids and other assets, net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Current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Maturities and sales of marketable securities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30,452</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Funds invested in marketable securities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Real estate and equipment expenditures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(15,240)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(15,407)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Reimbursement proceeds from Community Facilities District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Proceeds from sale of real estate/assets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unconsolidated joint ventures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Distribution of equity from unconsolidated joint ventures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Proceeds from water sales</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Investments in water assets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long-term debt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Taxes on vested stock grants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(16,857)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36,155</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Reconciliation to amounts on consolidated balance sheets: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(Shown in Other Assets)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6</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7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activities</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Accrued capital expenditures included in current liabilities</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long-term water assets included in current liabilities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360"/>
              <w:spacing w:after="0" w:line="243" w:lineRule="exact"/>
              <w:rPr>
                <w:sz w:val="20"/>
                <w:szCs w:val="20"/>
                <w:color w:val="auto"/>
              </w:rPr>
            </w:pPr>
            <w:r>
              <w:rPr>
                <w:rFonts w:ascii="Arial" w:cs="Arial" w:eastAsia="Arial" w:hAnsi="Arial"/>
                <w:sz w:val="18"/>
                <w:szCs w:val="18"/>
                <w:color w:val="auto"/>
              </w:rPr>
              <w:t>Contribution to unconsolidated joint venture</w:t>
            </w:r>
            <w:r>
              <w:rPr>
                <w:rFonts w:ascii="Arial" w:cs="Arial" w:eastAsia="Arial" w:hAnsi="Arial"/>
                <w:sz w:val="23"/>
                <w:szCs w:val="23"/>
                <w:color w:val="auto"/>
                <w:vertAlign w:val="superscript"/>
              </w:rPr>
              <w:t>2</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vMerge w:val="continue"/>
          </w:tcPr>
          <w:p>
            <w:pPr>
              <w:spacing w:after="0"/>
              <w:rPr>
                <w:sz w:val="17"/>
                <w:szCs w:val="17"/>
                <w:color w:val="auto"/>
              </w:rPr>
            </w:pPr>
          </w:p>
        </w:tc>
        <w:tc>
          <w:tcPr>
            <w:tcW w:w="66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8,464</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20" w:type="dxa"/>
            <w:vAlign w:val="bottom"/>
            <w:tcBorders>
              <w:bottom w:val="single" w:sz="8" w:color="CCEEFF"/>
            </w:tcBorders>
            <w:shd w:val="clear" w:color="auto" w:fill="CCEEFF"/>
          </w:tcPr>
          <w:p>
            <w:pPr>
              <w:ind w:left="360"/>
              <w:spacing w:after="0" w:line="223" w:lineRule="exact"/>
              <w:rPr>
                <w:sz w:val="20"/>
                <w:szCs w:val="20"/>
                <w:color w:val="auto"/>
              </w:rPr>
            </w:pPr>
            <w:r>
              <w:rPr>
                <w:rFonts w:ascii="Arial" w:cs="Arial" w:eastAsia="Arial" w:hAnsi="Arial"/>
                <w:sz w:val="18"/>
                <w:szCs w:val="18"/>
                <w:color w:val="auto"/>
              </w:rPr>
              <w:t>Long term deferred profit on land contribution</w:t>
            </w:r>
            <w:r>
              <w:rPr>
                <w:rFonts w:ascii="Arial" w:cs="Arial" w:eastAsia="Arial" w:hAnsi="Arial"/>
                <w:sz w:val="23"/>
                <w:szCs w:val="23"/>
                <w:color w:val="auto"/>
                <w:vertAlign w:val="superscript"/>
              </w:rPr>
              <w:t>2</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0" w:right="120"/>
        <w:spacing w:after="0" w:line="238"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In determining the classification of cash inflows and outflows related to water asset activity, the Company’s practices are supported by Accounting Standards Codification (“ASC”) 230-10-45-22, which provides that “Certain cash receipts and payments have aspects of more than one class of cash flows…. If so, the appropriate classification</w:t>
      </w:r>
    </w:p>
    <w:p>
      <w:pPr>
        <w:ind w:left="20" w:right="220"/>
        <w:spacing w:after="0" w:line="234" w:lineRule="auto"/>
        <w:rPr>
          <w:sz w:val="20"/>
          <w:szCs w:val="20"/>
          <w:color w:val="auto"/>
        </w:rPr>
      </w:pPr>
      <w:r>
        <w:rPr>
          <w:rFonts w:ascii="Arial" w:cs="Arial" w:eastAsia="Arial" w:hAnsi="Arial"/>
          <w:sz w:val="16"/>
          <w:szCs w:val="16"/>
          <w:color w:val="auto"/>
        </w:rPr>
        <w:t>shall depend on the activity that is likely to be the predominant source of cash flows for the 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213" w:lineRule="exact"/>
        <w:rPr>
          <w:sz w:val="20"/>
          <w:szCs w:val="20"/>
          <w:color w:val="auto"/>
        </w:rPr>
      </w:pPr>
    </w:p>
    <w:p>
      <w:pPr>
        <w:ind w:left="20" w:right="20"/>
        <w:spacing w:after="0" w:line="259" w:lineRule="auto"/>
        <w:rPr>
          <w:sz w:val="20"/>
          <w:szCs w:val="20"/>
          <w:color w:val="auto"/>
        </w:rPr>
      </w:pPr>
      <w:r>
        <w:rPr>
          <w:rFonts w:ascii="Arial" w:cs="Arial" w:eastAsia="Arial" w:hAnsi="Arial"/>
          <w:sz w:val="15"/>
          <w:szCs w:val="15"/>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$9.0 million in 2021, this cash inflow is appropriately classified in the Company’s investing activities. The profit of $3.3 million related to the water purchased in prior periods is appropriately being deducted from operating activities for the current period. The Company has and will continue to apply this methodology to water asset transactions that meet this fact pattern.</w:t>
      </w:r>
    </w:p>
    <w:p>
      <w:pPr>
        <w:spacing w:after="0" w:line="254" w:lineRule="exact"/>
        <w:rPr>
          <w:sz w:val="20"/>
          <w:szCs w:val="20"/>
          <w:color w:val="auto"/>
        </w:rPr>
      </w:pPr>
    </w:p>
    <w:p>
      <w:pPr>
        <w:ind w:left="20" w:right="20" w:firstLine="6"/>
        <w:spacing w:after="0" w:line="225" w:lineRule="auto"/>
        <w:tabs>
          <w:tab w:leader="none" w:pos="99"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In June 2021, the Company contributed land with a fair value of $8.5 million to TRC-MRC 4, LLC an unconsolidated joint venture formed to pursue the development, construction, leasing, and management of a 630,000 square foot industrial building on the Company's property at TRCC-East (defined herein). The total cost of the land was $2.9 million. The Company recognized $2.8 million in profit and deferred $2.8 million of profit after applying the five-step revenue recognition model in accordance with Accounting Standards Codification (ASC) Topic 606 — Revenue From Contracts With Customers and ASC Topic 323, Investments — Equity Method and Joint Ventures. Historically, cash outflows related to land development expenditures were accounted for within investing activities. For consistency, the Company will continue to classify cash outflows and cash inflows related to land development as investing activities.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CHANGES IN EQUITY AND NONCONTROLLING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outstanding)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Additional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0"/>
              </w:rPr>
              <w:t>Common</w:t>
            </w: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8"/>
              </w:rPr>
              <w:t>Other</w:t>
            </w:r>
          </w:p>
        </w:tc>
        <w:tc>
          <w:tcPr>
            <w:tcW w:w="8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Retained</w:t>
            </w: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5"/>
              </w:rPr>
              <w:t>Noncontrolling</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7"/>
              </w:rPr>
              <w:t>Stock Shares</w:t>
            </w:r>
          </w:p>
        </w:tc>
        <w:tc>
          <w:tcPr>
            <w:tcW w:w="9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70"/>
              <w:spacing w:after="0" w:line="176" w:lineRule="exact"/>
              <w:rPr>
                <w:sz w:val="20"/>
                <w:szCs w:val="20"/>
                <w:color w:val="auto"/>
              </w:rPr>
            </w:pPr>
            <w:r>
              <w:rPr>
                <w:rFonts w:ascii="Arial" w:cs="Arial" w:eastAsia="Arial" w:hAnsi="Arial"/>
                <w:sz w:val="18"/>
                <w:szCs w:val="18"/>
                <w:color w:val="auto"/>
                <w:w w:val="94"/>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88"/>
              </w:rPr>
              <w:t>Comprehensive</w:t>
            </w:r>
          </w:p>
        </w:tc>
        <w:tc>
          <w:tcPr>
            <w:tcW w:w="880" w:type="dxa"/>
            <w:vAlign w:val="bottom"/>
            <w:gridSpan w:val="3"/>
            <w:vMerge w:val="continue"/>
          </w:tcPr>
          <w:p>
            <w:pPr>
              <w:spacing w:after="0"/>
              <w:rPr>
                <w:sz w:val="15"/>
                <w:szCs w:val="15"/>
                <w:color w:val="auto"/>
              </w:rPr>
            </w:pPr>
          </w:p>
        </w:tc>
        <w:tc>
          <w:tcPr>
            <w:tcW w:w="114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Stockholders'</w:t>
            </w:r>
          </w:p>
        </w:tc>
        <w:tc>
          <w:tcPr>
            <w:tcW w:w="1280" w:type="dxa"/>
            <w:vAlign w:val="bottom"/>
            <w:gridSpan w:val="3"/>
            <w:vMerge w:val="continue"/>
          </w:tcPr>
          <w:p>
            <w:pPr>
              <w:spacing w:after="0"/>
              <w:rPr>
                <w:sz w:val="15"/>
                <w:szCs w:val="15"/>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8"/>
                <w:szCs w:val="18"/>
                <w:color w:val="auto"/>
                <w:w w:val="96"/>
              </w:rPr>
              <w:t>Total Equity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6"/>
              </w:rPr>
              <w:t>Capital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(Loss) Income</w:t>
            </w: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Interest</w:t>
            </w:r>
          </w:p>
        </w:tc>
        <w:tc>
          <w:tcPr>
            <w:tcW w:w="9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26,343,864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343,415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86,254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434,396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449,758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8"/>
                <w:szCs w:val="18"/>
                <w:color w:val="auto"/>
              </w:rPr>
              <w:t>8,329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640" w:type="dxa"/>
            <w:vAlign w:val="bottom"/>
          </w:tcPr>
          <w:p>
            <w:pPr>
              <w:spacing w:after="0" w:line="176" w:lineRule="exact"/>
              <w:rPr>
                <w:sz w:val="20"/>
                <w:szCs w:val="20"/>
                <w:color w:val="auto"/>
              </w:rPr>
            </w:pPr>
            <w:r>
              <w:rPr>
                <w:rFonts w:ascii="Arial" w:cs="Arial" w:eastAsia="Arial" w:hAnsi="Arial"/>
                <w:sz w:val="18"/>
                <w:szCs w:val="18"/>
                <w:color w:val="auto"/>
                <w:w w:val="98"/>
              </w:rPr>
              <w:t>Shares withheld for taxes and tax</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26,352,193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344,547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86,473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451,449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26,221,862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340,147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84,212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442,977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8"/>
                <w:szCs w:val="18"/>
                <w:color w:val="auto"/>
              </w:rPr>
              <w:t>7,445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40" w:type="dxa"/>
            <w:vAlign w:val="bottom"/>
          </w:tcPr>
          <w:p>
            <w:pPr>
              <w:spacing w:after="0" w:line="176" w:lineRule="exact"/>
              <w:rPr>
                <w:sz w:val="20"/>
                <w:szCs w:val="20"/>
                <w:color w:val="auto"/>
              </w:rPr>
            </w:pPr>
            <w:r>
              <w:rPr>
                <w:rFonts w:ascii="Arial" w:cs="Arial" w:eastAsia="Arial" w:hAnsi="Arial"/>
                <w:sz w:val="18"/>
                <w:szCs w:val="18"/>
                <w:color w:val="auto"/>
                <w:w w:val="98"/>
              </w:rPr>
              <w:t>Shares withheld for taxes and tax</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26,229,307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341,587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84,610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445,007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0"/>
              </w:rPr>
              <w:t>Common</w:t>
            </w: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8"/>
              </w:rPr>
              <w:t>Other</w:t>
            </w:r>
          </w:p>
        </w:tc>
        <w:tc>
          <w:tcPr>
            <w:tcW w:w="8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Retained</w:t>
            </w: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5"/>
              </w:rPr>
              <w:t>Noncontrolling</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11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7"/>
              </w:rPr>
              <w:t>Stock Shares</w:t>
            </w:r>
          </w:p>
        </w:tc>
        <w:tc>
          <w:tcPr>
            <w:tcW w:w="9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4"/>
              </w:rPr>
              <w:t>Paid-In</w:t>
            </w:r>
          </w:p>
        </w:tc>
        <w:tc>
          <w:tcPr>
            <w:tcW w:w="130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88"/>
              </w:rPr>
              <w:t>Comprehensive</w:t>
            </w:r>
          </w:p>
        </w:tc>
        <w:tc>
          <w:tcPr>
            <w:tcW w:w="880" w:type="dxa"/>
            <w:vAlign w:val="bottom"/>
            <w:gridSpan w:val="3"/>
            <w:vMerge w:val="continue"/>
          </w:tcPr>
          <w:p>
            <w:pPr>
              <w:spacing w:after="0"/>
              <w:rPr>
                <w:sz w:val="15"/>
                <w:szCs w:val="15"/>
                <w:color w:val="auto"/>
              </w:rPr>
            </w:pPr>
          </w:p>
        </w:tc>
        <w:tc>
          <w:tcPr>
            <w:tcW w:w="1140" w:type="dxa"/>
            <w:vAlign w:val="bottom"/>
            <w:gridSpan w:val="3"/>
          </w:tcPr>
          <w:p>
            <w:pPr>
              <w:jc w:val="center"/>
              <w:ind w:right="80"/>
              <w:spacing w:after="0" w:line="176" w:lineRule="exact"/>
              <w:rPr>
                <w:sz w:val="20"/>
                <w:szCs w:val="20"/>
                <w:color w:val="auto"/>
              </w:rPr>
            </w:pPr>
            <w:r>
              <w:rPr>
                <w:rFonts w:ascii="Arial" w:cs="Arial" w:eastAsia="Arial" w:hAnsi="Arial"/>
                <w:sz w:val="18"/>
                <w:szCs w:val="18"/>
                <w:color w:val="auto"/>
                <w:w w:val="91"/>
              </w:rPr>
              <w:t>Stockholders'</w:t>
            </w:r>
          </w:p>
        </w:tc>
        <w:tc>
          <w:tcPr>
            <w:tcW w:w="1280" w:type="dxa"/>
            <w:vAlign w:val="bottom"/>
            <w:gridSpan w:val="3"/>
            <w:vMerge w:val="continue"/>
          </w:tcPr>
          <w:p>
            <w:pPr>
              <w:spacing w:after="0"/>
              <w:rPr>
                <w:sz w:val="15"/>
                <w:szCs w:val="1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8"/>
                <w:szCs w:val="18"/>
                <w:color w:val="auto"/>
                <w:w w:val="94"/>
              </w:rPr>
              <w:t>Total Equity</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(Loss) Income</w:t>
            </w: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Interest</w:t>
            </w: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26,276,830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342,059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84,487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429,963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445,331</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8"/>
                <w:szCs w:val="18"/>
                <w:color w:val="auto"/>
              </w:rPr>
              <w:t>134,021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176"/>
        </w:trPr>
        <w:tc>
          <w:tcPr>
            <w:tcW w:w="2640" w:type="dxa"/>
            <w:vAlign w:val="bottom"/>
          </w:tcPr>
          <w:p>
            <w:pPr>
              <w:spacing w:after="0" w:line="176" w:lineRule="exact"/>
              <w:rPr>
                <w:sz w:val="20"/>
                <w:szCs w:val="20"/>
                <w:color w:val="auto"/>
              </w:rPr>
            </w:pPr>
            <w:r>
              <w:rPr>
                <w:rFonts w:ascii="Arial" w:cs="Arial" w:eastAsia="Arial" w:hAnsi="Arial"/>
                <w:sz w:val="18"/>
                <w:szCs w:val="18"/>
                <w:color w:val="auto"/>
                <w:w w:val="98"/>
              </w:rPr>
              <w:t>Shares withheld for taxes and tax</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(58,658)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26,352,193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344,547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86,473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451,449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26,096,797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338,745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85,227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445,624</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1060" w:type="dxa"/>
            <w:vAlign w:val="bottom"/>
          </w:tcPr>
          <w:p>
            <w:pPr>
              <w:jc w:val="right"/>
              <w:spacing w:after="0"/>
              <w:rPr>
                <w:sz w:val="20"/>
                <w:szCs w:val="20"/>
                <w:color w:val="auto"/>
              </w:rPr>
            </w:pPr>
            <w:r>
              <w:rPr>
                <w:rFonts w:ascii="Arial" w:cs="Arial" w:eastAsia="Arial" w:hAnsi="Arial"/>
                <w:sz w:val="18"/>
                <w:szCs w:val="18"/>
                <w:color w:val="auto"/>
              </w:rPr>
              <w:t>247,720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175"/>
        </w:trPr>
        <w:tc>
          <w:tcPr>
            <w:tcW w:w="2640" w:type="dxa"/>
            <w:vAlign w:val="bottom"/>
          </w:tcPr>
          <w:p>
            <w:pPr>
              <w:spacing w:after="0" w:line="176" w:lineRule="exact"/>
              <w:rPr>
                <w:sz w:val="20"/>
                <w:szCs w:val="20"/>
                <w:color w:val="auto"/>
              </w:rPr>
            </w:pPr>
            <w:r>
              <w:rPr>
                <w:rFonts w:ascii="Arial" w:cs="Arial" w:eastAsia="Arial" w:hAnsi="Arial"/>
                <w:sz w:val="18"/>
                <w:szCs w:val="18"/>
                <w:color w:val="auto"/>
                <w:w w:val="98"/>
              </w:rPr>
              <w:t>Shares withheld for taxes and tax</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(115,210)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benefit of vested shares</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26,229,307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341,587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84,610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445,007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13"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periods ended September 30, 2021 and December 31, 2020 include the consolidation of Centennial Founders, LLC’s statement of operations within the resort/residential real estate development segment and statements of cash flows. The Company’s September 30, 2021 and December 31, 2020 balance sheets and statements of changes in equity and noncontrolling interests are presented on a consolidated basis, including the consolidation of Centennial Founders, LLC.</w:t>
      </w:r>
    </w:p>
    <w:p>
      <w:pPr>
        <w:spacing w:after="0" w:line="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results of the period reported herein are not indicative of the results to be expected for the full year due to the seasonal nature of the Company’s agricultural activities, water activities, timing of real estate sales and leasing activities. The coronavirus, COVID-19, has also brought additional uncertainty previously unseen. We continued to experience negative impacts during the first quarter of 2021, with signs of improvements during the second quarter as restrictions in California were lifted in mid-June 2021. The Company’s retail and hospitality businesses in the commercial/industrial real estate development segments fully reopened and operated without restrictions during the second and third quarters. The Company’s farming segment remained open, subject to applicable safety precautions, as that industry has been deemed essential throughout the pandemic.</w:t>
      </w:r>
    </w:p>
    <w:p>
      <w:pPr>
        <w:spacing w:after="0" w:line="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Historically, the Company’s largest percentages of farming revenues are recognized during the third and fourth quarters of the fiscal year. Please refer to Management’s Discussion and Analysis of Financial Condition and Results of Operations for further discussion.</w:t>
      </w:r>
    </w:p>
    <w:p>
      <w:pPr>
        <w:spacing w:after="0" w:line="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and a summary of significant accounting policies, refer to the Consolidated Financial Statements and notes thereto included in the Company’s Annual Report on Form 10-K for the year ended December 31,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Restricted cash is included in Prepaid expenses and other current assets within the Consolidated Balance Sheets and primarily relate to funds held in escrow. The Company had $803,000 of restricted cash as of September 30,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Concessions Related to COVID-19 Pandemic</w:t>
      </w:r>
    </w:p>
    <w:p>
      <w:pPr>
        <w:spacing w:after="0" w:line="10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April 2020, the Financial Accounting Standards Board, or FASB, issued a Staff Question-and-Answer, or Q&amp;A, intended to reduce the operational challenges and complexity of accounting for leases at a time when many businesses have been ordered to close or have seen revenue drop due to the effects of the COVID-19 pandemic. The FASB determined that it would be appropriate for entities to make accounting policy elections over lease concessions resulting directly from COVID-19. Rather than analyzing each lease contract individually, entities can elect to account for lease concessions “as though the enforceable rights and obligations for those concessions existed, regardless of whether those enforceable rights and obligations for the concessions explicitly exist in the contract.” Accordingly, entities that choose to apply the relief provided by the FASB can either (1) apply the modification framework for these concessions in accordance with ASC Topic 840 or ASC Topic 842 as applicable or (2) account for the concessions as if they were made under the enforceable rights included in the original agreement and are thus outside of the modification framework. In making this election, an entity would not need to perform a lease-by-lease analysis to evaluate the enforceable rights and may instead simply treat the change as if the enforceable rights were included or excluded in the original agreement. The election not to apply lease modification accounting is only available when total cash flows resulting from the modified contract are “substantially the same or less” than the cash flows in the original contract.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 w:name="page11"/>
    <w:bookmarkEnd w:id="10"/>
    <w:p>
      <w:pPr>
        <w:ind w:right="20"/>
        <w:spacing w:after="0" w:line="254" w:lineRule="auto"/>
        <w:rPr>
          <w:sz w:val="20"/>
          <w:szCs w:val="20"/>
          <w:color w:val="auto"/>
        </w:rPr>
      </w:pPr>
      <w:r>
        <w:rPr>
          <w:rFonts w:ascii="Arial" w:cs="Arial" w:eastAsia="Arial" w:hAnsi="Arial"/>
          <w:sz w:val="18"/>
          <w:szCs w:val="18"/>
          <w:color w:val="auto"/>
        </w:rPr>
        <w:t>The Company elected to account for lease concessions outside of the modification framework as allowed by the FASB Q&amp;A. The COVID-19 pandemic resulted in tenant requests for rent relief, with a majority of the requests occurring in the second quarter of 2020. In 2020, the Company reached agreements with all commercial tenants that requested rent deferrals. Based on the terms of the agreements reached with the Company's tenants, all deferred rent is expected to be fully repaid by the end of 2021. The Company will account for the rent receivables as if no changes to the lease were made, and the rent receivable for the deferral period will stay on the Company's Consolidated Balance Sheet until the rent is collected over the passage of time. Please refer to the Results of Operations by Segment in Item 2, "Management's Discussion and Analysis of Financial Condition and Results of Operations" for discussion of the rent deferrals.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1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March 2020, the FASB issued Accounting Standards Update, or ASU, No. 2020-04, "Facilitation of the Effects of Reference Rate Reform on Financial Reporting", for reference rate reform related activities that impact debt, leases, derivatives and other contracts. The pronouncement provides optional expedients for a limited period of time to ease the potential burden of accounting for reference rate reform. Specifically, the ASU permits modification of contracts within ASC Topic 470, Debt, to be accounted for by prospectively adjusting the effective interest rate when a contract is modified because of reference rate reform. It also provides exceptions to the guidance in ASC Topic 815 related to changes to critical terms of a hedging relationship: the change in reference rate will not result in de-designation of a hedging relationship if certain criteria are met. This guidance is effective for all entities as of March 12, 2020 through December 31, 2022. This pronouncement has not had, and is not expected to have, a material effect on our consolidated financial statements.</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94"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Basic net income (loss) per share attributable to common stockholders is based upon the weighted average number of shares of common stock outstanding during the year. Diluted net income (loss) per share attributable to common stockholders is based upon the weighted average number of shares of common stock outstanding and the weighted average number of shares outstanding assuming the issuance of common stock upon exercise of stock options, warrants to purchase common stock, and the vesting of restricted stock grants per ASC Topic 260, “Earnings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3500" w:type="dxa"/>
            <w:vAlign w:val="bottom"/>
            <w:gridSpan w:val="4"/>
          </w:tcPr>
          <w:p>
            <w:pPr>
              <w:ind w:left="400"/>
              <w:spacing w:after="0"/>
              <w:rPr>
                <w:sz w:val="20"/>
                <w:szCs w:val="20"/>
                <w:color w:val="auto"/>
              </w:rPr>
            </w:pPr>
            <w:r>
              <w:rPr>
                <w:rFonts w:ascii="Arial" w:cs="Arial" w:eastAsia="Arial" w:hAnsi="Arial"/>
                <w:sz w:val="18"/>
                <w:szCs w:val="18"/>
                <w:color w:val="auto"/>
              </w:rPr>
              <w:t>Three Months Ended September 30,</w:t>
            </w:r>
          </w:p>
        </w:tc>
        <w:tc>
          <w:tcPr>
            <w:tcW w:w="3380" w:type="dxa"/>
            <w:vAlign w:val="bottom"/>
            <w:gridSpan w:val="3"/>
          </w:tcPr>
          <w:p>
            <w:pPr>
              <w:jc w:val="right"/>
              <w:ind w:right="33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360" w:type="dxa"/>
            <w:vAlign w:val="bottom"/>
            <w:vMerge w:val="restart"/>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26,351,254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26,229,226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26,336,247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26,193,058</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Common stock equivalents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163,689</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57,484</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135,264</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157,579</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shares outstanding</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26,514,943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26,286,710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26,471,511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26,350,637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360" w:type="dxa"/>
            <w:vAlign w:val="bottom"/>
          </w:tcPr>
          <w:p>
            <w:pPr>
              <w:spacing w:after="0"/>
              <w:rPr>
                <w:sz w:val="24"/>
                <w:szCs w:val="24"/>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900" w:type="dxa"/>
            <w:vAlign w:val="bottom"/>
            <w:vMerge w:val="restart"/>
          </w:tcPr>
          <w:p>
            <w:pPr>
              <w:jc w:val="center"/>
              <w:ind w:left="650"/>
              <w:spacing w:after="0"/>
              <w:rPr>
                <w:sz w:val="20"/>
                <w:szCs w:val="20"/>
                <w:color w:val="auto"/>
              </w:rPr>
            </w:pPr>
            <w:r>
              <w:rPr>
                <w:rFonts w:ascii="Arial" w:cs="Arial" w:eastAsia="Arial" w:hAnsi="Arial"/>
                <w:sz w:val="18"/>
                <w:szCs w:val="18"/>
                <w:color w:val="auto"/>
                <w:w w:val="92"/>
              </w:rPr>
              <w:t>Fair Value</w:t>
            </w: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September 30, 2021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155"/>
        </w:trPr>
        <w:tc>
          <w:tcPr>
            <w:tcW w:w="4420" w:type="dxa"/>
            <w:vAlign w:val="bottom"/>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19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color w:val="auto"/>
              </w:rPr>
              <w:t>Fair Value</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13"/>
                <w:szCs w:val="13"/>
                <w:color w:val="auto"/>
              </w:rPr>
            </w:pP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30"/>
        </w:trPr>
        <w:tc>
          <w:tcPr>
            <w:tcW w:w="4420" w:type="dxa"/>
            <w:vAlign w:val="bottom"/>
            <w:vMerge w:val="continue"/>
          </w:tcPr>
          <w:p>
            <w:pPr>
              <w:spacing w:after="0"/>
              <w:rPr>
                <w:sz w:val="19"/>
                <w:szCs w:val="19"/>
                <w:color w:val="auto"/>
              </w:rPr>
            </w:pPr>
          </w:p>
        </w:tc>
        <w:tc>
          <w:tcPr>
            <w:tcW w:w="2160" w:type="dxa"/>
            <w:vAlign w:val="bottom"/>
            <w:gridSpan w:val="2"/>
          </w:tcPr>
          <w:p>
            <w:pPr>
              <w:jc w:val="center"/>
              <w:ind w:left="390"/>
              <w:spacing w:after="0"/>
              <w:rPr>
                <w:sz w:val="20"/>
                <w:szCs w:val="20"/>
                <w:color w:val="auto"/>
              </w:rPr>
            </w:pPr>
            <w:r>
              <w:rPr>
                <w:rFonts w:ascii="Arial" w:cs="Arial" w:eastAsia="Arial" w:hAnsi="Arial"/>
                <w:sz w:val="18"/>
                <w:szCs w:val="18"/>
                <w:color w:val="auto"/>
                <w:w w:val="93"/>
              </w:rPr>
              <w:t>Hierarchy</w:t>
            </w: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and agency notes</w:t>
            </w:r>
          </w:p>
        </w:tc>
        <w:tc>
          <w:tcPr>
            <w:tcW w:w="1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with unrealized losses for less than 12 months</w:t>
            </w:r>
          </w:p>
        </w:tc>
        <w:tc>
          <w:tcPr>
            <w:tcW w:w="2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 unrealized gains</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Treasury and agency notes</w:t>
            </w:r>
          </w:p>
        </w:tc>
        <w:tc>
          <w:tcPr>
            <w:tcW w:w="1900" w:type="dxa"/>
            <w:vAlign w:val="bottom"/>
            <w:tcBorders>
              <w:bottom w:val="single" w:sz="8" w:color="CCEEFF"/>
            </w:tcBorders>
          </w:tcPr>
          <w:p>
            <w:pPr>
              <w:jc w:val="center"/>
              <w:ind w:left="650"/>
              <w:spacing w:after="0"/>
              <w:rPr>
                <w:sz w:val="20"/>
                <w:szCs w:val="20"/>
                <w:color w:val="auto"/>
              </w:rPr>
            </w:pPr>
            <w:r>
              <w:rPr>
                <w:rFonts w:ascii="Arial" w:cs="Arial" w:eastAsia="Arial" w:hAnsi="Arial"/>
                <w:sz w:val="18"/>
                <w:szCs w:val="18"/>
                <w:color w:val="auto"/>
                <w:w w:val="96"/>
              </w:rPr>
              <w:t>Level 2</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notes</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with unrealized losses for less than 12 months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 unrealized gains</w:t>
            </w:r>
          </w:p>
        </w:tc>
        <w:tc>
          <w:tcPr>
            <w:tcW w:w="1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notes</w:t>
            </w:r>
          </w:p>
        </w:tc>
        <w:tc>
          <w:tcPr>
            <w:tcW w:w="1900" w:type="dxa"/>
            <w:vAlign w:val="bottom"/>
            <w:tcBorders>
              <w:bottom w:val="single" w:sz="8" w:color="CCEEFF"/>
            </w:tcBorders>
          </w:tcPr>
          <w:p>
            <w:pPr>
              <w:jc w:val="center"/>
              <w:ind w:left="650"/>
              <w:spacing w:after="0"/>
              <w:rPr>
                <w:sz w:val="20"/>
                <w:szCs w:val="20"/>
                <w:color w:val="auto"/>
              </w:rPr>
            </w:pPr>
            <w:r>
              <w:rPr>
                <w:rFonts w:ascii="Arial" w:cs="Arial" w:eastAsia="Arial" w:hAnsi="Arial"/>
                <w:sz w:val="18"/>
                <w:szCs w:val="18"/>
                <w:color w:val="auto"/>
                <w:w w:val="96"/>
              </w:rPr>
              <w:t>Level 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adopted ASU No. 2016-13, "Financial Instruments — Credit Losses (Topic 326)" on January 1, 2020 prospectively. Under ASC Topic 326-30, the Company is now required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September 30, 2021 the Company has not recorded any credit losses.</w:t>
      </w:r>
    </w:p>
    <w:p>
      <w:pPr>
        <w:spacing w:after="0" w:line="6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At September 30, 2021, the fair market value of marketable securities was $3,000 below their cost basis. The Company’s gross unrealized holding gains equaled $1,000 and gross unrealized holding losses equaled $4,000. As of September 30, 2021, the adjustment to accumulated other comprehensive loss reflected a decline in market value of $8,000, including estimated taxes of $2,000.</w:t>
      </w:r>
    </w:p>
    <w:p>
      <w:pPr>
        <w:spacing w:after="0" w:line="4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elected to exclude applicable accrued interest from both the fair value and the amortized cost basis of the available-for-sale debt securities, and separately present the accrued interest receivable balance per ASC Topic 326-30-50-3A. The accrued interest receivables balance totaled $38,000 as of September 30, 2021, and was included within the Other Assets line item of the Consolidated Balance Sheets. The Company elected not to measure an allowance for credit losses on accrued interest receivable as an allowance on possible uncollectible accrued interest is not warranted.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Treasury and agency notes</w:t>
      </w:r>
    </w:p>
    <w:p>
      <w:pPr>
        <w:spacing w:after="0" w:line="10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unrealized losses on the Company's investments in U.S. Treasury and agency notes at September 30, 2021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September 30, 2021, the Company did not intend to sell these securities and it is not more-likely-than-not that the Company would be required to sell these securities before recovery of their cost basis. Therefore, these investments did not require an ACL as of September 30, 2021.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notes</w:t>
      </w:r>
    </w:p>
    <w:p>
      <w:pPr>
        <w:spacing w:after="0" w:line="10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September 30, 2021 and December 31, 2020, the Company did not intend to sell these securities and it is not more-likely-than-not that the Company would be required to sell these securities before recovery of their cost basis. Therefore, these investments did not require an ACL as of September 30, 2021 and December 31, 2020.</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The following tables summarize the maturities, at par, of marketable securities as of:</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7"/>
        </w:trPr>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September 30, 2021</w:t>
            </w:r>
          </w:p>
        </w:tc>
        <w:tc>
          <w:tcPr>
            <w:tcW w:w="820" w:type="dxa"/>
            <w:vAlign w:val="bottom"/>
            <w:tcBorders>
              <w:bottom w:val="single" w:sz="8" w:color="auto"/>
            </w:tcBorders>
          </w:tcPr>
          <w:p>
            <w:pPr>
              <w:spacing w:after="0"/>
              <w:rPr>
                <w:sz w:val="24"/>
                <w:szCs w:val="24"/>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notes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w:t>
            </w:r>
          </w:p>
        </w:tc>
      </w:tr>
      <w:tr>
        <w:trPr>
          <w:trHeight w:val="248"/>
        </w:trPr>
        <w:tc>
          <w:tcPr>
            <w:tcW w:w="7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36"/>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w w:val="98"/>
              </w:rPr>
              <w:t>December 31, 2020</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notes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notes</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r>
      <w:tr>
        <w:trPr>
          <w:trHeight w:val="248"/>
        </w:trPr>
        <w:tc>
          <w:tcPr>
            <w:tcW w:w="7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investments in corporate notes are with companies that have an investment grade rating from Standard &amp; Poor’s as of September 30, 2021.</w:t>
      </w:r>
    </w:p>
    <w:p>
      <w:pPr>
        <w:spacing w:after="0" w:line="10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accumulated real estate development costs by project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September 30, 2021</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8"/>
              </w:rPr>
              <w:t>December 31, 2020</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8"/>
                <w:szCs w:val="18"/>
                <w:color w:val="auto"/>
              </w:rPr>
              <w:t>Real estate development</w:t>
            </w:r>
          </w:p>
        </w:tc>
        <w:tc>
          <w:tcPr>
            <w:tcW w:w="2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Mountain Village</w:t>
            </w:r>
          </w:p>
        </w:tc>
        <w:tc>
          <w:tcPr>
            <w:tcW w:w="2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146,662</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Centennial</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110,668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108,600</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Grapevine</w:t>
            </w:r>
          </w:p>
        </w:tc>
        <w:tc>
          <w:tcPr>
            <w:tcW w:w="2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36,815</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Tejon Ranch Commerce Center</w:t>
            </w:r>
          </w:p>
        </w:tc>
        <w:tc>
          <w:tcPr>
            <w:tcW w:w="2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18,362</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development</w:t>
            </w:r>
          </w:p>
        </w:tc>
        <w:tc>
          <w:tcPr>
            <w:tcW w:w="2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310,439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and improvements - held for lease</w:t>
            </w:r>
          </w:p>
        </w:tc>
        <w:tc>
          <w:tcPr>
            <w:tcW w:w="2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Tejon Ranch Commerce Center</w:t>
            </w:r>
          </w:p>
        </w:tc>
        <w:tc>
          <w:tcPr>
            <w:tcW w:w="2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20,595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20,595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w:t>
            </w:r>
          </w:p>
        </w:tc>
        <w:tc>
          <w:tcPr>
            <w:tcW w:w="20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Real estate and improvements - held for lease, net</w:t>
            </w:r>
          </w:p>
        </w:tc>
        <w:tc>
          <w:tcPr>
            <w:tcW w:w="20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40" w:type="dxa"/>
            <w:vAlign w:val="bottom"/>
            <w:vMerge w:val="restart"/>
          </w:tcPr>
          <w:p>
            <w:pPr>
              <w:jc w:val="right"/>
              <w:ind w:right="81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5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WATER ASSETS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Tejon-Castac Water District (TCWD) in the Kern Water Banks.</w:t>
      </w:r>
    </w:p>
    <w:p>
      <w:pPr>
        <w:spacing w:after="0" w:line="4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 has secured State Water Project, or SWP, entitlement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the Antelope Valley East Kern Water Agency, or AVEK, for use in the Antelope Valley. In 2013, the Company acquired a contract to purchase water that obligates the Company to purchase 6,693 acre-feet of water each year from Nickel Family, LLC, or Nickel, a California limited liability company that is located in Kern County.</w:t>
      </w:r>
    </w:p>
    <w:p>
      <w:pPr>
        <w:spacing w:after="0" w:line="5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initial term of the water purchase agreement with Nickel runs to 2044 and includes a Company option to extend the contract for an additional 35 years. The purchase cost of water in 2021 is $817 per acre-foot. The purchase cost is subject to annual cost increases based on the greater of the consumer price index or 3%.</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Water assets will ultimately be sold to water districts servicing the Company’s commercial/industrial and resort/residential real estate developments, and for the Company's own use in its agricultural operations. Interim uses may include the sale of the temporary “right-of-use” of portions of this water to third-party users on an annual basis until this water is fully allocated to Company uses, as previously described.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Water revenues and cost of sales were as follows ($ in thousands):</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September 30, 2021</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color w:val="auto"/>
                <w:w w:val="96"/>
              </w:rPr>
              <w:t>September 30, 2020</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Acre-Feet Sold</w:t>
            </w:r>
          </w:p>
        </w:tc>
        <w:tc>
          <w:tcPr>
            <w:tcW w:w="26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13,199</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w w:val="92"/>
              </w:rPr>
              <w:t>The costs assigned to water assets held for future use were as follows ($ in thousands):</w:t>
            </w: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65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September 30, 2021</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color w:val="auto"/>
                <w:w w:val="99"/>
              </w:rPr>
              <w:t>December 31, 2020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Banked water and water for future delivery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Water available for banking, sales, or internal use</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water held for future use at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Water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carrying amounts of its purchased water contracts were as follows ($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5"/>
          </w:tcPr>
          <w:p>
            <w:pPr>
              <w:ind w:left="720"/>
              <w:spacing w:after="0"/>
              <w:rPr>
                <w:sz w:val="20"/>
                <w:szCs w:val="20"/>
                <w:color w:val="auto"/>
              </w:rPr>
            </w:pPr>
            <w:r>
              <w:rPr>
                <w:rFonts w:ascii="Arial" w:cs="Arial" w:eastAsia="Arial" w:hAnsi="Arial"/>
                <w:sz w:val="18"/>
                <w:szCs w:val="18"/>
                <w:color w:val="auto"/>
              </w:rPr>
              <w:t>September 30, 2021</w:t>
            </w:r>
          </w:p>
        </w:tc>
        <w:tc>
          <w:tcPr>
            <w:tcW w:w="360" w:type="dxa"/>
            <w:vAlign w:val="bottom"/>
          </w:tcPr>
          <w:p>
            <w:pPr>
              <w:spacing w:after="0"/>
              <w:rPr>
                <w:sz w:val="20"/>
                <w:szCs w:val="20"/>
                <w:color w:val="auto"/>
              </w:rPr>
            </w:pPr>
          </w:p>
        </w:tc>
        <w:tc>
          <w:tcPr>
            <w:tcW w:w="3020" w:type="dxa"/>
            <w:vAlign w:val="bottom"/>
            <w:gridSpan w:val="4"/>
          </w:tcPr>
          <w:p>
            <w:pPr>
              <w:jc w:val="right"/>
              <w:ind w:right="89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Costs</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ind w:left="200"/>
              <w:spacing w:after="0" w:line="169" w:lineRule="exact"/>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ind w:right="530"/>
              <w:spacing w:after="0"/>
              <w:rPr>
                <w:sz w:val="20"/>
                <w:szCs w:val="20"/>
                <w:color w:val="auto"/>
              </w:rPr>
            </w:pPr>
            <w:r>
              <w:rPr>
                <w:rFonts w:ascii="Arial" w:cs="Arial" w:eastAsia="Arial" w:hAnsi="Arial"/>
                <w:sz w:val="18"/>
                <w:szCs w:val="18"/>
                <w:color w:val="auto"/>
              </w:rPr>
              <w:t>Costs</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Accumulated</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Depreciation</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Dudley-Ridge water rights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Nickel water rights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Tulare Lake Basin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(12,340)</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cost of purchased water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water held for future use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investments in water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4" w:name="page15"/>
    <w:bookmarkEnd w:id="14"/>
    <w:p>
      <w:pPr>
        <w:ind w:right="60"/>
        <w:spacing w:after="0" w:line="311" w:lineRule="auto"/>
        <w:rPr>
          <w:sz w:val="20"/>
          <w:szCs w:val="20"/>
          <w:color w:val="auto"/>
        </w:rPr>
      </w:pPr>
      <w:r>
        <w:rPr>
          <w:rFonts w:ascii="Arial" w:cs="Arial" w:eastAsia="Arial" w:hAnsi="Arial"/>
          <w:sz w:val="16"/>
          <w:szCs w:val="16"/>
          <w:color w:val="auto"/>
        </w:rPr>
        <w:t>Water contracts with the Wheeler Ridge Maricopa Water Storage District, or WRMWSD, and TCWD are also in place, but were entered into with each district at the inception of the respective contracts, were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(in acre-feet, unaudited)</w:t>
            </w:r>
          </w:p>
        </w:tc>
        <w:tc>
          <w:tcPr>
            <w:tcW w:w="2620" w:type="dxa"/>
            <w:vAlign w:val="bottom"/>
            <w:gridSpan w:val="2"/>
          </w:tcPr>
          <w:p>
            <w:pPr>
              <w:ind w:left="540"/>
              <w:spacing w:after="0"/>
              <w:rPr>
                <w:sz w:val="20"/>
                <w:szCs w:val="20"/>
                <w:color w:val="auto"/>
              </w:rPr>
            </w:pPr>
            <w:r>
              <w:rPr>
                <w:rFonts w:ascii="Arial" w:cs="Arial" w:eastAsia="Arial" w:hAnsi="Arial"/>
                <w:sz w:val="18"/>
                <w:szCs w:val="18"/>
                <w:color w:val="auto"/>
              </w:rPr>
              <w:t>September 30, 2021</w:t>
            </w: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December 31, 2020</w:t>
            </w:r>
          </w:p>
        </w:tc>
      </w:tr>
      <w:tr>
        <w:trPr>
          <w:trHeight w:val="210"/>
        </w:trPr>
        <w:tc>
          <w:tcPr>
            <w:tcW w:w="6200" w:type="dxa"/>
            <w:vAlign w:val="bottom"/>
          </w:tcPr>
          <w:p>
            <w:pPr>
              <w:ind w:left="20"/>
              <w:spacing w:after="0"/>
              <w:rPr>
                <w:sz w:val="20"/>
                <w:szCs w:val="20"/>
                <w:color w:val="auto"/>
              </w:rPr>
            </w:pPr>
            <w:r>
              <w:rPr>
                <w:rFonts w:ascii="Arial" w:cs="Arial" w:eastAsia="Arial" w:hAnsi="Arial"/>
                <w:sz w:val="18"/>
                <w:szCs w:val="18"/>
                <w:color w:val="auto"/>
              </w:rPr>
              <w:t>Water held for future use</w:t>
            </w:r>
          </w:p>
        </w:tc>
        <w:tc>
          <w:tcPr>
            <w:tcW w:w="2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TCWD - Banked water owned by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56,732</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61,054</w:t>
            </w: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Company water bank</w:t>
            </w:r>
          </w:p>
        </w:tc>
        <w:tc>
          <w:tcPr>
            <w:tcW w:w="2520" w:type="dxa"/>
            <w:vAlign w:val="bottom"/>
          </w:tcPr>
          <w:p>
            <w:pPr>
              <w:jc w:val="right"/>
              <w:spacing w:after="0"/>
              <w:rPr>
                <w:sz w:val="20"/>
                <w:szCs w:val="20"/>
                <w:color w:val="auto"/>
              </w:rPr>
            </w:pPr>
            <w:r>
              <w:rPr>
                <w:rFonts w:ascii="Arial" w:cs="Arial" w:eastAsia="Arial" w:hAnsi="Arial"/>
                <w:sz w:val="18"/>
                <w:szCs w:val="18"/>
                <w:color w:val="auto"/>
              </w:rPr>
              <w:t>50,349</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50,349</w:t>
            </w: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available for banking, sales, or internal use</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 water held for future use</w:t>
            </w:r>
          </w:p>
        </w:tc>
        <w:tc>
          <w:tcPr>
            <w:tcW w:w="2520" w:type="dxa"/>
            <w:vAlign w:val="bottom"/>
          </w:tcPr>
          <w:p>
            <w:pPr>
              <w:jc w:val="right"/>
              <w:spacing w:after="0"/>
              <w:rPr>
                <w:sz w:val="20"/>
                <w:szCs w:val="20"/>
                <w:color w:val="auto"/>
              </w:rPr>
            </w:pPr>
            <w:r>
              <w:rPr>
                <w:rFonts w:ascii="Arial" w:cs="Arial" w:eastAsia="Arial" w:hAnsi="Arial"/>
                <w:sz w:val="18"/>
                <w:szCs w:val="18"/>
                <w:color w:val="auto"/>
              </w:rPr>
              <w:t>110,151</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117,041</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water contracts</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Water Contracts (Dudley-Ridge, Nickel and Tulare)</w:t>
            </w:r>
          </w:p>
        </w:tc>
        <w:tc>
          <w:tcPr>
            <w:tcW w:w="2520" w:type="dxa"/>
            <w:vAlign w:val="bottom"/>
          </w:tcPr>
          <w:p>
            <w:pPr>
              <w:jc w:val="right"/>
              <w:spacing w:after="0"/>
              <w:rPr>
                <w:sz w:val="20"/>
                <w:szCs w:val="20"/>
                <w:color w:val="auto"/>
              </w:rPr>
            </w:pPr>
            <w:r>
              <w:rPr>
                <w:rFonts w:ascii="Arial" w:cs="Arial" w:eastAsia="Arial" w:hAnsi="Arial"/>
                <w:sz w:val="18"/>
                <w:szCs w:val="18"/>
                <w:color w:val="auto"/>
              </w:rPr>
              <w:t>10,137</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10,137</w:t>
            </w: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WRMWSD - Contracts with the Company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w:t>
            </w:r>
          </w:p>
        </w:tc>
      </w:tr>
      <w:tr>
        <w:trPr>
          <w:trHeight w:val="22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TCWD - Contracts with the Company</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w:t>
            </w:r>
          </w:p>
        </w:tc>
      </w:tr>
      <w:tr>
        <w:trPr>
          <w:trHeight w:val="223"/>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purchased water contracts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31,433</w:t>
            </w:r>
          </w:p>
        </w:tc>
        <w:tc>
          <w:tcPr>
            <w:tcW w:w="10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31,433</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Total water held for future use and purchased water contracts</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141,584</w:t>
            </w:r>
          </w:p>
        </w:tc>
        <w:tc>
          <w:tcPr>
            <w:tcW w:w="10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148,474</w:t>
            </w:r>
          </w:p>
        </w:tc>
      </w:tr>
      <w:tr>
        <w:trPr>
          <w:trHeight w:val="21"/>
        </w:trPr>
        <w:tc>
          <w:tcPr>
            <w:tcW w:w="62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Tejon Ranchcorp, or Ranchcorp, a wholly-owned subsidiary of Tejon Ranch Co., entered into a Water Supply Agreement with Pastoria Energy Facility, L.L.C., or PEF, in 2015. PEF is a current lessee of the Company in a land lease for the operation of a power plant. Pursuant to the Water Supply Agreement, PEF may purchase from the Company up to 3,500 acre-feet of water per year until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2021 is $1,188 per acre-foot, subject to 3% annual increases over the life of the contract. The Water Supply Agreement contains other customary terms and conditions, including representations and warranties that are typical for agreements of this type. The Company's commitments to sell water can be met through current water assets.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6.   ACCRUED LIABILITIES AND OTHER</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Accrued liabilities and other consisted of the following:</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4"/>
                <w:szCs w:val="24"/>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September 30, 2021</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color w:val="auto"/>
                <w:w w:val="99"/>
              </w:rPr>
              <w:t>December 31, 2020</w:t>
            </w:r>
          </w:p>
        </w:tc>
      </w:tr>
      <w:tr>
        <w:trPr>
          <w:trHeight w:val="223"/>
        </w:trPr>
        <w:tc>
          <w:tcPr>
            <w:tcW w:w="40" w:type="dxa"/>
            <w:vAlign w:val="bottom"/>
          </w:tcPr>
          <w:p>
            <w:pPr>
              <w:spacing w:after="0"/>
              <w:rPr>
                <w:sz w:val="19"/>
                <w:szCs w:val="19"/>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30"/>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Accrued paid personal leave</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Accrued bonus</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30"/>
        </w:trPr>
        <w:tc>
          <w:tcPr>
            <w:tcW w:w="40" w:type="dxa"/>
            <w:vAlign w:val="bottom"/>
          </w:tcPr>
          <w:p>
            <w:pPr>
              <w:spacing w:after="0"/>
              <w:rPr>
                <w:sz w:val="19"/>
                <w:szCs w:val="19"/>
                <w:color w:val="auto"/>
              </w:rPr>
            </w:pPr>
          </w:p>
        </w:tc>
        <w:tc>
          <w:tcPr>
            <w:tcW w:w="6460" w:type="dxa"/>
            <w:vAlign w:val="bottom"/>
          </w:tcPr>
          <w:p>
            <w:pPr>
              <w:spacing w:after="0" w:line="230" w:lineRule="exact"/>
              <w:rPr>
                <w:sz w:val="20"/>
                <w:szCs w:val="20"/>
                <w:color w:val="auto"/>
              </w:rPr>
            </w:pPr>
            <w:r>
              <w:rPr>
                <w:rFonts w:ascii="Arial" w:cs="Arial" w:eastAsia="Arial" w:hAnsi="Arial"/>
                <w:sz w:val="18"/>
                <w:szCs w:val="18"/>
                <w:color w:val="auto"/>
              </w:rPr>
              <w:t>Property tax payable</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3"/>
        </w:trPr>
        <w:tc>
          <w:tcPr>
            <w:tcW w:w="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w:t>
            </w:r>
          </w:p>
        </w:tc>
      </w:tr>
      <w:tr>
        <w:trPr>
          <w:trHeight w:val="20"/>
        </w:trPr>
        <w:tc>
          <w:tcPr>
            <w:tcW w:w="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140" w:hanging="94"/>
        <w:spacing w:after="0"/>
        <w:tabs>
          <w:tab w:leader="none" w:pos="1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California property taxes are accrued throughout the year and are paid every April and December.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7.   LINE OF CREDIT AND LONG-TERM DEBT</w:t>
            </w: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97"/>
        </w:trPr>
        <w:tc>
          <w:tcPr>
            <w:tcW w:w="6480" w:type="dxa"/>
            <w:vAlign w:val="bottom"/>
            <w:gridSpan w:val="2"/>
          </w:tcPr>
          <w:p>
            <w:pPr>
              <w:spacing w:after="0"/>
              <w:rPr>
                <w:sz w:val="20"/>
                <w:szCs w:val="20"/>
                <w:color w:val="auto"/>
              </w:rPr>
            </w:pPr>
            <w:r>
              <w:rPr>
                <w:rFonts w:ascii="Arial" w:cs="Arial" w:eastAsia="Arial" w:hAnsi="Arial"/>
                <w:sz w:val="18"/>
                <w:szCs w:val="18"/>
                <w:color w:val="auto"/>
              </w:rPr>
              <w:t>Debt consisted of the following:</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4"/>
                <w:szCs w:val="24"/>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September 30, 2021</w:t>
            </w:r>
          </w:p>
        </w:tc>
        <w:tc>
          <w:tcPr>
            <w:tcW w:w="280" w:type="dxa"/>
            <w:vAlign w:val="bottom"/>
          </w:tcPr>
          <w:p>
            <w:pPr>
              <w:spacing w:after="0"/>
              <w:rPr>
                <w:sz w:val="24"/>
                <w:szCs w:val="24"/>
                <w:color w:val="auto"/>
              </w:rPr>
            </w:pPr>
          </w:p>
        </w:tc>
        <w:tc>
          <w:tcPr>
            <w:tcW w:w="2040" w:type="dxa"/>
            <w:vAlign w:val="bottom"/>
          </w:tcPr>
          <w:p>
            <w:pPr>
              <w:jc w:val="right"/>
              <w:ind w:right="370"/>
              <w:spacing w:after="0"/>
              <w:rPr>
                <w:sz w:val="20"/>
                <w:szCs w:val="20"/>
                <w:color w:val="auto"/>
              </w:rPr>
            </w:pPr>
            <w:r>
              <w:rPr>
                <w:rFonts w:ascii="Arial" w:cs="Arial" w:eastAsia="Arial" w:hAnsi="Arial"/>
                <w:sz w:val="18"/>
                <w:szCs w:val="18"/>
                <w:color w:val="auto"/>
                <w:w w:val="98"/>
              </w:rPr>
              <w:t>December 31, 2020</w:t>
            </w:r>
          </w:p>
        </w:tc>
      </w:tr>
      <w:tr>
        <w:trPr>
          <w:trHeight w:val="223"/>
        </w:trPr>
        <w:tc>
          <w:tcPr>
            <w:tcW w:w="40" w:type="dxa"/>
            <w:vAlign w:val="bottom"/>
          </w:tcPr>
          <w:p>
            <w:pPr>
              <w:spacing w:after="0"/>
              <w:rPr>
                <w:sz w:val="19"/>
                <w:szCs w:val="19"/>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57,078</w:t>
            </w:r>
          </w:p>
        </w:tc>
      </w:tr>
      <w:tr>
        <w:trPr>
          <w:trHeight w:val="230"/>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line-of-credit and current maturities of long-term debt</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(4,295)</w:t>
            </w: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loan costs</w:t>
            </w:r>
          </w:p>
        </w:tc>
        <w:tc>
          <w:tcPr>
            <w:tcW w:w="2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3"/>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52,587</w:t>
            </w:r>
          </w:p>
        </w:tc>
      </w:tr>
      <w:tr>
        <w:trPr>
          <w:trHeight w:val="20"/>
        </w:trPr>
        <w:tc>
          <w:tcPr>
            <w:tcW w:w="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Please refer to the Capital Structure and Financial Condition section of Management’s Discussion and Analysis of Financial Condition and Results of Operations for further discussion on the Company's Line of Credit and Long-Term Debt.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consisted of the following:</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September 30, 2021</w:t>
            </w:r>
          </w:p>
        </w:tc>
        <w:tc>
          <w:tcPr>
            <w:tcW w:w="260" w:type="dxa"/>
            <w:vAlign w:val="bottom"/>
          </w:tcPr>
          <w:p>
            <w:pPr>
              <w:spacing w:after="0"/>
              <w:rPr>
                <w:sz w:val="20"/>
                <w:szCs w:val="20"/>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color w:val="auto"/>
                <w:w w:val="99"/>
              </w:rPr>
              <w:t>December 31, 2020</w:t>
            </w:r>
          </w:p>
        </w:tc>
      </w:tr>
      <w:tr>
        <w:trPr>
          <w:trHeight w:val="223"/>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liability (Note 13)</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Interest rate swap liability (Note 10)</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5,929</w:t>
            </w: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executive retirement plan liability (Note 13)</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29"/>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Excess joint venture distributions and other</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r>
      <w:tr>
        <w:trPr>
          <w:trHeight w:val="248"/>
        </w:trPr>
        <w:tc>
          <w:tcPr>
            <w:tcW w:w="6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For the captions presented in the table above, please refer to the respective Notes to Unaudited Consolidated Financial Statements for further detail.</w:t>
      </w:r>
    </w:p>
    <w:p>
      <w:pPr>
        <w:spacing w:after="0" w:line="17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 RESTRICTED STOCK AND PERFORMANCE SHARE GRANTS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Company’s stock incentive plans provide for making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also known as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vesting for market-based awards is determined using a </w:t>
      </w:r>
      <w:r>
        <w:rPr>
          <w:rFonts w:ascii="Arial" w:cs="Arial" w:eastAsia="Arial" w:hAnsi="Arial"/>
          <w:sz w:val="17"/>
          <w:szCs w:val="17"/>
          <w:i w:val="1"/>
          <w:iCs w:val="1"/>
          <w:color w:val="auto"/>
        </w:rPr>
        <w:t>Monte Carlo</w:t>
      </w:r>
      <w:r>
        <w:rPr>
          <w:rFonts w:ascii="Arial" w:cs="Arial" w:eastAsia="Arial" w:hAnsi="Arial"/>
          <w:sz w:val="17"/>
          <w:szCs w:val="17"/>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Performance Condition Grants as of the nine months ended September 30, 2021:</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tcPr>
          <w:p>
            <w:pPr>
              <w:jc w:val="right"/>
              <w:ind w:right="4410"/>
              <w:spacing w:after="0"/>
              <w:rPr>
                <w:sz w:val="20"/>
                <w:szCs w:val="20"/>
                <w:color w:val="auto"/>
              </w:rPr>
            </w:pPr>
            <w:r>
              <w:rPr>
                <w:rFonts w:ascii="Arial" w:cs="Arial" w:eastAsia="Arial" w:hAnsi="Arial"/>
                <w:sz w:val="18"/>
                <w:szCs w:val="18"/>
                <w:color w:val="auto"/>
              </w:rPr>
              <w:t>Performance Condition Grants</w:t>
            </w:r>
          </w:p>
        </w:tc>
      </w:tr>
      <w:tr>
        <w:trPr>
          <w:trHeight w:val="22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Threshold performance</w:t>
            </w:r>
          </w:p>
        </w:tc>
        <w:tc>
          <w:tcPr>
            <w:tcW w:w="8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32,282</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Target performance</w:t>
            </w:r>
          </w:p>
        </w:tc>
        <w:tc>
          <w:tcPr>
            <w:tcW w:w="8080" w:type="dxa"/>
            <w:vAlign w:val="bottom"/>
          </w:tcPr>
          <w:p>
            <w:pPr>
              <w:jc w:val="right"/>
              <w:spacing w:after="0"/>
              <w:rPr>
                <w:sz w:val="20"/>
                <w:szCs w:val="20"/>
                <w:color w:val="auto"/>
              </w:rPr>
            </w:pPr>
            <w:r>
              <w:rPr>
                <w:rFonts w:ascii="Arial" w:cs="Arial" w:eastAsia="Arial" w:hAnsi="Arial"/>
                <w:sz w:val="18"/>
                <w:szCs w:val="18"/>
                <w:color w:val="auto"/>
              </w:rPr>
              <w:t>515,919</w:t>
            </w: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Maximum performance</w:t>
            </w:r>
          </w:p>
        </w:tc>
        <w:tc>
          <w:tcPr>
            <w:tcW w:w="8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924,338</w:t>
            </w: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summary of the Company’s stock grant activity, both time and performance share grants, assuming target achievement for outstanding performance grants for the nine months ended September 30, 2021: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2380" w:type="dxa"/>
            <w:vAlign w:val="bottom"/>
            <w:gridSpan w:val="2"/>
          </w:tcPr>
          <w:p>
            <w:pPr>
              <w:ind w:left="460"/>
              <w:spacing w:after="0"/>
              <w:rPr>
                <w:sz w:val="20"/>
                <w:szCs w:val="20"/>
                <w:color w:val="auto"/>
              </w:rPr>
            </w:pPr>
            <w:r>
              <w:rPr>
                <w:rFonts w:ascii="Arial" w:cs="Arial" w:eastAsia="Arial" w:hAnsi="Arial"/>
                <w:sz w:val="18"/>
                <w:szCs w:val="18"/>
                <w:color w:val="auto"/>
              </w:rPr>
              <w:t>September 30,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Grants Outstanding Beginning of Period at Target Achievement</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ind w:left="20"/>
              <w:spacing w:after="0"/>
              <w:rPr>
                <w:sz w:val="20"/>
                <w:szCs w:val="20"/>
                <w:color w:val="auto"/>
              </w:rPr>
            </w:pPr>
            <w:r>
              <w:rPr>
                <w:rFonts w:ascii="Arial" w:cs="Arial" w:eastAsia="Arial" w:hAnsi="Arial"/>
                <w:sz w:val="18"/>
                <w:szCs w:val="18"/>
                <w:color w:val="auto"/>
              </w:rPr>
              <w:t>New Stock Grants/Additional Shares due to Achievement in Excess of Target</w:t>
            </w:r>
          </w:p>
        </w:tc>
        <w:tc>
          <w:tcPr>
            <w:tcW w:w="2360" w:type="dxa"/>
            <w:vAlign w:val="bottom"/>
          </w:tcPr>
          <w:p>
            <w:pPr>
              <w:jc w:val="right"/>
              <w:spacing w:after="0"/>
              <w:rPr>
                <w:sz w:val="20"/>
                <w:szCs w:val="20"/>
                <w:color w:val="auto"/>
              </w:rPr>
            </w:pPr>
            <w:r>
              <w:rPr>
                <w:rFonts w:ascii="Arial" w:cs="Arial" w:eastAsia="Arial" w:hAnsi="Arial"/>
                <w:sz w:val="18"/>
                <w:szCs w:val="18"/>
                <w:color w:val="auto"/>
              </w:rPr>
              <w:t>63,622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Grants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Expired/Forfeited Grants</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Grants Outstanding End of Period at Target Achievement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4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16</w:t>
            </w: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vMerge w:val="continue"/>
          </w:tcPr>
          <w:p>
            <w:pPr>
              <w:spacing w:after="0"/>
              <w:rPr>
                <w:sz w:val="24"/>
                <w:szCs w:val="24"/>
                <w:color w:val="auto"/>
              </w:rPr>
            </w:pPr>
          </w:p>
        </w:tc>
        <w:tc>
          <w:tcPr>
            <w:tcW w:w="884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6" w:name="page17"/>
    <w:bookmarkEnd w:id="16"/>
    <w:p>
      <w:pPr>
        <w:ind w:right="280"/>
        <w:spacing w:after="0" w:line="246" w:lineRule="auto"/>
        <w:rPr>
          <w:sz w:val="20"/>
          <w:szCs w:val="20"/>
          <w:color w:val="auto"/>
        </w:rPr>
      </w:pPr>
      <w:r>
        <w:rPr>
          <w:rFonts w:ascii="Arial" w:cs="Arial" w:eastAsia="Arial" w:hAnsi="Arial"/>
          <w:sz w:val="18"/>
          <w:szCs w:val="18"/>
          <w:color w:val="auto"/>
        </w:rPr>
        <w:t>The following is a summary of the assumptions used to determine the price for the Company’s market-based Performance Condition Grants for the nine months ended September 30, 2021: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 in thousands except for share prices)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12/12/2019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03/11/2020</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12/11/2020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03/18/2021</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Vesting end</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12/31/2022</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12/31/2022</w:t>
            </w:r>
          </w:p>
        </w:tc>
        <w:tc>
          <w:tcPr>
            <w:tcW w:w="8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12/31/2023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03/18/2024</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at target achievement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$18.80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$16.36</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$20.02</w:t>
            </w:r>
          </w:p>
        </w:tc>
      </w:tr>
      <w:tr>
        <w:trPr>
          <w:trHeight w:val="270"/>
        </w:trPr>
        <w:tc>
          <w:tcPr>
            <w:tcW w:w="35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17.28%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18.21%</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29.25%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30.30%</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0.58%</w:t>
            </w:r>
          </w:p>
        </w:tc>
        <w:tc>
          <w:tcPr>
            <w:tcW w:w="8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0.19%</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0.33%</w:t>
            </w:r>
          </w:p>
        </w:tc>
      </w:tr>
      <w:tr>
        <w:trPr>
          <w:trHeight w:val="270"/>
        </w:trPr>
        <w:tc>
          <w:tcPr>
            <w:tcW w:w="35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Simulated Monte Carlo share price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$11.95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$5.87</w:t>
            </w:r>
          </w:p>
        </w:tc>
        <w:tc>
          <w:tcPr>
            <w:tcW w:w="8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$15.59</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$18.82</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granted</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6,327</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81,716</w:t>
            </w:r>
          </w:p>
        </w:tc>
        <w:tc>
          <w:tcPr>
            <w:tcW w:w="8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3,628</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10,905</w:t>
            </w:r>
          </w:p>
        </w:tc>
      </w:tr>
      <w:tr>
        <w:trPr>
          <w:trHeight w:val="224"/>
        </w:trPr>
        <w:tc>
          <w:tcPr>
            <w:tcW w:w="3560" w:type="dxa"/>
            <w:vAlign w:val="bottom"/>
          </w:tcPr>
          <w:p>
            <w:pPr>
              <w:ind w:left="20"/>
              <w:spacing w:after="0"/>
              <w:rPr>
                <w:sz w:val="20"/>
                <w:szCs w:val="20"/>
                <w:color w:val="auto"/>
              </w:rPr>
            </w:pPr>
            <w:r>
              <w:rPr>
                <w:rFonts w:ascii="Arial" w:cs="Arial" w:eastAsia="Arial" w:hAnsi="Arial"/>
                <w:sz w:val="18"/>
                <w:szCs w:val="18"/>
                <w:color w:val="auto"/>
              </w:rPr>
              <w:t>Total fair value of award</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$76</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$480</w:t>
            </w:r>
          </w:p>
        </w:tc>
        <w:tc>
          <w:tcPr>
            <w:tcW w:w="8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$57</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$205</w:t>
            </w:r>
          </w:p>
        </w:tc>
      </w:tr>
    </w:tbl>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unamortized cost associated with unvested stock grants and the weighted average period over which it is expected to be recognized as of September 30, 2021 were $4,822,000 and 15 months, respectively. The fair value of restricted stock with time-based vesting features is based upon the Company’s share price on the date of grant and is expensed over the service period. The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the Company determined, based on historic and projected results, the probability of (1) achieving the performance objective and (2) the level of achievement. Based on this information, the Company determines the fair value of the award and measures the expense over the service period related to these grants.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Non-Employee Director Stock Incentive Plan, or NDSI Plan, each non-employee director receives a portion of his or her annual compensation in stock. The stock is granted at the end of each quarter based on the quarter-end stock price.</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stock compensation costs for the Company's 1998 Stock Incentive Plan, or the Employee Plan, and NDSI Plan for the following periods: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Nine Months Ended September 30,</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Plan:</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2020</w:t>
            </w:r>
          </w:p>
        </w:tc>
      </w:tr>
      <w:tr>
        <w:trPr>
          <w:trHeight w:val="223"/>
        </w:trPr>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r>
      <w:tr>
        <w:trPr>
          <w:trHeight w:val="230"/>
        </w:trPr>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Capitalized</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23"/>
        </w:trPr>
        <w:tc>
          <w:tcPr>
            <w:tcW w:w="7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NDSI Plan - Expensed</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 Compensation Costs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w:t>
      </w:r>
    </w:p>
    <w:p>
      <w:pPr>
        <w:spacing w:after="0" w:line="10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October 2014, the Company entered into an interest rate swap agreement to reduce its exposure to fluctuations in the floating interest rate tied to the London Inter-Bank Offered Rate, or LIBOR, under the term note with Wells Fargo, or the Term Note, as discussed within the Capital Structure and Financial Condition section of Management's Discussion and Analysis of Financial Condition and Results of Operations.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w:t>
      </w:r>
    </w:p>
    <w:p>
      <w:pPr>
        <w:spacing w:after="0" w:line="6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quarter ended September 30, 2021, the interest rate swap agreement was deemed highly effective. Changes in fair value, including accrued interest and adjustments for non-performance risk, that qualify as cash flow hedges are classified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ind w:right="20"/>
        <w:spacing w:after="0" w:line="277" w:lineRule="auto"/>
        <w:rPr>
          <w:sz w:val="20"/>
          <w:szCs w:val="20"/>
          <w:color w:val="auto"/>
        </w:rPr>
      </w:pPr>
      <w:r>
        <w:rPr>
          <w:rFonts w:ascii="Arial" w:cs="Arial" w:eastAsia="Arial" w:hAnsi="Arial"/>
          <w:sz w:val="18"/>
          <w:szCs w:val="18"/>
          <w:color w:val="auto"/>
        </w:rPr>
        <w:t>accumulated other comprehensive income, or AOCI. Amounts classified in AOCI are subsequently reclassified into earnings in the period during which the hedged transactions affect earnings.</w:t>
      </w:r>
    </w:p>
    <w:p>
      <w:pPr>
        <w:spacing w:after="0" w:line="3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September 30, 2021, the fair value of the interest rate swap agreement was less than its cost basis and as such is recorded within Other Liabilities on the Consolidated Balance Sheets. The Company had the following outstanding interest rate swap agreement designated as an interest rate cash flow hedge as of September 30, 2021 and December 31, 2020 ($ in thousands):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2021</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12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8"/>
                <w:szCs w:val="18"/>
                <w:color w:val="auto"/>
                <w:w w:val="92"/>
              </w:rPr>
              <w:t>Effective Date</w:t>
            </w:r>
          </w:p>
        </w:tc>
        <w:tc>
          <w:tcPr>
            <w:tcW w:w="19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8"/>
                <w:szCs w:val="18"/>
                <w:color w:val="auto"/>
                <w:w w:val="93"/>
              </w:rPr>
              <w:t>Maturity Date</w:t>
            </w:r>
          </w:p>
        </w:tc>
        <w:tc>
          <w:tcPr>
            <w:tcW w:w="166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8"/>
                <w:szCs w:val="18"/>
                <w:color w:val="auto"/>
                <w:w w:val="91"/>
              </w:rPr>
              <w:t>Fair Value Hierarchy</w:t>
            </w:r>
          </w:p>
        </w:tc>
        <w:tc>
          <w:tcPr>
            <w:tcW w:w="2020" w:type="dxa"/>
            <w:vAlign w:val="bottom"/>
            <w:tcBorders>
              <w:top w:val="single" w:sz="8" w:color="auto"/>
            </w:tcBorders>
            <w:gridSpan w:val="2"/>
          </w:tcPr>
          <w:p>
            <w:pPr>
              <w:jc w:val="center"/>
              <w:ind w:right="120"/>
              <w:spacing w:after="0" w:line="169" w:lineRule="exact"/>
              <w:rPr>
                <w:sz w:val="20"/>
                <w:szCs w:val="20"/>
                <w:color w:val="auto"/>
              </w:rPr>
            </w:pPr>
            <w:r>
              <w:rPr>
                <w:rFonts w:ascii="Arial" w:cs="Arial" w:eastAsia="Arial" w:hAnsi="Arial"/>
                <w:sz w:val="18"/>
                <w:szCs w:val="18"/>
                <w:color w:val="auto"/>
                <w:w w:val="90"/>
              </w:rPr>
              <w:t>Weighted Average</w:t>
            </w:r>
          </w:p>
        </w:tc>
        <w:tc>
          <w:tcPr>
            <w:tcW w:w="124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8"/>
                <w:szCs w:val="18"/>
                <w:color w:val="auto"/>
                <w:w w:val="90"/>
              </w:rPr>
              <w:t>Fair Value</w:t>
            </w:r>
          </w:p>
        </w:tc>
        <w:tc>
          <w:tcPr>
            <w:tcW w:w="2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Notional Amount</w:t>
            </w:r>
          </w:p>
        </w:tc>
        <w:tc>
          <w:tcPr>
            <w:tcW w:w="0" w:type="dxa"/>
            <w:vAlign w:val="bottom"/>
          </w:tcPr>
          <w:p>
            <w:pPr>
              <w:spacing w:after="0"/>
              <w:rPr>
                <w:sz w:val="1"/>
                <w:szCs w:val="1"/>
                <w:color w:val="auto"/>
              </w:rPr>
            </w:pPr>
          </w:p>
        </w:tc>
      </w:tr>
      <w:tr>
        <w:trPr>
          <w:trHeight w:val="229"/>
        </w:trPr>
        <w:tc>
          <w:tcPr>
            <w:tcW w:w="2120" w:type="dxa"/>
            <w:vAlign w:val="bottom"/>
            <w:gridSpan w:val="2"/>
            <w:vMerge w:val="continue"/>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Pay Rate</w:t>
            </w:r>
          </w:p>
        </w:tc>
        <w:tc>
          <w:tcPr>
            <w:tcW w:w="1240" w:type="dxa"/>
            <w:vAlign w:val="bottom"/>
            <w:gridSpan w:val="2"/>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5, 2019</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June 5, 2029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$(3,692)</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$51,869</w:t>
            </w:r>
          </w:p>
        </w:tc>
        <w:tc>
          <w:tcPr>
            <w:tcW w:w="0" w:type="dxa"/>
            <w:vAlign w:val="bottom"/>
          </w:tcPr>
          <w:p>
            <w:pPr>
              <w:spacing w:after="0"/>
              <w:rPr>
                <w:sz w:val="1"/>
                <w:szCs w:val="1"/>
                <w:color w:val="auto"/>
              </w:rPr>
            </w:pPr>
          </w:p>
        </w:tc>
      </w:tr>
      <w:tr>
        <w:trPr>
          <w:trHeight w:val="432"/>
        </w:trPr>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tcPr>
          <w:p>
            <w:pPr>
              <w:ind w:left="820"/>
              <w:spacing w:after="0"/>
              <w:rPr>
                <w:sz w:val="20"/>
                <w:szCs w:val="20"/>
                <w:color w:val="auto"/>
              </w:rPr>
            </w:pPr>
            <w:r>
              <w:rPr>
                <w:rFonts w:ascii="Arial" w:cs="Arial" w:eastAsia="Arial" w:hAnsi="Arial"/>
                <w:sz w:val="18"/>
                <w:szCs w:val="18"/>
                <w:color w:val="auto"/>
              </w:rPr>
              <w:t>December 31, 2020</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Effective Date</w:t>
            </w: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Maturity Date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Fair Value Hierarchy</w:t>
            </w:r>
          </w:p>
        </w:tc>
        <w:tc>
          <w:tcPr>
            <w:tcW w:w="2020" w:type="dxa"/>
            <w:vAlign w:val="bottom"/>
            <w:gridSpan w:val="2"/>
          </w:tcPr>
          <w:p>
            <w:pPr>
              <w:jc w:val="center"/>
              <w:ind w:right="120"/>
              <w:spacing w:after="0" w:line="169" w:lineRule="exact"/>
              <w:rPr>
                <w:sz w:val="20"/>
                <w:szCs w:val="20"/>
                <w:color w:val="auto"/>
              </w:rPr>
            </w:pPr>
            <w:r>
              <w:rPr>
                <w:rFonts w:ascii="Arial" w:cs="Arial" w:eastAsia="Arial" w:hAnsi="Arial"/>
                <w:sz w:val="18"/>
                <w:szCs w:val="18"/>
                <w:color w:val="auto"/>
                <w:w w:val="90"/>
              </w:rPr>
              <w:t>Weighted Average</w:t>
            </w: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0"/>
              </w:rPr>
              <w:t>Fair Value</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4"/>
              </w:rPr>
              <w:t>Notional Amount</w:t>
            </w:r>
          </w:p>
        </w:tc>
        <w:tc>
          <w:tcPr>
            <w:tcW w:w="0" w:type="dxa"/>
            <w:vAlign w:val="bottom"/>
          </w:tcPr>
          <w:p>
            <w:pPr>
              <w:spacing w:after="0"/>
              <w:rPr>
                <w:sz w:val="1"/>
                <w:szCs w:val="1"/>
                <w:color w:val="auto"/>
              </w:rPr>
            </w:pPr>
          </w:p>
        </w:tc>
      </w:tr>
      <w:tr>
        <w:trPr>
          <w:trHeight w:val="229"/>
        </w:trPr>
        <w:tc>
          <w:tcPr>
            <w:tcW w:w="2120" w:type="dxa"/>
            <w:vAlign w:val="bottom"/>
            <w:gridSpan w:val="2"/>
            <w:vMerge w:val="continue"/>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Pay Rate</w:t>
            </w:r>
          </w:p>
        </w:tc>
        <w:tc>
          <w:tcPr>
            <w:tcW w:w="1240" w:type="dxa"/>
            <w:vAlign w:val="bottom"/>
            <w:gridSpan w:val="2"/>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5, 2019</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June 5, 2029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$(5,929)</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$54,887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each respective reporting period. However, the Company utilized a discrete effective tax rate method, as allowed by ASC 740-270 “Income Taxes—Interim Reporting,” to calculate taxes for the nine months ended September 30, 2021. The Company made this choice because it determined that the historical method would not provide a reliable estimate for tax expense for the nine months ended September 30, 2021 due to a high degree of uncertainty in estimating annual pretax earnings.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2021, the Company’s income tax expense was $1,237,000 compared to $1,111,000 for the nine months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ended September 30, 2020. Effective tax rates were 38% and 229% for the nine months ended September 30, 2021 and 2020, respectively. As of September 30, 2021, the Company had income tax receivables of $674,000. The Company classifies interest and penalties incurred on tax payments as income tax expense.</w:t>
      </w:r>
    </w:p>
    <w:p>
      <w:pPr>
        <w:spacing w:after="0" w:line="6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For the nine months ended September 30, 2021, the Company’s effective tax rate was above statutory tax rates as a result of permanent differences related to Section 162(m) limitations and discrete tax expense associated with stock compensation. The Section 162(m) compensation deduction limitations occurred as a result of changes in tax law arising from the 2017 Tax Cuts Jobs Act. The discrete item was triggered when stock grants were issued to participants at a price less than the original grant price, causing a deferred tax shortfall. The shortfall recognized represents the reversal of excess deferred tax assets recognized in prior periods. The recognition of the shortfall is not anticipated to have an impact on the Company's current income tax payable.</w:t>
      </w:r>
    </w:p>
    <w:p>
      <w:pPr>
        <w:spacing w:after="0" w:line="103" w:lineRule="exact"/>
        <w:rPr>
          <w:sz w:val="20"/>
          <w:szCs w:val="20"/>
          <w:color w:val="auto"/>
        </w:rPr>
      </w:pPr>
    </w:p>
    <w:p>
      <w:pPr>
        <w:ind w:right="7340" w:firstLine="8"/>
        <w:spacing w:after="0" w:line="354" w:lineRule="auto"/>
        <w:tabs>
          <w:tab w:leader="none" w:pos="45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Water Contracts</w:t>
      </w:r>
    </w:p>
    <w:p>
      <w:pPr>
        <w:spacing w:after="0" w:line="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has secured water contracts that are encumbered by the Company's land. These water contracts require minimum annual payments, for which $12,310,000 has been paid in 2021. The Company does not expect any additional water payments for the remainder of the year.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$266,116,000 as of September 30,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Conservancy Payments</w:t>
      </w:r>
    </w:p>
    <w:p>
      <w:pPr>
        <w:spacing w:after="0" w:line="90"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The Company was obligated to make payments of approximately $800,000 per year through 2021 to the Tejon Ranch Conservancy, as prescribed in the 2008 Conservation Agreement with five major environmental organizations. Advances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Tejon Ranch Conservancy were dependent on the occurrence of certain events and their timing and therefore subject to</w:t>
      </w:r>
    </w:p>
    <w:p>
      <w:pPr>
        <w:spacing w:after="0" w:line="9"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change in amount and period. All amounts paid are capitalized as real estate development costs for the Centennial, Grapevine and Mountain Village, or MV, projects. As of the date of this filing, the Company has fulfilled its financial obligations under the agreement, a commitment that totaled $11,760,000.</w:t>
      </w:r>
    </w:p>
    <w:p>
      <w:pPr>
        <w:spacing w:after="0" w:line="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December 2, 2020, conservation groups filed an action against the Company in Kern County Superior Court, alleging that the Company breached its obligation under the Tejon Ranch Conservation and Land Use Agreement (or the “RWA”) by not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ind w:right="380"/>
        <w:spacing w:after="0" w:line="277" w:lineRule="auto"/>
        <w:rPr>
          <w:sz w:val="20"/>
          <w:szCs w:val="20"/>
          <w:color w:val="auto"/>
        </w:rPr>
      </w:pPr>
      <w:r>
        <w:rPr>
          <w:rFonts w:ascii="Arial" w:cs="Arial" w:eastAsia="Arial" w:hAnsi="Arial"/>
          <w:sz w:val="18"/>
          <w:szCs w:val="18"/>
          <w:color w:val="auto"/>
        </w:rPr>
        <w:t>making a payment for Q4 2020 to the Tejon Ranch Conservancy (or the “Conservancy”) – a non-profit organization created under the RWA to oversee conservation of portions of Tejon Ranch.</w:t>
      </w:r>
    </w:p>
    <w:p>
      <w:pPr>
        <w:spacing w:after="0" w:line="35"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Pursuant to the terms of the RWA, the Company deposited the Q4 2020 payment to the Conservancy into a third-party escrow account pending a determination of the Company’s disputes with the Conservancy. The Company also deposited all the 2021 payments into escrow. On January 25, 2021, in response to an objection to the complaint by the Company, a First Amended Complaint was filed adding the Tejon Ranch Conservancy as a party to the</w:t>
      </w:r>
    </w:p>
    <w:p>
      <w:pPr>
        <w:spacing w:after="0" w:line="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action. Discovery and pre-trial motions are currently ongoing. A trial date has been set for December 5, 2022 with a mandatory settlement conference scheduled for November 4, 2022.</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the date of this report, the Company believes it has performed all its obligations under the RWA and has withheld the escrowed payments based on its belief that the Conservancy and other signatories to the RWA have violated its terms. The Company has been vigorously defending the action and does not believe that the resolution of the action will result in a liability to the Company beyond the costs associated with defending the action and the amounts held in escrow deposits and a possibility that the Company be required to pay plaintiffs’ cost of suit.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finalized until the future payment dates. The Company believes as of September 30, 2021, the net savings resulting from exiting the contract during this future time period will more than offset the incentive payment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Facilities Districts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sale of the bonds, there is a standby letter of credit for $4,393,000 related to the issuance of East CFD bonds. The standby letter of credit is in place to provide additional credit enhancement and cover approximately two years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As of September 30, 2021, there were no additional improvement funds remaining from the West CFD bonds. There are $15,647,940 of additional improvement funds remaining within the East CFD bonds for reimbursement of public infrastructure costs during future years. During fiscal 2021, the Company expects to pay approximately $2,860,000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taxing of each individual property sold or leased is not determinable at this time because it is based on the current tax rate of the property at the time of sale or at the time it is leased to a third-party. Accordingly, the Company was not required to recognize an obligation on September 30,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Tehachapi Uplands Multiple Species Habitat Conservation Plan Litigation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July 2014, the Company received a copy of a Notice of Intent to Sue, dated July 17, 2014, indicating that the Center for Biological Diversity, or CBD, the Wishtoyo Foundation and Dee Dominguez (collectively the TUMSHCP Plaintiffs) intended to initiate a lawsuit against the U.S. Fish and Wildlife Service, or USFWS, challenging USFWS's approval of the Company's Tehachapi Uplands Multiple Species Habitat Conservation Plan, or TUMSHCP, and USFWS's issuance of an Incidental Take Permit, or ITP, for the take of federally listed species. The TUMSHCP approval and ITP issuance by the USFWS occurred in 2013. These approvals authorize, among other things, the removal of California condor habitat associated with the Company's potential future development of MV.</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9" w:name="page20"/>
    <w:bookmarkEnd w:id="19"/>
    <w:p>
      <w:pPr>
        <w:ind w:right="140"/>
        <w:spacing w:after="0" w:line="259" w:lineRule="auto"/>
        <w:rPr>
          <w:sz w:val="20"/>
          <w:szCs w:val="20"/>
          <w:color w:val="auto"/>
        </w:rPr>
      </w:pPr>
      <w:r>
        <w:rPr>
          <w:rFonts w:ascii="Arial" w:cs="Arial" w:eastAsia="Arial" w:hAnsi="Arial"/>
          <w:sz w:val="18"/>
          <w:szCs w:val="18"/>
          <w:color w:val="auto"/>
        </w:rPr>
        <w:t>On April 25, 2019, the TUMSHCP Plaintiffs filed suit against the USFWS in the U.S. District Court for the Central District of California in Los Angeles (Case No. 2:19-CV-3322) (the TUMSHCP Suit). The Company was not initially named as a party in the TUMSHCP Suit and brought a motion to intervene, which the court granted. The TUMSHCP Suit seeks to invalidate the TUMSHCP as it pertains to the protection of the California condor (an endangered species), as well as the ITP.</w:t>
      </w:r>
    </w:p>
    <w:p>
      <w:pPr>
        <w:spacing w:after="0" w:line="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primary allegations in the TUMSHCP Suit are that California condors or their habitat are “Traditional Cultural Properties” within the meaning of the National Historic Preservation Act (NHPA), that the USFWS failed to take into account the impact of the TUMSHCP and ITP on these “Traditional Cultural Properties” and failed to adequately consult with affected Native American tribes or their representatives with respect to these “Traditional Cultural Properties.”</w:t>
      </w:r>
    </w:p>
    <w:p>
      <w:pPr>
        <w:spacing w:after="0" w:line="6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Management considers the allegations in the TUMSHCP Suit to be beyond the scope of the law and regulations referenced in the TUMSHCP Suit and believes that the issues raised by the TUMSHCP Plaintiffs were adequately addressed by USFWS during the consultation process with Native American tribes. The Company has supported USFWS's efforts to vigorously defend this matter during this litigation.</w:t>
      </w:r>
    </w:p>
    <w:p>
      <w:pPr>
        <w:spacing w:after="0" w:line="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 December 18, 2019 ruling, the court ordered that the parties proceed to bring motions for summary judgment on the question of whether the USFWS correctly determined that the California condor is not a “Traditional Cultural Property” under the NHPA. In response to this order, both the TUMSHCP Plaintiffs and the USFWS and the Company filed cross-motions for summary judgment.</w:t>
      </w:r>
    </w:p>
    <w:p>
      <w:pPr>
        <w:spacing w:after="0" w:line="4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December 4, 2020, the court issued an order denying, in its entirety, the TUMSHCP Plaintiffs’ motions for summary judgment and granted, in their entirety, USFWS and the Company’s motions for summary judgment. On December 18, 2020, the Company brought a motion to recover attorneys’ fees and costs, as the prevailing party, against the TUMSHCP Plaintiffs.</w:t>
      </w:r>
    </w:p>
    <w:p>
      <w:pPr>
        <w:spacing w:after="0" w:line="197"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On February 2, 2021, the court denied the fee motion. Following the court’s ruling on the fee motion, on February 2, 2021, Plaintiffs notified the court of their intent to appeal the court’s ruling on their claims. On April 2, 2021, the Ninth Circuit Court of Appeal issued a revised briefing schedule that required opening and responsory briefs to be filed in May and June 2021. On October 4, 2021, the Ninth Circuit issued an order dismissing the appeal. With the issuance of the order, the appeal is permanently dismissed and the TUMSHCP Suit cannot be relitigated and the permit issued to the Company stays in effect.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Cement</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4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Company's former tenant Lafarge Corporation, or Lafarge, and current tenant National, continue to remediate these environmental conditions consistent with the RWQCB orders.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September 30, 2021, 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the environmental conditions at its own cost, it is unlikely that the amount of any such expenditure by the Company would be material and there is no reasonable likelihood of continuing risk from this matter.</w:t>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9" w:right="41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Antelope Valley Groundwater Cases</w:t>
      </w:r>
    </w:p>
    <w:p>
      <w:pPr>
        <w:spacing w:after="0" w:line="9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November 29, 2004, a conglomerate of public water suppliers filed a cross-complaint in the Los Angeles Superior Court against landowners and others with interest in the groundwater basin within the Antelope Valley (including the Company) seeking a judicial determination of the rights to groundwater within the Antelope Valley basin, including the groundwater underlying the Company’s land near the Centennial project. Four phases of a multi-phase trial have been completed. Upon completion of the third phase, the court ruled that the groundwater basin was in overdraft and established a current total sustainable yield. The fourth phase of trial occurred in the first half of 2013 and resulted in confirmation of each party’s groundwater pumping for 2011 and 2012. The fifth phase of the trial commenced in February 2014 and concerned 1) whether the United States has a federal reserved water right to basin groundwater, and 2) the rights to return flows from imported water. The court heard evidence on the federal reserved right but continued the trial on the return flow issues while most of the parties to the adjudication discussed a settlement, including rights to return flows. In February 2015, more than 140 parties representing more than 99% of the current water use within the adjudication boundary agreed to a settlement. On March 4, 2015, the settling parties, including the Company, submitted a Stipulation for Entry of Judgment and Physical Solution to the court for approval. On December 23, 2015, the court entered judgment approving the Stipulation for Entry of Judgment and Physical Solution, or the Judgment. The Company’s water supply plan for the Centennial project anticipated reliance on, among other sources, a certain quantity of groundwater underlying the Company’s lands in the Antelope Valley. The Company’s allocation in the Judgment is consistent with that amount. Prior to the Judgment becoming final, on February 19 and 22, 2016, several parties, including the Willis Class (Willis), Phelan Pinon Hills Community Services District (Phelan), and Charles Tapia (Tapia) filed notices of appeal from the Judgment (collectively, the Phelan Appeal). The Phelan Appeal was transferred from the Count of Appeal, Fourth Appellate District of California to the Court of Appeal, Fifth Appellate District of California, or the Fifth District Court of Appeal.</w:t>
      </w:r>
    </w:p>
    <w:p>
      <w:pPr>
        <w:spacing w:after="0" w:line="55"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On December 9, 2020, the Fifth District Court of Appeal affirmed the Judgment as to the Phelan Appeal, and the decision is now final. On March 16, 2021, the Fifth District Court of Appeal issued two decisions affirming the Judgment as to both Willis and Tapia. The Tapia decision is now final. The Willis</w:t>
      </w:r>
    </w:p>
    <w:p>
      <w:pPr>
        <w:ind w:right="240"/>
        <w:spacing w:after="0" w:line="263" w:lineRule="auto"/>
        <w:rPr>
          <w:sz w:val="20"/>
          <w:szCs w:val="20"/>
          <w:color w:val="auto"/>
        </w:rPr>
      </w:pPr>
      <w:r>
        <w:rPr>
          <w:rFonts w:ascii="Arial" w:cs="Arial" w:eastAsia="Arial" w:hAnsi="Arial"/>
          <w:sz w:val="18"/>
          <w:szCs w:val="18"/>
          <w:color w:val="auto"/>
        </w:rPr>
        <w:t>Class filed a Petition for Rehearing which was denied on April 6, 2021. On May 14, 2021, the Willis Class filed a petition for review to the California Supreme Court which was denied on July 21, 2021. The Willis decision is now final. Following the resolution of these challenges, the Judgement is now final.</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parties, with assistance from the court, have established the Watermaster Board, hired the Watermaster Engineer and Watermaster Legal Counsel, and begun administering the physical solution consistent with the Judgment.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and Status of Kern Water Bank Lawsuits</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3, 2010, the Central Delta and South Delta Water Agencies and several environmental groups, including CBD, collectively, the Central Delta Petitioners, filed a complaint in the Sacramento County Superior Court, or the Central Delta Action, against the California Department of Water Resources, or DWR, Kern County Water Agency, or KCWA, and a number of “real parties in interest,” including the Company and TCWD. The lawsuit challenges certain amendments to the SWP contracts that were originally approved in 1995, known as the Monterey Amendments. The Central Delta Petitioners sought to invalidate the DWR’s approval of the Monterey Amendments and also the 2010 environmental impact report, or 2010 EIR, regarding the Monterey Amendments prepared pursuant to the California Environmental Quality Act, or CEQA, pertaining to the Kern Water Bank, or KWB. Pursuant to the Monterey Amendments, DWR transferred approximately 20,000 acres in Kern County owned by DWR, or KWB property, to the KCWA.</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separate but parallel lawsuit, or Central Delta II, was also filed by the Central Delta Petitioners in Kern County Superior Court on July 2, 2010, against KCWA, also naming the Company and TCWD as real parties in interest. Central Delta II challenged the validity of the transfer of the KWB property from the KCWA to the Kern Water Bank Authority, or KWBA. The petitioners in this case alleged that (i) the transfer of the KWB property by KCWA to the KWBA was an unconstitutional gift of public funds, and (ii) the consideration for the transfer of the KWB property to the KWBA was unconscionable and illusory. This case has been stayed pending the outcome of the Central Delta Action.</w:t>
      </w:r>
    </w:p>
    <w:p>
      <w:pPr>
        <w:spacing w:after="0" w:line="5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another lawsuit was filed in Kern County Superior Court on June 3, 2010, by two districts adjacent to the KWB, namely Rosedale Rio Bravo and Buena Vista Water Storage Districts (collectively, the Rosedale Petitioners), asserting that the 2010 EIR did not adequately evaluate potential impacts arising from operations of the KWB, or Rosedale Action, but this lawsuit did not name the Company: it only named TCWD. TCWD has a contract right for water stored in the KWB and rights to recharge and withdraw water. This lawsuit was later moved to the Sacramento County Superior Court.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p>
      <w:pPr>
        <w:ind w:right="60"/>
        <w:spacing w:after="0" w:line="255" w:lineRule="auto"/>
        <w:rPr>
          <w:sz w:val="20"/>
          <w:szCs w:val="20"/>
          <w:color w:val="auto"/>
        </w:rPr>
      </w:pPr>
      <w:r>
        <w:rPr>
          <w:rFonts w:ascii="Arial" w:cs="Arial" w:eastAsia="Arial" w:hAnsi="Arial"/>
          <w:sz w:val="18"/>
          <w:szCs w:val="18"/>
          <w:color w:val="auto"/>
        </w:rPr>
        <w:t>In the Central Delta Action and Rosedale Action, the trial courts concluded that the 2010 EIR for the Monterey Amendments was insufficient with regard to the EIR's evaluation of the potential impacts of the operation of the KWB, particularly on groundwater and water quality, and ruled that DWR was required to prepare a remedial EIR (which is further described below). In the Central Delta Action, the trial court also concluded that the challenges to DWR’s 1995 approval of the Monterey Amendments were barred by statutes of limitations and laches. The Central Delta Petitioners appealed the Sacramento County Superior Court Judgment, and certain real parties filed a cross-appeal. No party appealed the Kern County Superior Court Judgment in the Rosedale Action.</w:t>
      </w:r>
    </w:p>
    <w:p>
      <w:pPr>
        <w:spacing w:after="0" w:line="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November 24, 2014, the Sacramento County Superior Court in the Central Delta Action issued a writ of mandate, or 2014 Writ, that required DWR to prepare a revised EIR (described herein as the 2016 EIR because it was certified in 2016) regarding the Monterey Amendments evaluating the potential operational impacts of the KWB. The 2014 Writ, as revised by the court, required DWR to certify the 2016 EIR and file the response to the 2014 Writ by September 28, 2016. On September 20, 2016, the Director of DWR (a) certified the 2016 EIR prepared by DWR as in compliance with CEQA, (b) adopted findings, a statement of overriding considerations, and a mitigation, monitoring and reporting program as required by CEQA, (c) made a new finding pertaining to carrying out the Monterey Amendments through continued use and operation of the KWB by the KWBA, and (d) caused a notice of determination to be filed with the Office of Planning and Resources of the State of California on September 22, 2016. On September 28, 2016, DWR filed with the Sacramento County Superior Court its return to the 2014 Writ in the Central Delta Action.</w:t>
      </w:r>
    </w:p>
    <w:p>
      <w:pPr>
        <w:spacing w:after="0" w:line="19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On October 21, 2016, the Central Delta Petitioners and a new party, the Center for Food Safety (CFS) (collectively, the CFS Petitioners), filed a new lawsuit in Sacramento County Superior Court, (the CFS Action), against DWR and naming a number of real parties in interest, including KWBA and TCWD (but not including the Company). The CFS Action challenges DWR’s (i) certification of the 2016 EIR, (ii) compliance with the 2014 Writ and CEQA, and (iii) finding concerning the continued use and operation of the KWB by KWBA. On October 2, 2017, the Sacramento County Superior Court issued a ruling that the court shall deny the CFS petition and shall discharge the 2014 Writ. The CFS Petitioners appealed the Sacramento County Superior Court judgment denying the CFS petition. The Third Appellate District of the Court of Appeal granted DWR’s motion to consolidate the CFS Action appeal for hearing with the pending appeals in the Central Delta Action.</w:t>
      </w:r>
    </w:p>
    <w:p>
      <w:pPr>
        <w:spacing w:after="0" w:line="244" w:lineRule="exact"/>
        <w:rPr>
          <w:sz w:val="20"/>
          <w:szCs w:val="20"/>
          <w:color w:val="auto"/>
        </w:rPr>
      </w:pPr>
    </w:p>
    <w:p>
      <w:pPr>
        <w:jc w:val="both"/>
        <w:ind w:right="400"/>
        <w:spacing w:after="0" w:line="276" w:lineRule="auto"/>
        <w:rPr>
          <w:sz w:val="20"/>
          <w:szCs w:val="20"/>
          <w:color w:val="auto"/>
        </w:rPr>
      </w:pPr>
      <w:r>
        <w:rPr>
          <w:rFonts w:ascii="Arial" w:cs="Arial" w:eastAsia="Arial" w:hAnsi="Arial"/>
          <w:sz w:val="16"/>
          <w:szCs w:val="16"/>
          <w:color w:val="auto"/>
        </w:rPr>
        <w:t>On July 19, 2021 the Court of Appeal heard oral argument on the appeals in the Central Delta Action and the CFS Action. On September 22, 2021 the Court of Appeal issued its opinion unanimously affirming the judgments of the Superior Court in the Central Delta Action and in the CFS Action. On November 1, 2021, the CFS Petitioners filed a Petition for Review with the California Supreme Court of the Opinion of the Court of Appeal.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Grapevine</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6, 2016, the Kern County Board of Supervisors unanimously granted entitlement approval for the Grapevine project. On January 5, 2017, the CBD and CFS, filed an action in Kern County Superior Court pursuant to CEQA against Kern County and the Kern County Board of Supervisors, or collectively, the County, concerning the County’s granting of the 2016 approvals for the Grapevine project, including certification of the final EIR (the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2017 Action). The Company was named as a real party in interest in the 2017 Action. The 2017 Action alleged that the County failed to properly follow the procedures and requirements of CEQA, including failure to identify, analyze and mitigate impacts to air quality, greenhouse gas emissions, biological resources, traffic, water supply and hydrology, growth inducing impacts, failure to adequately consider project alternatives and to provide support for the County’s findings and statement of overriding considerations in adopting the EIR and failure to adequately describe the environmental setting and project description. Petitioners sought to invalidate the County’s approval of the project and the environmental approvals and require the Company and the County to revise the environmental documentation.</w:t>
      </w:r>
    </w:p>
    <w:p>
      <w:pPr>
        <w:spacing w:after="0" w:line="5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July 27, 2018, the court held a hearing on the petitioners’ claims in the 2017 Action. At that hearing, the court rejected all of petitioners’ claims raised in the litigation, except petitioners’ claims that (i) the project description was inadequate and (ii) such inadequacy resulted in aspects of certain environmental impacts being improperly analyzed. As to the claims described in “(i)” and “(ii)” in the foregoing sentence, the court determined that the EIR was inadequate. In that regard, the court determined the Grapevine project description contained in the EIR allowed development to occur in the time and manner determined by the real parties in interest and, as a consequence, such development flexibility could result in the project’s internal capture rate, or ICR, of the percent of vehicle trips remaining within the project actually being lower than the projected ICR levels used in the EIR and that lower ICR levels warranted supplemental traffic, air quality, greenhouse gas emissions, noise, public health and growth inducing impact analyses.</w:t>
      </w:r>
    </w:p>
    <w:p>
      <w:pPr>
        <w:spacing w:after="0" w:line="4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On December 11, 2018, the court in the 2017 Action ruled that portions of the EIR required corrections and supplemental environmental analysis and ordered that the County rescind the Grapevine project approvals until such supplemental environmental analysis was completed. The court issued a final judgment consistent with its ruling on February 15, 2019 and, on March 12, 2019, the County rescinded the Grapevine project approvals.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2" w:name="page23"/>
    <w:bookmarkEnd w:id="22"/>
    <w:p>
      <w:pPr>
        <w:ind w:right="20"/>
        <w:spacing w:after="0" w:line="269" w:lineRule="auto"/>
        <w:rPr>
          <w:sz w:val="20"/>
          <w:szCs w:val="20"/>
          <w:color w:val="auto"/>
        </w:rPr>
      </w:pPr>
      <w:r>
        <w:rPr>
          <w:rFonts w:ascii="Arial" w:cs="Arial" w:eastAsia="Arial" w:hAnsi="Arial"/>
          <w:sz w:val="17"/>
          <w:szCs w:val="17"/>
          <w:color w:val="auto"/>
        </w:rPr>
        <w:t>Following the County’s rescission of the Grapevine project approvals, the Company filed new applications to re-entitle the Grapevine project (the re-entitlement). The re-entitlement application involved processing project approvals that were substantively similar to the Grapevine project that was unanimously approved by the Kern County Board of Supervisors in December 2016. As part of the re-entitlement, supplemental environmental analysis was prepared to address the court’s ruling in the 2017 Action. Following a public comment and review period, the Kern County Planning Commission held a hearing on November 14, 2019 and unanimously recommended to the Kern County Board of Supervisors that it approve the re-entitlement of the Grapevine project. On December 10, 2019, the Kern County Board of Supervisors held a hearing and after considering the supplemental environmental analysis and material presented at the hearing unanimously voted to approve the re-entitlement of the Grapevine project. On January 9, 2020, the County filed a Supplemental and Final Return to Preemptory Writ of Mandate to inform the court of the re-entitlement in a manner that the County and the Company believed was compliant with the court’s February 15, 2019 final judgment in the 2017 Action. Concurrently, the County and the Company filed a Motion for Order Discharging Writ of Mandate, which requested that the court determine that the re-entitlement complied with the court’s February 15, 2019 final judgment in the 2017 Action (the Motion for Order to Discharge 2017 Writ of Mandate). A hearing was held on February 14, 2020 for this motion and is further summarized below.</w:t>
      </w:r>
    </w:p>
    <w:p>
      <w:pPr>
        <w:spacing w:after="0" w:line="4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On January 10, 2020, CBD filed a new and separate action in Kern County Superior Court pursuant to CEQA against the County, concerning the County’s approval of the December 2019 re-entitlement, including certification of the final EIR (the 2020 Action). The Company was named as real party in interest in the 2020 Action. The 2020 Action alleged that the County failed to properly follow the procedures and requirements of CEQA with respect to the re-entitlement of the Grapevine project, including failure to identify, analyze and mitigate impacts to air quality, greenhouse gas emissions, biological resources, public health, and traffic, and failed to provide support for the County’s findings and statement of overriding considerations in adopting the EIR. CBD sought to invalidate the County’s approval of the re-entitlement, the environmental approvals for the re-entitlement and require the Company and the County to revise the environmental documentation. On January 22, 2020, the Company and County filed a demurrer and motion to strike the claims in the 2020 Action on the basis that the claims brought by CBD were resolved by the court in the 2017 Action, pursuant to the final judgment issued in the 2017 Action. The Company and County’s motion described in the previous sentence also included an alternative request that the court consolidate CBD’s claims in the 2020 Action with its disposition of any remaining matters relating to the 2017 Action. A hearing on these motions filed in the 2020 Action and on the Motion for Order Discharging Writ of Mandate (described above and relating to the 2017 Action) was held on February 14, 2020. At the hearing, the court granted the Company and County’s request to consolidate the 2020 Action with its adjudication of the Company and County’s compliance with the writ of mandate issued by the Court in the 2017 Action. The court denied, without prejudice, the Company and County’s motion to discharge the writ in the 2017 Action and their demurrer and motion to strike the claims in the 2020 Action, but the court further ruled that the Company and County could re-assert these arguments later once additional evidence was before the court.</w:t>
      </w:r>
    </w:p>
    <w:p>
      <w:pPr>
        <w:spacing w:after="0" w:line="1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On January 22, 2021, the court conducted a hearing on the 2020 Action and the Motion for Order to Discharge the 2017 Writ of Mandate. At the January 22nd hearing, the court ruled in favor of the Company and the County on all issues: (1) granting the County’s Motion for Order to Discharge the 2017 Writ of Mandate and (2) rejecting each and every claim made by CBD in the 2020 Action. The court entered a final judgment reflecting its ruling in favor of the Company and the County on March 22, 2021. As CBD did not file an appeal by the court deadline, the judgement is final.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Centennial</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The Climate Resolve Action and CBD/CNPS Action seek to invalidate the Centennial Approvals and require LA County to revise the environmental documentation related to the Centennial project. The court held three consolidated hearings for the CBD/CNPS Action and Climate Resolve Action on September 30, 2020, November 13, 2020, and January 8, 2021. 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3" w:name="page24"/>
    <w:bookmarkEnd w:id="23"/>
    <w:p>
      <w:pPr>
        <w:ind w:right="20"/>
        <w:spacing w:after="0" w:line="225" w:lineRule="auto"/>
        <w:rPr>
          <w:sz w:val="20"/>
          <w:szCs w:val="20"/>
          <w:color w:val="auto"/>
        </w:rPr>
      </w:pPr>
      <w:r>
        <w:rPr>
          <w:rFonts w:ascii="Arial" w:cs="Arial" w:eastAsia="Arial" w:hAnsi="Arial"/>
          <w:sz w:val="18"/>
          <w:szCs w:val="18"/>
          <w:color w:val="auto"/>
        </w:rPr>
        <w:t>used as a compliance pathway for mitigating greenhouse gas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The hearing on this motion originally scheduled for August 13, 2021, has tentatively been rescheduled to December 1, 2021. As of the date of this report, final judgment has not yet been issued by the court for either the CBD/CNPS or Climate Resolve actions. Final judgment is scheduled to be lodged with the court on November 30, 2021. Once final judgments are entered, appellate litigation may follow. To the extent there may be an adverse outcome of the claims still pending as described above, the monetary value cannot be estimated at this time.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Incidental to Business</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4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RETIREMENT PLANS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expects to contribute $165,000 to the Benefit Plan in 2021.</w:t>
      </w:r>
    </w:p>
    <w:p>
      <w:pPr>
        <w:spacing w:after="0" w:line="6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September 30, 2021, the investment mix was approximately 35% equity, 64% debt, and 1% money market funds. At December 31, 2020, the investment mix was approximately 65% equity, 34% debt, and 1% money market funds. Equity investments comprise of value, growth, large cap, small cap and international stock funds. Debt investments consist of U.S. Treasury securities and investment grade corporate debt. A weighted average discount rate of 2.5% was used in determining the net periodic pension cost for fiscal 2021 and 2020. The assumed expected long-term rate of return on plan assets is 7.3% for both fiscal 2021 and 2020. The long-term rate of return on Benefit Plan assets is based on the historical returns within the plan and expectations for future returns.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w w:val="92"/>
              </w:rPr>
              <w:t>Total pension and retirement earnings for the Benefit Plan was as follows:</w:t>
            </w:r>
          </w:p>
        </w:tc>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5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w w:val="99"/>
              </w:rPr>
              <w:t>Nine Months Ended September 30,</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9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color w:val="auto"/>
              </w:rPr>
              <w:t>Earnings (cost) components:</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23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Expected return on plan assets</w:t>
            </w:r>
          </w:p>
        </w:tc>
        <w:tc>
          <w:tcPr>
            <w:tcW w:w="1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amortization and deferral</w:t>
            </w:r>
          </w:p>
        </w:tc>
        <w:tc>
          <w:tcPr>
            <w:tcW w:w="19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 net periodic pension earnings</w:t>
            </w:r>
          </w:p>
        </w:tc>
        <w:tc>
          <w:tcPr>
            <w:tcW w:w="19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920" w:type="dxa"/>
            <w:vAlign w:val="bottom"/>
            <w:vMerge w:val="restart"/>
          </w:tcPr>
          <w:p>
            <w:pPr>
              <w:jc w:val="right"/>
              <w:ind w:right="1550"/>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4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4" w:name="page25"/>
    <w:bookmarkEnd w:id="24"/>
    <w:p>
      <w:pPr>
        <w:ind w:right="160"/>
        <w:spacing w:after="0" w:line="311" w:lineRule="auto"/>
        <w:rPr>
          <w:sz w:val="20"/>
          <w:szCs w:val="20"/>
          <w:color w:val="auto"/>
        </w:rPr>
      </w:pPr>
      <w:r>
        <w:rPr>
          <w:rFonts w:ascii="Arial" w:cs="Arial" w:eastAsia="Arial" w:hAnsi="Arial"/>
          <w:sz w:val="16"/>
          <w:szCs w:val="16"/>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The pension and retirement expense for the SERP was as follows:</w:t>
            </w: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8"/>
        </w:trPr>
        <w:tc>
          <w:tcPr>
            <w:tcW w:w="7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w w:val="99"/>
              </w:rPr>
              <w:t>Nine Months Ended September 30,</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r>
      <w:tr>
        <w:trPr>
          <w:trHeight w:val="209"/>
        </w:trPr>
        <w:tc>
          <w:tcPr>
            <w:tcW w:w="7320" w:type="dxa"/>
            <w:vAlign w:val="bottom"/>
          </w:tcPr>
          <w:p>
            <w:pPr>
              <w:ind w:left="20"/>
              <w:spacing w:after="0"/>
              <w:rPr>
                <w:sz w:val="20"/>
                <w:szCs w:val="20"/>
                <w:color w:val="auto"/>
              </w:rPr>
            </w:pPr>
            <w:r>
              <w:rPr>
                <w:rFonts w:ascii="Arial" w:cs="Arial" w:eastAsia="Arial" w:hAnsi="Arial"/>
                <w:sz w:val="18"/>
                <w:szCs w:val="18"/>
                <w:color w:val="auto"/>
              </w:rPr>
              <w:t>Cost components:</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7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amortization and other</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pension expense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REPORTING SEGMENTS AND RELATED INFORMATION</w:t>
      </w:r>
    </w:p>
    <w:p>
      <w:pPr>
        <w:spacing w:after="0" w:line="10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currently operates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 Commercial/Industrial</w:t>
      </w:r>
    </w:p>
    <w:p>
      <w:pPr>
        <w:spacing w:after="0" w:line="10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Commercial/Industrial real estate development segment revenues consist of land sale revenues, leases of land and/or building space to tenants at the Company's commercial retail and industrial developments, base and percentage rents from the PEF power plant lease, communication tower rents, land sales, and payments from easement leases. Refer to Note 15 for discussion of unconsolidated joint ventures. The following table summarizes revenues, expenses and operating income from this segment for the periods ended: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3140" w:type="dxa"/>
            <w:vAlign w:val="bottom"/>
            <w:gridSpan w:val="4"/>
          </w:tcPr>
          <w:p>
            <w:pPr>
              <w:jc w:val="right"/>
              <w:ind w:right="350"/>
              <w:spacing w:after="0"/>
              <w:rPr>
                <w:sz w:val="20"/>
                <w:szCs w:val="20"/>
                <w:color w:val="auto"/>
              </w:rPr>
            </w:pPr>
            <w:r>
              <w:rPr>
                <w:rFonts w:ascii="Arial" w:cs="Arial" w:eastAsia="Arial" w:hAnsi="Arial"/>
                <w:sz w:val="18"/>
                <w:szCs w:val="18"/>
                <w:color w:val="auto"/>
                <w:w w:val="95"/>
              </w:rPr>
              <w:t>Nine Months Ended September 30,</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Commercial/industrial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Equity in earnings of unconsolidated joint ventures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155"/>
        </w:trPr>
        <w:tc>
          <w:tcPr>
            <w:tcW w:w="43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Commercial/industrial revenues and equity in earnings of</w:t>
            </w:r>
          </w:p>
        </w:tc>
        <w:tc>
          <w:tcPr>
            <w:tcW w:w="26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15,636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unconsolidated joint ventures</w:t>
            </w:r>
          </w:p>
        </w:tc>
        <w:tc>
          <w:tcPr>
            <w:tcW w:w="2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Commercial/industrial expenses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156"/>
        </w:trPr>
        <w:tc>
          <w:tcPr>
            <w:tcW w:w="43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Operating results from commercial/industrial and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unconsolidated joint ventures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 Resort/Residential</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$322,000 and $273,000 for the three months ended September 30, 2021 and 2020, and $1,314,000 and $1,225,000 for nine months ended September 30, 2021 and 2020, respectively.</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Mineral Resources</w:t>
      </w:r>
    </w:p>
    <w:p>
      <w:pPr>
        <w:spacing w:after="0" w:line="10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140" w:type="dxa"/>
            <w:vAlign w:val="bottom"/>
            <w:gridSpan w:val="4"/>
          </w:tcPr>
          <w:p>
            <w:pPr>
              <w:jc w:val="right"/>
              <w:ind w:right="350"/>
              <w:spacing w:after="0"/>
              <w:rPr>
                <w:sz w:val="20"/>
                <w:szCs w:val="20"/>
                <w:color w:val="auto"/>
              </w:rPr>
            </w:pPr>
            <w:r>
              <w:rPr>
                <w:rFonts w:ascii="Arial" w:cs="Arial" w:eastAsia="Arial" w:hAnsi="Arial"/>
                <w:sz w:val="18"/>
                <w:szCs w:val="18"/>
                <w:color w:val="auto"/>
                <w:w w:val="95"/>
              </w:rPr>
              <w:t>Nine Months Ended September 30,</w:t>
            </w: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Mineral resources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w:t>
            </w:r>
          </w:p>
        </w:tc>
      </w:tr>
      <w:tr>
        <w:trPr>
          <w:trHeight w:val="229"/>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Mineral resources expenses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mineral resources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Farming</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Farming segment revenues include the sale of almonds, pistachios, wine grapes, and hay. The following table summarizes revenues, expenses and operating results from this segment for the periods ended: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140" w:type="dxa"/>
            <w:vAlign w:val="bottom"/>
            <w:gridSpan w:val="4"/>
          </w:tcPr>
          <w:p>
            <w:pPr>
              <w:jc w:val="right"/>
              <w:ind w:right="350"/>
              <w:spacing w:after="0"/>
              <w:rPr>
                <w:sz w:val="20"/>
                <w:szCs w:val="20"/>
                <w:color w:val="auto"/>
              </w:rPr>
            </w:pPr>
            <w:r>
              <w:rPr>
                <w:rFonts w:ascii="Arial" w:cs="Arial" w:eastAsia="Arial" w:hAnsi="Arial"/>
                <w:sz w:val="18"/>
                <w:szCs w:val="18"/>
                <w:color w:val="auto"/>
                <w:w w:val="95"/>
              </w:rPr>
              <w:t>Nine Months Ended September 30,</w:t>
            </w: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Farming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8"/>
              </w:rPr>
              <w:t>7,612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r>
      <w:tr>
        <w:trPr>
          <w:trHeight w:val="23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Farming expenses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8"/>
              </w:rPr>
              <w:t>9,977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farming</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1"/>
              </w:rPr>
              <w:t>(2,365)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Ranch Operations</w:t>
      </w:r>
    </w:p>
    <w:p>
      <w:pPr>
        <w:spacing w:after="0" w:line="10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140" w:type="dxa"/>
            <w:vAlign w:val="bottom"/>
            <w:gridSpan w:val="4"/>
          </w:tcPr>
          <w:p>
            <w:pPr>
              <w:jc w:val="right"/>
              <w:ind w:right="350"/>
              <w:spacing w:after="0"/>
              <w:rPr>
                <w:sz w:val="20"/>
                <w:szCs w:val="20"/>
                <w:color w:val="auto"/>
              </w:rPr>
            </w:pPr>
            <w:r>
              <w:rPr>
                <w:rFonts w:ascii="Arial" w:cs="Arial" w:eastAsia="Arial" w:hAnsi="Arial"/>
                <w:sz w:val="18"/>
                <w:szCs w:val="18"/>
                <w:color w:val="auto"/>
                <w:w w:val="95"/>
              </w:rPr>
              <w:t>Nine Months Ended September 30,</w:t>
            </w: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Ranch operations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8"/>
              </w:rPr>
              <w:t>2,483</w:t>
            </w:r>
          </w:p>
        </w:tc>
      </w:tr>
      <w:tr>
        <w:trPr>
          <w:trHeight w:val="23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Ranch operations expenses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8"/>
              </w:rPr>
              <w:t>3,748</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ranch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4"/>
              </w:rPr>
              <w:t>(1,265)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INVESTMENT IN UNCONSOLIDATED AND CONSOLIDATED JOINT VENTURES</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September 30, 2021 was $42,517,000. Equity in earnings from unconsolidated joint ventures was $2,816,000 for the nine months ended September 30, 2021. The unconsolidated joint ventures have not been consolidated as of September 30, 2021, because the Company does not control the investments. The Company’s current joint ventures are as follows:</w:t>
      </w:r>
    </w:p>
    <w:p>
      <w:pPr>
        <w:spacing w:after="0" w:line="122" w:lineRule="exact"/>
        <w:rPr>
          <w:sz w:val="20"/>
          <w:szCs w:val="20"/>
          <w:color w:val="auto"/>
        </w:rPr>
      </w:pPr>
    </w:p>
    <w:p>
      <w:pPr>
        <w:ind w:left="460" w:hanging="331"/>
        <w:spacing w:after="0" w:line="250"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Petro Travel Plaza Holdings LLC – Petro Travel Plaza Holdings LLC, or Petro, is an unconsolidated joint venture with TravelCenters of America that develops and manages travel plazas, gas stations, convenience stores, and fast-food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$26,812,000 as of September 30, 2021.</w:t>
      </w:r>
    </w:p>
    <w:p>
      <w:pPr>
        <w:spacing w:after="0" w:line="4" w:lineRule="exact"/>
        <w:rPr>
          <w:rFonts w:ascii="Arial" w:cs="Arial" w:eastAsia="Arial" w:hAnsi="Arial"/>
          <w:sz w:val="18"/>
          <w:szCs w:val="18"/>
          <w:color w:val="auto"/>
        </w:rPr>
      </w:pPr>
    </w:p>
    <w:p>
      <w:pPr>
        <w:ind w:left="1100" w:right="20" w:hanging="323"/>
        <w:spacing w:after="0" w:line="228" w:lineRule="auto"/>
        <w:tabs>
          <w:tab w:leader="none" w:pos="1096" w:val="left"/>
        </w:tabs>
        <w:numPr>
          <w:ilvl w:val="1"/>
          <w:numId w:val="13"/>
        </w:numPr>
        <w:rPr>
          <w:rFonts w:ascii="Arial" w:cs="Arial" w:eastAsia="Arial" w:hAnsi="Arial"/>
          <w:sz w:val="18"/>
          <w:szCs w:val="18"/>
          <w:color w:val="auto"/>
        </w:rPr>
      </w:pPr>
      <w:r>
        <w:rPr>
          <w:rFonts w:ascii="Arial" w:cs="Arial" w:eastAsia="Arial" w:hAnsi="Arial"/>
          <w:sz w:val="18"/>
          <w:szCs w:val="18"/>
          <w:color w:val="auto"/>
        </w:rPr>
        <w:t>On April 17, 2020, the Company sold to Petro land and a building formerly leased to a tenant operating a fast food restaurant. The Company received cash proceeds of $2,000,000 from Petro, and realized a gain of $1,331,000 under ASC 610-20, “Other Income – Gains and Losses from the Derecognition of Nonfinancial Assets.”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ind w:left="452" w:right="120" w:hanging="331"/>
        <w:spacing w:after="0" w:line="259" w:lineRule="auto"/>
        <w:tabs>
          <w:tab w:leader="none" w:pos="447" w:val="left"/>
        </w:tabs>
        <w:numPr>
          <w:ilvl w:val="1"/>
          <w:numId w:val="14"/>
        </w:numPr>
        <w:rPr>
          <w:rFonts w:ascii="Arial" w:cs="Arial" w:eastAsia="Arial" w:hAnsi="Arial"/>
          <w:sz w:val="18"/>
          <w:szCs w:val="18"/>
          <w:color w:val="auto"/>
        </w:rPr>
      </w:pPr>
      <w:r>
        <w:rPr>
          <w:rFonts w:ascii="Arial" w:cs="Arial" w:eastAsia="Arial" w:hAnsi="Arial"/>
          <w:sz w:val="18"/>
          <w:szCs w:val="18"/>
          <w:color w:val="auto"/>
        </w:rPr>
        <w:t>Majestic Realty Co. – Majestic Realty Co., or Majestic, is a privately-held developer and owner of master planned business parks throughout the United States. The Company has formed four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65" w:lineRule="exact"/>
        <w:rPr>
          <w:rFonts w:ascii="Arial" w:cs="Arial" w:eastAsia="Arial" w:hAnsi="Arial"/>
          <w:sz w:val="18"/>
          <w:szCs w:val="18"/>
          <w:color w:val="auto"/>
        </w:rPr>
      </w:pPr>
    </w:p>
    <w:p>
      <w:pPr>
        <w:ind w:left="972" w:right="80" w:hanging="324"/>
        <w:spacing w:after="0" w:line="291" w:lineRule="auto"/>
        <w:tabs>
          <w:tab w:leader="none" w:pos="968" w:val="left"/>
        </w:tabs>
        <w:numPr>
          <w:ilvl w:val="2"/>
          <w:numId w:val="14"/>
        </w:numPr>
        <w:rPr>
          <w:rFonts w:ascii="Arial" w:cs="Arial" w:eastAsia="Arial" w:hAnsi="Arial"/>
          <w:sz w:val="16"/>
          <w:szCs w:val="16"/>
          <w:color w:val="auto"/>
        </w:rPr>
      </w:pPr>
      <w:r>
        <w:rPr>
          <w:rFonts w:ascii="Arial" w:cs="Arial" w:eastAsia="Arial" w:hAnsi="Arial"/>
          <w:sz w:val="16"/>
          <w:szCs w:val="16"/>
          <w:color w:val="auto"/>
        </w:rPr>
        <w:t>On March 25, 2021, TRC-MRC 4 LLC was formed to pursue the development, construction, lease-up, and management of a 629,274 square foot industrial building located within TRCC-East. Construction of the building has begun with completion expected in 2022. The construction is being financed by a $47,500,000 construction loan that had an outstanding balance of $1,732,000 as of September 30, 2021. The construction loan is individually and collectively guaranteed by the Company and Majestic. In June 2021, the Company contributed land with a fair value of $8,464,000 to TRC-MRC 4, LLC. The total cost of the land was $2,895,000. The Company recognized profit of $2,785,000 and deferred profit of $2,785,000 after applying the five-step revenue recognition model in accordance with ASC Topic 606 — Revenue From Contracts With Customers and ASC Topic 323, Investments — Equity Method and Joint Ventures.</w:t>
      </w:r>
    </w:p>
    <w:p>
      <w:pPr>
        <w:spacing w:after="0" w:line="58" w:lineRule="exact"/>
        <w:rPr>
          <w:rFonts w:ascii="Arial" w:cs="Arial" w:eastAsia="Arial" w:hAnsi="Arial"/>
          <w:sz w:val="16"/>
          <w:szCs w:val="16"/>
          <w:color w:val="auto"/>
        </w:rPr>
      </w:pPr>
    </w:p>
    <w:p>
      <w:pPr>
        <w:ind w:left="972" w:right="60" w:hanging="324"/>
        <w:spacing w:after="0" w:line="271" w:lineRule="auto"/>
        <w:tabs>
          <w:tab w:leader="none" w:pos="968" w:val="left"/>
        </w:tabs>
        <w:numPr>
          <w:ilvl w:val="2"/>
          <w:numId w:val="14"/>
        </w:numPr>
        <w:rPr>
          <w:rFonts w:ascii="Arial" w:cs="Arial" w:eastAsia="Arial" w:hAnsi="Arial"/>
          <w:sz w:val="17"/>
          <w:szCs w:val="17"/>
          <w:color w:val="auto"/>
        </w:rPr>
      </w:pPr>
      <w:r>
        <w:rPr>
          <w:rFonts w:ascii="Arial" w:cs="Arial" w:eastAsia="Arial" w:hAnsi="Arial"/>
          <w:sz w:val="17"/>
          <w:szCs w:val="17"/>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the fourth quarter of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$35,525,000 as of September 30, 2021. On April 1, 2019, the Company contributed land with a fair value of $5,854,000 to TRC-MRC 3, LLC in accordance with the limited liability agreement. The Company's investment in this joint venture was $841,000 as of September 30, 2021.</w:t>
      </w:r>
    </w:p>
    <w:p>
      <w:pPr>
        <w:spacing w:after="0" w:line="70" w:lineRule="exact"/>
        <w:rPr>
          <w:rFonts w:ascii="Arial" w:cs="Arial" w:eastAsia="Arial" w:hAnsi="Arial"/>
          <w:sz w:val="17"/>
          <w:szCs w:val="17"/>
          <w:color w:val="auto"/>
        </w:rPr>
      </w:pPr>
    </w:p>
    <w:p>
      <w:pPr>
        <w:ind w:left="972" w:hanging="324"/>
        <w:spacing w:after="0" w:line="270" w:lineRule="auto"/>
        <w:tabs>
          <w:tab w:leader="none" w:pos="968" w:val="left"/>
        </w:tabs>
        <w:numPr>
          <w:ilvl w:val="2"/>
          <w:numId w:val="14"/>
        </w:numPr>
        <w:rPr>
          <w:rFonts w:ascii="Arial" w:cs="Arial" w:eastAsia="Arial" w:hAnsi="Arial"/>
          <w:sz w:val="17"/>
          <w:szCs w:val="17"/>
          <w:color w:val="auto"/>
        </w:rPr>
      </w:pPr>
      <w:r>
        <w:rPr>
          <w:rFonts w:ascii="Arial" w:cs="Arial" w:eastAsia="Arial" w:hAnsi="Arial"/>
          <w:sz w:val="17"/>
          <w:szCs w:val="17"/>
          <w:color w:val="auto"/>
        </w:rPr>
        <w:t>In August 2016, the Company partnered with Majestic to form TRC-MRC 2, LLC to acquire, lease, and maintain a fully occupied warehouse at TRCC-West. The partnership acquired the 651,909 square foot building for $24,773,000, which was largely financed through a promissory note guaranteed by both partners. The promissory note was refinanced on June 1, 2018 with a $25,240,000 promissory note. The note matures on July 1, 2028 and has an outstanding principal balance of $23,411,000 as of September 30, 2021. Since its inception, the Company has received excess distributions resulting in a deficit balance in its investment of $1,779,000.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72" w:lineRule="exact"/>
        <w:rPr>
          <w:rFonts w:ascii="Arial" w:cs="Arial" w:eastAsia="Arial" w:hAnsi="Arial"/>
          <w:sz w:val="17"/>
          <w:szCs w:val="17"/>
          <w:color w:val="auto"/>
        </w:rPr>
      </w:pPr>
    </w:p>
    <w:p>
      <w:pPr>
        <w:ind w:left="972" w:right="20" w:hanging="324"/>
        <w:spacing w:after="0" w:line="271" w:lineRule="auto"/>
        <w:tabs>
          <w:tab w:leader="none" w:pos="968" w:val="left"/>
        </w:tabs>
        <w:numPr>
          <w:ilvl w:val="2"/>
          <w:numId w:val="14"/>
        </w:numPr>
        <w:rPr>
          <w:rFonts w:ascii="Arial" w:cs="Arial" w:eastAsia="Arial" w:hAnsi="Arial"/>
          <w:sz w:val="17"/>
          <w:szCs w:val="17"/>
          <w:color w:val="auto"/>
        </w:rPr>
      </w:pPr>
      <w:r>
        <w:rPr>
          <w:rFonts w:ascii="Arial" w:cs="Arial" w:eastAsia="Arial" w:hAnsi="Arial"/>
          <w:sz w:val="17"/>
          <w:szCs w:val="17"/>
          <w:color w:val="auto"/>
        </w:rPr>
        <w:t>In September 2016, TRC-MRC 1, LLC was formed to develop and operate an approximately 480,480 square foot industrial building at TRCC-East that is 100% leased. Since its inception, the Company has received excess distributions resulting in a deficit balance in its investment of $1,472,000.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$23,549,000 was outstanding as of September 30, 2021.</w:t>
      </w:r>
    </w:p>
    <w:p>
      <w:pPr>
        <w:spacing w:after="0" w:line="70" w:lineRule="exact"/>
        <w:rPr>
          <w:rFonts w:ascii="Arial" w:cs="Arial" w:eastAsia="Arial" w:hAnsi="Arial"/>
          <w:sz w:val="17"/>
          <w:szCs w:val="17"/>
          <w:color w:val="auto"/>
        </w:rPr>
      </w:pPr>
    </w:p>
    <w:p>
      <w:pPr>
        <w:ind w:left="332" w:right="600" w:hanging="332"/>
        <w:spacing w:after="0" w:line="308" w:lineRule="auto"/>
        <w:tabs>
          <w:tab w:leader="none" w:pos="327" w:val="left"/>
        </w:tabs>
        <w:numPr>
          <w:ilvl w:val="0"/>
          <w:numId w:val="14"/>
        </w:numPr>
        <w:rPr>
          <w:rFonts w:ascii="Arial" w:cs="Arial" w:eastAsia="Arial" w:hAnsi="Arial"/>
          <w:sz w:val="17"/>
          <w:szCs w:val="17"/>
          <w:color w:val="auto"/>
        </w:rPr>
      </w:pPr>
      <w:r>
        <w:rPr>
          <w:rFonts w:ascii="Arial" w:cs="Arial" w:eastAsia="Arial" w:hAnsi="Arial"/>
          <w:sz w:val="17"/>
          <w:szCs w:val="17"/>
          <w:color w:val="auto"/>
        </w:rPr>
        <w:t>Rockefeller Joint Ventures – The Company has two active joint ventures with Rockefeller Group Development Corporation, or Rockefeller. At September 30, 2021, the Company’s combined equity investment balance in these two joint ventures was $10,196,000.</w:t>
      </w:r>
    </w:p>
    <w:p>
      <w:pPr>
        <w:spacing w:after="0" w:line="38" w:lineRule="exact"/>
        <w:rPr>
          <w:rFonts w:ascii="Arial" w:cs="Arial" w:eastAsia="Arial" w:hAnsi="Arial"/>
          <w:sz w:val="17"/>
          <w:szCs w:val="17"/>
          <w:color w:val="auto"/>
        </w:rPr>
      </w:pPr>
    </w:p>
    <w:p>
      <w:pPr>
        <w:ind w:left="972" w:right="240" w:hanging="324"/>
        <w:spacing w:after="0" w:line="263" w:lineRule="auto"/>
        <w:tabs>
          <w:tab w:leader="none" w:pos="9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18-19 West LLC was formed in August 2009 through the contribution of 61.5 acres of land by the Company that is being held for future development. The Company owns a 50% interest in this joint venture, and the joint venture is being accounted for under the equity method due to both members having significant participating rights in the management of the venture.</w:t>
      </w:r>
    </w:p>
    <w:p>
      <w:pPr>
        <w:spacing w:after="0" w:line="75" w:lineRule="exact"/>
        <w:rPr>
          <w:rFonts w:ascii="Arial" w:cs="Arial" w:eastAsia="Arial" w:hAnsi="Arial"/>
          <w:sz w:val="18"/>
          <w:szCs w:val="18"/>
          <w:color w:val="auto"/>
        </w:rPr>
      </w:pPr>
    </w:p>
    <w:p>
      <w:pPr>
        <w:ind w:left="1612" w:right="760" w:hanging="316"/>
        <w:spacing w:after="0" w:line="277" w:lineRule="auto"/>
        <w:tabs>
          <w:tab w:leader="none" w:pos="1608" w:val="left"/>
        </w:tabs>
        <w:numPr>
          <w:ilvl w:val="3"/>
          <w:numId w:val="14"/>
        </w:numPr>
        <w:rPr>
          <w:rFonts w:ascii="Arial" w:cs="Arial" w:eastAsia="Arial" w:hAnsi="Arial"/>
          <w:sz w:val="18"/>
          <w:szCs w:val="18"/>
          <w:color w:val="auto"/>
        </w:rPr>
      </w:pPr>
      <w:r>
        <w:rPr>
          <w:rFonts w:ascii="Arial" w:cs="Arial" w:eastAsia="Arial" w:hAnsi="Arial"/>
          <w:sz w:val="18"/>
          <w:szCs w:val="18"/>
          <w:color w:val="auto"/>
        </w:rPr>
        <w:t>The 18-19 West LLC joint venture has a purchase option in place with a third-party to purchase lots 18 and 19 at a price of $15,213,000 that expires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57" w:right="359" w:bottom="1440" w:gutter="0" w:footer="0" w:header="0"/>
        </w:sectPr>
      </w:pPr>
    </w:p>
    <w:bookmarkStart w:id="27" w:name="page28"/>
    <w:bookmarkEnd w:id="27"/>
    <w:p>
      <w:pPr>
        <w:ind w:left="980" w:right="40" w:hanging="324"/>
        <w:spacing w:after="0" w:line="248" w:lineRule="auto"/>
        <w:tabs>
          <w:tab w:leader="none" w:pos="976" w:val="left"/>
        </w:tabs>
        <w:numPr>
          <w:ilvl w:val="1"/>
          <w:numId w:val="15"/>
        </w:numPr>
        <w:rPr>
          <w:rFonts w:ascii="Arial" w:cs="Arial" w:eastAsia="Arial" w:hAnsi="Arial"/>
          <w:sz w:val="16"/>
          <w:szCs w:val="16"/>
          <w:color w:val="auto"/>
        </w:rPr>
      </w:pPr>
      <w:r>
        <w:rPr>
          <w:rFonts w:ascii="Arial" w:cs="Arial" w:eastAsia="Arial" w:hAnsi="Arial"/>
          <w:sz w:val="16"/>
          <w:szCs w:val="16"/>
          <w:color w:val="auto"/>
        </w:rPr>
        <w:t>TRCC/Rock Outlet Center LLC was formed during 2013 to develop, own, and manage a net leasable 326,000 square foot outlet center on land at TRCC-East.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As a result, the investment in TRCC/Rock Outlet Center LLC is being accounted for under the equity method. On September 7, 2021, the TRCC/Rock Outlet Center LLC joint venture successfully extended the maturity date of its term note with a financial institution from September 5, 2021 to May 31, 2024. In connection with the loan extension, the joint venture also reduced the outstanding amount by $4,600,000. As of September 30, 2021, the outstanding balance of the term note was $29,046,000. The Company and Rockefeller guarantee the performance of the debt.</w:t>
      </w:r>
    </w:p>
    <w:p>
      <w:pPr>
        <w:spacing w:after="0" w:line="3" w:lineRule="exact"/>
        <w:rPr>
          <w:rFonts w:ascii="Arial" w:cs="Arial" w:eastAsia="Arial" w:hAnsi="Arial"/>
          <w:sz w:val="16"/>
          <w:szCs w:val="16"/>
          <w:color w:val="auto"/>
        </w:rPr>
      </w:pPr>
    </w:p>
    <w:p>
      <w:pPr>
        <w:ind w:left="340" w:right="200" w:hanging="332"/>
        <w:spacing w:after="0" w:line="254"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Centennial Founders, LLC – Centennial Founders, LLC, CFL, is a joint venture that was initially formed with TRI Pointe Homes, Lewis Investment Company, and CalAtlantic to pursue the entitlement and development of land that the Company owns in Los Angeles County. Based on the Second Amended and Restated Limited Company Agreement of CFL and the change in control and funding that resulted from the amended agreement, CFL qualified as a VIE beginning in 2009, and the Company was determined to be the primary beneficiary. As a result, CFL is consolidated into the Company's financial statements. In 2016 and 2018, Lewis Investment Company and CalAtlantic left the joint venture. The Company’s remaining partner, TRI Pointe Homes, retained a noncontrolling interest in the joint venture. As of September 30, 2021, the Company owned 92.97% of CFL.</w:t>
      </w:r>
    </w:p>
    <w:p>
      <w:pPr>
        <w:spacing w:after="0" w:line="1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Unaudited condensed statement of operations for the three months ended September 30, 2021 and condensed balance sheet information of the Company’s unconsolidated joint ventures as of September 30, 2021 and December 31, 2020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2"/>
              </w:rPr>
              <w:t>Three Months Ended September 30,</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Arial" w:cs="Arial" w:eastAsia="Arial" w:hAnsi="Arial"/>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rPr>
              <w:t>TRC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Revenues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360"/>
              <w:spacing w:after="0"/>
              <w:rPr>
                <w:sz w:val="20"/>
                <w:szCs w:val="20"/>
                <w:color w:val="auto"/>
              </w:rPr>
            </w:pPr>
            <w:r>
              <w:rPr>
                <w:rFonts w:ascii="Arial" w:cs="Arial" w:eastAsia="Arial" w:hAnsi="Arial"/>
                <w:sz w:val="18"/>
                <w:szCs w:val="18"/>
                <w:b w:val="1"/>
                <w:bCs w:val="1"/>
                <w:color w:val="auto"/>
              </w:rPr>
              <w:t>Earnings (Loss)</w:t>
            </w:r>
          </w:p>
        </w:tc>
        <w:tc>
          <w:tcPr>
            <w:tcW w:w="340" w:type="dxa"/>
            <w:vAlign w:val="bottom"/>
          </w:tcPr>
          <w:p>
            <w:pPr>
              <w:spacing w:after="0"/>
              <w:rPr>
                <w:sz w:val="20"/>
                <w:szCs w:val="20"/>
                <w:color w:val="auto"/>
              </w:rPr>
            </w:pPr>
          </w:p>
        </w:tc>
        <w:tc>
          <w:tcPr>
            <w:tcW w:w="25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1"/>
              </w:rPr>
              <w:t>Equity in Earnings (Loss)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39,266</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Five West Parcel, LLC</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18-19 West,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line="230" w:lineRule="exact"/>
              <w:rPr>
                <w:sz w:val="20"/>
                <w:szCs w:val="20"/>
                <w:color w:val="auto"/>
              </w:rPr>
            </w:pPr>
            <w:r>
              <w:rPr>
                <w:rFonts w:ascii="Arial" w:cs="Arial" w:eastAsia="Arial" w:hAnsi="Arial"/>
                <w:sz w:val="18"/>
                <w:szCs w:val="18"/>
                <w:color w:val="auto"/>
              </w:rPr>
              <w:t>TRCC/Rock Outlet Center, LLC</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1,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TRC-MRC 2,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3,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TRC-MRC 4, LLC</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Centennial Founders, LLC</w:t>
            </w: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3240" w:type="dxa"/>
            <w:vAlign w:val="bottom"/>
            <w:tcBorders>
              <w:top w:val="single" w:sz="8" w:color="CCEEFF"/>
              <w:bottom w:val="single" w:sz="8" w:color="CCEEFF"/>
            </w:tcBorders>
            <w:vMerge w:val="continue"/>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9"/>
              </w:rPr>
              <w:t>Consolidated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0" w:right="260" w:firstLine="6"/>
        <w:spacing w:after="0" w:line="235" w:lineRule="auto"/>
        <w:tabs>
          <w:tab w:leader="none" w:pos="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for TRCC/Rock Outlet Center are presented net of non-cash tenant allowance amortization of $0.3 million and $0.4 million as of the three months ended September 30, 2021 and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w w:val="92"/>
              </w:rPr>
              <w:t>Nine Months Ended September 30,</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Arial" w:cs="Arial" w:eastAsia="Arial" w:hAnsi="Arial"/>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TRC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Revenues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360"/>
              <w:spacing w:after="0"/>
              <w:rPr>
                <w:sz w:val="20"/>
                <w:szCs w:val="20"/>
                <w:color w:val="auto"/>
              </w:rPr>
            </w:pPr>
            <w:r>
              <w:rPr>
                <w:rFonts w:ascii="Arial" w:cs="Arial" w:eastAsia="Arial" w:hAnsi="Arial"/>
                <w:sz w:val="18"/>
                <w:szCs w:val="18"/>
                <w:b w:val="1"/>
                <w:bCs w:val="1"/>
                <w:color w:val="auto"/>
              </w:rPr>
              <w:t>Earnings (Loss)</w:t>
            </w:r>
          </w:p>
        </w:tc>
        <w:tc>
          <w:tcPr>
            <w:tcW w:w="320" w:type="dxa"/>
            <w:vAlign w:val="bottom"/>
          </w:tcPr>
          <w:p>
            <w:pPr>
              <w:spacing w:after="0"/>
              <w:rPr>
                <w:sz w:val="20"/>
                <w:szCs w:val="20"/>
                <w:color w:val="auto"/>
              </w:rPr>
            </w:pPr>
          </w:p>
        </w:tc>
        <w:tc>
          <w:tcPr>
            <w:tcW w:w="25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1"/>
              </w:rPr>
              <w:t>Equity in Earnings (Loss)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97,583</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Five West Parcel, LLC</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18-19 West,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line="230" w:lineRule="exact"/>
              <w:rPr>
                <w:sz w:val="20"/>
                <w:szCs w:val="20"/>
                <w:color w:val="auto"/>
              </w:rPr>
            </w:pPr>
            <w:r>
              <w:rPr>
                <w:rFonts w:ascii="Arial" w:cs="Arial" w:eastAsia="Arial" w:hAnsi="Arial"/>
                <w:sz w:val="18"/>
                <w:szCs w:val="18"/>
                <w:color w:val="auto"/>
              </w:rPr>
              <w:t>TRCC/Rock Outlet Center, LLC</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1,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TRC-MRC 2,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3,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Arial" w:cs="Arial" w:eastAsia="Arial" w:hAnsi="Arial"/>
                <w:sz w:val="18"/>
                <w:szCs w:val="18"/>
                <w:color w:val="auto"/>
              </w:rPr>
              <w:t>TRC-MRC 4, LLC</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Centennial Founders, LLC</w:t>
            </w: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3240" w:type="dxa"/>
            <w:vAlign w:val="bottom"/>
            <w:tcBorders>
              <w:top w:val="single" w:sz="8" w:color="CCEEFF"/>
              <w:bottom w:val="single" w:sz="8" w:color="CCEEFF"/>
            </w:tcBorders>
            <w:vMerge w:val="continue"/>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9"/>
              </w:rPr>
              <w:t>Consolidated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right="120" w:firstLine="6"/>
        <w:spacing w:after="0" w:line="235" w:lineRule="auto"/>
        <w:tabs>
          <w:tab w:leader="none" w:pos="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for TRCC/Rock Outlet Center are presented net of non-cash tenant allowance amortization of $0.9 million and $1.0 million as of September 30, 2021 and September 30, 2020, respectively.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4"/>
              </w:rPr>
              <w:t>December 31, 2020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Joint Venture</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rPr>
              <w:t>TRC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Joint Venture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TRC</w:t>
            </w:r>
          </w:p>
        </w:tc>
        <w:tc>
          <w:tcPr>
            <w:tcW w:w="0" w:type="dxa"/>
            <w:vAlign w:val="bottom"/>
          </w:tcPr>
          <w:p>
            <w:pPr>
              <w:spacing w:after="0"/>
              <w:rPr>
                <w:sz w:val="1"/>
                <w:szCs w:val="1"/>
                <w:color w:val="auto"/>
              </w:rPr>
            </w:pPr>
          </w:p>
        </w:tc>
      </w:tr>
      <w:tr>
        <w:trPr>
          <w:trHeight w:val="234"/>
        </w:trPr>
        <w:tc>
          <w:tcPr>
            <w:tcW w:w="30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Assets</w:t>
            </w: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Equity</w:t>
            </w:r>
          </w:p>
        </w:tc>
        <w:tc>
          <w:tcPr>
            <w:tcW w:w="140" w:type="dxa"/>
            <w:vAlign w:val="bottom"/>
          </w:tcPr>
          <w:p>
            <w:pPr>
              <w:spacing w:after="0"/>
              <w:rPr>
                <w:sz w:val="20"/>
                <w:szCs w:val="2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 Travel Plaza Holdings, LLC</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84,920</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77,516</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23,358</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18-19 West, LLC</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4,633</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4,733</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4,483</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TRCC/Rock Outlet Center, LLC</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33,025</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TRC-MRC 1, LLC</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25,589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(23,549)</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1,527</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26,502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(23,985)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2, LLC</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TRC-MRC 3, LLC</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37,821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(35,525)</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38,502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(35,785)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4, LLC</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247,770</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108,546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33,524</w:t>
            </w:r>
          </w:p>
        </w:tc>
        <w:tc>
          <w:tcPr>
            <w:tcW w:w="0" w:type="dxa"/>
            <w:vAlign w:val="bottom"/>
          </w:tcPr>
          <w:p>
            <w:pPr>
              <w:spacing w:after="0"/>
              <w:rPr>
                <w:sz w:val="1"/>
                <w:szCs w:val="1"/>
                <w:color w:val="auto"/>
              </w:rPr>
            </w:pPr>
          </w:p>
        </w:tc>
      </w:tr>
      <w:tr>
        <w:trPr>
          <w:trHeight w:val="21"/>
        </w:trPr>
        <w:tc>
          <w:tcPr>
            <w:tcW w:w="3080" w:type="dxa"/>
            <w:vAlign w:val="bottom"/>
            <w:vMerge w:val="restart"/>
          </w:tcPr>
          <w:p>
            <w:pPr>
              <w:ind w:left="20"/>
              <w:spacing w:after="0"/>
              <w:rPr>
                <w:sz w:val="20"/>
                <w:szCs w:val="20"/>
                <w:color w:val="auto"/>
              </w:rPr>
            </w:pPr>
            <w:r>
              <w:rPr>
                <w:rFonts w:ascii="Arial" w:cs="Arial" w:eastAsia="Arial" w:hAnsi="Arial"/>
                <w:sz w:val="18"/>
                <w:szCs w:val="18"/>
                <w:color w:val="auto"/>
              </w:rPr>
              <w:t>Centennial Founders, LLC</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08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080" w:type="dxa"/>
            <w:vAlign w:val="bottom"/>
            <w:vMerge w:val="continue"/>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100,183</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99,800</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98,565</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14"/>
        <w:spacing w:after="0"/>
        <w:tabs>
          <w:tab w:leader="none" w:pos="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Centennial Founders, LLC is consolidated within the Company's financial statements.</w:t>
      </w:r>
    </w:p>
    <w:p>
      <w:pPr>
        <w:spacing w:after="0" w:line="207" w:lineRule="exact"/>
        <w:rPr>
          <w:rFonts w:ascii="Arial" w:cs="Arial" w:eastAsia="Arial" w:hAnsi="Arial"/>
          <w:sz w:val="18"/>
          <w:szCs w:val="18"/>
          <w:color w:val="auto"/>
        </w:rPr>
      </w:pPr>
    </w:p>
    <w:p>
      <w:pPr>
        <w:ind w:left="420" w:hanging="412"/>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 is one of nine directors at WRMWSD. As of September 30, 2021, the Company paid $6,201,000 for these water contracts and related costs.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6EBF"/>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potential losses to Tejon Ranch Co. and its subsidiaries (the Company, Tejon, we, us, and our)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the uncertainties regarding the impact of COVID-19 on the Company, its customers and suppliers, and global economic conditions,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the impacts of COVID-19 and the actions taken by governments, businesses, and individuals in response to it, including the development, distribution, efficacy and acceptance of vaccines and related mandates,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this report and our most recent Annual Report on Form 10-K.</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OVERVIEW</w:t>
      </w:r>
    </w:p>
    <w:p>
      <w:pPr>
        <w:spacing w:after="0" w:line="10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Business Objectives and Strategies</w:t>
      </w:r>
    </w:p>
    <w:p>
      <w:pPr>
        <w:spacing w:after="0" w:line="10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primary business objective is to maximize long-term shareholder value through the monetization of our land-based assets. A key element of our strategy is to entitle and then develop large-scale mixed-use master planned residential and commercial/industrial real estate development projects to serve the growing populations of Southern and Central California. Our mixed-use master planned residential developments have been approved to collectively include up to 35,278 housing units, and more than 35 million square feet of commercial space. We have obtained entitlements on Mountain Village at Tejon Ranch, or MV, and have submitted the final maps for the first phases, which includes the first two years of development, to Kern County. Over the next few years, it is possible that we will be engaged in continuous litigation defending the entitlements of our master planned developments.</w:t>
      </w:r>
    </w:p>
    <w:p>
      <w:pPr>
        <w:spacing w:after="0" w:line="4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are currently engaged in construction, commercial sales and leasing at our fully operational commercial/industrial center, the Tejon Ranch Commerce Center, or TRCC. All these efforts are supported by diverse revenue streams generated from other operations, including commercial/industrial real estate development, farming, mineral resources, ranch operations, and our various joint ventures.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Our Business</w:t>
      </w:r>
    </w:p>
    <w:p>
      <w:pPr>
        <w:spacing w:after="0" w:line="10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currently operate in five reporting segments: commercial/industrial real estate development; resort/residential real estate development; mineral resources; farming; and ranch operations.</w:t>
      </w:r>
    </w:p>
    <w:p>
      <w:pPr>
        <w:spacing w:after="0" w:line="4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 parties for their own development. The commercial/industrial real estate development segment also includes activities related to communications leases and landscape maintenance fees.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ind w:right="60"/>
        <w:spacing w:after="0" w:line="279" w:lineRule="auto"/>
        <w:rPr>
          <w:sz w:val="20"/>
          <w:szCs w:val="20"/>
          <w:color w:val="auto"/>
        </w:rPr>
      </w:pPr>
      <w:r>
        <w:rPr>
          <w:rFonts w:ascii="Arial" w:cs="Arial" w:eastAsia="Arial" w:hAnsi="Arial"/>
          <w:sz w:val="17"/>
          <w:szCs w:val="17"/>
          <w:color w:val="auto"/>
        </w:rPr>
        <w:t>At the heart of the commercial/industrial real estate development segment is TRCC, a 20 million square foot commercial/industrial development on Interstate 5 just north of the Los Angeles basin. Six million square feet of industrial, commercial and retail space has already been developed, including distribution centers for IKEA, Caterpillar, Famous Footwear, L'Oreal, Camping World, and Dollar General. TRCC sits on both sides of Interstate 5, giving distributors immediate access to the west coast’s principal north-south goods movement corridor.</w:t>
      </w:r>
    </w:p>
    <w:p>
      <w:pPr>
        <w:spacing w:after="0" w:line="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5, 2021, the Kern County Board of Supervisors approved two Conditional Use Permits (CUP) which authorized the Company to develop up to a maximum of 495 multi-family residences, in thirteen apartment buildings, as well as approximately 6,500 square feet of community amenity space and 8,000 square feet of community retail on the ground floor of a portion of the residential buildings. The development would be located on an approximately 23-acre site located immediately north of the Outlets at Tejon. The Company continues to devote appropriate resources to advance this new project at TRCC, providing the much-needed housing for the thousands of employees currently working at the various distribution centers, retailers, and fast-food restaurants at TRCC.</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We are also involved in multiple joint ventures within TRCC with several partners that help us expand our commercial/industrial business activities:</w:t>
      </w:r>
    </w:p>
    <w:p>
      <w:pPr>
        <w:spacing w:after="0" w:line="115" w:lineRule="exact"/>
        <w:rPr>
          <w:sz w:val="20"/>
          <w:szCs w:val="20"/>
          <w:color w:val="auto"/>
        </w:rPr>
      </w:pPr>
    </w:p>
    <w:p>
      <w:pPr>
        <w:ind w:left="660" w:right="2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joint venture with Petro that owns and operates two travel and truck stop facilities, comprised of five separate gas stations with convenience stores and fast-food restaurants within TRCC-West and TRCC-East.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Two joint ventures with Rockefeller Development Group, or Rockefeller:</w:t>
      </w:r>
    </w:p>
    <w:p>
      <w:pPr>
        <w:spacing w:after="0" w:line="11" w:lineRule="exact"/>
        <w:rPr>
          <w:rFonts w:ascii="Arial" w:cs="Arial" w:eastAsia="Arial" w:hAnsi="Arial"/>
          <w:sz w:val="18"/>
          <w:szCs w:val="18"/>
          <w:color w:val="auto"/>
        </w:rPr>
      </w:pPr>
    </w:p>
    <w:p>
      <w:pPr>
        <w:ind w:left="1300" w:right="20" w:hanging="320"/>
        <w:spacing w:after="0" w:line="226"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18-19 West LLC owns 63.5 acres of land for future development within TRCC-West. In 2019, our 18-19 West LLC joint venture entered into a land purchase option with the same third-party who purchased the Five West building and land, to purchase lots 18 and 19 at a price of $13,800,000 through the option period ended May 25, 2021. The option was extended at expiration for an additional six months to November 25, 2021 at a price of $15,213,000; and</w:t>
      </w:r>
    </w:p>
    <w:p>
      <w:pPr>
        <w:spacing w:after="0" w:line="68"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TRCC/Rock Outlet Center LLC operates the Outlets at Tejon, a net leasable 326,000 square foot shopping experience in TRCC-East;</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Four joint ventures with Majestic Realty Co., or Majestic, to develop, manage, and operate industrial buildings within TRCC:</w:t>
      </w:r>
    </w:p>
    <w:p>
      <w:pPr>
        <w:spacing w:after="0" w:line="90" w:lineRule="exact"/>
        <w:rPr>
          <w:rFonts w:ascii="Arial" w:cs="Arial" w:eastAsia="Arial" w:hAnsi="Arial"/>
          <w:sz w:val="18"/>
          <w:szCs w:val="18"/>
          <w:color w:val="auto"/>
        </w:rPr>
      </w:pPr>
    </w:p>
    <w:p>
      <w:pPr>
        <w:ind w:left="1300" w:right="400" w:hanging="320"/>
        <w:spacing w:after="0" w:line="277"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TRC-MRC 1, LLC operates a 480,480 square foot industrial building in TRCC-East, which was completed during 2017 and is fully leased;</w:t>
      </w:r>
    </w:p>
    <w:p>
      <w:pPr>
        <w:spacing w:after="0" w:line="48"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TRC-MRC 2, LLC owns and operates a 651,909 square foot building in TRCC-West that is fully leased;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TRC-MRC 3, LLC operates a 579,040 square foot industrial building in TRCC-East that is fully leased; and</w:t>
      </w:r>
    </w:p>
    <w:p>
      <w:pPr>
        <w:spacing w:after="0" w:line="90" w:lineRule="exact"/>
        <w:rPr>
          <w:rFonts w:ascii="Arial" w:cs="Arial" w:eastAsia="Arial" w:hAnsi="Arial"/>
          <w:sz w:val="18"/>
          <w:szCs w:val="18"/>
          <w:color w:val="auto"/>
        </w:rPr>
      </w:pPr>
    </w:p>
    <w:p>
      <w:pPr>
        <w:ind w:left="1300" w:right="120" w:hanging="320"/>
        <w:spacing w:after="0" w:line="263"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TRC-MRC 4, LLC was formed in 2021 to pursue the development, construction, leasing and management of a 629,274 square foot industrial building in TRCC-East. Grading on the site has been substantially completed and construction of the building has begun. The building is expected to be completed in 2022.</w:t>
      </w:r>
    </w:p>
    <w:p>
      <w:pPr>
        <w:spacing w:after="0" w:line="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resort/residential real estate development segment is actively involved in the land entitlement and development process internally and through a joint venture. Our active developments within this segment are MV, Centennial at Tejon Ranch, or Centennial, and Grapevine at Tejon Ranch, or Grapevine.</w:t>
      </w:r>
    </w:p>
    <w:p>
      <w:pPr>
        <w:spacing w:after="0" w:line="2" w:lineRule="exact"/>
        <w:rPr>
          <w:sz w:val="20"/>
          <w:szCs w:val="20"/>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tentative tract map for the first four phases of residential development has been approved, as well as the commercial site plan for the first phase of commercial development. The Company is currently focusing on the completion of the final map for first phases of MV, consumer and market research studies and fine tuning of development business plans as well as defining the capital funding sources for this development;</w:t>
      </w:r>
    </w:p>
    <w:p>
      <w:pPr>
        <w:spacing w:after="0" w:line="4" w:lineRule="exact"/>
        <w:rPr>
          <w:rFonts w:ascii="Arial" w:cs="Arial" w:eastAsia="Arial" w:hAnsi="Arial"/>
          <w:sz w:val="18"/>
          <w:szCs w:val="18"/>
          <w:color w:val="auto"/>
        </w:rPr>
      </w:pPr>
    </w:p>
    <w:p>
      <w:pPr>
        <w:ind w:left="660" w:right="20" w:hanging="328"/>
        <w:spacing w:after="0" w:line="23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Centennial had entitlements approved in December 2018 and received legislative approvals in April 2019 from the Los Angeles County Board of Supervisors. See Note 12 (Commitments and Contingencies) of the Notes to Unaudited Consolidated Financial Statements for additional information related to current litigation; and</w:t>
      </w: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31" w:name="page32"/>
    <w:bookmarkEnd w:id="31"/>
    <w:p>
      <w:pPr>
        <w:ind w:left="660" w:right="60" w:hanging="328"/>
        <w:spacing w:after="0" w:line="255"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Grapevine is an 8,010-acre development area located on the San Joaquin Valley floor area of our lands, adjacent to TRCC. Upon completion of Grapevine, the community will include 12,000 homes, 5.1 million square feet for commercial development, and more than 3,367 acres of open space and parks. On December 10, 2019, the Kern County Board of Supervisors adopted the supplemental re-circulated environmental impact report, or EIR, prepared in response to a court ruling and re-approved the development of Grapevine unanimously. On January 10, 2020, an action was filed in Kern County Superior Court pursuant to CEQA against Kern County, concerning Kern County’s approval of the December 2019 re-entitlement, including certification of the final EIR. On January 22, 2021 the court ruled in favor of the Company and Kern County on all issues. The court entered a final judgment reflecting its ruling in favor of the Company and the County on March 22, 2021. See Note 12 (Commitments and Contingencies) of the Notes to Unaudited Consolidated Financial Statements for further discussion.</w:t>
      </w:r>
    </w:p>
    <w:p>
      <w:pPr>
        <w:spacing w:after="0" w:line="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2020, for a more detailed description of our active developments within the resort/residential real estate development segment.</w:t>
      </w:r>
    </w:p>
    <w:p>
      <w:pPr>
        <w:spacing w:after="0" w:line="3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mineral resources segment generates revenues from oil and gas royalty leases, rock and aggregate mining leases, a lease with National Cement Company of California Inc., and water sales.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farming segment produces revenues from the sale of wine grapes, almonds, and pistachios.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Lastly, the ranch operations segment consists of game management revenues and ancillary land uses such as grazing leases and filming.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The COVID-19 Pandemic</w:t>
      </w:r>
    </w:p>
    <w:p>
      <w:pPr>
        <w:spacing w:after="0" w:line="10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Beginning mid-June, the Company's retail and hospitality businesses/tenants within the commercial/industrial real estate development segment fully reopened and operated without any restrictions. TRCC has seen an uptick in traffic as evidenced by a 24% increase in fuel sales volumes at the Petro Travel Plaza joint venture when compared to the same prior year period. The Company's farming and mineral resource segments continue to operate without restrictions as they are and continue to be deemed essential. The Company will continue to prioritize employee health and provide work safety guidelines prescribed by the state of California and the Occupational Safety and Health Administration. The Company has policies in place that are intended to address the applicable COVID-19 safety requirements as prescribed by the state of California and the Federal Government.</w:t>
      </w:r>
    </w:p>
    <w:p>
      <w:pPr>
        <w:spacing w:after="0" w:line="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Uncertainty still remains over long-term vaccine efficacy, global vaccine adoption and availability, and the possibility of reinstating pandemic restrictions arising from future mutations such as the Delta variant.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Supply Chain Disruptions</w:t>
      </w:r>
    </w:p>
    <w:p>
      <w:pPr>
        <w:spacing w:after="0" w:line="1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Labor shortages are increasing the cost of labor for the Company’s farming segment, while supply chain disruptions such as shortages of drivers for trucking companies and availability of food grade containers are impacting our ability to deliver goods to customers. For the remainder of 2021, we expect these issues to have a negative impact on our farming activities. On the other hand, these same supply chain constraints have led to higher costs for construction material such as cement and rock and have accordingly increased royalty revenues. The long-term impact of such uncertainties on our business are currently unknown and may vary in scope and severity from the impacts to-date.</w:t>
      </w:r>
    </w:p>
    <w:p>
      <w:pPr>
        <w:spacing w:after="0" w:line="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Future actions taken by governments, other businesses, and individuals in response to the supply chain disruptions and the pandemic may have an impact our results of operations and overall financial performance. In 2020, we evaluated our operations for expense reductions and cash savings by renegotiating contracts and pricing with a significant portion of our vendors, and rightsizing our labor needs. We will continue to monitor and evaluate our needs for expense reduction throughout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006EBF"/>
        </w:rPr>
        <w:t>Summary of Third Quarter 2021 Performance</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three months ended September 30, 2021, the Company had a net income attributable to common stockholders of $219,000 compared to net income of $398,000 for the three months ended September 30, 2020. The decrease in net income for the quarter was primarily attributed to lower farming operating profits of $999,000 resulting from the timing of almond sales and a decrease in pistachio revenues. Our commercial segment saw a $549,000 decline in operating profits as a result of higher marketing costs and lower spark spread revenues from our power plant lease. The aforementioned decreases were offset by an increase in operating profits from mineral resources of $1,075,000, which resulted from additional water sales opportunities that arose after the 5% State Water Project allocation limited water supplies. In addition, equity in earnings from unconsolidated joint ventures improved $417,000 as a result of reopening full service restaurants at Petro.</w:t>
      </w:r>
    </w:p>
    <w:p>
      <w:pPr>
        <w:spacing w:after="0" w:line="4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For the first nine months of 2021, the Company had net income attributable to common stockholders of $1,986,000 compared to a net loss of $617,000 for the first nine months of 2020. The improvement is primarily attributed to the June 2021 land sale to TRC-MRC 4 that improved commercial operating profits by $2,785,000 when compared to the same period of last year. Also contributing to this increase were improved mineral resources operating profits of $2,993,000 as compared to 2020, which was the result of higher water sales in 2021 due to the 5% SWP allocation. The improved operating results were offset by the non-recurrence of a building sale that occurred in 2020 that resulted in a $1,331,000 gain. In addition, the Company’s share of operating results from its unconsolidated joint ventures decreased $813,000, a result of significant increases in fuel costs and operating costs for its Petro Travel Plaza Holdings joint venture. Lastly, operating profits from farming decreased $1,154,000 as a result of lower pistachio and almond revenues.</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Critical Accounting Policies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our future ability to utilize deferred tax assets, and defined benefit retirement plan.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4"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During the nine months ended September 30, 2021, our critical accounting policies have not changed since the filing of our Annual Report on Form 10-K for the year ended December 31, 2020.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Results of Operations by Segment</w:t>
      </w:r>
    </w:p>
    <w:p>
      <w:pPr>
        <w:spacing w:after="0" w:line="10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Arial" w:cs="Arial" w:eastAsia="Arial" w:hAnsi="Arial"/>
                <w:sz w:val="18"/>
                <w:szCs w:val="18"/>
                <w:b w:val="1"/>
                <w:bCs w:val="1"/>
                <w:color w:val="006EBF"/>
              </w:rPr>
              <w:t>Real Estate – Commercial/Industrial:</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2880" w:type="dxa"/>
            <w:vAlign w:val="bottom"/>
            <w:tcBorders>
              <w:top w:val="single" w:sz="8" w:color="006EBF"/>
            </w:tcBorders>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440" w:type="dxa"/>
            <w:vAlign w:val="bottom"/>
          </w:tcPr>
          <w:p>
            <w:pPr>
              <w:spacing w:after="0"/>
              <w:rPr>
                <w:sz w:val="24"/>
                <w:szCs w:val="24"/>
                <w:color w:val="auto"/>
              </w:rPr>
            </w:pPr>
          </w:p>
        </w:tc>
        <w:tc>
          <w:tcPr>
            <w:tcW w:w="1880" w:type="dxa"/>
            <w:vAlign w:val="bottom"/>
            <w:gridSpan w:val="3"/>
          </w:tcPr>
          <w:p>
            <w:pPr>
              <w:ind w:left="1060"/>
              <w:spacing w:after="0"/>
              <w:rPr>
                <w:sz w:val="20"/>
                <w:szCs w:val="20"/>
                <w:color w:val="auto"/>
              </w:rPr>
            </w:pPr>
            <w:r>
              <w:rPr>
                <w:rFonts w:ascii="Arial" w:cs="Arial" w:eastAsia="Arial" w:hAnsi="Arial"/>
                <w:sz w:val="18"/>
                <w:szCs w:val="18"/>
                <w:color w:val="auto"/>
              </w:rPr>
              <w:t>Change</w:t>
            </w:r>
          </w:p>
        </w:tc>
        <w:tc>
          <w:tcPr>
            <w:tcW w:w="1240" w:type="dxa"/>
            <w:vAlign w:val="bottom"/>
          </w:tcPr>
          <w:p>
            <w:pPr>
              <w:spacing w:after="0"/>
              <w:rPr>
                <w:sz w:val="24"/>
                <w:szCs w:val="24"/>
                <w:color w:val="auto"/>
              </w:rPr>
            </w:pP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0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Commercial/industrial revenues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Pastoria Energy Facility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TRCC Leasing</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TRCC management fees and reimbursements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Commercial leases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Communication leases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4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Landscaping and other</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commercial/industrial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commercial/industrial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from commercial/industrial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Commercial/industrial real estate development segment revenues were $2,466,000 for the three months ended September 30, 2021, a decrease of</w:t>
      </w:r>
    </w:p>
    <w:p>
      <w:pPr>
        <w:spacing w:after="0" w:line="46" w:lineRule="exact"/>
        <w:rPr>
          <w:rFonts w:ascii="Arial" w:cs="Arial" w:eastAsia="Arial" w:hAnsi="Arial"/>
          <w:sz w:val="16"/>
          <w:szCs w:val="16"/>
          <w:color w:val="auto"/>
        </w:rPr>
      </w:pPr>
    </w:p>
    <w:p>
      <w:pPr>
        <w:ind w:left="340" w:right="40"/>
        <w:spacing w:after="0" w:line="323" w:lineRule="auto"/>
        <w:rPr>
          <w:rFonts w:ascii="Arial" w:cs="Arial" w:eastAsia="Arial" w:hAnsi="Arial"/>
          <w:sz w:val="16"/>
          <w:szCs w:val="16"/>
          <w:color w:val="auto"/>
        </w:rPr>
      </w:pPr>
      <w:r>
        <w:rPr>
          <w:rFonts w:ascii="Arial" w:cs="Arial" w:eastAsia="Arial" w:hAnsi="Arial"/>
          <w:sz w:val="16"/>
          <w:szCs w:val="16"/>
          <w:color w:val="auto"/>
        </w:rPr>
        <w:t>$244,000, or 9%, from $2,710,000 for the three months ended September 30, 2020. The decrease is primarily attributed to lower spark spread revenues from our Pastoria Energy Facility lease, resulting from lower electricity demand and power generation costs over the comparative periods.</w:t>
      </w:r>
    </w:p>
    <w:p>
      <w:pPr>
        <w:spacing w:after="0" w:line="3" w:lineRule="exact"/>
        <w:rPr>
          <w:rFonts w:ascii="Arial" w:cs="Arial" w:eastAsia="Arial" w:hAnsi="Arial"/>
          <w:sz w:val="16"/>
          <w:szCs w:val="16"/>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Commercial/industrial real estate development segment expenses were $2,331,000 for the three months ended September 30, 2021, an increase of</w:t>
      </w:r>
    </w:p>
    <w:p>
      <w:pPr>
        <w:spacing w:after="0" w:line="46" w:lineRule="exact"/>
        <w:rPr>
          <w:rFonts w:ascii="Arial" w:cs="Arial" w:eastAsia="Arial" w:hAnsi="Arial"/>
          <w:sz w:val="16"/>
          <w:szCs w:val="16"/>
          <w:color w:val="auto"/>
        </w:rPr>
      </w:pPr>
    </w:p>
    <w:p>
      <w:pPr>
        <w:ind w:left="340"/>
        <w:spacing w:after="0" w:line="255" w:lineRule="auto"/>
        <w:rPr>
          <w:rFonts w:ascii="Arial" w:cs="Arial" w:eastAsia="Arial" w:hAnsi="Arial"/>
          <w:sz w:val="16"/>
          <w:szCs w:val="16"/>
          <w:color w:val="auto"/>
        </w:rPr>
      </w:pPr>
      <w:r>
        <w:rPr>
          <w:rFonts w:ascii="Arial" w:cs="Arial" w:eastAsia="Arial" w:hAnsi="Arial"/>
          <w:sz w:val="18"/>
          <w:szCs w:val="18"/>
          <w:color w:val="auto"/>
        </w:rPr>
        <w:t>$305,000, or 15%, from $2,026,000 for the three months ended September 30, 2020. This increase is primarily attributed to writing off deferred leasing costs and incurring legal costs associated with a non-performing tenant of $162,000. In addition, the Company incurred additional marketing costs of $63,000 to increase market awareness of TRCC.</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20"/>
                <w:szCs w:val="20"/>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Commercial revenues</w:t>
            </w: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Pastoria Energy Facility</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TRCC Leasing</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TRCC management fees and reimbursements</w:t>
            </w: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Commercial leases</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Communication leases</w:t>
            </w: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Landscaping and other</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sale</w:t>
            </w: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commercial revenues</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12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79 %</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commercial expenses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Operating income from commercial/industrial</w:t>
            </w: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193 %</w:t>
            </w:r>
          </w:p>
        </w:tc>
      </w:tr>
      <w:tr>
        <w:trPr>
          <w:trHeight w:val="20"/>
        </w:trPr>
        <w:tc>
          <w:tcPr>
            <w:tcW w:w="4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340" w:right="280" w:hanging="332"/>
        <w:spacing w:after="0" w:line="311"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Commercial/industrial real estate development segment revenues were $12,820,000 for the first nine months of 2021, an increase of $5,676,000, or 79%, from $7,144,000 for the first nine months of 2020. The increase is primarily attributed to $5,679,000 in land sale revenues associated with the June 2021 land contribution to TRC-MRC 4 as discussed in Note 15 (Investment in Unconsolidated and Consolidated Joint Ventures).</w:t>
      </w:r>
    </w:p>
    <w:p>
      <w:pPr>
        <w:spacing w:after="0" w:line="27" w:lineRule="exact"/>
        <w:rPr>
          <w:rFonts w:ascii="Arial" w:cs="Arial" w:eastAsia="Arial" w:hAnsi="Arial"/>
          <w:sz w:val="16"/>
          <w:szCs w:val="16"/>
          <w:color w:val="auto"/>
        </w:rPr>
      </w:pPr>
    </w:p>
    <w:p>
      <w:pPr>
        <w:jc w:val="both"/>
        <w:ind w:left="340" w:right="140" w:hanging="332"/>
        <w:spacing w:after="0" w:line="263"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Commercial/industrial real estate development segment expenses were $8,595,000 during the first nine months of 2021, an increase of $2,891,000, or 51%, from $5,704,000 during the first nine months of 2020. This increase is primarily attributed to land cost of sales of $2,895,000 resulting from the land contribution to TRC-MRC 4 discussed above.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4" w:name="page35"/>
    <w:bookmarkEnd w:id="34"/>
    <w:p>
      <w:pPr>
        <w:spacing w:after="0" w:line="291" w:lineRule="auto"/>
        <w:rPr>
          <w:sz w:val="20"/>
          <w:szCs w:val="20"/>
          <w:color w:val="auto"/>
        </w:rPr>
      </w:pPr>
      <w:r>
        <w:rPr>
          <w:rFonts w:ascii="Arial" w:cs="Arial" w:eastAsia="Arial" w:hAnsi="Arial"/>
          <w:sz w:val="16"/>
          <w:szCs w:val="16"/>
          <w:color w:val="auto"/>
        </w:rPr>
        <w:t>The logistics operators currently located within TRCC have demonstrated success in serving all of California and the western region of the United States, and the Company showcases their success in its marketing efforts. We expect to continue to focus our marketing strategy for TRCC-East and TRCC-West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Foreign Trade Zone (FTZ) designation allows businesses to secure the many benefits and cost reductions associated with streamlined movement of goods in and out of the zone. This FTZ designation is further supplemented by the Economic Development Incentive Policy, or EDIP, adopted by the Kern County Board of Supervisors. EDIP is aimed to expand and enhance the County's competitiveness by taking affirmative steps to attract new businesses and to encourage the growth and resilience of existing businesses. EDIP provides incentives such as assistance in obtaining tax incentives, building supporting infrastructure, and workforce development.</w:t>
      </w:r>
    </w:p>
    <w:p>
      <w:pPr>
        <w:spacing w:after="0" w:line="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believe that the FTZ and EDIP, along with our ability to provide fully entitled, shovel-ready land parcels to support buildings of any size, including buildings one million square feet or larger, can provide us with a potential marketing advantage. Our marketing efforts target the Inland Empire region of Southern California, the Santa Clarita Valley of northern Los Angeles County, the northern part of the San Fernando Valley - due to the limited availability of new product and high real estate costs in these locations, and the San Joaquin Valley of California. The Company continues to analyze the market and evaluate expansions of industrial buildings for lease either on our own or in partnerships, as we have done with the buildings developed within our joint ventures. During the quarter we began construction of a new building in the TRC-MRC 4 joint venture. Construction costs for the new building have increased as a result of material shortages and delivery times for materials.</w:t>
      </w:r>
    </w:p>
    <w:p>
      <w:pPr>
        <w:spacing w:after="0" w:line="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 Strong demand for large distribution facilities is driving development farther east in a search for large, entitled parcels.</w:t>
      </w:r>
    </w:p>
    <w:p>
      <w:pPr>
        <w:spacing w:after="0" w:line="5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During the quarter ended September 30, 2021, vacancy rates in the Inland Empire continued to stay at a historical low of 0.8%, leading to an increase in lease rate of 15%, both setting new records. Demand for Inland Empire logistics space continues to be strong, as net absorption reached 5.2 million square feet. As lease rates increase in the Inland Empire, we may experience greater pricing advantages due to our lower land basis.</w:t>
      </w:r>
    </w:p>
    <w:p>
      <w:pPr>
        <w:spacing w:after="0" w:line="2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the quarter ended September 30, 2021, vacancy rates in the northern Los Angeles industrial market, which includes the San Fernando Valley and Santa Clarita Valley, decreased from 1.2% as of June 30, 2021 to 0.8%. Rents remain at an all-time high. Average asking rents increased by 16% over the prior quarter.</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our commercial/industrial real estate development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future costs tied to specific absorption transactions in any given year.</w:t>
      </w:r>
    </w:p>
    <w:p>
      <w:pPr>
        <w:spacing w:after="0" w:line="5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3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2020, in response to the COVID-19 pandemic, California took actions to limit exposure to the virus through restrictions on non-essential businesses and services. Tenants began requesting various forms of rent relief beginning in March 2020 and throughout the rest of 2020. Although the requests ranged in scope, the most common request was for a full or partial rent deferment for three months. The Company agreed to defer rent for certain tenants at TRCC, with the requirement that all the deferred rent be fully repaid during 2021. The following table sets forth information regarding the cumulative minimum deferred rent and collected rent as of September 30, 2021.</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Impacted</w:t>
            </w:r>
          </w:p>
        </w:tc>
        <w:tc>
          <w:tcPr>
            <w:tcW w:w="140" w:type="dxa"/>
            <w:vAlign w:val="bottom"/>
          </w:tcPr>
          <w:p>
            <w:pPr>
              <w:spacing w:after="0"/>
              <w:rPr>
                <w:sz w:val="17"/>
                <w:szCs w:val="17"/>
                <w:color w:val="auto"/>
              </w:rPr>
            </w:pPr>
          </w:p>
        </w:tc>
        <w:tc>
          <w:tcPr>
            <w:tcW w:w="22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Cumulative Deferred Rent</w:t>
            </w:r>
          </w:p>
        </w:tc>
        <w:tc>
          <w:tcPr>
            <w:tcW w:w="210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2"/>
              </w:rPr>
              <w:t>Cumulative Deferred Rent</w:t>
            </w:r>
          </w:p>
        </w:tc>
        <w:tc>
          <w:tcPr>
            <w:tcW w:w="220" w:type="dxa"/>
            <w:vAlign w:val="bottom"/>
          </w:tcPr>
          <w:p>
            <w:pPr>
              <w:spacing w:after="0"/>
              <w:rPr>
                <w:sz w:val="17"/>
                <w:szCs w:val="17"/>
                <w:color w:val="auto"/>
              </w:rPr>
            </w:pPr>
          </w:p>
        </w:tc>
        <w:tc>
          <w:tcPr>
            <w:tcW w:w="1880" w:type="dxa"/>
            <w:vAlign w:val="bottom"/>
          </w:tcPr>
          <w:p>
            <w:pPr>
              <w:jc w:val="center"/>
              <w:ind w:right="130"/>
              <w:spacing w:after="0"/>
              <w:rPr>
                <w:sz w:val="20"/>
                <w:szCs w:val="20"/>
                <w:color w:val="auto"/>
              </w:rPr>
            </w:pPr>
            <w:r>
              <w:rPr>
                <w:rFonts w:ascii="Arial" w:cs="Arial" w:eastAsia="Arial" w:hAnsi="Arial"/>
                <w:sz w:val="18"/>
                <w:szCs w:val="18"/>
                <w:color w:val="auto"/>
                <w:w w:val="89"/>
              </w:rPr>
              <w:t>Deferred Rent to be</w:t>
            </w:r>
          </w:p>
        </w:tc>
        <w:tc>
          <w:tcPr>
            <w:tcW w:w="0" w:type="dxa"/>
            <w:vAlign w:val="bottom"/>
          </w:tcPr>
          <w:p>
            <w:pPr>
              <w:spacing w:after="0"/>
              <w:rPr>
                <w:sz w:val="1"/>
                <w:szCs w:val="1"/>
                <w:color w:val="auto"/>
              </w:rPr>
            </w:pPr>
          </w:p>
        </w:tc>
      </w:tr>
      <w:tr>
        <w:trPr>
          <w:trHeight w:val="176"/>
        </w:trPr>
        <w:tc>
          <w:tcPr>
            <w:tcW w:w="3360" w:type="dxa"/>
            <w:vAlign w:val="bottom"/>
            <w:vMerge w:val="restart"/>
          </w:tcPr>
          <w:p>
            <w:pPr>
              <w:ind w:left="20"/>
              <w:spacing w:after="0"/>
              <w:rPr>
                <w:sz w:val="20"/>
                <w:szCs w:val="20"/>
                <w:color w:val="auto"/>
              </w:rPr>
            </w:pPr>
            <w:r>
              <w:rPr>
                <w:rFonts w:ascii="Arial" w:cs="Arial" w:eastAsia="Arial" w:hAnsi="Arial"/>
                <w:sz w:val="18"/>
                <w:szCs w:val="18"/>
                <w:color w:val="auto"/>
                <w:w w:val="92"/>
              </w:rPr>
              <w:t>($ in thousands, except for impacted tenants)</w:t>
            </w: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210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1"/>
              </w:rPr>
              <w:t>Collected in the Remainder</w:t>
            </w:r>
          </w:p>
        </w:tc>
        <w:tc>
          <w:tcPr>
            <w:tcW w:w="0" w:type="dxa"/>
            <w:vAlign w:val="bottom"/>
          </w:tcPr>
          <w:p>
            <w:pPr>
              <w:spacing w:after="0"/>
              <w:rPr>
                <w:sz w:val="1"/>
                <w:szCs w:val="1"/>
                <w:color w:val="auto"/>
              </w:rPr>
            </w:pPr>
          </w:p>
        </w:tc>
      </w:tr>
      <w:tr>
        <w:trPr>
          <w:trHeight w:val="229"/>
        </w:trPr>
        <w:tc>
          <w:tcPr>
            <w:tcW w:w="3360" w:type="dxa"/>
            <w:vAlign w:val="bottom"/>
            <w:vMerge w:val="continue"/>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Tenants</w:t>
            </w:r>
          </w:p>
        </w:tc>
        <w:tc>
          <w:tcPr>
            <w:tcW w:w="140" w:type="dxa"/>
            <w:vAlign w:val="bottom"/>
          </w:tcPr>
          <w:p>
            <w:pPr>
              <w:spacing w:after="0"/>
              <w:rPr>
                <w:sz w:val="19"/>
                <w:szCs w:val="19"/>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due to COVID-19</w:t>
            </w:r>
          </w:p>
        </w:tc>
        <w:tc>
          <w:tcPr>
            <w:tcW w:w="38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Collected</w:t>
            </w:r>
          </w:p>
        </w:tc>
        <w:tc>
          <w:tcPr>
            <w:tcW w:w="220" w:type="dxa"/>
            <w:vAlign w:val="bottom"/>
          </w:tcPr>
          <w:p>
            <w:pPr>
              <w:spacing w:after="0"/>
              <w:rPr>
                <w:sz w:val="19"/>
                <w:szCs w:val="19"/>
                <w:color w:val="auto"/>
              </w:rPr>
            </w:pPr>
          </w:p>
        </w:tc>
        <w:tc>
          <w:tcPr>
            <w:tcW w:w="1880" w:type="dxa"/>
            <w:vAlign w:val="bottom"/>
          </w:tcPr>
          <w:p>
            <w:pPr>
              <w:jc w:val="center"/>
              <w:ind w:right="130"/>
              <w:spacing w:after="0"/>
              <w:rPr>
                <w:sz w:val="20"/>
                <w:szCs w:val="20"/>
                <w:color w:val="auto"/>
              </w:rPr>
            </w:pPr>
            <w:r>
              <w:rPr>
                <w:rFonts w:ascii="Arial" w:cs="Arial" w:eastAsia="Arial" w:hAnsi="Arial"/>
                <w:sz w:val="18"/>
                <w:szCs w:val="18"/>
                <w:color w:val="auto"/>
                <w:w w:val="89"/>
              </w:rPr>
              <w:t>of 2021</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TRCC Leasing</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Commercial Leases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Real Estate – Resort/Residential: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are in the preliminary stages of property development for this segment; hence, no revenues or profits are attributed to this segment.</w:t>
      </w:r>
    </w:p>
    <w:p>
      <w:pPr>
        <w:spacing w:after="0" w:line="10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Resort/residential real estate development segment expenses were $322,000 for the three months ended September 30, 2021, an increase of $49,000, or 18%, from $273,000 for the three months ended September 30, 2020. The Company moved its internal marketing group into the resort/residential segment in 2021, driving the increase noted.</w:t>
      </w:r>
    </w:p>
    <w:p>
      <w:pPr>
        <w:spacing w:after="0" w:line="4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Resort/residential real estate development segment expenses were $1,314,000 for the first nine months of 2021, an increase of $89,000, or 7%, from $1,225,000 for the first nine months of 2020. The Company moved its internal marketing group into the resort/residential segment in 2021, driving the increase noted.</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long-term business plan of developing the communities of MV, Centennial, and Grapevine remains unchanged. As home buyer trends change in California to a more suburban orientation and the economy stabilizes, we believe the perception of land values will continue to improve. Long-term macro fundamentals, primarily California's population growth and household formation will also support housing demand in our region. California also has a significant documented housing shortage, which we believe our communities will help ease as the population base within California continues to grow. Most of the expenditures and capital investment to be incurred within our resort/residential real estate segment is expected to continue to focus on the mixed use master planned communities of Centennial, Grapevine, and Mountain Village.</w:t>
      </w:r>
    </w:p>
    <w:p>
      <w:pPr>
        <w:spacing w:after="0" w:line="56" w:lineRule="exact"/>
        <w:rPr>
          <w:sz w:val="20"/>
          <w:szCs w:val="20"/>
          <w:color w:val="auto"/>
        </w:rPr>
      </w:pPr>
    </w:p>
    <w:p>
      <w:pPr>
        <w:ind w:left="660" w:right="80" w:hanging="328"/>
        <w:spacing w:after="0" w:line="286"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Centennial – the approved Centennial specific plan includes 19,333 residential units and more than 10.1 million square feet of commercial space. The Company is working with the County of Los Angeles to address litigation filed in the Los Angeles Superior Court. See Note 12 (Commitments and Contingencies) of the Notes to Unaudited Consolidated Financial Statements for further discussion.</w:t>
      </w:r>
    </w:p>
    <w:p>
      <w:pPr>
        <w:spacing w:after="0" w:line="30" w:lineRule="exact"/>
        <w:rPr>
          <w:rFonts w:ascii="Arial" w:cs="Arial" w:eastAsia="Arial" w:hAnsi="Arial"/>
          <w:sz w:val="17"/>
          <w:szCs w:val="17"/>
          <w:color w:val="auto"/>
        </w:rPr>
      </w:pPr>
    </w:p>
    <w:p>
      <w:pPr>
        <w:ind w:left="660" w:right="24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Grapevine – an 8,010-acre development area located on the San Joaquin Valley floor area of our lands, adjacent to TRCC. Upon completion of Grapevine, the community will include 12,000 homes, 5.1 million square feet for commercial development, and more than 3,367 acres of open space and parks. See Note 12 (Commitments and Contingencies) of the Notes to Unaudited Consolidated Financial Statements for further discussion.</w:t>
      </w:r>
    </w:p>
    <w:p>
      <w:pPr>
        <w:spacing w:after="0" w:line="65"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MV – a fully entitled project has received approvals of Tentative Tract Map 1 for the first four phases of development and approval of the commercial site plan for the first phase of commercial development. The timing of the MV development in the coming years will depend on the strength of both the economy and the real estate market, including both primary and second home markets. In moving the project forward, we will focus on the completion of the final map for the first phases of MV, consumer and market research studies, fine tuning of development business plans.</w:t>
      </w:r>
    </w:p>
    <w:p>
      <w:pPr>
        <w:spacing w:after="0" w:line="66"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 the next several years,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0" w:right="3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b w:val="1"/>
                <w:bCs w:val="1"/>
                <w:color w:val="006EBF"/>
              </w:rPr>
              <w:t>Mineral Resources: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1500" w:type="dxa"/>
            <w:vAlign w:val="bottom"/>
            <w:tcBorders>
              <w:top w:val="single" w:sz="8" w:color="006EBF"/>
            </w:tcBorders>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0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Mineral resources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Oil and gas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Cement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Rock aggregate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Exploration leases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Water Sales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Reimbursables and other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mineral resources revenues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mineral resources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367 %</w:t>
            </w:r>
          </w:p>
        </w:tc>
      </w:tr>
      <w:tr>
        <w:trPr>
          <w:trHeight w:val="248"/>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from mineral resources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20" w:hanging="332"/>
        <w:spacing w:after="0" w:line="25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Mineral resources segment revenues were $4,774,000 for the three months ended September 30, 2021, an increase of $3,452,000, or 261%, from $1,322,000 for the three months ended September 30, 2020. The dry 2020/2021 winter diminished water availability in California and eventually resulted in a SWP allocation of 5%. As a result, the Company generated $3,124,000 in additional water sales during the quarter ended September 30, 2021, by selling 2,603 acre-feet of water. Additionally, the Company recognized an increase in rock aggregate royalties as a result of increased demand fueled by the continuing growth in infrastructure projects throughout the state.</w:t>
      </w:r>
    </w:p>
    <w:p>
      <w:pPr>
        <w:spacing w:after="0" w:line="79" w:lineRule="exact"/>
        <w:rPr>
          <w:rFonts w:ascii="Arial" w:cs="Arial" w:eastAsia="Arial" w:hAnsi="Arial"/>
          <w:sz w:val="18"/>
          <w:szCs w:val="18"/>
          <w:color w:val="auto"/>
        </w:rPr>
      </w:pPr>
    </w:p>
    <w:p>
      <w:pPr>
        <w:ind w:left="340" w:right="480" w:hanging="332"/>
        <w:spacing w:after="0" w:line="263"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Mineral resources segment expenses were $3,025,000 for the three months ended September 30, 2021, an increase of $2,377,000, or 367%, from $648,000 for the three months ended September 30, 2020. This increase in expenses is primarily attributed to an increase in water cost of sales resulting from the increased water sales volumes as noted above.</w:t>
      </w: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Nine Months Ended 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color w:val="auto"/>
              </w:rPr>
              <w:t>Change</w:t>
            </w:r>
          </w:p>
        </w:tc>
        <w:tc>
          <w:tcPr>
            <w:tcW w:w="1140" w:type="dxa"/>
            <w:vAlign w:val="bottom"/>
            <w:tcBorders>
              <w:bottom w:val="single" w:sz="8" w:color="auto"/>
            </w:tcBorders>
          </w:tcPr>
          <w:p>
            <w:pPr>
              <w:spacing w:after="0"/>
              <w:rPr>
                <w:sz w:val="20"/>
                <w:szCs w:val="20"/>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r>
      <w:tr>
        <w:trPr>
          <w:trHeight w:val="209"/>
        </w:trPr>
        <w:tc>
          <w:tcPr>
            <w:tcW w:w="3800" w:type="dxa"/>
            <w:vAlign w:val="bottom"/>
          </w:tcPr>
          <w:p>
            <w:pPr>
              <w:ind w:left="20"/>
              <w:spacing w:after="0"/>
              <w:rPr>
                <w:sz w:val="20"/>
                <w:szCs w:val="20"/>
                <w:color w:val="auto"/>
              </w:rPr>
            </w:pPr>
            <w:r>
              <w:rPr>
                <w:rFonts w:ascii="Arial" w:cs="Arial" w:eastAsia="Arial" w:hAnsi="Arial"/>
                <w:sz w:val="18"/>
                <w:szCs w:val="18"/>
                <w:color w:val="auto"/>
              </w:rPr>
              <w:t>Mineral resources revenues</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Oil and gas</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3800" w:type="dxa"/>
            <w:vAlign w:val="bottom"/>
          </w:tcPr>
          <w:p>
            <w:pPr>
              <w:ind w:left="220"/>
              <w:spacing w:after="0"/>
              <w:rPr>
                <w:sz w:val="20"/>
                <w:szCs w:val="20"/>
                <w:color w:val="auto"/>
              </w:rPr>
            </w:pPr>
            <w:r>
              <w:rPr>
                <w:rFonts w:ascii="Arial" w:cs="Arial" w:eastAsia="Arial" w:hAnsi="Arial"/>
                <w:sz w:val="18"/>
                <w:szCs w:val="18"/>
                <w:color w:val="auto"/>
              </w:rPr>
              <w:t>Cement</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Rock aggregate</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3800" w:type="dxa"/>
            <w:vAlign w:val="bottom"/>
          </w:tcPr>
          <w:p>
            <w:pPr>
              <w:ind w:left="220"/>
              <w:spacing w:after="0"/>
              <w:rPr>
                <w:sz w:val="20"/>
                <w:szCs w:val="20"/>
                <w:color w:val="auto"/>
              </w:rPr>
            </w:pPr>
            <w:r>
              <w:rPr>
                <w:rFonts w:ascii="Arial" w:cs="Arial" w:eastAsia="Arial" w:hAnsi="Arial"/>
                <w:sz w:val="18"/>
                <w:szCs w:val="18"/>
                <w:color w:val="auto"/>
              </w:rPr>
              <w:t>Exploration leases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 Sales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r>
      <w:tr>
        <w:trPr>
          <w:trHeight w:val="230"/>
        </w:trPr>
        <w:tc>
          <w:tcPr>
            <w:tcW w:w="3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Reimbursables and other</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mineral resources revenues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2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mineral resources expenses</w:t>
            </w: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135 %</w:t>
            </w: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from mineral resources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40" w:right="20" w:hanging="332"/>
        <w:spacing w:after="0" w:line="25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Mineral resources segment revenues were $19,354,000 for the first nine months of 2021, an increase of $10,078,000, or 109%, from $9,276,000 for the first nine months of 2020. The 2020/2021 dry winter brought about favorable conditions to sell water, resulting in a significant increase in water sales. Comparatively, the Company sold 13,199 acre-feet and 4,625 acre-feet of water as of September 30, 2021 and 2020, respectively. The Company in 2021 has also recognized additional rock aggregate royalties as a result of increased demand fueled by the continuing growth in infrastructure projects throughout the state.</w:t>
      </w:r>
    </w:p>
    <w:p>
      <w:pPr>
        <w:spacing w:after="0" w:line="79" w:lineRule="exact"/>
        <w:rPr>
          <w:rFonts w:ascii="Arial" w:cs="Arial" w:eastAsia="Arial" w:hAnsi="Arial"/>
          <w:sz w:val="18"/>
          <w:szCs w:val="18"/>
          <w:color w:val="auto"/>
        </w:rPr>
      </w:pPr>
    </w:p>
    <w:p>
      <w:pPr>
        <w:ind w:left="340" w:right="180" w:hanging="332"/>
        <w:spacing w:after="0" w:line="263"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Mineral resources segment expenses were $12,325,000 for the first nine months of 2021, an increase of $7,085,000, or 135%, from $5,240,000 when compared to the same period in 2020. This increase in expense is primarily attributed to higher water cost of sales of $7,033,000 resulting from the increase in water sales as noted above.</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anticipated changes arise in the future related to groundwater management in California, such as limits on groundwater pumping in over drafted water basins outside of our lands, we believe that our water assets, including water banking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7" w:name="page38"/>
    <w:bookmarkEnd w:id="37"/>
    <w:p>
      <w:pPr>
        <w:jc w:val="both"/>
        <w:ind w:right="80"/>
        <w:spacing w:after="0" w:line="311" w:lineRule="auto"/>
        <w:rPr>
          <w:sz w:val="20"/>
          <w:szCs w:val="20"/>
          <w:color w:val="auto"/>
        </w:rPr>
      </w:pPr>
      <w:r>
        <w:rPr>
          <w:rFonts w:ascii="Arial" w:cs="Arial" w:eastAsia="Arial" w:hAnsi="Arial"/>
          <w:sz w:val="16"/>
          <w:szCs w:val="16"/>
          <w:color w:val="auto"/>
        </w:rPr>
        <w:t>ground water recharge programs, and access to water contracts like those we have purchased in the past, will become even more important and valuable in servicing our projects and providing opportunities for water sales to third parties. With 2020 and 2021 being drought years, local water market participants had few alternative water sources. Current forecasts indicate that this trend may continue into 2022, which may lead to favorable water sales opportunities.</w:t>
      </w:r>
    </w:p>
    <w:p>
      <w:pPr>
        <w:spacing w:after="0" w:line="1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price per barrel of oil has increased over 66% from its December 31, 2020 levels. California Resources Corporation, or CRC, has returned 13 wells into production in 2021, with the expectation of returning more wells into production in the near future. We expect to begin to see the impact of these actions in the coming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Farming: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480" w:type="dxa"/>
            <w:vAlign w:val="bottom"/>
          </w:tcPr>
          <w:p>
            <w:pPr>
              <w:spacing w:after="0"/>
              <w:rPr>
                <w:sz w:val="20"/>
                <w:szCs w:val="20"/>
                <w:color w:val="auto"/>
              </w:rPr>
            </w:pPr>
          </w:p>
        </w:tc>
        <w:tc>
          <w:tcPr>
            <w:tcW w:w="1960" w:type="dxa"/>
            <w:vAlign w:val="bottom"/>
            <w:gridSpan w:val="3"/>
          </w:tcPr>
          <w:p>
            <w:pPr>
              <w:ind w:left="1120"/>
              <w:spacing w:after="0"/>
              <w:rPr>
                <w:sz w:val="20"/>
                <w:szCs w:val="20"/>
                <w:color w:val="auto"/>
              </w:rPr>
            </w:pPr>
            <w:r>
              <w:rPr>
                <w:rFonts w:ascii="Arial" w:cs="Arial" w:eastAsia="Arial" w:hAnsi="Arial"/>
                <w:sz w:val="18"/>
                <w:szCs w:val="18"/>
                <w:color w:val="auto"/>
              </w:rPr>
              <w:t>Change</w:t>
            </w:r>
          </w:p>
        </w:tc>
        <w:tc>
          <w:tcPr>
            <w:tcW w:w="1320" w:type="dxa"/>
            <w:vAlign w:val="bottom"/>
          </w:tcPr>
          <w:p>
            <w:pPr>
              <w:spacing w:after="0"/>
              <w:rPr>
                <w:sz w:val="20"/>
                <w:szCs w:val="20"/>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10"/>
        </w:trPr>
        <w:tc>
          <w:tcPr>
            <w:tcW w:w="3780" w:type="dxa"/>
            <w:vAlign w:val="bottom"/>
          </w:tcPr>
          <w:p>
            <w:pPr>
              <w:ind w:left="20"/>
              <w:spacing w:after="0"/>
              <w:rPr>
                <w:sz w:val="20"/>
                <w:szCs w:val="20"/>
                <w:color w:val="auto"/>
              </w:rPr>
            </w:pPr>
            <w:r>
              <w:rPr>
                <w:rFonts w:ascii="Arial" w:cs="Arial" w:eastAsia="Arial" w:hAnsi="Arial"/>
                <w:sz w:val="18"/>
                <w:szCs w:val="18"/>
                <w:color w:val="auto"/>
              </w:rPr>
              <w:t>Farming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Almonds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Pistachios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Wine grapes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Hay</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138 %</w:t>
            </w: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farming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farming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Operating loss from farming</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1"/>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480" w:hanging="332"/>
        <w:spacing w:after="0" w:line="258"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Farming segment revenues were $6,726,000 for the three months ended September 30, 2021, a decrease of $1,811,000, or 21%, from $8,537,000 during the same period in 2020. The decrease is primarily attributed to:</w:t>
      </w:r>
    </w:p>
    <w:p>
      <w:pPr>
        <w:spacing w:after="0" w:line="1" w:lineRule="exact"/>
        <w:rPr>
          <w:rFonts w:ascii="Arial" w:cs="Arial" w:eastAsia="Arial" w:hAnsi="Arial"/>
          <w:sz w:val="18"/>
          <w:szCs w:val="18"/>
          <w:color w:val="auto"/>
        </w:rPr>
      </w:pPr>
    </w:p>
    <w:p>
      <w:pPr>
        <w:ind w:left="980" w:right="60" w:hanging="324"/>
        <w:spacing w:after="0" w:line="265" w:lineRule="auto"/>
        <w:tabs>
          <w:tab w:leader="none" w:pos="976" w:val="left"/>
        </w:tabs>
        <w:numPr>
          <w:ilvl w:val="1"/>
          <w:numId w:val="27"/>
        </w:numPr>
        <w:rPr>
          <w:rFonts w:ascii="Arial" w:cs="Arial" w:eastAsia="Arial" w:hAnsi="Arial"/>
          <w:sz w:val="17"/>
          <w:szCs w:val="17"/>
          <w:color w:val="auto"/>
        </w:rPr>
      </w:pPr>
      <w:r>
        <w:rPr>
          <w:rFonts w:ascii="Arial" w:cs="Arial" w:eastAsia="Arial" w:hAnsi="Arial"/>
          <w:sz w:val="17"/>
          <w:szCs w:val="17"/>
          <w:color w:val="auto"/>
        </w:rPr>
        <w:t>Pistachio revenues for the quarter decreased $1,243,000 primarily due to the decrease in insurance proceeds received in 2021 when compared to 2020. In 2020, we received pistachio insurance proceeds of $3,789,000, but because the 2021 pistachio crop year is a down bearing production year the insurance proceeds were only $466,000, a decrease of $3,323,000. The primary driver leading to higher insurance proceeds in 2020, was the assumption that 2020 production was based on yields typically seen during an on production year, which is much higher than that of the current down bearing production year. With respect to yields, the Company sold 1,615,000 and 456,000 pounds of pistachios for the three months ended September 30, 2021 and 2020, respectively.</w:t>
      </w:r>
    </w:p>
    <w:p>
      <w:pPr>
        <w:spacing w:after="0" w:line="2" w:lineRule="exact"/>
        <w:rPr>
          <w:rFonts w:ascii="Arial" w:cs="Arial" w:eastAsia="Arial" w:hAnsi="Arial"/>
          <w:sz w:val="17"/>
          <w:szCs w:val="17"/>
          <w:color w:val="auto"/>
        </w:rPr>
      </w:pPr>
    </w:p>
    <w:p>
      <w:pPr>
        <w:ind w:left="980" w:right="140" w:hanging="324"/>
        <w:spacing w:after="0" w:line="226" w:lineRule="auto"/>
        <w:tabs>
          <w:tab w:leader="none" w:pos="97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Almond revenues decreased $472,000 as a result of sales timing of the Company's almond crops. Comparatively, the Company sold 337,000 and 529,000 pounds of almonds for the quarters ended September 30, 2021 and 2020, respectively. The supply chain disruption is impacting our ability to deliver almond crop sold in 2021, which would affect the timing of sales resulting in a greater portion of the 2021 crops being sold in 2022.</w:t>
      </w:r>
    </w:p>
    <w:p>
      <w:pPr>
        <w:spacing w:after="0" w:line="81"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Farming segment expenses were $7,296,000 for the three months ended September 30, 2021, a decrease of $812,000, or 10%, from $8,108,000 during the same period in 2020. The decrease in expenses resulted from almond sales timing mentioned above.</w:t>
      </w: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Nine Months Ended 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color w:val="auto"/>
              </w:rPr>
              <w:t>Change</w:t>
            </w:r>
          </w:p>
        </w:tc>
        <w:tc>
          <w:tcPr>
            <w:tcW w:w="114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r>
      <w:tr>
        <w:trPr>
          <w:trHeight w:val="210"/>
        </w:trPr>
        <w:tc>
          <w:tcPr>
            <w:tcW w:w="3780" w:type="dxa"/>
            <w:vAlign w:val="bottom"/>
          </w:tcPr>
          <w:p>
            <w:pPr>
              <w:ind w:left="20"/>
              <w:spacing w:after="0"/>
              <w:rPr>
                <w:sz w:val="20"/>
                <w:szCs w:val="20"/>
                <w:color w:val="auto"/>
              </w:rPr>
            </w:pPr>
            <w:r>
              <w:rPr>
                <w:rFonts w:ascii="Arial" w:cs="Arial" w:eastAsia="Arial" w:hAnsi="Arial"/>
                <w:sz w:val="18"/>
                <w:szCs w:val="18"/>
                <w:color w:val="auto"/>
              </w:rPr>
              <w:t>Farming revenues</w:t>
            </w: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Almonds</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Pistachios</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Wine grapes</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Hay</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farming revenues</w:t>
            </w: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farming expenses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Operating loss from farming</w:t>
            </w: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r>
      <w:tr>
        <w:trPr>
          <w:trHeight w:val="20"/>
        </w:trPr>
        <w:tc>
          <w:tcPr>
            <w:tcW w:w="3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8" w:name="page39"/>
    <w:bookmarkEnd w:id="38"/>
    <w:p>
      <w:pPr>
        <w:ind w:left="340" w:right="360" w:hanging="332"/>
        <w:spacing w:after="0" w:line="27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Farming segment revenues were $7,612,000 for the first nine months of 2021, a decrease of $2,086,000, or 22%, from $9,698,000 during the same period in 2020.</w:t>
      </w:r>
    </w:p>
    <w:p>
      <w:pPr>
        <w:spacing w:after="0" w:line="62" w:lineRule="exact"/>
        <w:rPr>
          <w:rFonts w:ascii="Arial" w:cs="Arial" w:eastAsia="Arial" w:hAnsi="Arial"/>
          <w:sz w:val="18"/>
          <w:szCs w:val="18"/>
          <w:color w:val="auto"/>
        </w:rPr>
      </w:pPr>
    </w:p>
    <w:p>
      <w:pPr>
        <w:ind w:left="980" w:hanging="324"/>
        <w:spacing w:after="0" w:line="273" w:lineRule="auto"/>
        <w:tabs>
          <w:tab w:leader="none" w:pos="976" w:val="left"/>
        </w:tabs>
        <w:numPr>
          <w:ilvl w:val="1"/>
          <w:numId w:val="28"/>
        </w:numPr>
        <w:rPr>
          <w:rFonts w:ascii="Arial" w:cs="Arial" w:eastAsia="Arial" w:hAnsi="Arial"/>
          <w:sz w:val="17"/>
          <w:szCs w:val="17"/>
          <w:color w:val="auto"/>
        </w:rPr>
      </w:pPr>
      <w:r>
        <w:rPr>
          <w:rFonts w:ascii="Arial" w:cs="Arial" w:eastAsia="Arial" w:hAnsi="Arial"/>
          <w:sz w:val="17"/>
          <w:szCs w:val="17"/>
          <w:color w:val="auto"/>
        </w:rPr>
        <w:t>Pistachio revenues decreased $1,263,000 primarily due to the decrease in insurance proceeds received in 2021 when compared to 2020. In 2020, we received pistachio insurance proceeds of $3,789,000, but because the 2021 pistachio crop year is a down bearing production year the insurance proceeds were only $466,000 or a decrease of $3,323,000. The primary driver leading to higher insurance proceeds in 2020, was the assumption that 2020 insurance proceeds were based on yields typically seen during an on production year, which is much higher than that of the current down bearing production year. With respect to yields, the Company sold 1,615,000 and 456,000 pounds of pistachios for the nine months ended September 30, 2021 and 2020, respectively.</w:t>
      </w:r>
    </w:p>
    <w:p>
      <w:pPr>
        <w:spacing w:after="0" w:line="69" w:lineRule="exact"/>
        <w:rPr>
          <w:rFonts w:ascii="Arial" w:cs="Arial" w:eastAsia="Arial" w:hAnsi="Arial"/>
          <w:sz w:val="17"/>
          <w:szCs w:val="17"/>
          <w:color w:val="auto"/>
        </w:rPr>
      </w:pPr>
    </w:p>
    <w:p>
      <w:pPr>
        <w:ind w:left="980" w:right="100" w:hanging="324"/>
        <w:spacing w:after="0" w:line="263" w:lineRule="auto"/>
        <w:tabs>
          <w:tab w:leader="none" w:pos="97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Almond revenues decreased $936,000 as a result of sales timing for current and prior year almond crops. For current year crop, the Company sold 212,000 and 529,000 pounds as of September 30, 2021 and 2020, respectively. For prior year crop, the Company sold 330,000 and 358,000 pounds as of September 30, 2021 and 2020, respectively.</w:t>
      </w:r>
    </w:p>
    <w:p>
      <w:pPr>
        <w:spacing w:after="0" w:line="75"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Farming segment expenses were $9,977,000 for the first nine months of 2021, a decrease of $932,000, or 9%, from $10,909,000 when compared to the same period in 2020. The decrease in expenses resulted from the almond sales timing mentioned above.</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Almond, pistachio, and wine grape crop sales are highly seasonal with most of our sales occurring during the third and fourth quarters. Pricing for nut and grape crops are particularly sensitive to the size of each year’s world crop and the demand for those crops. The U.S. almond industry projects 2021 yields to be in the neighborhood of 2.8 billion pounds compared to 3.1 billion pounds during the previous year. Pistachios for the 2021 crop year are expected to be approximately 0.9 billion pounds compared to 1.1 billion pounds during the previous year. Yields for the Company's 2021 almond and wine grape crops have been comparable with prior year's thus far, while pistachio yields have seen a drastic improvement. Tariffs from China and India, which are major customers of almonds and pistachios, can make American products less competitive and push customers to switch to another producing country.</w:t>
      </w:r>
    </w:p>
    <w:p>
      <w:pPr>
        <w:spacing w:after="0" w:line="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Although extended Federal unemployment benefits have ended, the Company continues to experience challenges with attracting and retaining farm workers. The Company expects this trend to continue over the foreseeable future and will utilize external labor contractors as necessary, which will result in an increase in overall labor costs. The Company is unable to determine the duration of these labor shortages that the Company will likely be experiencing.</w:t>
      </w:r>
    </w:p>
    <w:p>
      <w:pPr>
        <w:spacing w:after="0" w:line="5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Because a majority of the Company's almonds are sold to customers in India and China, it is very likely that there will be sales delays given the current disruption in the global supply chain network. In particular, there is a shortage of truck drivers needed to transport goods to the Los Angeles and Long Beach ports so that goods can be shipped overseas. Additionally, there is a shortage in food grade shipping containers that are necessary to ship almonds overseas. Upcoming holidays will likely exacerbate these issues and it is difficult to predict the extent and duration of current supply chain disruptions.</w:t>
      </w:r>
    </w:p>
    <w:p>
      <w:pPr>
        <w:spacing w:after="0" w:line="3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b w:val="1"/>
                <w:bCs w:val="1"/>
                <w:color w:val="006EBF"/>
              </w:rPr>
              <w:t>Ranch Operations: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53"/>
        </w:trPr>
        <w:tc>
          <w:tcPr>
            <w:tcW w:w="1480" w:type="dxa"/>
            <w:vAlign w:val="bottom"/>
            <w:tcBorders>
              <w:top w:val="single" w:sz="8" w:color="006EBF"/>
            </w:tcBorders>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Ranch Operations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Game management and other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3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Grazing</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Ranch Operations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Ranch Operations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from Ranch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3" w:lineRule="exact"/>
        <w:rPr>
          <w:sz w:val="20"/>
          <w:szCs w:val="20"/>
          <w:color w:val="auto"/>
        </w:rPr>
      </w:pPr>
    </w:p>
    <w:p>
      <w:pPr>
        <w:ind w:left="120" w:hanging="94"/>
        <w:spacing w:after="0"/>
        <w:tabs>
          <w:tab w:leader="none" w:pos="1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Game management and other revenues consist of revenues from hunting, filming, high desert hunt club (a premier upland bird hunting club), and other ancillary activities.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82"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-815975</wp:posOffset>
            </wp:positionV>
            <wp:extent cx="47231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ind w:left="340" w:right="40" w:hanging="332"/>
        <w:spacing w:after="0" w:line="259"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Ranch operations revenues were $996,000 for the three months ended September 30, 2021, an increase of $52,000, or 6%, from $944,000 for the same period in 2020. The increase in revenues is attributed to an increase in hunting memberships, guided hunts, and events held on the Company's land of $149,000. This was offset by a decline in grazing revenues of $97,000, as a result of a drought clause that limited the number of cattle able to graze on the Company's land.</w:t>
      </w:r>
    </w:p>
    <w:p>
      <w:pPr>
        <w:spacing w:after="0" w:line="78" w:lineRule="exact"/>
        <w:rPr>
          <w:rFonts w:ascii="Arial" w:cs="Arial" w:eastAsia="Arial" w:hAnsi="Arial"/>
          <w:sz w:val="18"/>
          <w:szCs w:val="18"/>
          <w:color w:val="auto"/>
        </w:rPr>
      </w:pPr>
    </w:p>
    <w:p>
      <w:pPr>
        <w:ind w:left="340" w:right="180" w:hanging="332"/>
        <w:spacing w:after="0" w:line="308" w:lineRule="auto"/>
        <w:tabs>
          <w:tab w:leader="none" w:pos="3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Ranch operations expenses were $1,182,000 for the three months ended September 30, 2021, an increase of $18,000, or 2%, from $1,164,000 for the same period in 2020. This increase is primarily attributed to an increase in fuel prices when compared to the prior year.</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color w:val="auto"/>
              </w:rPr>
              <w:t>Change</w:t>
            </w:r>
          </w:p>
        </w:tc>
        <w:tc>
          <w:tcPr>
            <w:tcW w:w="1060" w:type="dxa"/>
            <w:vAlign w:val="bottom"/>
            <w:tcBorders>
              <w:bottom w:val="single" w:sz="8" w:color="auto"/>
            </w:tcBorders>
          </w:tcPr>
          <w:p>
            <w:pPr>
              <w:spacing w:after="0"/>
              <w:rPr>
                <w:sz w:val="20"/>
                <w:szCs w:val="20"/>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 in thousands)</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Ranch Operations revenues</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408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Game Management and other </w:t>
            </w:r>
            <w:r>
              <w:rPr>
                <w:rFonts w:ascii="Arial" w:cs="Arial" w:eastAsia="Arial" w:hAnsi="Arial"/>
                <w:sz w:val="23"/>
                <w:szCs w:val="23"/>
                <w:color w:val="auto"/>
                <w:vertAlign w:val="superscript"/>
              </w:rPr>
              <w:t>1</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6"/>
              </w:rPr>
              <w:t>538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4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Grazing</w:t>
            </w: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1,231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5"/>
              </w:rPr>
              <w:t>(153)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Ranch Operations revenues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2,483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385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3"/>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Ranch Operations expenses</w:t>
            </w: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3,748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5"/>
              </w:rPr>
              <w:t>(237)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from Ranch Operations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6"/>
              </w:rPr>
              <w:t>622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ind w:left="40" w:right="200" w:firstLine="6"/>
        <w:spacing w:after="0" w:line="206" w:lineRule="auto"/>
        <w:tabs>
          <w:tab w:leader="none" w:pos="143" w:val="left"/>
        </w:tabs>
        <w:numPr>
          <w:ilvl w:val="1"/>
          <w:numId w:val="31"/>
        </w:numPr>
        <w:rPr>
          <w:rFonts w:ascii="Arial" w:cs="Arial" w:eastAsia="Arial" w:hAnsi="Arial"/>
          <w:sz w:val="23"/>
          <w:szCs w:val="23"/>
          <w:color w:val="auto"/>
          <w:vertAlign w:val="superscript"/>
        </w:rPr>
      </w:pPr>
      <w:r>
        <w:rPr>
          <w:rFonts w:ascii="Arial" w:cs="Arial" w:eastAsia="Arial" w:hAnsi="Arial"/>
          <w:sz w:val="18"/>
          <w:szCs w:val="18"/>
          <w:color w:val="auto"/>
        </w:rPr>
        <w:t>Game management and other revenues consist of revenues from hunting, filming, high desert hunt club (a premier upland bird hunting club), and other ancillary activities.</w:t>
      </w:r>
    </w:p>
    <w:p>
      <w:pPr>
        <w:spacing w:after="0" w:line="200" w:lineRule="exact"/>
        <w:rPr>
          <w:rFonts w:ascii="Arial" w:cs="Arial" w:eastAsia="Arial" w:hAnsi="Arial"/>
          <w:sz w:val="23"/>
          <w:szCs w:val="23"/>
          <w:color w:val="auto"/>
          <w:vertAlign w:val="superscript"/>
        </w:rPr>
      </w:pPr>
    </w:p>
    <w:p>
      <w:pPr>
        <w:spacing w:after="0" w:line="204" w:lineRule="exact"/>
        <w:rPr>
          <w:rFonts w:ascii="Arial" w:cs="Arial" w:eastAsia="Arial" w:hAnsi="Arial"/>
          <w:sz w:val="23"/>
          <w:szCs w:val="23"/>
          <w:color w:val="auto"/>
          <w:vertAlign w:val="superscript"/>
        </w:rPr>
      </w:pPr>
    </w:p>
    <w:p>
      <w:pPr>
        <w:ind w:left="340" w:right="160" w:hanging="332"/>
        <w:spacing w:after="0" w:line="259"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Ranch operations revenues were $2,868,000 for the first nine months of 2021, an increase of $385,000, or 16%, from $2,483,000 for the same period in 2020. The increase in revenues is attributed to an increase in hunting memberships, guided hunts, filming location fees, and events held on the Company's land of $538,000. This was offset by a decline in grazing revenues of $153,000, as a result of a drought clause that limited the number of cattle able to graze on the Company's land.</w:t>
      </w:r>
    </w:p>
    <w:p>
      <w:pPr>
        <w:spacing w:after="0" w:line="78" w:lineRule="exact"/>
        <w:rPr>
          <w:rFonts w:ascii="Arial" w:cs="Arial" w:eastAsia="Arial" w:hAnsi="Arial"/>
          <w:sz w:val="18"/>
          <w:szCs w:val="18"/>
          <w:color w:val="auto"/>
        </w:rPr>
      </w:pPr>
    </w:p>
    <w:p>
      <w:pPr>
        <w:ind w:left="340" w:right="120" w:hanging="332"/>
        <w:spacing w:after="0" w:line="308" w:lineRule="auto"/>
        <w:tabs>
          <w:tab w:leader="none" w:pos="3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Ranch operations expenses were $3,511,000 for the first nine months of 2021, a decrease of $237,000, or 6%, from $3,748,000 for the same period in 2020. This decline is primarily attributed to declines in payroll due to reduced staffing levels as compared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-1440180</wp:posOffset>
            </wp:positionV>
            <wp:extent cx="45091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Corporate and Other:</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Corporate general and administrative costs were $2,021,000 for the three months ended September 30, 2021, a decrease of $100,000, or 5%, from</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$2,121,000 for the same period in 2020. The decrease is primarily attributed to reduced payroll and stock compensation, net of capitalization, of $70,000, which resulted from the 2020 right sizing initiative.</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Corporate general and administrative costs were $6,676,000 for the first nine months of 2021, a decrease of $472,000, or 7%, from $7,148,000 for the same period in 2020. The decrease is primarily attributed to reduced payroll and stock compensation, net of capitalization, of $662,000, which resulted from the 2020 right sizing initiative and the absence of an in-house counsel during the first quarter. This decrease was partially offset by a $223,000 increase in insurance expense.</w:t>
      </w:r>
    </w:p>
    <w:p>
      <w:pPr>
        <w:spacing w:after="0" w:line="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April 17, 2020, the Company sold the building and land that was previously operated by a fast food tenant to its joint venture, Petro Travel Plaza, LLC. The Company received a cash distribution of $2,000,000 from the joint venture, and realized a Gain on Sale of Real Estate of $1,331,000. There were no such transactions in 2021.</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b w:val="1"/>
                <w:bCs w:val="1"/>
                <w:color w:val="006EBF"/>
              </w:rPr>
              <w:t>Joint Ventures: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1180" w:type="dxa"/>
            <w:vAlign w:val="bottom"/>
            <w:tcBorders>
              <w:top w:val="single" w:sz="8" w:color="006EBF"/>
            </w:tcBorders>
          </w:tcPr>
          <w:p>
            <w:pPr>
              <w:spacing w:after="0"/>
              <w:rPr>
                <w:sz w:val="24"/>
                <w:szCs w:val="24"/>
                <w:color w:val="auto"/>
              </w:rPr>
            </w:pP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Equity in earnings (loss)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Petro Travel Plaza Holdings, LLC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Five West Parcel, LLC</w:t>
            </w: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18-19 West,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TRCC/Rock Outlet Center,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TRC-MRC 1,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30"/>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TRC-MRC 2,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TRC-MRC 3,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3800" w:type="dxa"/>
            <w:vAlign w:val="bottom"/>
            <w:gridSpan w:val="2"/>
          </w:tcPr>
          <w:p>
            <w:pPr>
              <w:ind w:left="240"/>
              <w:spacing w:after="0"/>
              <w:rPr>
                <w:sz w:val="20"/>
                <w:szCs w:val="20"/>
                <w:color w:val="auto"/>
              </w:rPr>
            </w:pPr>
            <w:r>
              <w:rPr>
                <w:rFonts w:ascii="Arial" w:cs="Arial" w:eastAsia="Arial" w:hAnsi="Arial"/>
                <w:sz w:val="18"/>
                <w:szCs w:val="18"/>
                <w:color w:val="auto"/>
              </w:rPr>
              <w:t>TRC-MRC 4,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48"/>
        </w:trPr>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equity in earnings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right="2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Equity in earnings were $1,510,000 for the three months ended September 30, 2021, an increase of $417,000 or 38%, from $1,093,000 during the same period in 2020. The changes are primarily attributed to the following:</w:t>
      </w:r>
    </w:p>
    <w:p>
      <w:pPr>
        <w:spacing w:after="0" w:line="48" w:lineRule="exact"/>
        <w:rPr>
          <w:rFonts w:ascii="Arial" w:cs="Arial" w:eastAsia="Arial" w:hAnsi="Arial"/>
          <w:sz w:val="18"/>
          <w:szCs w:val="18"/>
          <w:color w:val="auto"/>
        </w:rPr>
      </w:pPr>
    </w:p>
    <w:p>
      <w:pPr>
        <w:ind w:left="980" w:right="380" w:hanging="324"/>
        <w:spacing w:after="0" w:line="259" w:lineRule="auto"/>
        <w:tabs>
          <w:tab w:leader="none" w:pos="9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Petro Travel Plaza improved its operating results because it was able to reopen its full service restaurants during the second and third quarters of 2021. These restaurants were closed during most of 2020 in response to California's Blueprint for a Safer Economy, which imposed a variety of restrictions on in-person activities. Additionally, the joint venture saw an increase in traffic as evidenced by a 22% increase in fuel sales volumes over the comparative period.</w:t>
      </w:r>
    </w:p>
    <w:p>
      <w:pPr>
        <w:spacing w:after="0" w:line="51" w:lineRule="exact"/>
        <w:rPr>
          <w:rFonts w:ascii="Arial" w:cs="Arial" w:eastAsia="Arial" w:hAnsi="Arial"/>
          <w:sz w:val="18"/>
          <w:szCs w:val="18"/>
          <w:color w:val="auto"/>
        </w:rPr>
      </w:pPr>
    </w:p>
    <w:p>
      <w:pPr>
        <w:ind w:left="980" w:right="140" w:hanging="324"/>
        <w:spacing w:after="0" w:line="277" w:lineRule="auto"/>
        <w:tabs>
          <w:tab w:leader="none" w:pos="9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TRCC/Rock Outlet Center improved its operating results as a result of not having to issue COVID-19 related lease concessions in 2021. Additionally, there were fewer tenant departures over the comparative periods.</w:t>
      </w:r>
    </w:p>
    <w:p>
      <w:pPr>
        <w:spacing w:after="0" w:line="48" w:lineRule="exact"/>
        <w:rPr>
          <w:rFonts w:ascii="Arial" w:cs="Arial" w:eastAsia="Arial" w:hAnsi="Arial"/>
          <w:sz w:val="18"/>
          <w:szCs w:val="18"/>
          <w:color w:val="auto"/>
        </w:rPr>
      </w:pPr>
    </w:p>
    <w:p>
      <w:pPr>
        <w:ind w:left="980" w:right="460" w:hanging="324"/>
        <w:spacing w:after="0" w:line="277" w:lineRule="auto"/>
        <w:tabs>
          <w:tab w:leader="none" w:pos="9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Over the comparative periods, TRC-MRC 3 had unfavorable operating results as a result of an increase in depreciation and amortization resulting from placing the building fully into service starting in June of 2020.</w:t>
      </w:r>
    </w:p>
    <w:p>
      <w:pPr>
        <w:spacing w:after="0" w:line="89"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460" w:type="dxa"/>
            <w:vAlign w:val="bottom"/>
          </w:tcPr>
          <w:p>
            <w:pPr>
              <w:spacing w:after="0"/>
              <w:rPr>
                <w:sz w:val="20"/>
                <w:szCs w:val="20"/>
                <w:color w:val="auto"/>
              </w:rPr>
            </w:pPr>
          </w:p>
        </w:tc>
        <w:tc>
          <w:tcPr>
            <w:tcW w:w="1920" w:type="dxa"/>
            <w:vAlign w:val="bottom"/>
            <w:gridSpan w:val="3"/>
          </w:tcPr>
          <w:p>
            <w:pPr>
              <w:ind w:left="1080"/>
              <w:spacing w:after="0"/>
              <w:rPr>
                <w:sz w:val="20"/>
                <w:szCs w:val="20"/>
                <w:color w:val="auto"/>
              </w:rPr>
            </w:pPr>
            <w:r>
              <w:rPr>
                <w:rFonts w:ascii="Arial" w:cs="Arial" w:eastAsia="Arial" w:hAnsi="Arial"/>
                <w:sz w:val="18"/>
                <w:szCs w:val="18"/>
                <w:color w:val="auto"/>
              </w:rPr>
              <w:t>Change</w:t>
            </w:r>
          </w:p>
        </w:tc>
        <w:tc>
          <w:tcPr>
            <w:tcW w:w="1260" w:type="dxa"/>
            <w:vAlign w:val="bottom"/>
          </w:tcPr>
          <w:p>
            <w:pPr>
              <w:spacing w:after="0"/>
              <w:rPr>
                <w:sz w:val="20"/>
                <w:szCs w:val="20"/>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r>
      <w:tr>
        <w:trPr>
          <w:trHeight w:val="210"/>
        </w:trPr>
        <w:tc>
          <w:tcPr>
            <w:tcW w:w="3700" w:type="dxa"/>
            <w:vAlign w:val="bottom"/>
          </w:tcPr>
          <w:p>
            <w:pPr>
              <w:ind w:left="20"/>
              <w:spacing w:after="0"/>
              <w:rPr>
                <w:sz w:val="20"/>
                <w:szCs w:val="20"/>
                <w:color w:val="auto"/>
              </w:rPr>
            </w:pPr>
            <w:r>
              <w:rPr>
                <w:rFonts w:ascii="Arial" w:cs="Arial" w:eastAsia="Arial" w:hAnsi="Arial"/>
                <w:sz w:val="18"/>
                <w:szCs w:val="18"/>
                <w:color w:val="auto"/>
              </w:rPr>
              <w:t>Equity in earnings (loss)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Petro Travel Plaza Holdings, LLC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3700" w:type="dxa"/>
            <w:vAlign w:val="bottom"/>
          </w:tcPr>
          <w:p>
            <w:pPr>
              <w:ind w:left="240"/>
              <w:spacing w:after="0"/>
              <w:rPr>
                <w:sz w:val="20"/>
                <w:szCs w:val="20"/>
                <w:color w:val="auto"/>
              </w:rPr>
            </w:pPr>
            <w:r>
              <w:rPr>
                <w:rFonts w:ascii="Arial" w:cs="Arial" w:eastAsia="Arial" w:hAnsi="Arial"/>
                <w:sz w:val="18"/>
                <w:szCs w:val="18"/>
                <w:color w:val="auto"/>
              </w:rPr>
              <w:t>Five West Parcel, LLC</w:t>
            </w:r>
          </w:p>
        </w:tc>
        <w:tc>
          <w:tcPr>
            <w:tcW w:w="2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18-19 West, LLC</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TRCC/Rock Outlet Center, LLC</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TRC-MRC 1, LLC</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3700" w:type="dxa"/>
            <w:vAlign w:val="bottom"/>
          </w:tcPr>
          <w:p>
            <w:pPr>
              <w:ind w:left="240"/>
              <w:spacing w:after="0"/>
              <w:rPr>
                <w:sz w:val="20"/>
                <w:szCs w:val="20"/>
                <w:color w:val="auto"/>
              </w:rPr>
            </w:pPr>
            <w:r>
              <w:rPr>
                <w:rFonts w:ascii="Arial" w:cs="Arial" w:eastAsia="Arial" w:hAnsi="Arial"/>
                <w:sz w:val="18"/>
                <w:szCs w:val="18"/>
                <w:color w:val="auto"/>
              </w:rPr>
              <w:t>TRC-MRC 2, LLC</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TRC-MRC 3, LLC</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TRC-MRC 4, LLC</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 earnings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8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Equity in earnings were $2,816,000 for the nine months ended September 30, 2021, a decrease of $813,000, or 22%, from $3,629,000 during the same period in 2020. The changes are primarily attributed to the following:</w:t>
      </w:r>
    </w:p>
    <w:p>
      <w:pPr>
        <w:spacing w:after="0" w:line="62" w:lineRule="exact"/>
        <w:rPr>
          <w:rFonts w:ascii="Arial" w:cs="Arial" w:eastAsia="Arial" w:hAnsi="Arial"/>
          <w:sz w:val="18"/>
          <w:szCs w:val="18"/>
          <w:color w:val="auto"/>
        </w:rPr>
      </w:pPr>
    </w:p>
    <w:p>
      <w:pPr>
        <w:ind w:left="980" w:hanging="324"/>
        <w:spacing w:after="0" w:line="263" w:lineRule="auto"/>
        <w:tabs>
          <w:tab w:leader="none" w:pos="97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Petro Travel Plaza improved its fuel sales volume by 24% in 2021 when compared to 2020. However, the Company's share of operating results declined by $915,000 as a result of a 91% increase in the overall cost of fuel that was only partially mitigated by a 64% increase in fuel sales prices. Increasing fuel costs may impact sales volumes over the upcoming holiday season.</w:t>
      </w:r>
    </w:p>
    <w:p>
      <w:pPr>
        <w:spacing w:after="0" w:line="75" w:lineRule="exact"/>
        <w:rPr>
          <w:rFonts w:ascii="Arial" w:cs="Arial" w:eastAsia="Arial" w:hAnsi="Arial"/>
          <w:sz w:val="18"/>
          <w:szCs w:val="18"/>
          <w:color w:val="auto"/>
        </w:rPr>
      </w:pPr>
    </w:p>
    <w:p>
      <w:pPr>
        <w:ind w:left="980" w:right="360" w:hanging="324"/>
        <w:spacing w:after="0" w:line="277" w:lineRule="auto"/>
        <w:tabs>
          <w:tab w:leader="none" w:pos="97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18-19 West joint venture improved its operating results after generating land purchase option revenues from a prospective third-party buyer.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41" w:name="page42"/>
    <w:bookmarkEnd w:id="41"/>
    <w:p>
      <w:pPr>
        <w:ind w:left="980" w:right="26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factors driving changes in TRCC/Rock Outlet Center and TRC-MRC 3 for the nine months ended September 30, 2021 are the same as those discussed within the Company's quarterly operating results.</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conjunction with providing relief to certain tenants, the TRCC/Rock Outlet Center agreed to defer rent for certain tenants due to the closure of the outlet center from March 20, 2020 through May 27, 2020. The following table sets forth information regarding the minimum rents billed and deferred to-date at the TRCC/Rock Outlet Center property level as of September 30, 2021. We continue to assess the probability of collecting outstanding receivables related to the two tenants that are currently in on-going negotiations. Management will continue to monitor each negotiation diligently, and when determined collectability is not probable, will reserve accordingly. As of the nine-months ended September 30, 2021, average sales per vehicle were greater than pre-pandemic levels.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ind w:left="20"/>
              <w:spacing w:after="0"/>
              <w:rPr>
                <w:sz w:val="20"/>
                <w:szCs w:val="20"/>
                <w:color w:val="auto"/>
              </w:rPr>
            </w:pPr>
            <w:r>
              <w:rPr>
                <w:rFonts w:ascii="Arial" w:cs="Arial" w:eastAsia="Arial" w:hAnsi="Arial"/>
                <w:sz w:val="18"/>
                <w:szCs w:val="18"/>
                <w:color w:val="auto"/>
              </w:rPr>
              <w:t>($ in thousands, except number of</w:t>
            </w:r>
          </w:p>
        </w:tc>
        <w:tc>
          <w:tcPr>
            <w:tcW w:w="1020" w:type="dxa"/>
            <w:vAlign w:val="bottom"/>
            <w:gridSpan w:val="2"/>
            <w:vMerge w:val="restart"/>
          </w:tcPr>
          <w:p>
            <w:pPr>
              <w:ind w:left="140"/>
              <w:spacing w:after="0"/>
              <w:rPr>
                <w:sz w:val="20"/>
                <w:szCs w:val="20"/>
                <w:color w:val="auto"/>
              </w:rPr>
            </w:pPr>
            <w:r>
              <w:rPr>
                <w:rFonts w:ascii="Arial" w:cs="Arial" w:eastAsia="Arial" w:hAnsi="Arial"/>
                <w:sz w:val="18"/>
                <w:szCs w:val="18"/>
                <w:color w:val="auto"/>
              </w:rPr>
              <w:t>Tenants</w:t>
            </w:r>
            <w:r>
              <w:rPr>
                <w:rFonts w:ascii="Arial" w:cs="Arial" w:eastAsia="Arial" w:hAnsi="Arial"/>
                <w:sz w:val="23"/>
                <w:szCs w:val="23"/>
                <w:color w:val="auto"/>
                <w:vertAlign w:val="superscript"/>
              </w:rPr>
              <w:t>1</w:t>
            </w:r>
          </w:p>
        </w:tc>
        <w:tc>
          <w:tcPr>
            <w:tcW w:w="2420" w:type="dxa"/>
            <w:vAlign w:val="bottom"/>
            <w:gridSpan w:val="3"/>
          </w:tcPr>
          <w:p>
            <w:pPr>
              <w:ind w:left="20"/>
              <w:spacing w:after="0"/>
              <w:rPr>
                <w:sz w:val="20"/>
                <w:szCs w:val="20"/>
                <w:color w:val="auto"/>
              </w:rPr>
            </w:pPr>
            <w:r>
              <w:rPr>
                <w:rFonts w:ascii="Arial" w:cs="Arial" w:eastAsia="Arial" w:hAnsi="Arial"/>
                <w:sz w:val="18"/>
                <w:szCs w:val="18"/>
                <w:color w:val="auto"/>
                <w:w w:val="97"/>
              </w:rPr>
              <w:t>Cumulative Deferred Rent due</w:t>
            </w:r>
          </w:p>
        </w:tc>
        <w:tc>
          <w:tcPr>
            <w:tcW w:w="21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Cumulative Deferred Rent</w:t>
            </w:r>
          </w:p>
        </w:tc>
        <w:tc>
          <w:tcPr>
            <w:tcW w:w="120" w:type="dxa"/>
            <w:vAlign w:val="bottom"/>
          </w:tcPr>
          <w:p>
            <w:pPr>
              <w:spacing w:after="0"/>
              <w:rPr>
                <w:sz w:val="17"/>
                <w:szCs w:val="17"/>
                <w:color w:val="auto"/>
              </w:rPr>
            </w:pPr>
          </w:p>
        </w:tc>
        <w:tc>
          <w:tcPr>
            <w:tcW w:w="2500" w:type="dxa"/>
            <w:vAlign w:val="bottom"/>
          </w:tcPr>
          <w:p>
            <w:pPr>
              <w:jc w:val="right"/>
              <w:ind w:right="50"/>
              <w:spacing w:after="0"/>
              <w:rPr>
                <w:sz w:val="20"/>
                <w:szCs w:val="20"/>
                <w:color w:val="auto"/>
              </w:rPr>
            </w:pPr>
            <w:r>
              <w:rPr>
                <w:rFonts w:ascii="Arial" w:cs="Arial" w:eastAsia="Arial" w:hAnsi="Arial"/>
                <w:sz w:val="18"/>
                <w:szCs w:val="18"/>
                <w:color w:val="auto"/>
                <w:w w:val="90"/>
              </w:rPr>
              <w:t>Deferred Rent to be Collected in</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tenants)</w:t>
            </w:r>
          </w:p>
        </w:tc>
        <w:tc>
          <w:tcPr>
            <w:tcW w:w="10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gridSpan w:val="2"/>
          </w:tcPr>
          <w:p>
            <w:pPr>
              <w:ind w:left="280"/>
              <w:spacing w:after="0"/>
              <w:rPr>
                <w:sz w:val="20"/>
                <w:szCs w:val="20"/>
                <w:color w:val="auto"/>
              </w:rPr>
            </w:pPr>
            <w:r>
              <w:rPr>
                <w:rFonts w:ascii="Arial" w:cs="Arial" w:eastAsia="Arial" w:hAnsi="Arial"/>
                <w:sz w:val="18"/>
                <w:szCs w:val="18"/>
                <w:color w:val="auto"/>
              </w:rPr>
              <w:t>to COVID-19</w:t>
            </w:r>
          </w:p>
        </w:tc>
        <w:tc>
          <w:tcPr>
            <w:tcW w:w="400" w:type="dxa"/>
            <w:vAlign w:val="bottom"/>
          </w:tcPr>
          <w:p>
            <w:pPr>
              <w:spacing w:after="0"/>
              <w:rPr>
                <w:sz w:val="19"/>
                <w:szCs w:val="19"/>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Collected</w:t>
            </w:r>
          </w:p>
        </w:tc>
        <w:tc>
          <w:tcPr>
            <w:tcW w:w="120" w:type="dxa"/>
            <w:vAlign w:val="bottom"/>
          </w:tcPr>
          <w:p>
            <w:pPr>
              <w:spacing w:after="0"/>
              <w:rPr>
                <w:sz w:val="19"/>
                <w:szCs w:val="19"/>
                <w:color w:val="auto"/>
              </w:rPr>
            </w:pPr>
          </w:p>
        </w:tc>
        <w:tc>
          <w:tcPr>
            <w:tcW w:w="2500" w:type="dxa"/>
            <w:vAlign w:val="bottom"/>
          </w:tcPr>
          <w:p>
            <w:pPr>
              <w:jc w:val="right"/>
              <w:ind w:right="390"/>
              <w:spacing w:after="0"/>
              <w:rPr>
                <w:sz w:val="20"/>
                <w:szCs w:val="20"/>
                <w:color w:val="auto"/>
              </w:rPr>
            </w:pPr>
            <w:r>
              <w:rPr>
                <w:rFonts w:ascii="Arial" w:cs="Arial" w:eastAsia="Arial" w:hAnsi="Arial"/>
                <w:sz w:val="18"/>
                <w:szCs w:val="18"/>
                <w:color w:val="auto"/>
              </w:rPr>
              <w:t>the Remainder of 2021</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Deferral Agreements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center"/>
              <w:ind w:left="1150"/>
              <w:spacing w:after="0"/>
              <w:rPr>
                <w:sz w:val="20"/>
                <w:szCs w:val="20"/>
                <w:color w:val="auto"/>
              </w:rPr>
            </w:pPr>
            <w:r>
              <w:rPr>
                <w:rFonts w:ascii="Arial" w:cs="Arial" w:eastAsia="Arial" w:hAnsi="Arial"/>
                <w:sz w:val="18"/>
                <w:szCs w:val="18"/>
                <w:color w:val="auto"/>
                <w:w w:val="93"/>
              </w:rPr>
              <w:t>190</w:t>
            </w:r>
          </w:p>
        </w:tc>
        <w:tc>
          <w:tcPr>
            <w:tcW w:w="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Rent Abatement Agreements</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gridSpan w:val="2"/>
          </w:tcPr>
          <w:p>
            <w:pPr>
              <w:jc w:val="center"/>
              <w:ind w:left="1010"/>
              <w:spacing w:after="0" w:line="230" w:lineRule="exact"/>
              <w:rPr>
                <w:sz w:val="20"/>
                <w:szCs w:val="20"/>
                <w:color w:val="auto"/>
              </w:rPr>
            </w:pPr>
            <w:r>
              <w:rPr>
                <w:rFonts w:ascii="Arial" w:cs="Arial" w:eastAsia="Arial" w:hAnsi="Arial"/>
                <w:sz w:val="18"/>
                <w:szCs w:val="18"/>
                <w:color w:val="auto"/>
                <w:w w:val="93"/>
              </w:rPr>
              <w:t>N/A</w:t>
            </w:r>
            <w:r>
              <w:rPr>
                <w:rFonts w:ascii="Arial" w:cs="Arial" w:eastAsia="Arial" w:hAnsi="Arial"/>
                <w:sz w:val="23"/>
                <w:szCs w:val="23"/>
                <w:color w:val="auto"/>
                <w:w w:val="93"/>
                <w:vertAlign w:val="superscript"/>
              </w:rPr>
              <w:t>2</w:t>
            </w:r>
          </w:p>
        </w:tc>
        <w:tc>
          <w:tcPr>
            <w:tcW w:w="120" w:type="dxa"/>
            <w:vAlign w:val="bottom"/>
          </w:tcPr>
          <w:p>
            <w:pPr>
              <w:spacing w:after="0"/>
              <w:rPr>
                <w:sz w:val="19"/>
                <w:szCs w:val="19"/>
                <w:color w:val="auto"/>
              </w:rPr>
            </w:pPr>
          </w:p>
        </w:tc>
        <w:tc>
          <w:tcPr>
            <w:tcW w:w="2500" w:type="dxa"/>
            <w:vAlign w:val="bottom"/>
          </w:tcPr>
          <w:p>
            <w:pPr>
              <w:jc w:val="right"/>
              <w:spacing w:after="0" w:line="230" w:lineRule="exact"/>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21"/>
        </w:trPr>
        <w:tc>
          <w:tcPr>
            <w:tcW w:w="29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3"/>
              </w:rPr>
              <w:t>190</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0628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100" w:hanging="74"/>
        <w:spacing w:after="0" w:line="197" w:lineRule="auto"/>
        <w:tabs>
          <w:tab w:leader="none" w:pos="10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Excludes percentage rent tenants.</w:t>
      </w:r>
    </w:p>
    <w:p>
      <w:pPr>
        <w:ind w:left="100" w:hanging="74"/>
        <w:spacing w:after="0" w:line="207" w:lineRule="auto"/>
        <w:tabs>
          <w:tab w:leader="none" w:pos="10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There are no subsequent collections to be made under a rent abatement 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0628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"Non-GAAP Financial Measures" for further financial discussion of the results of our joint ventures.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General Outlook</w:t>
      </w:r>
    </w:p>
    <w:p>
      <w:pPr>
        <w:spacing w:after="0" w:line="10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operations of the Company are seasonal and future results of operations cannot reliably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3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COVID-19 pandemic and resulting global economic disruptions have impacted our operations and are expected to continue to impact our operations through the remainder of 2021. For a detailed discussion of the pandemic and its expected effects, refer to the section above titled "The COVID-19 Pandemic" and "Results of Operations by Segment."</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2020,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Income Taxes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nine months ended September 30, 2021, the Company had net income tax expense of $1,237,000 compared to $1,111,000 for the nine months ended September 30, 2020. The effective tax rates approximated 38% and 229% for the nine months ended September 30, 2021 and 2020, respectively. As of September 30, 2021, income tax receivables were $674,000. The Company classifies interest and penalties incurred on tax payments as income tax expenses. The Company's effective tax rates were higher than statutory rates primarily because permanent differences related to Section 162(m) limitations and discrete tax expense associated with stock compensation. The Section 162(m) compensation deduction limitations occurred due to changes in tax law arising from the 2017 Tax Cuts Jobs Act.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 material impact on the Company's current income tax payable.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Cash Flow and Liquidity</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 enhance shareholder value over the long-term, we expect to continue to make investments in our real estate segments to secure land entitlement approvals, build infrastructure for our developments, provide adequate water supplies, and provide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ind w:right="560"/>
        <w:spacing w:after="0" w:line="277" w:lineRule="auto"/>
        <w:rPr>
          <w:sz w:val="20"/>
          <w:szCs w:val="20"/>
          <w:color w:val="auto"/>
        </w:rPr>
      </w:pPr>
      <w:r>
        <w:rPr>
          <w:rFonts w:ascii="Arial" w:cs="Arial" w:eastAsia="Arial" w:hAnsi="Arial"/>
          <w:sz w:val="18"/>
          <w:szCs w:val="18"/>
          <w:color w:val="auto"/>
        </w:rPr>
        <w:t>funds for general land development activities. Within our farming segment, we intend to make investments as needed to improve efficiency and add capacity to its operations when it is profitable to do so.</w:t>
      </w:r>
    </w:p>
    <w:p>
      <w:pPr>
        <w:spacing w:after="0" w:line="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cash, cash equivalents and marketable securities totaled $45,451,000 as of September 30, 2021, a decrease of $12,239,000 from $57,690,000 as of December 31,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 activities for the nine months ended September 30,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8"/>
              </w:rPr>
              <w:t>7,588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(10,775)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690"/>
              <w:spacing w:after="0"/>
              <w:rPr>
                <w:sz w:val="20"/>
                <w:szCs w:val="20"/>
                <w:color w:val="auto"/>
              </w:rPr>
            </w:pPr>
            <w:r>
              <w:rPr>
                <w:rFonts w:ascii="Arial" w:cs="Arial" w:eastAsia="Arial" w:hAnsi="Arial"/>
                <w:sz w:val="18"/>
                <w:szCs w:val="18"/>
                <w:color w:val="auto"/>
                <w:w w:val="88"/>
              </w:rPr>
              <w:t>6,812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4"/>
              </w:rPr>
              <w:t>(5,351)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first nine months of 2021, the Company's operations used $1,916,000 primarily to fund crop cultural costs. The decline in cash flows over the comparative period is primarily attributed to the timing of joint venture distributions.</w:t>
      </w:r>
    </w:p>
    <w:p>
      <w:pPr>
        <w:spacing w:after="0" w:line="3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During the first nine months of 2020, the Company's operations provided $7,588,000. The primary driver was distributions of $6,269,000 from our unconsolidated joint ventures. Additionally, we collected on a portion of our outstanding receivables related to farming.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During the first nine months of 2021, investing activities used $10,775,000. The Company made capital expenditures, inclusive of capitalized interest and payroll (exclusive of stock compensation), of $15,240,000, which includes predevelopment activities for our master planned communities; $3,168,000 consisting of planning and permitting primarily related to the preparation of final maps for Phase 1 of MV; expenditures relating to litigation of $817,000 for Grapevine, and costs related to litigation defense for Centennial of $2,033,000. At TRCC, we spent $2,559,000 on infrastructure improvements, qualifying costs related to land development and the residential community at TRCC-East. Within our farming segment, we spent $6,184,000 developing new almond orchards and grape vineyards, which includes cultural costs for 2021 for orchards not currently in production and replacing machinery and equipment. Lastly, the Company used $2,415,000 to acquire water assets, contributed $2,900,000 into unconsolidated joint ventures, and invested $10,355,000 into marketable securities. The cash outlays previously mentioned were offset by water sales proceeds of $8,997,000, joint venture distributions of $5,690,000 primarily attributed to the sale of land to TRC-MRC 4, and proceeds from matured marketable securities of $5,250,000.</w:t>
      </w:r>
    </w:p>
    <w:p>
      <w:pPr>
        <w:spacing w:after="0" w:line="3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During the first nine months of 2020, investing activities provided $6,812,000. The Company made capital expenditures, inclusive of capitalized interest and payroll (exclusive of stock compensation), of $15,407,000, which includes predevelopment</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activities for our master planned communities; $3,117,000 consisting of planning and permitting primarily related to the preparation of final maps for Phase 1 of MV; expenditures relating to litigation of $1,560,000 for Grapevine, and costs related to litigation defense for Centennial of $2,424,000. At TRCC, we spent $4,441,000 on water treatment infrastructure improvements and general planning. Within our farming segment, we spent $3,741,000 developing new almond orchards, which includes cultural costs for 2020 for orchards not currently in production, and replacing machinery and equipment. Also within investing activities, we had investment security maturities of $30,452,000, of which $5,610,000 was reinvested. The Company also sold building and land in April 2020 that was previously operated by a fast food tenant to its joint venture, Petro Travel Plaza, LLC for $2,000,000. Lastly, the Company used $2,633,000 to acquire long-term water assets.</w:t>
      </w:r>
    </w:p>
    <w:p>
      <w:pPr>
        <w:spacing w:after="0" w:line="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estimated capital investment, inclusive of capitalized interest and payroll, for the remainder of 2021 is primarily related to our real estate projects. These estimated investments include approximately $1,914,000 of infrastructure development at TRCC-East to support continued commercial retail and industrial development and to expand water facilities to support future anticipated absorption. We also plan to invest approximately $250,000 to continue the development of new almond orchards and vineyards, and to replace farm equipment. The farm investments are part of a long-term farm management program to redevelop declining orchards and vineyards to maintain and improve future farm revenues. Lastly, we expect to invest up to $3,004,000 for land planning, litigation/appeals, mapping, federal and state agency permitting activities, and development activities at MV, Centennial, and Grapevine during the remainder of 2021.</w:t>
      </w:r>
    </w:p>
    <w:p>
      <w:pPr>
        <w:spacing w:after="0" w:line="6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nine months ended September 30, 2021 and 2020, was $1,856,000 and $2,059,000, respectively, and is classified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within real estate development. We also capitalized payroll costs related to development, pre-construction, and construction projects which aggregated</w:t>
      </w:r>
    </w:p>
    <w:p>
      <w:pPr>
        <w:spacing w:after="0" w:line="4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$1,901,000 and $2,742,000 for the nine months ended September 30, 2021 and 2020, respectively. Expenditures for repairs and maintenance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During the first nine months of 2021, financing activities used $4,166,000, which was attributable to long-term debt service of $3,200,000 and tax payments on vested share grants of $966,000.</w:t>
      </w:r>
    </w:p>
    <w:p>
      <w:pPr>
        <w:spacing w:after="0" w:line="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During the first nine months of 2020, financing activities used $5,351,000, which was attributable to long-term debt service of $3,767,000 and tax payments on vested share grants of $1,584,000.</w:t>
      </w:r>
    </w:p>
    <w:p>
      <w:pPr>
        <w:spacing w:after="0" w:line="3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certain years or periods having different earnings than comparable periods. Based on the Company's experience, the Company believes it will have adequate cash flows, cash balances, and availability on our line of credit (discussed below) over the next twelve months to fund internal operations. As we move forward with the completion of our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59" w:lineRule="exact"/>
        <w:rPr>
          <w:sz w:val="20"/>
          <w:szCs w:val="20"/>
          <w:color w:val="auto"/>
        </w:rPr>
      </w:pPr>
    </w:p>
    <w:p>
      <w:pPr>
        <w:ind w:right="440"/>
        <w:spacing w:after="0" w:line="340" w:lineRule="auto"/>
        <w:rPr>
          <w:sz w:val="20"/>
          <w:szCs w:val="20"/>
          <w:color w:val="auto"/>
        </w:rPr>
      </w:pPr>
      <w:r>
        <w:rPr>
          <w:rFonts w:ascii="Arial" w:cs="Arial" w:eastAsia="Arial" w:hAnsi="Arial"/>
          <w:sz w:val="16"/>
          <w:szCs w:val="16"/>
          <w:color w:val="auto"/>
        </w:rPr>
        <w:t>We continuously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Capital Structure and Financial Condition</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September 30, 2021, total capitalization at book value was $505,327,000, consisting of $53,878,000 of debt and $451,449,000 of equity, resulting in a debt-to-total-capitalization ratio of approximately 10.7%.</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On October 13, 2014, the Company, as borrower, entered into an Amended and Restated Credit Agreement, a Term Note and a Revolving Line of Credit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Note, with Wells Fargo, or collectively the Credit Facility. The Credit Facility added a $70,000,000 term loan, or Term Loan, to the then existing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$30,000,000 revolving line of credit, or RLC. In August 2019, the Company amended the Term Note (Amended Term Note) and extended its maturity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2029 and amended the RLC to expand the capacity from $30,000,000 to $35,000,000 and extend the maturity to October 5, 2024.</w:t>
      </w:r>
    </w:p>
    <w:p>
      <w:pPr>
        <w:spacing w:after="0" w:line="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Amended Term Note had a $51,869,000 balance as of September 30, 2021. The interest rate per annum applicable to the Amended Term Loan is LIBOR (as defined in the Amended Term Note) plus a margin of 170 basis points. The interest rate for the term of the Amended Term Note has been fixed through the use of an interest rate swap at a rate of 4.16%. The Amended Term Note requires monthly amortization payments pursuant to a schedule set forth in the Amended Term Note, with the final outstanding principal amount due June 5, 2029. The Amended Credit Facility is secured by the Company's farmland and farm assets, which include equipment, crops and crop receivables; the PEF power plant lease and lease site; and related accounts and other rights to payment and inventory.</w:t>
      </w:r>
    </w:p>
    <w:p>
      <w:pPr>
        <w:spacing w:after="0" w:line="13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RLC had no outstanding balance as of September 30, 2021 and December 31, 2020. At the Company’s option, the interest rate on this line of credit can float at 1.50% over a selected LIBOR rate or can be fixed at 1.50% above LIBOR for a fixed rate term. During the term of this RLC (which matures in October 2024), the Company can borrow at any time and partially or wholly repay any outstanding borrowings and then re-borrow, as necessary.</w:t>
      </w:r>
    </w:p>
    <w:p>
      <w:pPr>
        <w:spacing w:after="0" w:line="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future borrowings under the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Amended Credit Facility requires compliance with three financial covenants: (a) total liabilities divided by tangible net worth not greater than 0.75 to 1.0 at each quarter end; (b) a debt service coverage ratio not less than 1.25 to 1.00 as of each quarter end on a rolling four quarter basis; and (c) maintain liquid assets equal to or greater than $20,000,000. At September 30, 2021 and December 31, 2020, the Company was in compliance with those financial covenants.</w:t>
      </w:r>
    </w:p>
    <w:p>
      <w:pPr>
        <w:spacing w:after="0" w:line="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Amended Credit Facility also contains customary negative covenants that limit the ability of TRC to, among other things, make capital expenditures, incur indebtedness and issue guaranties, consummate certain assets sales, acquisitions or mergers, make investments, pay dividends or repurchase stock, or incur liens on any assets.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8"/>
          <w:szCs w:val="18"/>
          <w:color w:val="auto"/>
        </w:rPr>
        <w:t>The Amended Credit Facility contains customary events of default, including: failure to make required payments; failure to comply with terms of the Amended Credit Facility; bankruptcy and insolvency; and a change in control without consent of bank (which consent will not be unreasonably withheld). The Amended Credit Facility contains other customary terms and conditions, including representations and warranties, which are typical for credit facilities of this type.</w:t>
      </w:r>
    </w:p>
    <w:p>
      <w:pPr>
        <w:spacing w:after="0" w:line="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also has a $4,750,000 promissory note agreement whose principal and interest due monthly began October 1, 2013. The interest rate on this promissory note is 4.25% per annum, with principal and interest payments ending on September 1, 2028. The balance as of September 30, 2021 was $2,009,000.</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 the issuance of additional common stock.</w:t>
      </w:r>
    </w:p>
    <w:p>
      <w:pPr>
        <w:spacing w:after="0" w:line="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2019, we filed an updated shelf registration statement on Form S-3, which went effective in May 2019. Under the shelf registration statement, we may offer and sell in the future one or more offerings not to exceed $200,000,000,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5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Although we have a strong liquidity position at September 30, 2021 with $45,451,000 in cash and securities and $35,000,000 available on our RLC to meet any short-term liquidity needs, we have taken steps to maximize positive cash flow, in case a lack of liquidity in the economy limits our access to third party funding by responsibly limiting cash expenditures to the extent practical. See Note 3 (Marketable Securities) and Note 7 (Line of Credit and Long-Term Debt) of the Notes to Unaudited Consolidated Financial Statements for more information.</w:t>
      </w:r>
    </w:p>
    <w:p>
      <w:pPr>
        <w:spacing w:after="0" w:line="5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Contractual Cash Obligations</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our contractual cash obligations and commercial commitments as of September 30, 2021, to be paid over the next five years and thereafter:</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ind w:left="1200"/>
              <w:spacing w:after="0"/>
              <w:rPr>
                <w:sz w:val="20"/>
                <w:szCs w:val="20"/>
                <w:color w:val="auto"/>
              </w:rPr>
            </w:pPr>
            <w:r>
              <w:rPr>
                <w:rFonts w:ascii="Arial" w:cs="Arial" w:eastAsia="Arial" w:hAnsi="Arial"/>
                <w:sz w:val="18"/>
                <w:szCs w:val="18"/>
                <w:color w:val="auto"/>
                <w:w w:val="90"/>
              </w:rPr>
              <w:t>Payments Due by Period</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One Year or Less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Years 2-3</w:t>
            </w: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Years 4-5</w:t>
            </w:r>
          </w:p>
        </w:tc>
        <w:tc>
          <w:tcPr>
            <w:tcW w:w="20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w w:val="98"/>
              </w:rPr>
              <w:t>Thereafter</w:t>
            </w:r>
          </w:p>
        </w:tc>
      </w:tr>
      <w:tr>
        <w:trPr>
          <w:trHeight w:val="210"/>
        </w:trPr>
        <w:tc>
          <w:tcPr>
            <w:tcW w:w="3880" w:type="dxa"/>
            <w:vAlign w:val="bottom"/>
          </w:tcPr>
          <w:p>
            <w:pPr>
              <w:ind w:left="20"/>
              <w:spacing w:after="0"/>
              <w:rPr>
                <w:sz w:val="20"/>
                <w:szCs w:val="20"/>
                <w:color w:val="auto"/>
              </w:rPr>
            </w:pPr>
            <w:r>
              <w:rPr>
                <w:rFonts w:ascii="Arial" w:cs="Arial" w:eastAsia="Arial" w:hAnsi="Arial"/>
                <w:sz w:val="18"/>
                <w:szCs w:val="18"/>
                <w:color w:val="auto"/>
              </w:rPr>
              <w:t>Contractual Obligations: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Estimated water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209,715</w:t>
            </w: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29,622</w:t>
            </w:r>
          </w:p>
        </w:tc>
      </w:tr>
      <w:tr>
        <w:trPr>
          <w:trHeight w:val="229"/>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long-term debt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Cash contract commitments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Plan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SERP</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2,232</w:t>
            </w:r>
          </w:p>
        </w:tc>
      </w:tr>
      <w:tr>
        <w:trPr>
          <w:trHeight w:val="23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Tejon Ranch Conservancy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tcPr>
          <w:p>
            <w:pPr>
              <w:ind w:left="140"/>
              <w:spacing w:after="0"/>
              <w:rPr>
                <w:sz w:val="20"/>
                <w:szCs w:val="20"/>
                <w:color w:val="auto"/>
              </w:rPr>
            </w:pPr>
            <w:r>
              <w:rPr>
                <w:rFonts w:ascii="Arial" w:cs="Arial" w:eastAsia="Arial" w:hAnsi="Arial"/>
                <w:sz w:val="18"/>
                <w:szCs w:val="18"/>
                <w:color w:val="auto"/>
              </w:rPr>
              <w:t>Financing fees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80" w:type="dxa"/>
            <w:vAlign w:val="bottom"/>
          </w:tcPr>
          <w:p>
            <w:pPr>
              <w:ind w:left="3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246,866</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categories above include purchase obligations and other long-term liabilities reflected on our balance sheet under GAAP. A “purchase obligation” is defined in Item 303(a)(5)(ii)(D) of Regulation S-K as “an agreement to purchase goods or services that is enforceable and legally binding on the registrant that specifies all significant terms, including: fixed or minimum quantities to be purchased; fixed, minimum or variable price provisions; and the approximate timing of the transaction.” Based on this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ind w:right="60"/>
        <w:spacing w:after="0" w:line="277" w:lineRule="auto"/>
        <w:rPr>
          <w:sz w:val="20"/>
          <w:szCs w:val="20"/>
          <w:color w:val="auto"/>
        </w:rPr>
      </w:pPr>
      <w:r>
        <w:rPr>
          <w:rFonts w:ascii="Arial" w:cs="Arial" w:eastAsia="Arial" w:hAnsi="Arial"/>
          <w:sz w:val="18"/>
          <w:szCs w:val="18"/>
          <w:color w:val="auto"/>
        </w:rPr>
        <w:t>definition, the table above includes only those contracts that include fixed or minimum obligations. It does not include normal purchases, which are made in the ordinary course of business.</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expect to contribute $165,000 to our defined benefit plan in 2021.</w:t>
      </w:r>
    </w:p>
    <w:p>
      <w:pPr>
        <w:spacing w:after="0" w:line="5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financial obligations to the Tejon Ranch Conservancy are prescribed in the Conservation Agreement, as discussed in Note 12 (Commitments and Contingencies) of the Notes to Unaudited Consolidated Financial Statements. Our advances to the Tejon Ranch Conservancy were dependent on the occurrence of certain events and their timing and were therefore subject to change in amount and period. The amounts included above are the minimum amounts we anticipate contributing through the year 2021, at which time our current contractual obligation terminates. See Note 12 (Commitments and Contingencies) of the Notes to Unaudited Consolidated Financial Statements for a discussion of litigation related to payment obligations to the Tejon Ranch Conservancy.</w:t>
      </w: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5" w:right="4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006EBF"/>
              </w:rPr>
              <w:t>Off-Balance Sheet Arrangements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7"/>
        </w:trPr>
        <w:tc>
          <w:tcPr>
            <w:tcW w:w="8460" w:type="dxa"/>
            <w:vAlign w:val="bottom"/>
            <w:gridSpan w:val="10"/>
          </w:tcPr>
          <w:p>
            <w:pPr>
              <w:spacing w:after="0"/>
              <w:rPr>
                <w:sz w:val="20"/>
                <w:szCs w:val="20"/>
                <w:color w:val="auto"/>
              </w:rPr>
            </w:pPr>
            <w:r>
              <w:rPr>
                <w:rFonts w:ascii="Arial" w:cs="Arial" w:eastAsia="Arial" w:hAnsi="Arial"/>
                <w:sz w:val="18"/>
                <w:szCs w:val="18"/>
                <w:color w:val="auto"/>
                <w:w w:val="98"/>
              </w:rPr>
              <w:t>The following table shows contingent obligations we have with respect to certain bonds issued by the CFDs: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4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color w:val="auto"/>
              </w:rPr>
              <w:t>Amount of Commitment Expiration Per Period</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8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&lt; 1 year</w:t>
            </w:r>
          </w:p>
        </w:tc>
        <w:tc>
          <w:tcPr>
            <w:tcW w:w="2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2 -3 Years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4 -5 Years</w:t>
            </w:r>
          </w:p>
        </w:tc>
        <w:tc>
          <w:tcPr>
            <w:tcW w:w="1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After 5 Years</w:t>
            </w: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Other Commercial Commitments: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Standby letter of credit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color w:val="auto"/>
              </w:rPr>
              <w:t>Total other commercial commitments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1"/>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w:t>
      </w:r>
    </w:p>
    <w:p>
      <w:pPr>
        <w:spacing w:after="0" w:line="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sale of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September 30, 2021, that the letter of credit will likely never be drawn upon. This letter of credit is for a two-year period and will be renewed in two-year intervals as necessary. The annual cost related to the letter of credit is approximately $68,000. The taxing of each individual property sold or leased within each CFD is not determinable at this time because it is based on the current tax rate of the property at the time of sale or at the time it is leased to a third-party. Accordingly, the Company is not required to recognize an obligation as of September 30, 2021.</w:t>
      </w:r>
    </w:p>
    <w:p>
      <w:pPr>
        <w:spacing w:after="0" w:line="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2021, aggregate outstanding debt of unconsolidated joint ventures was $127,535,000. We provided a guarantee on $113,263,000 of this debt, relating to our joint ventures with Rockefeller and Majestic. Because of positive cash flow generation within the Rockefeller and Majestic joint ventures, we, as of September 30, 2021, do not expect the guarantee to be called upon. We do not provide a guarantee on the $14,272,000 of debt related to our joint venture with TA/Petro.</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006EBF"/>
        </w:rPr>
        <w:t>Non-GAAP Financial Measures</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EBITDA represents earnings before interest, taxes, depreciation, and amortization, a non-GAAP financial measure, and is used by us and others as a supplemental measure of performance. Adjusted EBITDA is used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120"/>
              <w:spacing w:after="0"/>
              <w:rPr>
                <w:sz w:val="20"/>
                <w:szCs w:val="20"/>
                <w:color w:val="auto"/>
              </w:rPr>
            </w:pPr>
            <w:r>
              <w:rPr>
                <w:rFonts w:ascii="Arial" w:cs="Arial" w:eastAsia="Arial" w:hAnsi="Arial"/>
                <w:sz w:val="18"/>
                <w:szCs w:val="18"/>
                <w:color w:val="auto"/>
              </w:rPr>
              <w:t>Three Months Ended September 30,</w:t>
            </w:r>
          </w:p>
        </w:tc>
        <w:tc>
          <w:tcPr>
            <w:tcW w:w="240" w:type="dxa"/>
            <w:vAlign w:val="bottom"/>
          </w:tcPr>
          <w:p>
            <w:pPr>
              <w:spacing w:after="0"/>
              <w:rPr>
                <w:sz w:val="20"/>
                <w:szCs w:val="20"/>
                <w:color w:val="auto"/>
              </w:rPr>
            </w:pPr>
          </w:p>
        </w:tc>
        <w:tc>
          <w:tcPr>
            <w:tcW w:w="3060" w:type="dxa"/>
            <w:vAlign w:val="bottom"/>
            <w:gridSpan w:val="4"/>
          </w:tcPr>
          <w:p>
            <w:pPr>
              <w:jc w:val="right"/>
              <w:ind w:right="290"/>
              <w:spacing w:after="0"/>
              <w:rPr>
                <w:sz w:val="20"/>
                <w:szCs w:val="20"/>
                <w:color w:val="auto"/>
              </w:rPr>
            </w:pPr>
            <w:r>
              <w:rPr>
                <w:rFonts w:ascii="Arial" w:cs="Arial" w:eastAsia="Arial" w:hAnsi="Arial"/>
                <w:sz w:val="18"/>
                <w:szCs w:val="18"/>
                <w:color w:val="auto"/>
                <w:w w:val="94"/>
              </w:rPr>
              <w:t>Nine Months Ended September 30,</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7"/>
              </w:rPr>
              <w:t>Net income (loss) attributable to non-controlling interest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Interest, net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175"/>
        </w:trPr>
        <w:tc>
          <w:tcPr>
            <w:tcW w:w="4480" w:type="dxa"/>
            <w:vAlign w:val="bottom"/>
          </w:tcPr>
          <w:p>
            <w:pPr>
              <w:ind w:left="140"/>
              <w:spacing w:after="0" w:line="176" w:lineRule="exact"/>
              <w:rPr>
                <w:sz w:val="20"/>
                <w:szCs w:val="20"/>
                <w:color w:val="auto"/>
              </w:rPr>
            </w:pPr>
            <w:r>
              <w:rPr>
                <w:rFonts w:ascii="Arial" w:cs="Arial" w:eastAsia="Arial" w:hAnsi="Arial"/>
                <w:sz w:val="18"/>
                <w:szCs w:val="18"/>
                <w:color w:val="auto"/>
                <w:w w:val="97"/>
              </w:rPr>
              <w:t>Our share of interest expense from unconsolidated joint</w:t>
            </w:r>
          </w:p>
        </w:tc>
        <w:tc>
          <w:tcPr>
            <w:tcW w:w="2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ventures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Our share of depreciation and amortization from</w:t>
            </w: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unconsolidated joint ventures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compensation expense</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3140" w:type="dxa"/>
            <w:vAlign w:val="bottom"/>
            <w:gridSpan w:val="4"/>
          </w:tcPr>
          <w:p>
            <w:pPr>
              <w:jc w:val="right"/>
              <w:ind w:right="350"/>
              <w:spacing w:after="0"/>
              <w:rPr>
                <w:sz w:val="20"/>
                <w:szCs w:val="20"/>
                <w:color w:val="auto"/>
              </w:rPr>
            </w:pPr>
            <w:r>
              <w:rPr>
                <w:rFonts w:ascii="Arial" w:cs="Arial" w:eastAsia="Arial" w:hAnsi="Arial"/>
                <w:sz w:val="18"/>
                <w:szCs w:val="18"/>
                <w:color w:val="auto"/>
                <w:w w:val="95"/>
              </w:rPr>
              <w:t>Nine Months Ended September 30,</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Commercial/Industrial operating income</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176"/>
        </w:trPr>
        <w:tc>
          <w:tcPr>
            <w:tcW w:w="4340" w:type="dxa"/>
            <w:vAlign w:val="bottom"/>
          </w:tcPr>
          <w:p>
            <w:pPr>
              <w:ind w:left="140"/>
              <w:spacing w:after="0" w:line="176" w:lineRule="exact"/>
              <w:rPr>
                <w:sz w:val="20"/>
                <w:szCs w:val="20"/>
                <w:color w:val="auto"/>
              </w:rPr>
            </w:pPr>
            <w:r>
              <w:rPr>
                <w:rFonts w:ascii="Arial" w:cs="Arial" w:eastAsia="Arial" w:hAnsi="Arial"/>
                <w:sz w:val="18"/>
                <w:szCs w:val="18"/>
                <w:color w:val="auto"/>
              </w:rPr>
              <w:t>Plus: Commercial/Industrial depreciation and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Plus: General, administrative, cost of sales and other</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Other revenues including land sales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Commercial/Industrial net operating income</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3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4"/>
                <w:szCs w:val="24"/>
                <w:color w:val="auto"/>
              </w:rPr>
            </w:pPr>
          </w:p>
        </w:tc>
        <w:tc>
          <w:tcPr>
            <w:tcW w:w="3140" w:type="dxa"/>
            <w:vAlign w:val="bottom"/>
            <w:gridSpan w:val="4"/>
          </w:tcPr>
          <w:p>
            <w:pPr>
              <w:jc w:val="right"/>
              <w:ind w:right="350"/>
              <w:spacing w:after="0"/>
              <w:rPr>
                <w:sz w:val="20"/>
                <w:szCs w:val="20"/>
                <w:color w:val="auto"/>
              </w:rPr>
            </w:pPr>
            <w:r>
              <w:rPr>
                <w:rFonts w:ascii="Arial" w:cs="Arial" w:eastAsia="Arial" w:hAnsi="Arial"/>
                <w:sz w:val="18"/>
                <w:szCs w:val="18"/>
                <w:color w:val="auto"/>
                <w:w w:val="95"/>
              </w:rPr>
              <w:t>Nine Months Ended September 30,</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operating income</w:t>
            </w:r>
          </w:p>
        </w:tc>
        <w:tc>
          <w:tcPr>
            <w:tcW w:w="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Pastoria Energy Facility</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TRCC</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 leases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commercial leases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Commercial/Industrial net operating income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3160" w:type="dxa"/>
            <w:vAlign w:val="bottom"/>
            <w:gridSpan w:val="5"/>
          </w:tcPr>
          <w:p>
            <w:pPr>
              <w:ind w:left="16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of unconsolidated joint ventures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of unconsolidated joint ventures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of unconsolidated joint ventures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40" w:type="dxa"/>
            <w:vAlign w:val="bottom"/>
          </w:tcPr>
          <w:p>
            <w:pPr>
              <w:ind w:left="20"/>
              <w:spacing w:after="0" w:line="176" w:lineRule="exact"/>
              <w:rPr>
                <w:sz w:val="20"/>
                <w:szCs w:val="20"/>
                <w:color w:val="auto"/>
              </w:rPr>
            </w:pPr>
            <w:r>
              <w:rPr>
                <w:rFonts w:ascii="Arial" w:cs="Arial" w:eastAsia="Arial" w:hAnsi="Arial"/>
                <w:sz w:val="18"/>
                <w:szCs w:val="18"/>
                <w:color w:val="auto"/>
              </w:rPr>
              <w:t>Depreciation and amortization of unconsolidated joint</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6,072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ventures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income of unconsolidated joint ventures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6EBF"/>
        </w:rPr>
        <w:t>ITEM 3. QUANTITATIVE AND QUALITATIVE DISCLOSURES ABOUT MARKET RISK</w:t>
      </w:r>
    </w:p>
    <w:p>
      <w:pPr>
        <w:spacing w:after="0" w:line="9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Risks</w:t>
      </w:r>
    </w:p>
    <w:p>
      <w:pPr>
        <w:spacing w:after="0" w:line="10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exposure to financial market risks includes changes to interest rates and credit risks related to marketable securities, interest rates related to our outstanding indebtedness and trade receivables.</w:t>
      </w:r>
    </w:p>
    <w:p>
      <w:pPr>
        <w:spacing w:after="0" w:line="3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2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RLC had no outstanding balance as of September 30, 2021.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62"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We are exposed to interest rate risk on our long-term debt. Long-term debt consists of two term loans, one of which has a balance of $51,869,000 as of September 30, 2021 and is tied to LIBOR plus a margin of 1.70%. The interest rate for the term of this loan has been fixed through the use of an interest rate swap that fixed the rate at 4.16%. The outstanding balance on the second term loan as of September 30, 2021 was $2,009,000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Rate Sensitivity Financial Market Risks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percentage data)</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Thereafter</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960" w:type="dxa"/>
            <w:vAlign w:val="bottom"/>
          </w:tcPr>
          <w:p>
            <w:pPr>
              <w:ind w:left="10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$6,795</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$7,791</w:t>
            </w: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Weighted average interest rate</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0.17%</w:t>
            </w: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0.16%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Long-term debt ($4.75M note)</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$62</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$254</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$265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$277</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$289</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$862</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$2,009</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$2,009</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line="176" w:lineRule="exact"/>
              <w:rPr>
                <w:sz w:val="20"/>
                <w:szCs w:val="20"/>
                <w:color w:val="auto"/>
              </w:rPr>
            </w:pPr>
            <w:r>
              <w:rPr>
                <w:rFonts w:ascii="Arial" w:cs="Arial" w:eastAsia="Arial" w:hAnsi="Arial"/>
                <w:sz w:val="18"/>
                <w:szCs w:val="18"/>
                <w:color w:val="auto"/>
              </w:rPr>
              <w:t>Long-term debt (Amended Term</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$1,033</w:t>
            </w:r>
          </w:p>
        </w:tc>
        <w:tc>
          <w:tcPr>
            <w:tcW w:w="10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7"/>
              </w:rPr>
              <w:t>$4,221</w:t>
            </w:r>
          </w:p>
        </w:tc>
        <w:tc>
          <w:tcPr>
            <w:tcW w:w="10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$4,429</w:t>
            </w:r>
          </w:p>
        </w:tc>
        <w:tc>
          <w:tcPr>
            <w:tcW w:w="10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$4,624</w:t>
            </w:r>
          </w:p>
        </w:tc>
        <w:tc>
          <w:tcPr>
            <w:tcW w:w="10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0"/>
              </w:rPr>
              <w:t>$4,825</w:t>
            </w:r>
          </w:p>
        </w:tc>
        <w:tc>
          <w:tcPr>
            <w:tcW w:w="10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9"/>
              </w:rPr>
              <w:t>$32,737</w:t>
            </w:r>
          </w:p>
        </w:tc>
        <w:tc>
          <w:tcPr>
            <w:tcW w:w="10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9"/>
              </w:rPr>
              <w:t>$51,869</w:t>
            </w:r>
          </w:p>
        </w:tc>
        <w:tc>
          <w:tcPr>
            <w:tcW w:w="10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$51,869</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Loan)</w:t>
            </w: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interest rate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Interest Rate Sensitivity Financial Market Risks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 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percentage data)</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4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Thereafter</w:t>
            </w: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020" w:type="dxa"/>
            <w:vAlign w:val="bottom"/>
          </w:tcPr>
          <w:p>
            <w:pPr>
              <w:ind w:left="1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9"/>
        </w:trPr>
        <w:tc>
          <w:tcPr>
            <w:tcW w:w="2400" w:type="dxa"/>
            <w:vAlign w:val="bottom"/>
            <w:vMerge w:val="continue"/>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$2,766</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$2,766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$2,771</w:t>
            </w:r>
          </w:p>
        </w:tc>
        <w:tc>
          <w:tcPr>
            <w:tcW w:w="0" w:type="dxa"/>
            <w:vAlign w:val="bottom"/>
          </w:tcPr>
          <w:p>
            <w:pPr>
              <w:spacing w:after="0"/>
              <w:rPr>
                <w:sz w:val="1"/>
                <w:szCs w:val="1"/>
                <w:color w:val="auto"/>
              </w:rPr>
            </w:pPr>
          </w:p>
        </w:tc>
      </w:tr>
      <w:tr>
        <w:trPr>
          <w:trHeight w:val="229"/>
        </w:trPr>
        <w:tc>
          <w:tcPr>
            <w:tcW w:w="2400" w:type="dxa"/>
            <w:vAlign w:val="bottom"/>
          </w:tcPr>
          <w:p>
            <w:pPr>
              <w:ind w:left="120"/>
              <w:spacing w:after="0"/>
              <w:rPr>
                <w:sz w:val="20"/>
                <w:szCs w:val="20"/>
                <w:color w:val="auto"/>
              </w:rPr>
            </w:pPr>
            <w:r>
              <w:rPr>
                <w:rFonts w:ascii="Arial" w:cs="Arial" w:eastAsia="Arial" w:hAnsi="Arial"/>
                <w:sz w:val="18"/>
                <w:szCs w:val="18"/>
                <w:color w:val="auto"/>
                <w:w w:val="91"/>
              </w:rPr>
              <w:t>Weighted average interest rate</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0.99%</w:t>
            </w: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0.99%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w w:val="99"/>
              </w:rPr>
              <w:t>Long-term debt ($4.75M note)</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$244</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$254</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$265</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$277</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$289</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$862</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$2,191</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$2,191</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Weighted average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w w:val="99"/>
              </w:rPr>
              <w:t>Long-term debt ($70.0M note)</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$4,051</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$4,221</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$4,429</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$4,624</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$4,825</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$32,737</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$54,887</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$54,887</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Weighted average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Exposure</w:t>
      </w:r>
    </w:p>
    <w:p>
      <w:pPr>
        <w:spacing w:after="0" w:line="10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Farming inventories and accounts receivables are exposed to adverse price fluctuations. Farming inventories consists of farming cultural and processing costs associated with crop production. Farming inventory costs are recorded as incurred. Historically, these costs have been recovered through crop sales occurring after harvest.</w:t>
      </w:r>
    </w:p>
    <w:p>
      <w:pPr>
        <w:spacing w:after="0" w:line="4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With respect to accounts receivables, the amount at risk primarily relates to farm crops. These receivables are recorded as estimates of the prices that ultimately will be received for the crops. The final price is generally not known for several months following the close of our fiscal year. Of the $5,974,000 of accounts receivable outstanding at September 30, 2021, $3,462,417, or 58%, pertains to pistachio sales receivables that are at risk to changing prices.</w:t>
      </w:r>
    </w:p>
    <w:p>
      <w:pPr>
        <w:spacing w:after="0" w:line="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price estimated for the remaining accounts receivable for pistachios recorded at September 30, 2021 was $2.14 per pound and compared to $2.04 at December 31, 2020 levels. For each $0.01 change in the price per pound of pistachios, our receivable for pistachios increases or decreases by $16,200. Although the final price per pound of pistachios, and therefore the extent of the risk is presently unknown, pricing over the past three years has ranged from $2.12 to $3.31.</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6EBF"/>
        </w:rPr>
        <w:t>ITEM 4. CONTROLS AND PROCEDURES</w:t>
      </w:r>
    </w:p>
    <w:p>
      <w:pPr>
        <w:spacing w:after="0" w:line="121"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the end of the period covered by this report,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58" w:lineRule="exact"/>
        <w:rPr>
          <w:sz w:val="20"/>
          <w:szCs w:val="20"/>
          <w:color w:val="auto"/>
        </w:rPr>
      </w:pPr>
    </w:p>
    <w:p>
      <w:pPr>
        <w:ind w:left="560" w:hanging="552"/>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7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7" w:right="41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6EBF"/>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1. Legal Proceedings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12 (Commitments and Contingencies) in the Notes to Unaudited Consolidated Financial Statements in this report.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1A. 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previously disclosed in Part I, Item 1A in our most recent Annual Report on Form 10-K.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3. Defaults Upon Senior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5.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Borders>
              <w:bottom w:val="single" w:sz="8" w:color="006EBF"/>
            </w:tcBorders>
            <w:gridSpan w:val="2"/>
          </w:tcPr>
          <w:p>
            <w:pPr>
              <w:spacing w:after="0"/>
              <w:rPr>
                <w:sz w:val="20"/>
                <w:szCs w:val="20"/>
                <w:color w:val="auto"/>
              </w:rPr>
            </w:pPr>
            <w:r>
              <w:rPr>
                <w:rFonts w:ascii="Arial" w:cs="Arial" w:eastAsia="Arial" w:hAnsi="Arial"/>
                <w:sz w:val="18"/>
                <w:szCs w:val="18"/>
                <w:b w:val="1"/>
                <w:bCs w:val="1"/>
                <w:color w:val="006EBF"/>
                <w:w w:val="92"/>
              </w:rPr>
              <w:t>Item 6. Exhibits:</w:t>
            </w:r>
          </w:p>
        </w:tc>
        <w:tc>
          <w:tcPr>
            <w:tcW w:w="8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3.1</w:t>
            </w:r>
          </w:p>
        </w:tc>
        <w:tc>
          <w:tcPr>
            <w:tcW w:w="8760" w:type="dxa"/>
            <w:vAlign w:val="bottom"/>
            <w:gridSpan w:val="2"/>
          </w:tcPr>
          <w:p>
            <w:pPr>
              <w:ind w:left="80"/>
              <w:spacing w:after="0"/>
              <w:rPr>
                <w:rFonts w:ascii="Arial" w:cs="Arial" w:eastAsia="Arial" w:hAnsi="Arial"/>
                <w:sz w:val="18"/>
                <w:szCs w:val="18"/>
                <w:color w:val="auto"/>
              </w:rPr>
            </w:pPr>
            <w:hyperlink r:id="rId73">
              <w:r>
                <w:rPr>
                  <w:rFonts w:ascii="Arial" w:cs="Arial" w:eastAsia="Arial" w:hAnsi="Arial"/>
                  <w:sz w:val="18"/>
                  <w:szCs w:val="18"/>
                  <w:color w:val="auto"/>
                </w:rPr>
                <w:t>Restated Certificate of Incorporation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3.2</w:t>
            </w:r>
          </w:p>
        </w:tc>
        <w:tc>
          <w:tcPr>
            <w:tcW w:w="8760" w:type="dxa"/>
            <w:vAlign w:val="bottom"/>
            <w:gridSpan w:val="2"/>
          </w:tcPr>
          <w:p>
            <w:pPr>
              <w:ind w:left="80"/>
              <w:spacing w:after="0"/>
              <w:rPr>
                <w:rFonts w:ascii="Arial" w:cs="Arial" w:eastAsia="Arial" w:hAnsi="Arial"/>
                <w:sz w:val="18"/>
                <w:szCs w:val="18"/>
                <w:color w:val="auto"/>
              </w:rPr>
            </w:pPr>
            <w:hyperlink r:id="rId74">
              <w:r>
                <w:rPr>
                  <w:rFonts w:ascii="Arial" w:cs="Arial" w:eastAsia="Arial" w:hAnsi="Arial"/>
                  <w:sz w:val="18"/>
                  <w:szCs w:val="18"/>
                  <w:color w:val="auto"/>
                </w:rPr>
                <w:t>Amended and Restated Bylaws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4.3</w:t>
            </w:r>
          </w:p>
        </w:tc>
        <w:tc>
          <w:tcPr>
            <w:tcW w:w="8760" w:type="dxa"/>
            <w:vAlign w:val="bottom"/>
            <w:gridSpan w:val="2"/>
          </w:tcPr>
          <w:p>
            <w:pPr>
              <w:ind w:left="80"/>
              <w:spacing w:after="0"/>
              <w:rPr>
                <w:rFonts w:ascii="Arial" w:cs="Arial" w:eastAsia="Arial" w:hAnsi="Arial"/>
                <w:sz w:val="18"/>
                <w:szCs w:val="18"/>
                <w:color w:val="auto"/>
              </w:rPr>
            </w:pPr>
            <w:hyperlink r:id="rId75">
              <w:r>
                <w:rPr>
                  <w:rFonts w:ascii="Arial" w:cs="Arial" w:eastAsia="Arial" w:hAnsi="Arial"/>
                  <w:sz w:val="18"/>
                  <w:szCs w:val="18"/>
                  <w:color w:val="auto"/>
                </w:rPr>
                <w:t>Registration and Reimbursement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5</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4.5</w:t>
            </w:r>
          </w:p>
        </w:tc>
        <w:tc>
          <w:tcPr>
            <w:tcW w:w="8760" w:type="dxa"/>
            <w:vAlign w:val="bottom"/>
            <w:gridSpan w:val="2"/>
          </w:tcPr>
          <w:p>
            <w:pPr>
              <w:ind w:left="80"/>
              <w:spacing w:after="0"/>
              <w:rPr>
                <w:rFonts w:ascii="Arial" w:cs="Arial" w:eastAsia="Arial" w:hAnsi="Arial"/>
                <w:sz w:val="18"/>
                <w:szCs w:val="18"/>
                <w:color w:val="auto"/>
              </w:rPr>
            </w:pPr>
            <w:hyperlink r:id="rId76">
              <w:r>
                <w:rPr>
                  <w:rFonts w:ascii="Arial" w:cs="Arial" w:eastAsia="Arial" w:hAnsi="Arial"/>
                  <w:sz w:val="18"/>
                  <w:szCs w:val="18"/>
                  <w:color w:val="auto"/>
                </w:rPr>
                <w:t>Form of Indenture for Debt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37</w:t>
            </w:r>
          </w:p>
        </w:tc>
        <w:tc>
          <w:tcPr>
            <w:tcW w:w="0" w:type="dxa"/>
            <w:vAlign w:val="bottom"/>
          </w:tcPr>
          <w:p>
            <w:pPr>
              <w:spacing w:after="0"/>
              <w:rPr>
                <w:sz w:val="1"/>
                <w:szCs w:val="1"/>
                <w:color w:val="auto"/>
              </w:rPr>
            </w:pPr>
          </w:p>
        </w:tc>
      </w:tr>
      <w:tr>
        <w:trPr>
          <w:trHeight w:val="176"/>
        </w:trPr>
        <w:tc>
          <w:tcPr>
            <w:tcW w:w="1180" w:type="dxa"/>
            <w:vAlign w:val="bottom"/>
            <w:gridSpan w:val="2"/>
          </w:tcPr>
          <w:p>
            <w:pPr>
              <w:jc w:val="right"/>
              <w:ind w:right="30"/>
              <w:spacing w:after="0" w:line="176" w:lineRule="exact"/>
              <w:rPr>
                <w:sz w:val="20"/>
                <w:szCs w:val="20"/>
                <w:color w:val="auto"/>
              </w:rPr>
            </w:pPr>
            <w:r>
              <w:rPr>
                <w:rFonts w:ascii="Arial" w:cs="Arial" w:eastAsia="Arial" w:hAnsi="Arial"/>
                <w:sz w:val="18"/>
                <w:szCs w:val="18"/>
                <w:color w:val="auto"/>
              </w:rPr>
              <w:t>10.1</w:t>
            </w:r>
          </w:p>
        </w:tc>
        <w:tc>
          <w:tcPr>
            <w:tcW w:w="87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Water Service Contract with Wheeler Ridge-Maricopa Water Storage District (without exhibits), amendments</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FN 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760" w:type="dxa"/>
            <w:vAlign w:val="bottom"/>
            <w:gridSpan w:val="2"/>
          </w:tcPr>
          <w:p>
            <w:pPr>
              <w:ind w:left="80"/>
              <w:spacing w:after="0"/>
              <w:rPr>
                <w:sz w:val="20"/>
                <w:szCs w:val="20"/>
                <w:color w:val="auto"/>
              </w:rPr>
            </w:pPr>
            <w:r>
              <w:rPr>
                <w:rFonts w:ascii="Arial" w:cs="Arial" w:eastAsia="Arial" w:hAnsi="Arial"/>
                <w:sz w:val="18"/>
                <w:szCs w:val="18"/>
                <w:color w:val="auto"/>
              </w:rPr>
              <w:t>originally filed under Item 11 to Registrant's Annual Report on Form 10-K</w:t>
            </w: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10.7</w:t>
            </w:r>
          </w:p>
        </w:tc>
        <w:tc>
          <w:tcPr>
            <w:tcW w:w="8760" w:type="dxa"/>
            <w:vAlign w:val="bottom"/>
            <w:gridSpan w:val="2"/>
          </w:tcPr>
          <w:p>
            <w:pPr>
              <w:ind w:left="80"/>
              <w:spacing w:after="0"/>
              <w:rPr>
                <w:rFonts w:ascii="Arial" w:cs="Arial" w:eastAsia="Arial" w:hAnsi="Arial"/>
                <w:sz w:val="18"/>
                <w:szCs w:val="18"/>
                <w:color w:val="auto"/>
              </w:rPr>
            </w:pPr>
            <w:hyperlink r:id="rId77">
              <w:r>
                <w:rPr>
                  <w:rFonts w:ascii="Arial" w:cs="Arial" w:eastAsia="Arial" w:hAnsi="Arial"/>
                  <w:sz w:val="18"/>
                  <w:szCs w:val="18"/>
                  <w:color w:val="auto"/>
                </w:rPr>
                <w:t>*Severance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10.8</w:t>
            </w:r>
          </w:p>
        </w:tc>
        <w:tc>
          <w:tcPr>
            <w:tcW w:w="8760" w:type="dxa"/>
            <w:vAlign w:val="bottom"/>
            <w:gridSpan w:val="2"/>
          </w:tcPr>
          <w:p>
            <w:pPr>
              <w:ind w:left="80"/>
              <w:spacing w:after="0"/>
              <w:rPr>
                <w:rFonts w:ascii="Arial" w:cs="Arial" w:eastAsia="Arial" w:hAnsi="Arial"/>
                <w:sz w:val="18"/>
                <w:szCs w:val="18"/>
                <w:color w:val="auto"/>
              </w:rPr>
            </w:pPr>
            <w:hyperlink r:id="rId77">
              <w:r>
                <w:rPr>
                  <w:rFonts w:ascii="Arial" w:cs="Arial" w:eastAsia="Arial" w:hAnsi="Arial"/>
                  <w:sz w:val="18"/>
                  <w:szCs w:val="18"/>
                  <w:color w:val="auto"/>
                </w:rPr>
                <w:t>*Director Compensation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10.9</w:t>
            </w:r>
          </w:p>
        </w:tc>
        <w:tc>
          <w:tcPr>
            <w:tcW w:w="8760" w:type="dxa"/>
            <w:vAlign w:val="bottom"/>
            <w:gridSpan w:val="2"/>
          </w:tcPr>
          <w:p>
            <w:pPr>
              <w:ind w:left="80"/>
              <w:spacing w:after="0"/>
              <w:rPr>
                <w:rFonts w:ascii="Arial" w:cs="Arial" w:eastAsia="Arial" w:hAnsi="Arial"/>
                <w:sz w:val="18"/>
                <w:szCs w:val="18"/>
                <w:color w:val="auto"/>
              </w:rPr>
            </w:pPr>
            <w:hyperlink r:id="rId78">
              <w:r>
                <w:rPr>
                  <w:rFonts w:ascii="Arial" w:cs="Arial" w:eastAsia="Arial" w:hAnsi="Arial"/>
                  <w:sz w:val="18"/>
                  <w:szCs w:val="18"/>
                  <w:color w:val="auto"/>
                </w:rPr>
                <w:t>*Amended and Restated Non-Employee Director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8</w:t>
            </w:r>
          </w:p>
        </w:tc>
        <w:tc>
          <w:tcPr>
            <w:tcW w:w="0" w:type="dxa"/>
            <w:vAlign w:val="bottom"/>
          </w:tcPr>
          <w:p>
            <w:pPr>
              <w:spacing w:after="0"/>
              <w:rPr>
                <w:sz w:val="1"/>
                <w:szCs w:val="1"/>
                <w:color w:val="auto"/>
              </w:rPr>
            </w:pPr>
          </w:p>
        </w:tc>
      </w:tr>
      <w:tr>
        <w:trPr>
          <w:trHeight w:val="350"/>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8760" w:type="dxa"/>
            <w:vAlign w:val="bottom"/>
            <w:gridSpan w:val="2"/>
          </w:tcPr>
          <w:p>
            <w:pPr>
              <w:ind w:left="80"/>
              <w:spacing w:after="0"/>
              <w:rPr>
                <w:rFonts w:ascii="Arial" w:cs="Arial" w:eastAsia="Arial" w:hAnsi="Arial"/>
                <w:sz w:val="18"/>
                <w:szCs w:val="18"/>
                <w:color w:val="auto"/>
              </w:rPr>
            </w:pPr>
            <w:hyperlink r:id="rId77">
              <w:r>
                <w:rPr>
                  <w:rFonts w:ascii="Arial" w:cs="Arial" w:eastAsia="Arial" w:hAnsi="Arial"/>
                  <w:sz w:val="18"/>
                  <w:szCs w:val="18"/>
                  <w:color w:val="auto"/>
                </w:rPr>
                <w:t>*Stock Option Agreement Pursuant to the Non-Employee Director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10.10</w:t>
            </w:r>
          </w:p>
        </w:tc>
        <w:tc>
          <w:tcPr>
            <w:tcW w:w="8760" w:type="dxa"/>
            <w:vAlign w:val="bottom"/>
            <w:gridSpan w:val="2"/>
          </w:tcPr>
          <w:p>
            <w:pPr>
              <w:ind w:left="80"/>
              <w:spacing w:after="0"/>
              <w:rPr>
                <w:rFonts w:ascii="Arial" w:cs="Arial" w:eastAsia="Arial" w:hAnsi="Arial"/>
                <w:sz w:val="18"/>
                <w:szCs w:val="18"/>
                <w:color w:val="auto"/>
              </w:rPr>
            </w:pPr>
            <w:hyperlink r:id="rId79">
              <w:r>
                <w:rPr>
                  <w:rFonts w:ascii="Arial" w:cs="Arial" w:eastAsia="Arial" w:hAnsi="Arial"/>
                  <w:sz w:val="18"/>
                  <w:szCs w:val="18"/>
                  <w:color w:val="auto"/>
                </w:rPr>
                <w:t>*Amended and Restated 1998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9</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10.10(1)</w:t>
            </w:r>
          </w:p>
        </w:tc>
        <w:tc>
          <w:tcPr>
            <w:tcW w:w="8760" w:type="dxa"/>
            <w:vAlign w:val="bottom"/>
            <w:gridSpan w:val="2"/>
          </w:tcPr>
          <w:p>
            <w:pPr>
              <w:ind w:left="80"/>
              <w:spacing w:after="0"/>
              <w:rPr>
                <w:rFonts w:ascii="Arial" w:cs="Arial" w:eastAsia="Arial" w:hAnsi="Arial"/>
                <w:sz w:val="18"/>
                <w:szCs w:val="18"/>
                <w:color w:val="auto"/>
              </w:rPr>
            </w:pPr>
            <w:hyperlink r:id="rId77">
              <w:r>
                <w:rPr>
                  <w:rFonts w:ascii="Arial" w:cs="Arial" w:eastAsia="Arial" w:hAnsi="Arial"/>
                  <w:sz w:val="18"/>
                  <w:szCs w:val="18"/>
                  <w:color w:val="auto"/>
                </w:rPr>
                <w:t>*Stock Option Agreement Pursuant to the 1998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10.12</w:t>
            </w:r>
          </w:p>
        </w:tc>
        <w:tc>
          <w:tcPr>
            <w:tcW w:w="8760" w:type="dxa"/>
            <w:vAlign w:val="bottom"/>
            <w:gridSpan w:val="2"/>
          </w:tcPr>
          <w:p>
            <w:pPr>
              <w:ind w:left="80"/>
              <w:spacing w:after="0"/>
              <w:rPr>
                <w:rFonts w:ascii="Arial" w:cs="Arial" w:eastAsia="Arial" w:hAnsi="Arial"/>
                <w:sz w:val="18"/>
                <w:szCs w:val="18"/>
                <w:color w:val="auto"/>
              </w:rPr>
            </w:pPr>
            <w:hyperlink r:id="rId80">
              <w:r>
                <w:rPr>
                  <w:rFonts w:ascii="Arial" w:cs="Arial" w:eastAsia="Arial" w:hAnsi="Arial"/>
                  <w:sz w:val="18"/>
                  <w:szCs w:val="18"/>
                  <w:color w:val="auto"/>
                </w:rPr>
                <w:t>Ground Lease with Pastoria Energy Facility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10</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10.15</w:t>
            </w:r>
          </w:p>
        </w:tc>
        <w:tc>
          <w:tcPr>
            <w:tcW w:w="8760" w:type="dxa"/>
            <w:vAlign w:val="bottom"/>
            <w:gridSpan w:val="2"/>
          </w:tcPr>
          <w:p>
            <w:pPr>
              <w:ind w:left="80"/>
              <w:spacing w:after="0"/>
              <w:rPr>
                <w:rFonts w:ascii="Arial" w:cs="Arial" w:eastAsia="Arial" w:hAnsi="Arial"/>
                <w:sz w:val="18"/>
                <w:szCs w:val="18"/>
                <w:color w:val="auto"/>
              </w:rPr>
            </w:pPr>
            <w:hyperlink r:id="rId81">
              <w:r>
                <w:rPr>
                  <w:rFonts w:ascii="Arial" w:cs="Arial" w:eastAsia="Arial" w:hAnsi="Arial"/>
                  <w:sz w:val="18"/>
                  <w:szCs w:val="18"/>
                  <w:color w:val="auto"/>
                </w:rPr>
                <w:t>Form of Securities Purchase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11</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10.16</w:t>
            </w:r>
          </w:p>
        </w:tc>
        <w:tc>
          <w:tcPr>
            <w:tcW w:w="8760" w:type="dxa"/>
            <w:vAlign w:val="bottom"/>
            <w:gridSpan w:val="2"/>
          </w:tcPr>
          <w:p>
            <w:pPr>
              <w:ind w:left="80"/>
              <w:spacing w:after="0"/>
              <w:rPr>
                <w:rFonts w:ascii="Arial" w:cs="Arial" w:eastAsia="Arial" w:hAnsi="Arial"/>
                <w:sz w:val="18"/>
                <w:szCs w:val="18"/>
                <w:color w:val="auto"/>
              </w:rPr>
            </w:pPr>
            <w:hyperlink r:id="rId82">
              <w:r>
                <w:rPr>
                  <w:rFonts w:ascii="Arial" w:cs="Arial" w:eastAsia="Arial" w:hAnsi="Arial"/>
                  <w:sz w:val="18"/>
                  <w:szCs w:val="18"/>
                  <w:color w:val="auto"/>
                </w:rPr>
                <w:t>Form of Registration Rights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12</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10.17</w:t>
            </w:r>
          </w:p>
        </w:tc>
        <w:tc>
          <w:tcPr>
            <w:tcW w:w="8760" w:type="dxa"/>
            <w:vAlign w:val="bottom"/>
            <w:gridSpan w:val="2"/>
          </w:tcPr>
          <w:p>
            <w:pPr>
              <w:ind w:left="80"/>
              <w:spacing w:after="0"/>
              <w:rPr>
                <w:rFonts w:ascii="Arial" w:cs="Arial" w:eastAsia="Arial" w:hAnsi="Arial"/>
                <w:sz w:val="18"/>
                <w:szCs w:val="18"/>
                <w:color w:val="auto"/>
              </w:rPr>
            </w:pPr>
            <w:hyperlink r:id="rId83">
              <w:r>
                <w:rPr>
                  <w:rFonts w:ascii="Arial" w:cs="Arial" w:eastAsia="Arial" w:hAnsi="Arial"/>
                  <w:sz w:val="18"/>
                  <w:szCs w:val="18"/>
                  <w:color w:val="auto"/>
                </w:rPr>
                <w:t>*2004 Stock Incentive Program</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13</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10.18</w:t>
            </w:r>
          </w:p>
        </w:tc>
        <w:tc>
          <w:tcPr>
            <w:tcW w:w="8760" w:type="dxa"/>
            <w:vAlign w:val="bottom"/>
            <w:gridSpan w:val="2"/>
          </w:tcPr>
          <w:p>
            <w:pPr>
              <w:ind w:left="80"/>
              <w:spacing w:after="0"/>
              <w:rPr>
                <w:rFonts w:ascii="Arial" w:cs="Arial" w:eastAsia="Arial" w:hAnsi="Arial"/>
                <w:sz w:val="18"/>
                <w:szCs w:val="18"/>
                <w:color w:val="auto"/>
              </w:rPr>
            </w:pPr>
            <w:hyperlink r:id="rId84">
              <w:r>
                <w:rPr>
                  <w:rFonts w:ascii="Arial" w:cs="Arial" w:eastAsia="Arial" w:hAnsi="Arial"/>
                  <w:sz w:val="18"/>
                  <w:szCs w:val="18"/>
                  <w:color w:val="auto"/>
                </w:rPr>
                <w:t>*Form of Restricted Stock Agreement for Directors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13</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10.19</w:t>
            </w:r>
          </w:p>
        </w:tc>
        <w:tc>
          <w:tcPr>
            <w:tcW w:w="8760" w:type="dxa"/>
            <w:vAlign w:val="bottom"/>
            <w:gridSpan w:val="2"/>
          </w:tcPr>
          <w:p>
            <w:pPr>
              <w:ind w:left="80"/>
              <w:spacing w:after="0"/>
              <w:rPr>
                <w:rFonts w:ascii="Arial" w:cs="Arial" w:eastAsia="Arial" w:hAnsi="Arial"/>
                <w:sz w:val="18"/>
                <w:szCs w:val="18"/>
                <w:color w:val="auto"/>
              </w:rPr>
            </w:pPr>
            <w:hyperlink r:id="rId85">
              <w:r>
                <w:rPr>
                  <w:rFonts w:ascii="Arial" w:cs="Arial" w:eastAsia="Arial" w:hAnsi="Arial"/>
                  <w:sz w:val="18"/>
                  <w:szCs w:val="18"/>
                  <w:color w:val="auto"/>
                </w:rPr>
                <w:t>*Form of Restricted Stock Unit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13</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10.23</w:t>
            </w:r>
          </w:p>
        </w:tc>
        <w:tc>
          <w:tcPr>
            <w:tcW w:w="8760" w:type="dxa"/>
            <w:vAlign w:val="bottom"/>
            <w:gridSpan w:val="2"/>
          </w:tcPr>
          <w:p>
            <w:pPr>
              <w:ind w:left="80"/>
              <w:spacing w:after="0"/>
              <w:rPr>
                <w:rFonts w:ascii="Arial" w:cs="Arial" w:eastAsia="Arial" w:hAnsi="Arial"/>
                <w:sz w:val="18"/>
                <w:szCs w:val="18"/>
                <w:color w:val="auto"/>
              </w:rPr>
            </w:pPr>
            <w:hyperlink r:id="rId86">
              <w:r>
                <w:rPr>
                  <w:rFonts w:ascii="Arial" w:cs="Arial" w:eastAsia="Arial" w:hAnsi="Arial"/>
                  <w:sz w:val="18"/>
                  <w:szCs w:val="18"/>
                  <w:color w:val="auto"/>
                </w:rPr>
                <w:t>Limited Liability Company Agreement of Tejon Mountain Village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14</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10.24</w:t>
            </w:r>
          </w:p>
        </w:tc>
        <w:tc>
          <w:tcPr>
            <w:tcW w:w="8760" w:type="dxa"/>
            <w:vAlign w:val="bottom"/>
            <w:gridSpan w:val="2"/>
          </w:tcPr>
          <w:p>
            <w:pPr>
              <w:ind w:left="80"/>
              <w:spacing w:after="0"/>
              <w:rPr>
                <w:rFonts w:ascii="Arial" w:cs="Arial" w:eastAsia="Arial" w:hAnsi="Arial"/>
                <w:sz w:val="18"/>
                <w:szCs w:val="18"/>
                <w:color w:val="auto"/>
              </w:rPr>
            </w:pPr>
            <w:hyperlink r:id="rId87">
              <w:r>
                <w:rPr>
                  <w:rFonts w:ascii="Arial" w:cs="Arial" w:eastAsia="Arial" w:hAnsi="Arial"/>
                  <w:sz w:val="18"/>
                  <w:szCs w:val="18"/>
                  <w:color w:val="auto"/>
                </w:rPr>
                <w:t>Tejon Ranch Conservation and Land Use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15</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10.25</w:t>
            </w:r>
          </w:p>
        </w:tc>
        <w:tc>
          <w:tcPr>
            <w:tcW w:w="8760" w:type="dxa"/>
            <w:vAlign w:val="bottom"/>
            <w:gridSpan w:val="2"/>
          </w:tcPr>
          <w:p>
            <w:pPr>
              <w:ind w:left="80"/>
              <w:spacing w:after="0"/>
              <w:rPr>
                <w:rFonts w:ascii="Arial" w:cs="Arial" w:eastAsia="Arial" w:hAnsi="Arial"/>
                <w:sz w:val="18"/>
                <w:szCs w:val="18"/>
                <w:color w:val="auto"/>
              </w:rPr>
            </w:pPr>
            <w:hyperlink r:id="rId88">
              <w:r>
                <w:rPr>
                  <w:rFonts w:ascii="Arial" w:cs="Arial" w:eastAsia="Arial" w:hAnsi="Arial"/>
                  <w:sz w:val="18"/>
                  <w:szCs w:val="18"/>
                  <w:color w:val="auto"/>
                </w:rPr>
                <w:t>Second Amended and Restated Limited Liability Agreement of Centennial Founders,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16</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10.26</w:t>
            </w:r>
          </w:p>
        </w:tc>
        <w:tc>
          <w:tcPr>
            <w:tcW w:w="8760" w:type="dxa"/>
            <w:vAlign w:val="bottom"/>
            <w:gridSpan w:val="2"/>
          </w:tcPr>
          <w:p>
            <w:pPr>
              <w:ind w:left="80"/>
              <w:spacing w:after="0"/>
              <w:rPr>
                <w:rFonts w:ascii="Arial" w:cs="Arial" w:eastAsia="Arial" w:hAnsi="Arial"/>
                <w:sz w:val="18"/>
                <w:szCs w:val="18"/>
                <w:color w:val="auto"/>
              </w:rPr>
            </w:pPr>
            <w:hyperlink r:id="rId89">
              <w:r>
                <w:rPr>
                  <w:rFonts w:ascii="Arial" w:cs="Arial" w:eastAsia="Arial" w:hAnsi="Arial"/>
                  <w:sz w:val="18"/>
                  <w:szCs w:val="18"/>
                  <w:color w:val="auto"/>
                </w:rPr>
                <w:t>*Executive Employment Agreement - Allen E. Lyda</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17</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10.27</w:t>
            </w:r>
          </w:p>
        </w:tc>
        <w:tc>
          <w:tcPr>
            <w:tcW w:w="8760" w:type="dxa"/>
            <w:vAlign w:val="bottom"/>
            <w:gridSpan w:val="2"/>
          </w:tcPr>
          <w:p>
            <w:pPr>
              <w:ind w:left="80"/>
              <w:spacing w:after="0"/>
              <w:rPr>
                <w:rFonts w:ascii="Arial" w:cs="Arial" w:eastAsia="Arial" w:hAnsi="Arial"/>
                <w:sz w:val="18"/>
                <w:szCs w:val="18"/>
                <w:color w:val="auto"/>
              </w:rPr>
            </w:pPr>
            <w:hyperlink r:id="rId90">
              <w:r>
                <w:rPr>
                  <w:rFonts w:ascii="Arial" w:cs="Arial" w:eastAsia="Arial" w:hAnsi="Arial"/>
                  <w:sz w:val="18"/>
                  <w:szCs w:val="18"/>
                  <w:color w:val="auto"/>
                </w:rPr>
                <w:t>Limited Liability Company Agreement of TRCC/Rock Outlet Center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18</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10.28</w:t>
            </w:r>
          </w:p>
        </w:tc>
        <w:tc>
          <w:tcPr>
            <w:tcW w:w="8760" w:type="dxa"/>
            <w:vAlign w:val="bottom"/>
            <w:gridSpan w:val="2"/>
          </w:tcPr>
          <w:p>
            <w:pPr>
              <w:ind w:left="80"/>
              <w:spacing w:after="0"/>
              <w:rPr>
                <w:rFonts w:ascii="Arial" w:cs="Arial" w:eastAsia="Arial" w:hAnsi="Arial"/>
                <w:sz w:val="18"/>
                <w:szCs w:val="18"/>
                <w:color w:val="auto"/>
              </w:rPr>
            </w:pPr>
            <w:hyperlink r:id="rId91">
              <w:r>
                <w:rPr>
                  <w:rFonts w:ascii="Arial" w:cs="Arial" w:eastAsia="Arial" w:hAnsi="Arial"/>
                  <w:sz w:val="18"/>
                  <w:szCs w:val="18"/>
                  <w:color w:val="auto"/>
                </w:rPr>
                <w:t>Warrant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19</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10.29</w:t>
            </w:r>
          </w:p>
        </w:tc>
        <w:tc>
          <w:tcPr>
            <w:tcW w:w="8760" w:type="dxa"/>
            <w:vAlign w:val="bottom"/>
            <w:gridSpan w:val="2"/>
          </w:tcPr>
          <w:p>
            <w:pPr>
              <w:ind w:left="80"/>
              <w:spacing w:after="0"/>
              <w:rPr>
                <w:rFonts w:ascii="Arial" w:cs="Arial" w:eastAsia="Arial" w:hAnsi="Arial"/>
                <w:sz w:val="18"/>
                <w:szCs w:val="18"/>
                <w:color w:val="auto"/>
              </w:rPr>
            </w:pPr>
            <w:hyperlink r:id="rId92">
              <w:r>
                <w:rPr>
                  <w:rFonts w:ascii="Arial" w:cs="Arial" w:eastAsia="Arial" w:hAnsi="Arial"/>
                  <w:sz w:val="18"/>
                  <w:szCs w:val="18"/>
                  <w:color w:val="auto"/>
                </w:rPr>
                <w:t>Amendments to Limited Liability Company Agreement of Tejon Mountain Village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20</w:t>
            </w: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10.30</w:t>
            </w:r>
          </w:p>
        </w:tc>
        <w:tc>
          <w:tcPr>
            <w:tcW w:w="8760" w:type="dxa"/>
            <w:vAlign w:val="bottom"/>
            <w:gridSpan w:val="2"/>
          </w:tcPr>
          <w:p>
            <w:pPr>
              <w:ind w:left="80"/>
              <w:spacing w:after="0"/>
              <w:rPr>
                <w:rFonts w:ascii="Arial" w:cs="Arial" w:eastAsia="Arial" w:hAnsi="Arial"/>
                <w:sz w:val="18"/>
                <w:szCs w:val="18"/>
                <w:color w:val="auto"/>
              </w:rPr>
            </w:pPr>
            <w:hyperlink r:id="rId93">
              <w:r>
                <w:rPr>
                  <w:rFonts w:ascii="Arial" w:cs="Arial" w:eastAsia="Arial" w:hAnsi="Arial"/>
                  <w:sz w:val="18"/>
                  <w:szCs w:val="18"/>
                  <w:color w:val="auto"/>
                </w:rPr>
                <w:t>Membership Interest Purchase Agreement - Tejon Mountain Village LLC</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21</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10.31</w:t>
            </w:r>
          </w:p>
        </w:tc>
        <w:tc>
          <w:tcPr>
            <w:tcW w:w="8760" w:type="dxa"/>
            <w:vAlign w:val="bottom"/>
            <w:gridSpan w:val="2"/>
          </w:tcPr>
          <w:p>
            <w:pPr>
              <w:ind w:left="80"/>
              <w:spacing w:after="0"/>
              <w:rPr>
                <w:rFonts w:ascii="Arial" w:cs="Arial" w:eastAsia="Arial" w:hAnsi="Arial"/>
                <w:sz w:val="18"/>
                <w:szCs w:val="18"/>
                <w:color w:val="auto"/>
              </w:rPr>
            </w:pPr>
            <w:hyperlink r:id="rId94">
              <w:r>
                <w:rPr>
                  <w:rFonts w:ascii="Arial" w:cs="Arial" w:eastAsia="Arial" w:hAnsi="Arial"/>
                  <w:sz w:val="18"/>
                  <w:szCs w:val="18"/>
                  <w:color w:val="auto"/>
                </w:rPr>
                <w:t>Amended and Restated Credit Agreement</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22</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10.32</w:t>
            </w:r>
          </w:p>
        </w:tc>
        <w:tc>
          <w:tcPr>
            <w:tcW w:w="8760" w:type="dxa"/>
            <w:vAlign w:val="bottom"/>
            <w:gridSpan w:val="2"/>
          </w:tcPr>
          <w:p>
            <w:pPr>
              <w:ind w:left="80"/>
              <w:spacing w:after="0"/>
              <w:rPr>
                <w:rFonts w:ascii="Arial" w:cs="Arial" w:eastAsia="Arial" w:hAnsi="Arial"/>
                <w:sz w:val="18"/>
                <w:szCs w:val="18"/>
                <w:color w:val="auto"/>
              </w:rPr>
            </w:pPr>
            <w:hyperlink r:id="rId95">
              <w:r>
                <w:rPr>
                  <w:rFonts w:ascii="Arial" w:cs="Arial" w:eastAsia="Arial" w:hAnsi="Arial"/>
                  <w:sz w:val="18"/>
                  <w:szCs w:val="18"/>
                  <w:color w:val="auto"/>
                </w:rPr>
                <w:t>Term Note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FN 25</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760" w:type="dxa"/>
            <w:vAlign w:val="bottom"/>
            <w:gridSpan w:val="2"/>
          </w:tcPr>
          <w:p>
            <w:pPr>
              <w:ind w:left="4360"/>
              <w:spacing w:after="0"/>
              <w:rPr>
                <w:sz w:val="20"/>
                <w:szCs w:val="20"/>
                <w:color w:val="auto"/>
              </w:rPr>
            </w:pPr>
            <w:r>
              <w:rPr>
                <w:rFonts w:ascii="Arial" w:cs="Arial" w:eastAsia="Arial" w:hAnsi="Arial"/>
                <w:sz w:val="18"/>
                <w:szCs w:val="18"/>
                <w:color w:val="auto"/>
              </w:rPr>
              <w:t>53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3" w:name="page54"/>
    <w:bookmarkEnd w:id="53"/>
    <w:tbl>
      <w:tblPr>
        <w:tblLayout w:type="fixed"/>
        <w:tblInd w:w="440" w:type="dxa"/>
        <w:tblCellMar>
          <w:top w:w="0" w:type="dxa"/>
          <w:left w:w="0" w:type="dxa"/>
          <w:bottom w:w="0" w:type="dxa"/>
          <w:right w:w="0" w:type="dxa"/>
        </w:tblCellMar>
      </w:tblP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10.33</w:t>
            </w:r>
          </w:p>
        </w:tc>
        <w:tc>
          <w:tcPr>
            <w:tcW w:w="8580" w:type="dxa"/>
            <w:vAlign w:val="bottom"/>
          </w:tcPr>
          <w:p>
            <w:pPr>
              <w:ind w:left="80"/>
              <w:spacing w:after="0"/>
              <w:rPr>
                <w:rFonts w:ascii="Arial" w:cs="Arial" w:eastAsia="Arial" w:hAnsi="Arial"/>
                <w:sz w:val="18"/>
                <w:szCs w:val="18"/>
                <w:color w:val="auto"/>
              </w:rPr>
            </w:pPr>
            <w:hyperlink r:id="rId98">
              <w:r>
                <w:rPr>
                  <w:rFonts w:ascii="Arial" w:cs="Arial" w:eastAsia="Arial" w:hAnsi="Arial"/>
                  <w:sz w:val="18"/>
                  <w:szCs w:val="18"/>
                  <w:color w:val="auto"/>
                </w:rPr>
                <w:t>Revolving Line of Credit</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36</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8580" w:type="dxa"/>
            <w:vAlign w:val="bottom"/>
          </w:tcPr>
          <w:p>
            <w:pPr>
              <w:ind w:left="80"/>
              <w:spacing w:after="0"/>
              <w:rPr>
                <w:rFonts w:ascii="Arial" w:cs="Arial" w:eastAsia="Arial" w:hAnsi="Arial"/>
                <w:sz w:val="18"/>
                <w:szCs w:val="18"/>
                <w:color w:val="auto"/>
              </w:rPr>
            </w:pPr>
            <w:hyperlink r:id="rId99">
              <w:r>
                <w:rPr>
                  <w:rFonts w:ascii="Arial" w:cs="Arial" w:eastAsia="Arial" w:hAnsi="Arial"/>
                  <w:sz w:val="18"/>
                  <w:szCs w:val="18"/>
                  <w:color w:val="auto"/>
                </w:rPr>
                <w:t>Amendments to Lease Agreement with Pastoria Energy Facility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23</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8580" w:type="dxa"/>
            <w:vAlign w:val="bottom"/>
          </w:tcPr>
          <w:p>
            <w:pPr>
              <w:ind w:left="80"/>
              <w:spacing w:after="0"/>
              <w:rPr>
                <w:rFonts w:ascii="Arial" w:cs="Arial" w:eastAsia="Arial" w:hAnsi="Arial"/>
                <w:sz w:val="18"/>
                <w:szCs w:val="18"/>
                <w:color w:val="auto"/>
              </w:rPr>
            </w:pPr>
            <w:hyperlink r:id="rId100">
              <w:r>
                <w:rPr>
                  <w:rFonts w:ascii="Arial" w:cs="Arial" w:eastAsia="Arial" w:hAnsi="Arial"/>
                  <w:sz w:val="18"/>
                  <w:szCs w:val="18"/>
                  <w:color w:val="auto"/>
                </w:rPr>
                <w:t>Water Supply Agreement with Pastoria Energy Facility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24</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8580" w:type="dxa"/>
            <w:vAlign w:val="bottom"/>
          </w:tcPr>
          <w:p>
            <w:pPr>
              <w:ind w:left="80"/>
              <w:spacing w:after="0"/>
              <w:rPr>
                <w:rFonts w:ascii="Arial" w:cs="Arial" w:eastAsia="Arial" w:hAnsi="Arial"/>
                <w:sz w:val="18"/>
                <w:szCs w:val="18"/>
                <w:color w:val="auto"/>
              </w:rPr>
            </w:pPr>
            <w:hyperlink r:id="rId101">
              <w:r>
                <w:rPr>
                  <w:rFonts w:ascii="Arial" w:cs="Arial" w:eastAsia="Arial" w:hAnsi="Arial"/>
                  <w:sz w:val="18"/>
                  <w:szCs w:val="18"/>
                  <w:color w:val="auto"/>
                </w:rPr>
                <w:t>Limited Liability Company Agreement of TRC-MRC 2,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26</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10.38</w:t>
            </w:r>
          </w:p>
        </w:tc>
        <w:tc>
          <w:tcPr>
            <w:tcW w:w="8580" w:type="dxa"/>
            <w:vAlign w:val="bottom"/>
          </w:tcPr>
          <w:p>
            <w:pPr>
              <w:ind w:left="80"/>
              <w:spacing w:after="0"/>
              <w:rPr>
                <w:rFonts w:ascii="Arial" w:cs="Arial" w:eastAsia="Arial" w:hAnsi="Arial"/>
                <w:sz w:val="18"/>
                <w:szCs w:val="18"/>
                <w:color w:val="auto"/>
              </w:rPr>
            </w:pPr>
            <w:hyperlink r:id="rId102">
              <w:r>
                <w:rPr>
                  <w:rFonts w:ascii="Arial" w:cs="Arial" w:eastAsia="Arial" w:hAnsi="Arial"/>
                  <w:sz w:val="18"/>
                  <w:szCs w:val="18"/>
                  <w:color w:val="auto"/>
                </w:rPr>
                <w:t>Limited Liability Company Agreement of TRC-MRC 1,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27</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10.39</w:t>
            </w:r>
          </w:p>
        </w:tc>
        <w:tc>
          <w:tcPr>
            <w:tcW w:w="8580" w:type="dxa"/>
            <w:vAlign w:val="bottom"/>
          </w:tcPr>
          <w:p>
            <w:pPr>
              <w:ind w:left="80"/>
              <w:spacing w:after="0"/>
              <w:rPr>
                <w:rFonts w:ascii="Arial" w:cs="Arial" w:eastAsia="Arial" w:hAnsi="Arial"/>
                <w:sz w:val="18"/>
                <w:szCs w:val="18"/>
                <w:color w:val="auto"/>
              </w:rPr>
            </w:pPr>
            <w:hyperlink r:id="rId103">
              <w:r>
                <w:rPr>
                  <w:rFonts w:ascii="Arial" w:cs="Arial" w:eastAsia="Arial" w:hAnsi="Arial"/>
                  <w:sz w:val="18"/>
                  <w:szCs w:val="18"/>
                  <w:color w:val="auto"/>
                </w:rPr>
                <w:t>Centennial Founders LLC, Redemption and Withdrawal Agreement - Lewis Tejon Member,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28</w:t>
            </w:r>
          </w:p>
        </w:tc>
      </w:tr>
      <w:tr>
        <w:trPr>
          <w:trHeight w:val="176"/>
        </w:trPr>
        <w:tc>
          <w:tcPr>
            <w:tcW w:w="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10.40</w:t>
            </w:r>
          </w:p>
        </w:tc>
        <w:tc>
          <w:tcPr>
            <w:tcW w:w="8580" w:type="dxa"/>
            <w:vAlign w:val="bottom"/>
          </w:tcPr>
          <w:p>
            <w:pPr>
              <w:ind w:left="80"/>
              <w:spacing w:after="0" w:line="176" w:lineRule="exact"/>
              <w:rPr>
                <w:rFonts w:ascii="Arial" w:cs="Arial" w:eastAsia="Arial" w:hAnsi="Arial"/>
                <w:sz w:val="18"/>
                <w:szCs w:val="18"/>
                <w:color w:val="auto"/>
              </w:rPr>
            </w:pPr>
            <w:hyperlink r:id="rId104">
              <w:r>
                <w:rPr>
                  <w:rFonts w:ascii="Arial" w:cs="Arial" w:eastAsia="Arial" w:hAnsi="Arial"/>
                  <w:sz w:val="18"/>
                  <w:szCs w:val="18"/>
                  <w:color w:val="auto"/>
                </w:rPr>
                <w:t>First Amendment to Second Amended and Restated Limited Liability Company Agreement of Centennial</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FN 29</w:t>
            </w:r>
          </w:p>
        </w:tc>
      </w:tr>
      <w:tr>
        <w:trPr>
          <w:trHeight w:val="229"/>
        </w:trPr>
        <w:tc>
          <w:tcPr>
            <w:tcW w:w="740" w:type="dxa"/>
            <w:vAlign w:val="bottom"/>
          </w:tcPr>
          <w:p>
            <w:pPr>
              <w:spacing w:after="0"/>
              <w:rPr>
                <w:sz w:val="19"/>
                <w:szCs w:val="19"/>
                <w:color w:val="auto"/>
              </w:rPr>
            </w:pPr>
          </w:p>
        </w:tc>
        <w:tc>
          <w:tcPr>
            <w:tcW w:w="8580" w:type="dxa"/>
            <w:vAlign w:val="bottom"/>
          </w:tcPr>
          <w:p>
            <w:pPr>
              <w:ind w:left="80"/>
              <w:spacing w:after="0"/>
              <w:rPr>
                <w:rFonts w:ascii="Arial" w:cs="Arial" w:eastAsia="Arial" w:hAnsi="Arial"/>
                <w:sz w:val="18"/>
                <w:szCs w:val="18"/>
                <w:color w:val="auto"/>
              </w:rPr>
            </w:pPr>
            <w:hyperlink r:id="rId104">
              <w:r>
                <w:rPr>
                  <w:rFonts w:ascii="Arial" w:cs="Arial" w:eastAsia="Arial" w:hAnsi="Arial"/>
                  <w:sz w:val="18"/>
                  <w:szCs w:val="18"/>
                  <w:color w:val="auto"/>
                </w:rPr>
                <w:t>Founders, LLC</w:t>
              </w:r>
            </w:hyperlink>
          </w:p>
        </w:tc>
        <w:tc>
          <w:tcPr>
            <w:tcW w:w="1400" w:type="dxa"/>
            <w:vAlign w:val="bottom"/>
          </w:tcPr>
          <w:p>
            <w:pPr>
              <w:spacing w:after="0"/>
              <w:rPr>
                <w:sz w:val="19"/>
                <w:szCs w:val="19"/>
                <w:color w:val="auto"/>
              </w:rPr>
            </w:pPr>
          </w:p>
        </w:tc>
      </w:tr>
      <w:tr>
        <w:trPr>
          <w:trHeight w:val="176"/>
        </w:trPr>
        <w:tc>
          <w:tcPr>
            <w:tcW w:w="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10.41</w:t>
            </w:r>
          </w:p>
        </w:tc>
        <w:tc>
          <w:tcPr>
            <w:tcW w:w="8580" w:type="dxa"/>
            <w:vAlign w:val="bottom"/>
          </w:tcPr>
          <w:p>
            <w:pPr>
              <w:ind w:left="80"/>
              <w:spacing w:after="0" w:line="176" w:lineRule="exact"/>
              <w:rPr>
                <w:rFonts w:ascii="Arial" w:cs="Arial" w:eastAsia="Arial" w:hAnsi="Arial"/>
                <w:sz w:val="18"/>
                <w:szCs w:val="18"/>
                <w:color w:val="auto"/>
                <w:w w:val="98"/>
              </w:rPr>
            </w:pPr>
            <w:hyperlink r:id="rId105">
              <w:r>
                <w:rPr>
                  <w:rFonts w:ascii="Arial" w:cs="Arial" w:eastAsia="Arial" w:hAnsi="Arial"/>
                  <w:sz w:val="18"/>
                  <w:szCs w:val="18"/>
                  <w:color w:val="auto"/>
                  <w:w w:val="98"/>
                </w:rPr>
                <w:t>Second Amendment to Second Amended and Restated Limited Liability Company Agreement of Centennial</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FN 30</w:t>
            </w:r>
          </w:p>
        </w:tc>
      </w:tr>
      <w:tr>
        <w:trPr>
          <w:trHeight w:val="229"/>
        </w:trPr>
        <w:tc>
          <w:tcPr>
            <w:tcW w:w="740" w:type="dxa"/>
            <w:vAlign w:val="bottom"/>
          </w:tcPr>
          <w:p>
            <w:pPr>
              <w:spacing w:after="0"/>
              <w:rPr>
                <w:sz w:val="19"/>
                <w:szCs w:val="19"/>
                <w:color w:val="auto"/>
              </w:rPr>
            </w:pPr>
          </w:p>
        </w:tc>
        <w:tc>
          <w:tcPr>
            <w:tcW w:w="8580" w:type="dxa"/>
            <w:vAlign w:val="bottom"/>
          </w:tcPr>
          <w:p>
            <w:pPr>
              <w:ind w:left="80"/>
              <w:spacing w:after="0"/>
              <w:rPr>
                <w:rFonts w:ascii="Arial" w:cs="Arial" w:eastAsia="Arial" w:hAnsi="Arial"/>
                <w:sz w:val="18"/>
                <w:szCs w:val="18"/>
                <w:color w:val="auto"/>
              </w:rPr>
            </w:pPr>
            <w:hyperlink r:id="rId105">
              <w:r>
                <w:rPr>
                  <w:rFonts w:ascii="Arial" w:cs="Arial" w:eastAsia="Arial" w:hAnsi="Arial"/>
                  <w:sz w:val="18"/>
                  <w:szCs w:val="18"/>
                  <w:color w:val="auto"/>
                </w:rPr>
                <w:t>Founders, LLC</w:t>
              </w:r>
            </w:hyperlink>
          </w:p>
        </w:tc>
        <w:tc>
          <w:tcPr>
            <w:tcW w:w="1400" w:type="dxa"/>
            <w:vAlign w:val="bottom"/>
          </w:tcPr>
          <w:p>
            <w:pPr>
              <w:spacing w:after="0"/>
              <w:rPr>
                <w:sz w:val="19"/>
                <w:szCs w:val="19"/>
                <w:color w:val="auto"/>
              </w:rPr>
            </w:pP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8580" w:type="dxa"/>
            <w:vAlign w:val="bottom"/>
          </w:tcPr>
          <w:p>
            <w:pPr>
              <w:ind w:left="80"/>
              <w:spacing w:after="0"/>
              <w:rPr>
                <w:rFonts w:ascii="Arial" w:cs="Arial" w:eastAsia="Arial" w:hAnsi="Arial"/>
                <w:sz w:val="18"/>
                <w:szCs w:val="18"/>
                <w:color w:val="auto"/>
              </w:rPr>
            </w:pPr>
            <w:hyperlink r:id="rId106">
              <w:r>
                <w:rPr>
                  <w:rFonts w:ascii="Arial" w:cs="Arial" w:eastAsia="Arial" w:hAnsi="Arial"/>
                  <w:sz w:val="18"/>
                  <w:szCs w:val="18"/>
                  <w:color w:val="auto"/>
                </w:rPr>
                <w:t>Limited Liability Company Agreement of TRC-MRC 3,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31</w:t>
            </w:r>
          </w:p>
        </w:tc>
      </w:tr>
      <w:tr>
        <w:trPr>
          <w:trHeight w:val="176"/>
        </w:trPr>
        <w:tc>
          <w:tcPr>
            <w:tcW w:w="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10.43</w:t>
            </w:r>
          </w:p>
        </w:tc>
        <w:tc>
          <w:tcPr>
            <w:tcW w:w="8580" w:type="dxa"/>
            <w:vAlign w:val="bottom"/>
          </w:tcPr>
          <w:p>
            <w:pPr>
              <w:ind w:left="80"/>
              <w:spacing w:after="0" w:line="176" w:lineRule="exact"/>
              <w:rPr>
                <w:rFonts w:ascii="Arial" w:cs="Arial" w:eastAsia="Arial" w:hAnsi="Arial"/>
                <w:sz w:val="18"/>
                <w:szCs w:val="18"/>
                <w:color w:val="auto"/>
                <w:w w:val="99"/>
              </w:rPr>
            </w:pPr>
            <w:hyperlink r:id="rId107">
              <w:r>
                <w:rPr>
                  <w:rFonts w:ascii="Arial" w:cs="Arial" w:eastAsia="Arial" w:hAnsi="Arial"/>
                  <w:sz w:val="18"/>
                  <w:szCs w:val="18"/>
                  <w:color w:val="auto"/>
                  <w:w w:val="99"/>
                </w:rPr>
                <w:t>Fourth Amendment to Second Amended and Restated Limited Liability Company Agreement of Centennial</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FN 32</w:t>
            </w:r>
          </w:p>
        </w:tc>
      </w:tr>
      <w:tr>
        <w:trPr>
          <w:trHeight w:val="229"/>
        </w:trPr>
        <w:tc>
          <w:tcPr>
            <w:tcW w:w="740" w:type="dxa"/>
            <w:vAlign w:val="bottom"/>
          </w:tcPr>
          <w:p>
            <w:pPr>
              <w:spacing w:after="0"/>
              <w:rPr>
                <w:sz w:val="19"/>
                <w:szCs w:val="19"/>
                <w:color w:val="auto"/>
              </w:rPr>
            </w:pPr>
          </w:p>
        </w:tc>
        <w:tc>
          <w:tcPr>
            <w:tcW w:w="8580" w:type="dxa"/>
            <w:vAlign w:val="bottom"/>
          </w:tcPr>
          <w:p>
            <w:pPr>
              <w:ind w:left="80"/>
              <w:spacing w:after="0"/>
              <w:rPr>
                <w:rFonts w:ascii="Arial" w:cs="Arial" w:eastAsia="Arial" w:hAnsi="Arial"/>
                <w:sz w:val="18"/>
                <w:szCs w:val="18"/>
                <w:color w:val="auto"/>
              </w:rPr>
            </w:pPr>
            <w:hyperlink r:id="rId107">
              <w:r>
                <w:rPr>
                  <w:rFonts w:ascii="Arial" w:cs="Arial" w:eastAsia="Arial" w:hAnsi="Arial"/>
                  <w:sz w:val="18"/>
                  <w:szCs w:val="18"/>
                  <w:color w:val="auto"/>
                </w:rPr>
                <w:t>Founders, LLC</w:t>
              </w:r>
            </w:hyperlink>
          </w:p>
        </w:tc>
        <w:tc>
          <w:tcPr>
            <w:tcW w:w="1400" w:type="dxa"/>
            <w:vAlign w:val="bottom"/>
          </w:tcPr>
          <w:p>
            <w:pPr>
              <w:spacing w:after="0"/>
              <w:rPr>
                <w:sz w:val="19"/>
                <w:szCs w:val="19"/>
                <w:color w:val="auto"/>
              </w:rPr>
            </w:pP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10.44</w:t>
            </w:r>
          </w:p>
        </w:tc>
        <w:tc>
          <w:tcPr>
            <w:tcW w:w="8580" w:type="dxa"/>
            <w:vAlign w:val="bottom"/>
          </w:tcPr>
          <w:p>
            <w:pPr>
              <w:ind w:left="80"/>
              <w:spacing w:after="0"/>
              <w:rPr>
                <w:rFonts w:ascii="Arial" w:cs="Arial" w:eastAsia="Arial" w:hAnsi="Arial"/>
                <w:sz w:val="18"/>
                <w:szCs w:val="18"/>
                <w:color w:val="auto"/>
              </w:rPr>
            </w:pPr>
            <w:hyperlink r:id="rId108">
              <w:r>
                <w:rPr>
                  <w:rFonts w:ascii="Arial" w:cs="Arial" w:eastAsia="Arial" w:hAnsi="Arial"/>
                  <w:sz w:val="18"/>
                  <w:szCs w:val="18"/>
                  <w:color w:val="auto"/>
                </w:rPr>
                <w:t>Centennial Founders, LLC Redemption and Withdrawal Agreement - CalAtlantic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33</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10.45</w:t>
            </w:r>
          </w:p>
        </w:tc>
        <w:tc>
          <w:tcPr>
            <w:tcW w:w="8580" w:type="dxa"/>
            <w:vAlign w:val="bottom"/>
          </w:tcPr>
          <w:p>
            <w:pPr>
              <w:ind w:left="80"/>
              <w:spacing w:after="0"/>
              <w:rPr>
                <w:rFonts w:ascii="Arial" w:cs="Arial" w:eastAsia="Arial" w:hAnsi="Arial"/>
                <w:sz w:val="18"/>
                <w:szCs w:val="18"/>
                <w:color w:val="auto"/>
              </w:rPr>
            </w:pPr>
            <w:hyperlink r:id="rId109">
              <w:r>
                <w:rPr>
                  <w:rFonts w:ascii="Arial" w:cs="Arial" w:eastAsia="Arial" w:hAnsi="Arial"/>
                  <w:sz w:val="18"/>
                  <w:szCs w:val="18"/>
                  <w:color w:val="auto"/>
                </w:rPr>
                <w:t>Amended Revolving Line of Credit</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34</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10.46</w:t>
            </w:r>
          </w:p>
        </w:tc>
        <w:tc>
          <w:tcPr>
            <w:tcW w:w="8580" w:type="dxa"/>
            <w:vAlign w:val="bottom"/>
          </w:tcPr>
          <w:p>
            <w:pPr>
              <w:ind w:left="80"/>
              <w:spacing w:after="0"/>
              <w:rPr>
                <w:rFonts w:ascii="Arial" w:cs="Arial" w:eastAsia="Arial" w:hAnsi="Arial"/>
                <w:sz w:val="18"/>
                <w:szCs w:val="18"/>
                <w:color w:val="auto"/>
              </w:rPr>
            </w:pPr>
            <w:hyperlink r:id="rId110">
              <w:r>
                <w:rPr>
                  <w:rFonts w:ascii="Arial" w:cs="Arial" w:eastAsia="Arial" w:hAnsi="Arial"/>
                  <w:sz w:val="18"/>
                  <w:szCs w:val="18"/>
                  <w:color w:val="auto"/>
                </w:rPr>
                <w:t>Amended Term Note</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35</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10.47</w:t>
            </w:r>
          </w:p>
        </w:tc>
        <w:tc>
          <w:tcPr>
            <w:tcW w:w="8580" w:type="dxa"/>
            <w:vAlign w:val="bottom"/>
          </w:tcPr>
          <w:p>
            <w:pPr>
              <w:ind w:left="80"/>
              <w:spacing w:after="0"/>
              <w:rPr>
                <w:rFonts w:ascii="Arial" w:cs="Arial" w:eastAsia="Arial" w:hAnsi="Arial"/>
                <w:sz w:val="18"/>
                <w:szCs w:val="18"/>
                <w:color w:val="auto"/>
              </w:rPr>
            </w:pPr>
            <w:hyperlink r:id="rId111">
              <w:r>
                <w:rPr>
                  <w:rFonts w:ascii="Arial" w:cs="Arial" w:eastAsia="Arial" w:hAnsi="Arial"/>
                  <w:sz w:val="18"/>
                  <w:szCs w:val="18"/>
                  <w:color w:val="auto"/>
                </w:rPr>
                <w:t>*Executive Officer Severance Agreement - Gregory S. Bielli</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38</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10.48</w:t>
            </w:r>
          </w:p>
        </w:tc>
        <w:tc>
          <w:tcPr>
            <w:tcW w:w="8580" w:type="dxa"/>
            <w:vAlign w:val="bottom"/>
          </w:tcPr>
          <w:p>
            <w:pPr>
              <w:ind w:left="80"/>
              <w:spacing w:after="0"/>
              <w:rPr>
                <w:rFonts w:ascii="Arial" w:cs="Arial" w:eastAsia="Arial" w:hAnsi="Arial"/>
                <w:sz w:val="18"/>
                <w:szCs w:val="18"/>
                <w:color w:val="auto"/>
              </w:rPr>
            </w:pPr>
            <w:hyperlink r:id="rId112">
              <w:r>
                <w:rPr>
                  <w:rFonts w:ascii="Arial" w:cs="Arial" w:eastAsia="Arial" w:hAnsi="Arial"/>
                  <w:sz w:val="18"/>
                  <w:szCs w:val="18"/>
                  <w:color w:val="auto"/>
                </w:rPr>
                <w:t>Limited Liability Company Agreement of TRC-MRC 4, LLC</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FN 39</w:t>
            </w:r>
          </w:p>
        </w:tc>
      </w:tr>
      <w:tr>
        <w:trPr>
          <w:trHeight w:val="229"/>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8580" w:type="dxa"/>
            <w:vAlign w:val="bottom"/>
          </w:tcPr>
          <w:p>
            <w:pPr>
              <w:ind w:left="80"/>
              <w:spacing w:after="0"/>
              <w:rPr>
                <w:rFonts w:ascii="Arial" w:cs="Arial" w:eastAsia="Arial" w:hAnsi="Arial"/>
                <w:sz w:val="18"/>
                <w:szCs w:val="18"/>
                <w:color w:val="auto"/>
              </w:rPr>
            </w:pPr>
            <w:hyperlink w:anchor="page58">
              <w:r>
                <w:rPr>
                  <w:rFonts w:ascii="Arial" w:cs="Arial" w:eastAsia="Arial" w:hAnsi="Arial"/>
                  <w:sz w:val="18"/>
                  <w:szCs w:val="18"/>
                  <w:color w:val="auto"/>
                </w:rPr>
                <w:t>Certification Pursuant to Section 302 of the Sarbanes-Oxley Act of 2002</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8580" w:type="dxa"/>
            <w:vAlign w:val="bottom"/>
          </w:tcPr>
          <w:p>
            <w:pPr>
              <w:ind w:left="80"/>
              <w:spacing w:after="0"/>
              <w:rPr>
                <w:rFonts w:ascii="Arial" w:cs="Arial" w:eastAsia="Arial" w:hAnsi="Arial"/>
                <w:sz w:val="18"/>
                <w:szCs w:val="18"/>
                <w:color w:val="auto"/>
              </w:rPr>
            </w:pPr>
            <w:hyperlink w:anchor="page59">
              <w:r>
                <w:rPr>
                  <w:rFonts w:ascii="Arial" w:cs="Arial" w:eastAsia="Arial" w:hAnsi="Arial"/>
                  <w:sz w:val="18"/>
                  <w:szCs w:val="18"/>
                  <w:color w:val="auto"/>
                </w:rPr>
                <w:t>Certification Pursuant to Section 302 of the Sarbanes-Oxley Act of 2002</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176"/>
        </w:trPr>
        <w:tc>
          <w:tcPr>
            <w:tcW w:w="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32</w:t>
            </w:r>
          </w:p>
        </w:tc>
        <w:tc>
          <w:tcPr>
            <w:tcW w:w="8580" w:type="dxa"/>
            <w:vAlign w:val="bottom"/>
          </w:tcPr>
          <w:p>
            <w:pPr>
              <w:ind w:left="80"/>
              <w:spacing w:after="0" w:line="176" w:lineRule="exact"/>
              <w:rPr>
                <w:rFonts w:ascii="Arial" w:cs="Arial" w:eastAsia="Arial" w:hAnsi="Arial"/>
                <w:sz w:val="18"/>
                <w:szCs w:val="18"/>
                <w:color w:val="auto"/>
                <w:w w:val="94"/>
              </w:rPr>
            </w:pPr>
            <w:hyperlink w:anchor="page60">
              <w:r>
                <w:rPr>
                  <w:rFonts w:ascii="Arial" w:cs="Arial" w:eastAsia="Arial" w:hAnsi="Arial"/>
                  <w:sz w:val="18"/>
                  <w:szCs w:val="18"/>
                  <w:color w:val="auto"/>
                  <w:w w:val="94"/>
                </w:rPr>
                <w:t>Certification Pursuant to 18 U.S.C. Section 1350, as Adopted Pursuant to Section 906 of the Sarbanes-Oxley Act</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Furnished</w:t>
            </w:r>
          </w:p>
        </w:tc>
      </w:tr>
      <w:tr>
        <w:trPr>
          <w:trHeight w:val="229"/>
        </w:trPr>
        <w:tc>
          <w:tcPr>
            <w:tcW w:w="740" w:type="dxa"/>
            <w:vAlign w:val="bottom"/>
          </w:tcPr>
          <w:p>
            <w:pPr>
              <w:spacing w:after="0"/>
              <w:rPr>
                <w:sz w:val="19"/>
                <w:szCs w:val="19"/>
                <w:color w:val="auto"/>
              </w:rPr>
            </w:pPr>
          </w:p>
        </w:tc>
        <w:tc>
          <w:tcPr>
            <w:tcW w:w="8580" w:type="dxa"/>
            <w:vAlign w:val="bottom"/>
          </w:tcPr>
          <w:p>
            <w:pPr>
              <w:ind w:left="80"/>
              <w:spacing w:after="0"/>
              <w:rPr>
                <w:rFonts w:ascii="Arial" w:cs="Arial" w:eastAsia="Arial" w:hAnsi="Arial"/>
                <w:sz w:val="18"/>
                <w:szCs w:val="18"/>
                <w:color w:val="auto"/>
              </w:rPr>
            </w:pPr>
            <w:hyperlink w:anchor="page60">
              <w:r>
                <w:rPr>
                  <w:rFonts w:ascii="Arial" w:cs="Arial" w:eastAsia="Arial" w:hAnsi="Arial"/>
                  <w:sz w:val="18"/>
                  <w:szCs w:val="18"/>
                  <w:color w:val="auto"/>
                </w:rPr>
                <w:t>of 2002</w:t>
              </w:r>
            </w:hyperlink>
          </w:p>
        </w:tc>
        <w:tc>
          <w:tcPr>
            <w:tcW w:w="1400" w:type="dxa"/>
            <w:vAlign w:val="bottom"/>
          </w:tcPr>
          <w:p>
            <w:pPr>
              <w:spacing w:after="0"/>
              <w:rPr>
                <w:sz w:val="19"/>
                <w:szCs w:val="19"/>
                <w:color w:val="auto"/>
              </w:rPr>
            </w:pPr>
          </w:p>
        </w:tc>
      </w:tr>
      <w:tr>
        <w:trPr>
          <w:trHeight w:val="176"/>
        </w:trPr>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101.INS</w:t>
            </w:r>
          </w:p>
        </w:tc>
        <w:tc>
          <w:tcPr>
            <w:tcW w:w="8580" w:type="dxa"/>
            <w:vAlign w:val="bottom"/>
          </w:tcPr>
          <w:p>
            <w:pPr>
              <w:ind w:left="80"/>
              <w:spacing w:after="0" w:line="176" w:lineRule="exact"/>
              <w:rPr>
                <w:sz w:val="20"/>
                <w:szCs w:val="20"/>
                <w:color w:val="auto"/>
              </w:rPr>
            </w:pPr>
            <w:r>
              <w:rPr>
                <w:rFonts w:ascii="Arial" w:cs="Arial" w:eastAsia="Arial" w:hAnsi="Arial"/>
                <w:sz w:val="18"/>
                <w:szCs w:val="18"/>
                <w:color w:val="auto"/>
                <w:w w:val="99"/>
              </w:rPr>
              <w:t>XBRL Instance Document - the instance document does not appear in the Interactive Data File because its</w:t>
            </w:r>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Filed herewith</w:t>
            </w:r>
          </w:p>
        </w:tc>
      </w:tr>
      <w:tr>
        <w:trPr>
          <w:trHeight w:val="229"/>
        </w:trPr>
        <w:tc>
          <w:tcPr>
            <w:tcW w:w="740" w:type="dxa"/>
            <w:vAlign w:val="bottom"/>
          </w:tcPr>
          <w:p>
            <w:pPr>
              <w:spacing w:after="0"/>
              <w:rPr>
                <w:sz w:val="19"/>
                <w:szCs w:val="19"/>
                <w:color w:val="auto"/>
              </w:rPr>
            </w:pPr>
          </w:p>
        </w:tc>
        <w:tc>
          <w:tcPr>
            <w:tcW w:w="8580" w:type="dxa"/>
            <w:vAlign w:val="bottom"/>
          </w:tcPr>
          <w:p>
            <w:pPr>
              <w:ind w:left="80"/>
              <w:spacing w:after="0"/>
              <w:rPr>
                <w:sz w:val="20"/>
                <w:szCs w:val="20"/>
                <w:color w:val="auto"/>
              </w:rPr>
            </w:pPr>
            <w:r>
              <w:rPr>
                <w:rFonts w:ascii="Arial" w:cs="Arial" w:eastAsia="Arial" w:hAnsi="Arial"/>
                <w:sz w:val="18"/>
                <w:szCs w:val="18"/>
                <w:color w:val="auto"/>
              </w:rPr>
              <w:t>XBRL tags are embedded within the Inline XBRL document.</w:t>
            </w:r>
          </w:p>
        </w:tc>
        <w:tc>
          <w:tcPr>
            <w:tcW w:w="1400" w:type="dxa"/>
            <w:vAlign w:val="bottom"/>
          </w:tcPr>
          <w:p>
            <w:pPr>
              <w:spacing w:after="0"/>
              <w:rPr>
                <w:sz w:val="19"/>
                <w:szCs w:val="19"/>
                <w:color w:val="auto"/>
              </w:rPr>
            </w:pPr>
          </w:p>
        </w:tc>
      </w:tr>
      <w:tr>
        <w:trPr>
          <w:trHeight w:val="229"/>
        </w:trPr>
        <w:tc>
          <w:tcPr>
            <w:tcW w:w="740" w:type="dxa"/>
            <w:vAlign w:val="bottom"/>
          </w:tcPr>
          <w:p>
            <w:pPr>
              <w:jc w:val="right"/>
              <w:spacing w:after="0"/>
              <w:rPr>
                <w:sz w:val="20"/>
                <w:szCs w:val="20"/>
                <w:color w:val="auto"/>
              </w:rPr>
            </w:pPr>
            <w:r>
              <w:rPr>
                <w:rFonts w:ascii="Arial" w:cs="Arial" w:eastAsia="Arial" w:hAnsi="Arial"/>
                <w:sz w:val="18"/>
                <w:szCs w:val="18"/>
                <w:color w:val="auto"/>
                <w:w w:val="90"/>
              </w:rPr>
              <w:t>101.SCH</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Schema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740" w:type="dxa"/>
            <w:vAlign w:val="bottom"/>
          </w:tcPr>
          <w:p>
            <w:pPr>
              <w:jc w:val="right"/>
              <w:spacing w:after="0"/>
              <w:rPr>
                <w:sz w:val="20"/>
                <w:szCs w:val="20"/>
                <w:color w:val="auto"/>
              </w:rPr>
            </w:pPr>
            <w:r>
              <w:rPr>
                <w:rFonts w:ascii="Arial" w:cs="Arial" w:eastAsia="Arial" w:hAnsi="Arial"/>
                <w:sz w:val="18"/>
                <w:szCs w:val="18"/>
                <w:color w:val="auto"/>
                <w:w w:val="94"/>
              </w:rPr>
              <w:t>101.CAL</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29"/>
        </w:trPr>
        <w:tc>
          <w:tcPr>
            <w:tcW w:w="740" w:type="dxa"/>
            <w:vAlign w:val="bottom"/>
          </w:tcPr>
          <w:p>
            <w:pPr>
              <w:jc w:val="right"/>
              <w:spacing w:after="0"/>
              <w:rPr>
                <w:sz w:val="20"/>
                <w:szCs w:val="20"/>
                <w:color w:val="auto"/>
              </w:rPr>
            </w:pPr>
            <w:r>
              <w:rPr>
                <w:rFonts w:ascii="Arial" w:cs="Arial" w:eastAsia="Arial" w:hAnsi="Arial"/>
                <w:sz w:val="18"/>
                <w:szCs w:val="18"/>
                <w:color w:val="auto"/>
                <w:w w:val="92"/>
              </w:rPr>
              <w:t>101.DEF</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740" w:type="dxa"/>
            <w:vAlign w:val="bottom"/>
          </w:tcPr>
          <w:p>
            <w:pPr>
              <w:jc w:val="right"/>
              <w:spacing w:after="0"/>
              <w:rPr>
                <w:sz w:val="20"/>
                <w:szCs w:val="20"/>
                <w:color w:val="auto"/>
              </w:rPr>
            </w:pPr>
            <w:r>
              <w:rPr>
                <w:rFonts w:ascii="Arial" w:cs="Arial" w:eastAsia="Arial" w:hAnsi="Arial"/>
                <w:sz w:val="18"/>
                <w:szCs w:val="18"/>
                <w:color w:val="auto"/>
                <w:w w:val="95"/>
              </w:rPr>
              <w:t>101.LAB</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740" w:type="dxa"/>
            <w:vAlign w:val="bottom"/>
          </w:tcPr>
          <w:p>
            <w:pPr>
              <w:jc w:val="right"/>
              <w:spacing w:after="0"/>
              <w:rPr>
                <w:sz w:val="20"/>
                <w:szCs w:val="20"/>
                <w:color w:val="auto"/>
              </w:rPr>
            </w:pPr>
            <w:r>
              <w:rPr>
                <w:rFonts w:ascii="Arial" w:cs="Arial" w:eastAsia="Arial" w:hAnsi="Arial"/>
                <w:sz w:val="18"/>
                <w:szCs w:val="18"/>
                <w:color w:val="auto"/>
                <w:w w:val="91"/>
              </w:rPr>
              <w:t>101.PRE</w:t>
            </w:r>
          </w:p>
        </w:tc>
        <w:tc>
          <w:tcPr>
            <w:tcW w:w="8580" w:type="dxa"/>
            <w:vAlign w:val="bottom"/>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c>
          <w:tcPr>
            <w:tcW w:w="1400" w:type="dxa"/>
            <w:vAlign w:val="bottom"/>
          </w:tcPr>
          <w:p>
            <w:pPr>
              <w:jc w:val="right"/>
              <w:spacing w:after="0"/>
              <w:rPr>
                <w:sz w:val="20"/>
                <w:szCs w:val="20"/>
                <w:color w:val="auto"/>
              </w:rPr>
            </w:pPr>
            <w:r>
              <w:rPr>
                <w:rFonts w:ascii="Arial" w:cs="Arial" w:eastAsia="Arial" w:hAnsi="Arial"/>
                <w:sz w:val="18"/>
                <w:szCs w:val="18"/>
                <w:color w:val="auto"/>
              </w:rPr>
              <w:t>Filed herewith</w:t>
            </w:r>
          </w:p>
        </w:tc>
      </w:tr>
    </w:tbl>
    <w:p>
      <w:pPr>
        <w:ind w:left="1020" w:right="3400" w:hanging="179"/>
        <w:spacing w:after="0" w:line="292" w:lineRule="auto"/>
        <w:tabs>
          <w:tab w:leader="none" w:pos="12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compensatory plan or arrangement.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ind w:left="20"/>
              <w:spacing w:after="0"/>
              <w:rPr>
                <w:sz w:val="20"/>
                <w:szCs w:val="20"/>
                <w:color w:val="auto"/>
              </w:rPr>
            </w:pPr>
            <w:r>
              <w:rPr>
                <w:rFonts w:ascii="Arial" w:cs="Arial" w:eastAsia="Arial" w:hAnsi="Arial"/>
                <w:sz w:val="18"/>
                <w:szCs w:val="18"/>
                <w:color w:val="auto"/>
              </w:rPr>
              <w:t>FN 1</w:t>
            </w:r>
          </w:p>
        </w:tc>
        <w:tc>
          <w:tcPr>
            <w:tcW w:w="10540" w:type="dxa"/>
            <w:vAlign w:val="bottom"/>
          </w:tcPr>
          <w:p>
            <w:pPr>
              <w:ind w:left="320"/>
              <w:spacing w:after="0"/>
              <w:rPr>
                <w:sz w:val="20"/>
                <w:szCs w:val="20"/>
                <w:color w:val="auto"/>
              </w:rPr>
            </w:pPr>
            <w:r>
              <w:rPr>
                <w:rFonts w:ascii="Arial" w:cs="Arial" w:eastAsia="Arial" w:hAnsi="Arial"/>
                <w:sz w:val="18"/>
                <w:szCs w:val="18"/>
                <w:color w:val="auto"/>
                <w:w w:val="97"/>
              </w:rPr>
              <w:t>This document, filed with the Securities and Exchange Commission in Washington, D.C. (file number 1-07183) as Exhibit 3.1 to our</w:t>
            </w:r>
          </w:p>
        </w:tc>
      </w:tr>
      <w:tr>
        <w:trPr>
          <w:trHeight w:val="230"/>
        </w:trPr>
        <w:tc>
          <w:tcPr>
            <w:tcW w:w="70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Quarterly Report on Form 10-Q for the period ended June 30, 2021, is incorporated herein by reference.</w:t>
            </w:r>
          </w:p>
        </w:tc>
      </w:tr>
      <w:tr>
        <w:trPr>
          <w:trHeight w:val="189"/>
        </w:trPr>
        <w:tc>
          <w:tcPr>
            <w:tcW w:w="700" w:type="dxa"/>
            <w:vAlign w:val="bottom"/>
          </w:tcPr>
          <w:p>
            <w:pPr>
              <w:ind w:left="20"/>
              <w:spacing w:after="0" w:line="189" w:lineRule="exact"/>
              <w:rPr>
                <w:sz w:val="20"/>
                <w:szCs w:val="20"/>
                <w:color w:val="auto"/>
              </w:rPr>
            </w:pPr>
            <w:r>
              <w:rPr>
                <w:rFonts w:ascii="Arial" w:cs="Arial" w:eastAsia="Arial" w:hAnsi="Arial"/>
                <w:sz w:val="18"/>
                <w:szCs w:val="18"/>
                <w:color w:val="auto"/>
              </w:rPr>
              <w:t>FN 2</w:t>
            </w:r>
          </w:p>
        </w:tc>
        <w:tc>
          <w:tcPr>
            <w:tcW w:w="10540" w:type="dxa"/>
            <w:vAlign w:val="bottom"/>
          </w:tcPr>
          <w:p>
            <w:pPr>
              <w:ind w:left="320"/>
              <w:spacing w:after="0" w:line="189"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99.1 to our</w:t>
            </w:r>
          </w:p>
        </w:tc>
      </w:tr>
      <w:tr>
        <w:trPr>
          <w:trHeight w:val="229"/>
        </w:trPr>
        <w:tc>
          <w:tcPr>
            <w:tcW w:w="70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Current Report on Form 8-K filed on May 26, 2020, is incorporated herein by reference.</w:t>
            </w:r>
          </w:p>
        </w:tc>
      </w:tr>
      <w:tr>
        <w:trPr>
          <w:trHeight w:val="176"/>
        </w:trPr>
        <w:tc>
          <w:tcPr>
            <w:tcW w:w="700" w:type="dxa"/>
            <w:vAlign w:val="bottom"/>
          </w:tcPr>
          <w:p>
            <w:pPr>
              <w:ind w:left="20"/>
              <w:spacing w:after="0" w:line="176" w:lineRule="exact"/>
              <w:rPr>
                <w:sz w:val="20"/>
                <w:szCs w:val="20"/>
                <w:color w:val="auto"/>
              </w:rPr>
            </w:pPr>
            <w:r>
              <w:rPr>
                <w:rFonts w:ascii="Arial" w:cs="Arial" w:eastAsia="Arial" w:hAnsi="Arial"/>
                <w:sz w:val="18"/>
                <w:szCs w:val="18"/>
                <w:color w:val="auto"/>
              </w:rPr>
              <w:t>FN 5</w:t>
            </w:r>
          </w:p>
        </w:tc>
        <w:tc>
          <w:tcPr>
            <w:tcW w:w="10540" w:type="dxa"/>
            <w:vAlign w:val="bottom"/>
          </w:tcPr>
          <w:p>
            <w:pPr>
              <w:ind w:left="320"/>
              <w:spacing w:after="0" w:line="176"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as Exhibit 4.1 to our Current</w:t>
            </w:r>
          </w:p>
        </w:tc>
      </w:tr>
      <w:tr>
        <w:trPr>
          <w:trHeight w:val="229"/>
        </w:trPr>
        <w:tc>
          <w:tcPr>
            <w:tcW w:w="70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Report on Form 8-K filed on December 20, 2005, is incorporated herein by reference.</w:t>
            </w:r>
          </w:p>
        </w:tc>
      </w:tr>
      <w:tr>
        <w:trPr>
          <w:trHeight w:val="176"/>
        </w:trPr>
        <w:tc>
          <w:tcPr>
            <w:tcW w:w="700" w:type="dxa"/>
            <w:vAlign w:val="bottom"/>
          </w:tcPr>
          <w:p>
            <w:pPr>
              <w:ind w:left="20"/>
              <w:spacing w:after="0" w:line="176" w:lineRule="exact"/>
              <w:rPr>
                <w:sz w:val="20"/>
                <w:szCs w:val="20"/>
                <w:color w:val="auto"/>
              </w:rPr>
            </w:pPr>
            <w:r>
              <w:rPr>
                <w:rFonts w:ascii="Arial" w:cs="Arial" w:eastAsia="Arial" w:hAnsi="Arial"/>
                <w:sz w:val="18"/>
                <w:szCs w:val="18"/>
                <w:color w:val="auto"/>
              </w:rPr>
              <w:t>FN 6</w:t>
            </w:r>
          </w:p>
        </w:tc>
        <w:tc>
          <w:tcPr>
            <w:tcW w:w="10540" w:type="dxa"/>
            <w:vAlign w:val="bottom"/>
          </w:tcPr>
          <w:p>
            <w:pPr>
              <w:ind w:left="320"/>
              <w:spacing w:after="0" w:line="176"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under Item 14 to our Annual</w:t>
            </w:r>
          </w:p>
        </w:tc>
      </w:tr>
      <w:tr>
        <w:trPr>
          <w:trHeight w:val="175"/>
        </w:trPr>
        <w:tc>
          <w:tcPr>
            <w:tcW w:w="700" w:type="dxa"/>
            <w:vAlign w:val="bottom"/>
          </w:tcPr>
          <w:p>
            <w:pPr>
              <w:spacing w:after="0"/>
              <w:rPr>
                <w:sz w:val="15"/>
                <w:szCs w:val="15"/>
                <w:color w:val="auto"/>
              </w:rPr>
            </w:pPr>
          </w:p>
        </w:tc>
        <w:tc>
          <w:tcPr>
            <w:tcW w:w="10540" w:type="dxa"/>
            <w:vAlign w:val="bottom"/>
          </w:tcPr>
          <w:p>
            <w:pPr>
              <w:ind w:left="320"/>
              <w:spacing w:after="0" w:line="176" w:lineRule="exact"/>
              <w:rPr>
                <w:sz w:val="20"/>
                <w:szCs w:val="20"/>
                <w:color w:val="auto"/>
              </w:rPr>
            </w:pPr>
            <w:r>
              <w:rPr>
                <w:rFonts w:ascii="Arial" w:cs="Arial" w:eastAsia="Arial" w:hAnsi="Arial"/>
                <w:sz w:val="18"/>
                <w:szCs w:val="18"/>
                <w:color w:val="auto"/>
                <w:w w:val="97"/>
              </w:rPr>
              <w:t>Report on Form 10-K for the year ended December 31, 1994, is incorporated herein by reference. This Exhibit was not filed with the</w:t>
            </w:r>
          </w:p>
        </w:tc>
      </w:tr>
      <w:tr>
        <w:trPr>
          <w:trHeight w:val="229"/>
        </w:trPr>
        <w:tc>
          <w:tcPr>
            <w:tcW w:w="70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Securities and Exchange Commission in an electronic format.</w:t>
            </w:r>
          </w:p>
        </w:tc>
      </w:tr>
      <w:tr>
        <w:trPr>
          <w:trHeight w:val="176"/>
        </w:trPr>
        <w:tc>
          <w:tcPr>
            <w:tcW w:w="700" w:type="dxa"/>
            <w:vAlign w:val="bottom"/>
          </w:tcPr>
          <w:p>
            <w:pPr>
              <w:ind w:left="20"/>
              <w:spacing w:after="0" w:line="176" w:lineRule="exact"/>
              <w:rPr>
                <w:sz w:val="20"/>
                <w:szCs w:val="20"/>
                <w:color w:val="auto"/>
              </w:rPr>
            </w:pPr>
            <w:r>
              <w:rPr>
                <w:rFonts w:ascii="Arial" w:cs="Arial" w:eastAsia="Arial" w:hAnsi="Arial"/>
                <w:sz w:val="18"/>
                <w:szCs w:val="18"/>
                <w:color w:val="auto"/>
              </w:rPr>
              <w:t>FN 7</w:t>
            </w:r>
          </w:p>
        </w:tc>
        <w:tc>
          <w:tcPr>
            <w:tcW w:w="10540" w:type="dxa"/>
            <w:vAlign w:val="bottom"/>
          </w:tcPr>
          <w:p>
            <w:pPr>
              <w:ind w:left="320"/>
              <w:spacing w:after="0" w:line="176" w:lineRule="exact"/>
              <w:rPr>
                <w:sz w:val="20"/>
                <w:szCs w:val="20"/>
                <w:color w:val="auto"/>
              </w:rPr>
            </w:pPr>
            <w:r>
              <w:rPr>
                <w:rFonts w:ascii="Arial" w:cs="Arial" w:eastAsia="Arial" w:hAnsi="Arial"/>
                <w:sz w:val="18"/>
                <w:szCs w:val="18"/>
                <w:color w:val="auto"/>
                <w:w w:val="92"/>
              </w:rPr>
              <w:t>This document, filed with the Securities and Exchange Commission in Washington, D.C. (file number 1-07183) under Item 14 to our Annual</w:t>
            </w:r>
          </w:p>
        </w:tc>
      </w:tr>
      <w:tr>
        <w:trPr>
          <w:trHeight w:val="229"/>
        </w:trPr>
        <w:tc>
          <w:tcPr>
            <w:tcW w:w="70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Report on Form 10-K for the year ended December 31, 1997, is incorporated herein by reference.</w:t>
            </w:r>
          </w:p>
        </w:tc>
      </w:tr>
      <w:tr>
        <w:trPr>
          <w:trHeight w:val="176"/>
        </w:trPr>
        <w:tc>
          <w:tcPr>
            <w:tcW w:w="700" w:type="dxa"/>
            <w:vAlign w:val="bottom"/>
          </w:tcPr>
          <w:p>
            <w:pPr>
              <w:ind w:left="20"/>
              <w:spacing w:after="0" w:line="176" w:lineRule="exact"/>
              <w:rPr>
                <w:sz w:val="20"/>
                <w:szCs w:val="20"/>
                <w:color w:val="auto"/>
              </w:rPr>
            </w:pPr>
            <w:r>
              <w:rPr>
                <w:rFonts w:ascii="Arial" w:cs="Arial" w:eastAsia="Arial" w:hAnsi="Arial"/>
                <w:sz w:val="18"/>
                <w:szCs w:val="18"/>
                <w:color w:val="auto"/>
              </w:rPr>
              <w:t>FN 8</w:t>
            </w:r>
          </w:p>
        </w:tc>
        <w:tc>
          <w:tcPr>
            <w:tcW w:w="10540" w:type="dxa"/>
            <w:vAlign w:val="bottom"/>
          </w:tcPr>
          <w:p>
            <w:pPr>
              <w:ind w:left="320"/>
              <w:spacing w:after="0" w:line="176"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10.9 to our</w:t>
            </w:r>
          </w:p>
        </w:tc>
      </w:tr>
      <w:tr>
        <w:trPr>
          <w:trHeight w:val="229"/>
        </w:trPr>
        <w:tc>
          <w:tcPr>
            <w:tcW w:w="700" w:type="dxa"/>
            <w:vAlign w:val="bottom"/>
          </w:tcPr>
          <w:p>
            <w:pPr>
              <w:spacing w:after="0"/>
              <w:rPr>
                <w:sz w:val="19"/>
                <w:szCs w:val="19"/>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Annual Report on Form 10-K for the year ended December 31, 2008, is incorporated herein by reference.</w:t>
            </w:r>
          </w:p>
        </w:tc>
      </w:tr>
      <w:tr>
        <w:trPr>
          <w:trHeight w:val="176"/>
        </w:trPr>
        <w:tc>
          <w:tcPr>
            <w:tcW w:w="700" w:type="dxa"/>
            <w:vAlign w:val="bottom"/>
          </w:tcPr>
          <w:p>
            <w:pPr>
              <w:ind w:left="20"/>
              <w:spacing w:after="0" w:line="176" w:lineRule="exact"/>
              <w:rPr>
                <w:sz w:val="20"/>
                <w:szCs w:val="20"/>
                <w:color w:val="auto"/>
              </w:rPr>
            </w:pPr>
            <w:r>
              <w:rPr>
                <w:rFonts w:ascii="Arial" w:cs="Arial" w:eastAsia="Arial" w:hAnsi="Arial"/>
                <w:sz w:val="18"/>
                <w:szCs w:val="18"/>
                <w:color w:val="auto"/>
              </w:rPr>
              <w:t>FN 9</w:t>
            </w:r>
          </w:p>
        </w:tc>
        <w:tc>
          <w:tcPr>
            <w:tcW w:w="10540" w:type="dxa"/>
            <w:vAlign w:val="bottom"/>
          </w:tcPr>
          <w:p>
            <w:pPr>
              <w:ind w:left="320"/>
              <w:spacing w:after="0" w:line="176" w:lineRule="exact"/>
              <w:rPr>
                <w:sz w:val="20"/>
                <w:szCs w:val="20"/>
                <w:color w:val="auto"/>
              </w:rPr>
            </w:pPr>
            <w:r>
              <w:rPr>
                <w:rFonts w:ascii="Arial" w:cs="Arial" w:eastAsia="Arial" w:hAnsi="Arial"/>
                <w:sz w:val="18"/>
                <w:szCs w:val="18"/>
                <w:color w:val="auto"/>
                <w:w w:val="96"/>
              </w:rPr>
              <w:t>This document, filed with the Securities and Exchange Commission in Washington, D.C. (file number 1-07183) as Exhibit 10.10 to our</w:t>
            </w:r>
          </w:p>
        </w:tc>
      </w:tr>
      <w:tr>
        <w:trPr>
          <w:trHeight w:val="230"/>
        </w:trPr>
        <w:tc>
          <w:tcPr>
            <w:tcW w:w="70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Annual Report on Form 10-K for the year ended December 31, 2008, is incorporated herein by reference</w:t>
            </w:r>
          </w:p>
        </w:tc>
      </w:tr>
      <w:tr>
        <w:trPr>
          <w:trHeight w:val="850"/>
        </w:trPr>
        <w:tc>
          <w:tcPr>
            <w:tcW w:w="700" w:type="dxa"/>
            <w:vAlign w:val="bottom"/>
          </w:tcPr>
          <w:p>
            <w:pPr>
              <w:spacing w:after="0"/>
              <w:rPr>
                <w:sz w:val="24"/>
                <w:szCs w:val="24"/>
                <w:color w:val="auto"/>
              </w:rPr>
            </w:pPr>
          </w:p>
        </w:tc>
        <w:tc>
          <w:tcPr>
            <w:tcW w:w="10540" w:type="dxa"/>
            <w:vAlign w:val="bottom"/>
          </w:tcPr>
          <w:p>
            <w:pPr>
              <w:ind w:left="4840"/>
              <w:spacing w:after="0"/>
              <w:rPr>
                <w:sz w:val="20"/>
                <w:szCs w:val="20"/>
                <w:color w:val="auto"/>
              </w:rPr>
            </w:pPr>
            <w:r>
              <w:rPr>
                <w:rFonts w:ascii="Arial" w:cs="Arial" w:eastAsia="Arial" w:hAnsi="Arial"/>
                <w:sz w:val="18"/>
                <w:szCs w:val="18"/>
                <w:color w:val="auto"/>
              </w:rPr>
              <w:t>54</w:t>
            </w:r>
          </w:p>
        </w:tc>
      </w:tr>
      <w:tr>
        <w:trPr>
          <w:trHeight w:val="115"/>
        </w:trPr>
        <w:tc>
          <w:tcPr>
            <w:tcW w:w="700" w:type="dxa"/>
            <w:vAlign w:val="bottom"/>
            <w:tcBorders>
              <w:bottom w:val="single" w:sz="8" w:color="9A9A9A"/>
            </w:tcBorders>
          </w:tcPr>
          <w:p>
            <w:pPr>
              <w:spacing w:after="0"/>
              <w:rPr>
                <w:sz w:val="10"/>
                <w:szCs w:val="10"/>
                <w:color w:val="auto"/>
              </w:rPr>
            </w:pPr>
          </w:p>
        </w:tc>
        <w:tc>
          <w:tcPr>
            <w:tcW w:w="10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4" w:name="page55"/>
    <w:bookmarkEnd w:id="54"/>
    <w:p>
      <w:pPr>
        <w:ind w:left="960" w:right="460" w:hanging="998"/>
        <w:spacing w:after="0" w:line="235" w:lineRule="auto"/>
        <w:tabs>
          <w:tab w:leader="none" w:pos="940" w:val="left"/>
        </w:tabs>
        <w:rPr>
          <w:sz w:val="20"/>
          <w:szCs w:val="20"/>
          <w:color w:val="auto"/>
        </w:rPr>
      </w:pPr>
      <w:r>
        <w:rPr>
          <w:rFonts w:ascii="Arial" w:cs="Arial" w:eastAsia="Arial" w:hAnsi="Arial"/>
          <w:sz w:val="18"/>
          <w:szCs w:val="18"/>
          <w:color w:val="auto"/>
        </w:rPr>
        <w:t>FN 10</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10.16 to our Annual Report on Form 10-K for the year ended December 31, 2001, is incorporated herein by reference.</w:t>
      </w:r>
    </w:p>
    <w:p>
      <w:pPr>
        <w:ind w:left="960" w:hanging="998"/>
        <w:spacing w:after="0" w:line="234" w:lineRule="auto"/>
        <w:tabs>
          <w:tab w:leader="none" w:pos="940" w:val="left"/>
        </w:tabs>
        <w:rPr>
          <w:sz w:val="20"/>
          <w:szCs w:val="20"/>
          <w:color w:val="auto"/>
        </w:rPr>
      </w:pPr>
      <w:r>
        <w:rPr>
          <w:rFonts w:ascii="Arial" w:cs="Arial" w:eastAsia="Arial" w:hAnsi="Arial"/>
          <w:sz w:val="18"/>
          <w:szCs w:val="18"/>
          <w:color w:val="auto"/>
        </w:rPr>
        <w:t>FN 11</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4.1 to our Current Report on Form 8-K filed on May 7, 2004, is incorporated herein by reference.</w:t>
      </w:r>
    </w:p>
    <w:p>
      <w:pPr>
        <w:spacing w:after="0" w:line="1" w:lineRule="exact"/>
        <w:rPr>
          <w:sz w:val="20"/>
          <w:szCs w:val="20"/>
          <w:color w:val="auto"/>
        </w:rPr>
      </w:pPr>
    </w:p>
    <w:p>
      <w:pPr>
        <w:ind w:left="960" w:hanging="998"/>
        <w:spacing w:after="0" w:line="234" w:lineRule="auto"/>
        <w:tabs>
          <w:tab w:leader="none" w:pos="940" w:val="left"/>
        </w:tabs>
        <w:rPr>
          <w:sz w:val="20"/>
          <w:szCs w:val="20"/>
          <w:color w:val="auto"/>
        </w:rPr>
      </w:pPr>
      <w:r>
        <w:rPr>
          <w:rFonts w:ascii="Arial" w:cs="Arial" w:eastAsia="Arial" w:hAnsi="Arial"/>
          <w:sz w:val="18"/>
          <w:szCs w:val="18"/>
          <w:color w:val="auto"/>
        </w:rPr>
        <w:t>FN 12</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4.2 to our Current Report on Form 8-K filed on May 7, 2004, is incorporated herein by reference.</w:t>
      </w:r>
    </w:p>
    <w:p>
      <w:pPr>
        <w:spacing w:after="0" w:line="1" w:lineRule="exact"/>
        <w:rPr>
          <w:sz w:val="20"/>
          <w:szCs w:val="20"/>
          <w:color w:val="auto"/>
        </w:rPr>
      </w:pPr>
    </w:p>
    <w:p>
      <w:pPr>
        <w:ind w:left="960" w:right="160" w:hanging="998"/>
        <w:spacing w:after="0" w:line="234" w:lineRule="auto"/>
        <w:tabs>
          <w:tab w:leader="none" w:pos="940" w:val="left"/>
        </w:tabs>
        <w:rPr>
          <w:sz w:val="20"/>
          <w:szCs w:val="20"/>
          <w:color w:val="auto"/>
        </w:rPr>
      </w:pPr>
      <w:r>
        <w:rPr>
          <w:rFonts w:ascii="Arial" w:cs="Arial" w:eastAsia="Arial" w:hAnsi="Arial"/>
          <w:sz w:val="18"/>
          <w:szCs w:val="18"/>
          <w:color w:val="auto"/>
        </w:rPr>
        <w:t>FN 13</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Exhibits 10.21-10.23 to our Annual Report on Form 10-K for the year ended December 31, 2004,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14</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10.24 to our Current Report on Form 8-K filed on May 24, 2006,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15</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10.28 to our Current Report on Form 8-K filed on June 23, 2008,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16</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10.25 to our Quarterly Report on Form 10-Q for the period ended June 30, 2009, is incorporated herein by reference.</w:t>
      </w:r>
    </w:p>
    <w:p>
      <w:pPr>
        <w:spacing w:after="0" w:line="1" w:lineRule="exact"/>
        <w:rPr>
          <w:sz w:val="20"/>
          <w:szCs w:val="20"/>
          <w:color w:val="auto"/>
        </w:rPr>
      </w:pPr>
    </w:p>
    <w:p>
      <w:pPr>
        <w:ind w:left="960" w:right="420" w:hanging="998"/>
        <w:spacing w:after="0" w:line="224" w:lineRule="auto"/>
        <w:tabs>
          <w:tab w:leader="none" w:pos="940" w:val="left"/>
        </w:tabs>
        <w:rPr>
          <w:sz w:val="20"/>
          <w:szCs w:val="20"/>
          <w:color w:val="auto"/>
        </w:rPr>
      </w:pPr>
      <w:r>
        <w:rPr>
          <w:rFonts w:ascii="Arial" w:cs="Arial" w:eastAsia="Arial" w:hAnsi="Arial"/>
          <w:sz w:val="18"/>
          <w:szCs w:val="18"/>
          <w:color w:val="auto"/>
        </w:rPr>
        <w:t>FN 17</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10.26 to our Quarterly Report on Form 10-Q for the period ended March 31, 2013, for the period ended March 31, 2013,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18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10.27 to our Current Report on Form 8-K filed on June 4, 2013, is incorporated herein by reference.</w:t>
      </w:r>
    </w:p>
    <w:p>
      <w:pPr>
        <w:spacing w:after="0" w:line="1" w:lineRule="exact"/>
        <w:rPr>
          <w:sz w:val="20"/>
          <w:szCs w:val="20"/>
          <w:color w:val="auto"/>
        </w:rPr>
      </w:pPr>
    </w:p>
    <w:p>
      <w:pPr>
        <w:ind w:left="960" w:right="500" w:hanging="998"/>
        <w:spacing w:after="0" w:line="234" w:lineRule="auto"/>
        <w:tabs>
          <w:tab w:leader="none" w:pos="940" w:val="left"/>
        </w:tabs>
        <w:rPr>
          <w:sz w:val="20"/>
          <w:szCs w:val="20"/>
          <w:color w:val="auto"/>
        </w:rPr>
      </w:pPr>
      <w:r>
        <w:rPr>
          <w:rFonts w:ascii="Arial" w:cs="Arial" w:eastAsia="Arial" w:hAnsi="Arial"/>
          <w:sz w:val="18"/>
          <w:szCs w:val="18"/>
          <w:color w:val="auto"/>
        </w:rPr>
        <w:t>FN 19</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10.1 to our Current Report on Form 8-K filed on August 8, 2013, is incorporated herein by reference.</w:t>
      </w:r>
    </w:p>
    <w:p>
      <w:pPr>
        <w:spacing w:after="0" w:line="1" w:lineRule="exact"/>
        <w:rPr>
          <w:sz w:val="20"/>
          <w:szCs w:val="20"/>
          <w:color w:val="auto"/>
        </w:rPr>
      </w:pPr>
    </w:p>
    <w:p>
      <w:pPr>
        <w:ind w:left="960" w:right="420" w:hanging="998"/>
        <w:spacing w:after="0" w:line="248" w:lineRule="auto"/>
        <w:tabs>
          <w:tab w:leader="none" w:pos="940" w:val="left"/>
        </w:tabs>
        <w:rPr>
          <w:sz w:val="20"/>
          <w:szCs w:val="20"/>
          <w:color w:val="auto"/>
        </w:rPr>
      </w:pPr>
      <w:r>
        <w:rPr>
          <w:rFonts w:ascii="Arial" w:cs="Arial" w:eastAsia="Arial" w:hAnsi="Arial"/>
          <w:sz w:val="18"/>
          <w:szCs w:val="18"/>
          <w:color w:val="auto"/>
        </w:rPr>
        <w:t>FN 20</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10.29 to our Amended Annual Report on Form 10-K/A for the year ended December 31, 2013,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21</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10.30 to our Current Report on Form 8-K filed on July 16, 2014, is incorporated herein by reference.</w:t>
      </w:r>
    </w:p>
    <w:p>
      <w:pPr>
        <w:spacing w:after="0" w:line="1" w:lineRule="exact"/>
        <w:rPr>
          <w:sz w:val="20"/>
          <w:szCs w:val="20"/>
          <w:color w:val="auto"/>
        </w:rPr>
      </w:pPr>
    </w:p>
    <w:p>
      <w:pPr>
        <w:ind w:left="960" w:right="340" w:hanging="998"/>
        <w:spacing w:after="0" w:line="234" w:lineRule="auto"/>
        <w:tabs>
          <w:tab w:leader="none" w:pos="940" w:val="left"/>
        </w:tabs>
        <w:rPr>
          <w:sz w:val="20"/>
          <w:szCs w:val="20"/>
          <w:color w:val="auto"/>
        </w:rPr>
      </w:pPr>
      <w:r>
        <w:rPr>
          <w:rFonts w:ascii="Arial" w:cs="Arial" w:eastAsia="Arial" w:hAnsi="Arial"/>
          <w:sz w:val="18"/>
          <w:szCs w:val="18"/>
          <w:color w:val="auto"/>
        </w:rPr>
        <w:t>FN 22</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Exhibits 10.31 to our Current Report on Form 8-K filed on October 17, 2014,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23</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10.34 to our Annual Report on Form 10-K for the year ended December 31, 2014,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24</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10.35 to our Quarterly Report on Form 10-Q for the period ended June 30, 2015,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25</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10.32 to our Current Report on Form 8-K filed on October 17, 2014,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26</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10.37 to our Quarterly Report on Form 10-Q for the period ended June 30, 2016, is incorporated herein by reference.</w:t>
      </w:r>
    </w:p>
    <w:p>
      <w:pPr>
        <w:spacing w:after="0" w:line="1" w:lineRule="exact"/>
        <w:rPr>
          <w:sz w:val="20"/>
          <w:szCs w:val="20"/>
          <w:color w:val="auto"/>
        </w:rPr>
      </w:pPr>
    </w:p>
    <w:p>
      <w:pPr>
        <w:ind w:left="960" w:right="420" w:hanging="998"/>
        <w:spacing w:after="0" w:line="248" w:lineRule="auto"/>
        <w:tabs>
          <w:tab w:leader="none" w:pos="940" w:val="left"/>
        </w:tabs>
        <w:rPr>
          <w:sz w:val="20"/>
          <w:szCs w:val="20"/>
          <w:color w:val="auto"/>
        </w:rPr>
      </w:pPr>
      <w:r>
        <w:rPr>
          <w:rFonts w:ascii="Arial" w:cs="Arial" w:eastAsia="Arial" w:hAnsi="Arial"/>
          <w:sz w:val="18"/>
          <w:szCs w:val="18"/>
          <w:color w:val="auto"/>
        </w:rPr>
        <w:t>FN 27</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10.38 to our Quarterly Report on Form 10-Q for the period ended September 30, 2016,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28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10.39 to our Annual Report on Form 10-K for the year ended December 31, 2016,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29</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10.40 to our Annual Report on Form 10-K for the year ended December 31, 2016, is incorporated herein by reference.</w:t>
      </w:r>
    </w:p>
    <w:p>
      <w:pPr>
        <w:spacing w:after="0" w:line="1" w:lineRule="exact"/>
        <w:rPr>
          <w:sz w:val="20"/>
          <w:szCs w:val="20"/>
          <w:color w:val="auto"/>
        </w:rPr>
      </w:pPr>
    </w:p>
    <w:p>
      <w:pPr>
        <w:ind w:left="960" w:right="420" w:hanging="998"/>
        <w:spacing w:after="0" w:line="234" w:lineRule="auto"/>
        <w:tabs>
          <w:tab w:leader="none" w:pos="940" w:val="left"/>
        </w:tabs>
        <w:rPr>
          <w:sz w:val="20"/>
          <w:szCs w:val="20"/>
          <w:color w:val="auto"/>
        </w:rPr>
      </w:pPr>
      <w:r>
        <w:rPr>
          <w:rFonts w:ascii="Arial" w:cs="Arial" w:eastAsia="Arial" w:hAnsi="Arial"/>
          <w:sz w:val="18"/>
          <w:szCs w:val="18"/>
          <w:color w:val="auto"/>
        </w:rPr>
        <w:t>FN 30</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10.41 to our Annual Report on Form 10-K for the year ended December 31, 2016, is incorporated herein by reference.</w:t>
      </w:r>
    </w:p>
    <w:p>
      <w:pPr>
        <w:spacing w:after="0" w:line="1" w:lineRule="exact"/>
        <w:rPr>
          <w:sz w:val="20"/>
          <w:szCs w:val="20"/>
          <w:color w:val="auto"/>
        </w:rPr>
      </w:pPr>
    </w:p>
    <w:p>
      <w:pPr>
        <w:ind w:left="960" w:right="420" w:hanging="998"/>
        <w:spacing w:after="0" w:line="257" w:lineRule="auto"/>
        <w:tabs>
          <w:tab w:leader="none" w:pos="940" w:val="left"/>
        </w:tabs>
        <w:rPr>
          <w:sz w:val="20"/>
          <w:szCs w:val="20"/>
          <w:color w:val="auto"/>
        </w:rPr>
      </w:pPr>
      <w:r>
        <w:rPr>
          <w:rFonts w:ascii="Arial" w:cs="Arial" w:eastAsia="Arial" w:hAnsi="Arial"/>
          <w:sz w:val="18"/>
          <w:szCs w:val="18"/>
          <w:color w:val="auto"/>
        </w:rPr>
        <w:t>FN 31</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10.42 to our Quarterly Report on Form 10-Q for the period ended September 30, 2018,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35" w:right="399" w:bottom="1440" w:gutter="0" w:footer="0" w:header="0"/>
        </w:sectPr>
      </w:pPr>
    </w:p>
    <w:bookmarkStart w:id="55" w:name="page56"/>
    <w:bookmarkEnd w:id="55"/>
    <w:p>
      <w:pPr>
        <w:ind w:left="540" w:right="100" w:hanging="957"/>
        <w:spacing w:after="0" w:line="235" w:lineRule="auto"/>
        <w:tabs>
          <w:tab w:leader="none" w:pos="520" w:val="left"/>
        </w:tabs>
        <w:rPr>
          <w:sz w:val="20"/>
          <w:szCs w:val="20"/>
          <w:color w:val="auto"/>
        </w:rPr>
      </w:pPr>
      <w:r>
        <w:rPr>
          <w:rFonts w:ascii="Arial" w:cs="Arial" w:eastAsia="Arial" w:hAnsi="Arial"/>
          <w:sz w:val="18"/>
          <w:szCs w:val="18"/>
          <w:color w:val="auto"/>
        </w:rPr>
        <w:t>FN 32</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10.43 to our Annual Report on Form 10-K for the year ended December 31, 2018, is incorporated herein by reference.</w:t>
      </w:r>
    </w:p>
    <w:p>
      <w:pPr>
        <w:ind w:left="540" w:right="100" w:hanging="957"/>
        <w:spacing w:after="0" w:line="234" w:lineRule="auto"/>
        <w:tabs>
          <w:tab w:leader="none" w:pos="520" w:val="left"/>
        </w:tabs>
        <w:rPr>
          <w:sz w:val="20"/>
          <w:szCs w:val="20"/>
          <w:color w:val="auto"/>
        </w:rPr>
      </w:pPr>
      <w:r>
        <w:rPr>
          <w:rFonts w:ascii="Arial" w:cs="Arial" w:eastAsia="Arial" w:hAnsi="Arial"/>
          <w:sz w:val="18"/>
          <w:szCs w:val="18"/>
          <w:color w:val="auto"/>
        </w:rPr>
        <w:t>FN 33</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10.44 to our Annual Report on Form 10-K for the year ended December 31, 2018, is incorporated herein by reference.</w:t>
      </w:r>
    </w:p>
    <w:p>
      <w:pPr>
        <w:spacing w:after="0" w:line="1" w:lineRule="exact"/>
        <w:rPr>
          <w:sz w:val="20"/>
          <w:szCs w:val="20"/>
          <w:color w:val="auto"/>
        </w:rPr>
      </w:pPr>
    </w:p>
    <w:p>
      <w:pPr>
        <w:ind w:left="540" w:right="100" w:hanging="957"/>
        <w:spacing w:after="0" w:line="248" w:lineRule="auto"/>
        <w:tabs>
          <w:tab w:leader="none" w:pos="520" w:val="left"/>
        </w:tabs>
        <w:rPr>
          <w:sz w:val="20"/>
          <w:szCs w:val="20"/>
          <w:color w:val="auto"/>
        </w:rPr>
      </w:pPr>
      <w:r>
        <w:rPr>
          <w:rFonts w:ascii="Arial" w:cs="Arial" w:eastAsia="Arial" w:hAnsi="Arial"/>
          <w:sz w:val="18"/>
          <w:szCs w:val="18"/>
          <w:color w:val="auto"/>
        </w:rPr>
        <w:t>FN 34</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10.45 to our Quarterly Report on Form 10-Q for the period ended September 30, 2019, is incorporated herein by reference.</w:t>
      </w:r>
    </w:p>
    <w:p>
      <w:pPr>
        <w:spacing w:after="0" w:line="1" w:lineRule="exact"/>
        <w:rPr>
          <w:sz w:val="20"/>
          <w:szCs w:val="20"/>
          <w:color w:val="auto"/>
        </w:rPr>
      </w:pPr>
    </w:p>
    <w:p>
      <w:pPr>
        <w:ind w:left="540" w:right="100" w:hanging="957"/>
        <w:spacing w:after="0" w:line="248" w:lineRule="auto"/>
        <w:tabs>
          <w:tab w:leader="none" w:pos="520" w:val="left"/>
        </w:tabs>
        <w:rPr>
          <w:sz w:val="20"/>
          <w:szCs w:val="20"/>
          <w:color w:val="auto"/>
        </w:rPr>
      </w:pPr>
      <w:r>
        <w:rPr>
          <w:rFonts w:ascii="Arial" w:cs="Arial" w:eastAsia="Arial" w:hAnsi="Arial"/>
          <w:sz w:val="18"/>
          <w:szCs w:val="18"/>
          <w:color w:val="auto"/>
        </w:rPr>
        <w:t>FN 35</w:t>
      </w:r>
      <w:r>
        <w:rPr>
          <w:sz w:val="20"/>
          <w:szCs w:val="20"/>
          <w:color w:val="auto"/>
        </w:rPr>
        <w:tab/>
      </w:r>
      <w:r>
        <w:rPr>
          <w:rFonts w:ascii="Arial" w:cs="Arial" w:eastAsia="Arial" w:hAnsi="Arial"/>
          <w:sz w:val="17"/>
          <w:szCs w:val="17"/>
          <w:color w:val="auto"/>
        </w:rPr>
        <w:t>This document, filed with the Securities and Exchange Commission in Washington, D.C. (file number 1-07183) as Exhibit 10.46 to our Quarterly Report on Form 10-Q for the period ended September 30, 2019, is incorporated herein by reference.</w:t>
      </w:r>
    </w:p>
    <w:p>
      <w:pPr>
        <w:spacing w:after="0" w:line="1" w:lineRule="exact"/>
        <w:rPr>
          <w:sz w:val="20"/>
          <w:szCs w:val="20"/>
          <w:color w:val="auto"/>
        </w:rPr>
      </w:pPr>
    </w:p>
    <w:p>
      <w:pPr>
        <w:ind w:left="540" w:right="100" w:hanging="957"/>
        <w:spacing w:after="0" w:line="234" w:lineRule="auto"/>
        <w:tabs>
          <w:tab w:leader="none" w:pos="520" w:val="left"/>
        </w:tabs>
        <w:rPr>
          <w:sz w:val="20"/>
          <w:szCs w:val="20"/>
          <w:color w:val="auto"/>
        </w:rPr>
      </w:pPr>
      <w:r>
        <w:rPr>
          <w:rFonts w:ascii="Arial" w:cs="Arial" w:eastAsia="Arial" w:hAnsi="Arial"/>
          <w:sz w:val="18"/>
          <w:szCs w:val="18"/>
          <w:color w:val="auto"/>
        </w:rPr>
        <w:t>FN 36</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10.33 to our Current Report on Form 8-K filed on October 17, 2014, is incorporated herein by reference.</w:t>
      </w:r>
    </w:p>
    <w:p>
      <w:pPr>
        <w:spacing w:after="0" w:line="1" w:lineRule="exact"/>
        <w:rPr>
          <w:sz w:val="20"/>
          <w:szCs w:val="20"/>
          <w:color w:val="auto"/>
        </w:rPr>
      </w:pPr>
    </w:p>
    <w:p>
      <w:pPr>
        <w:ind w:left="540" w:hanging="957"/>
        <w:spacing w:after="0" w:line="234" w:lineRule="auto"/>
        <w:tabs>
          <w:tab w:leader="none" w:pos="520" w:val="left"/>
        </w:tabs>
        <w:rPr>
          <w:sz w:val="20"/>
          <w:szCs w:val="20"/>
          <w:color w:val="auto"/>
        </w:rPr>
      </w:pPr>
      <w:r>
        <w:rPr>
          <w:rFonts w:ascii="Arial" w:cs="Arial" w:eastAsia="Arial" w:hAnsi="Arial"/>
          <w:sz w:val="18"/>
          <w:szCs w:val="18"/>
          <w:color w:val="auto"/>
        </w:rPr>
        <w:t>FN 37</w:t>
      </w:r>
      <w:r>
        <w:rPr>
          <w:sz w:val="20"/>
          <w:szCs w:val="20"/>
          <w:color w:val="auto"/>
        </w:rPr>
        <w:tab/>
      </w:r>
      <w:r>
        <w:rPr>
          <w:rFonts w:ascii="Arial" w:cs="Arial" w:eastAsia="Arial" w:hAnsi="Arial"/>
          <w:sz w:val="18"/>
          <w:szCs w:val="18"/>
          <w:color w:val="auto"/>
        </w:rPr>
        <w:t>This document, filed with the Securities and Exchange Commission in Washington, D.C. (file number 333-231032) as Exhibit 4.6 to our Registration Statement on Form S-3 filed on April 25, 2019, is incorporated herein by reference.</w:t>
      </w:r>
    </w:p>
    <w:p>
      <w:pPr>
        <w:spacing w:after="0" w:line="1" w:lineRule="exact"/>
        <w:rPr>
          <w:sz w:val="20"/>
          <w:szCs w:val="20"/>
          <w:color w:val="auto"/>
        </w:rPr>
      </w:pPr>
    </w:p>
    <w:p>
      <w:pPr>
        <w:ind w:left="540" w:right="100" w:hanging="957"/>
        <w:spacing w:after="0" w:line="234" w:lineRule="auto"/>
        <w:tabs>
          <w:tab w:leader="none" w:pos="520" w:val="left"/>
        </w:tabs>
        <w:rPr>
          <w:sz w:val="20"/>
          <w:szCs w:val="20"/>
          <w:color w:val="auto"/>
        </w:rPr>
      </w:pPr>
      <w:r>
        <w:rPr>
          <w:rFonts w:ascii="Arial" w:cs="Arial" w:eastAsia="Arial" w:hAnsi="Arial"/>
          <w:sz w:val="18"/>
          <w:szCs w:val="18"/>
          <w:color w:val="auto"/>
        </w:rPr>
        <w:t>FN 38</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10.47 to our Annual Report on Form 10-K for the year ended December 31, 2019, is incorporated herein by reference.</w:t>
      </w:r>
    </w:p>
    <w:p>
      <w:pPr>
        <w:spacing w:after="0" w:line="1" w:lineRule="exact"/>
        <w:rPr>
          <w:sz w:val="20"/>
          <w:szCs w:val="20"/>
          <w:color w:val="auto"/>
        </w:rPr>
      </w:pPr>
    </w:p>
    <w:p>
      <w:pPr>
        <w:ind w:left="540" w:right="100" w:hanging="957"/>
        <w:spacing w:after="0" w:line="234" w:lineRule="auto"/>
        <w:tabs>
          <w:tab w:leader="none" w:pos="520" w:val="left"/>
        </w:tabs>
        <w:rPr>
          <w:sz w:val="20"/>
          <w:szCs w:val="20"/>
          <w:color w:val="auto"/>
        </w:rPr>
      </w:pPr>
      <w:r>
        <w:rPr>
          <w:rFonts w:ascii="Arial" w:cs="Arial" w:eastAsia="Arial" w:hAnsi="Arial"/>
          <w:sz w:val="18"/>
          <w:szCs w:val="18"/>
          <w:color w:val="auto"/>
        </w:rPr>
        <w:t>FN 39</w:t>
      </w:r>
      <w:r>
        <w:rPr>
          <w:sz w:val="20"/>
          <w:szCs w:val="20"/>
          <w:color w:val="auto"/>
        </w:rPr>
        <w:tab/>
      </w:r>
      <w:r>
        <w:rPr>
          <w:rFonts w:ascii="Arial" w:cs="Arial" w:eastAsia="Arial" w:hAnsi="Arial"/>
          <w:sz w:val="18"/>
          <w:szCs w:val="18"/>
          <w:color w:val="auto"/>
        </w:rPr>
        <w:t>This document, filed with the Securities and Exchange Commission in Washington, D.C. (file number 1-07183) as Exhibit 10.48 to our Quarterly Report on Form 10-Q for the period ended March 31, 2021,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760" w:top="935" w:right="7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TEJON RANCH CO.</w:t>
            </w:r>
          </w:p>
        </w:tc>
      </w:tr>
      <w:tr>
        <w:trPr>
          <w:trHeight w:val="74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4, 2021</w:t>
            </w:r>
          </w:p>
        </w:tc>
        <w:tc>
          <w:tcPr>
            <w:tcW w:w="262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Gregory S. Bielli</w:t>
            </w:r>
          </w:p>
        </w:tc>
      </w:tr>
      <w:tr>
        <w:trPr>
          <w:trHeight w:val="222"/>
        </w:trPr>
        <w:tc>
          <w:tcPr>
            <w:tcW w:w="2960" w:type="dxa"/>
            <w:vAlign w:val="bottom"/>
          </w:tcPr>
          <w:p>
            <w:pPr>
              <w:ind w:left="20"/>
              <w:spacing w:after="0"/>
              <w:rPr>
                <w:sz w:val="20"/>
                <w:szCs w:val="20"/>
                <w:color w:val="auto"/>
              </w:rPr>
            </w:pPr>
            <w:r>
              <w:rPr>
                <w:rFonts w:ascii="Arial" w:cs="Arial" w:eastAsia="Arial" w:hAnsi="Arial"/>
                <w:sz w:val="18"/>
                <w:szCs w:val="18"/>
                <w:color w:val="auto"/>
              </w:rPr>
              <w:t>Date</w:t>
            </w:r>
          </w:p>
        </w:tc>
        <w:tc>
          <w:tcPr>
            <w:tcW w:w="26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Gregory S. Bielli</w:t>
            </w:r>
          </w:p>
        </w:tc>
      </w:tr>
      <w:tr>
        <w:trPr>
          <w:trHeight w:val="229"/>
        </w:trPr>
        <w:tc>
          <w:tcPr>
            <w:tcW w:w="29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4, 2021</w:t>
            </w:r>
          </w:p>
        </w:tc>
        <w:tc>
          <w:tcPr>
            <w:tcW w:w="2620" w:type="dxa"/>
            <w:vAlign w:val="bottom"/>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Robert D. Velasquez</w:t>
            </w:r>
          </w:p>
        </w:tc>
      </w:tr>
      <w:tr>
        <w:trPr>
          <w:trHeight w:val="222"/>
        </w:trPr>
        <w:tc>
          <w:tcPr>
            <w:tcW w:w="2960" w:type="dxa"/>
            <w:vAlign w:val="bottom"/>
          </w:tcPr>
          <w:p>
            <w:pPr>
              <w:ind w:left="20"/>
              <w:spacing w:after="0"/>
              <w:rPr>
                <w:sz w:val="20"/>
                <w:szCs w:val="20"/>
                <w:color w:val="auto"/>
              </w:rPr>
            </w:pPr>
            <w:r>
              <w:rPr>
                <w:rFonts w:ascii="Arial" w:cs="Arial" w:eastAsia="Arial" w:hAnsi="Arial"/>
                <w:sz w:val="18"/>
                <w:szCs w:val="18"/>
                <w:color w:val="auto"/>
              </w:rPr>
              <w:t>Date</w:t>
            </w:r>
          </w:p>
        </w:tc>
        <w:tc>
          <w:tcPr>
            <w:tcW w:w="26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Robert D. Velasquez</w:t>
            </w:r>
          </w:p>
        </w:tc>
      </w:tr>
      <w:tr>
        <w:trPr>
          <w:trHeight w:val="229"/>
        </w:trPr>
        <w:tc>
          <w:tcPr>
            <w:tcW w:w="29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Senior Vice President of Finance and Chief Financial Officer</w:t>
            </w:r>
          </w:p>
        </w:tc>
      </w:tr>
      <w:tr>
        <w:trPr>
          <w:trHeight w:val="230"/>
        </w:trPr>
        <w:tc>
          <w:tcPr>
            <w:tcW w:w="2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51"/>
        </w:trPr>
        <w:tc>
          <w:tcPr>
            <w:tcW w:w="2960" w:type="dxa"/>
            <w:vAlign w:val="bottom"/>
          </w:tcPr>
          <w:p>
            <w:pPr>
              <w:spacing w:after="0"/>
              <w:rPr>
                <w:sz w:val="24"/>
                <w:szCs w:val="24"/>
                <w:color w:val="auto"/>
              </w:rPr>
            </w:pPr>
          </w:p>
        </w:tc>
        <w:tc>
          <w:tcPr>
            <w:tcW w:w="2900" w:type="dxa"/>
            <w:vAlign w:val="bottom"/>
            <w:gridSpan w:val="2"/>
          </w:tcPr>
          <w:p>
            <w:pPr>
              <w:jc w:val="right"/>
              <w:ind w:right="50"/>
              <w:spacing w:after="0"/>
              <w:rPr>
                <w:sz w:val="20"/>
                <w:szCs w:val="20"/>
                <w:color w:val="auto"/>
              </w:rPr>
            </w:pPr>
            <w:r>
              <w:rPr>
                <w:rFonts w:ascii="Arial" w:cs="Arial" w:eastAsia="Arial" w:hAnsi="Arial"/>
                <w:sz w:val="18"/>
                <w:szCs w:val="18"/>
                <w:color w:val="auto"/>
              </w:rPr>
              <w:t>57</w:t>
            </w:r>
          </w:p>
        </w:tc>
        <w:tc>
          <w:tcPr>
            <w:tcW w:w="5360" w:type="dxa"/>
            <w:vAlign w:val="bottom"/>
          </w:tcPr>
          <w:p>
            <w:pPr>
              <w:spacing w:after="0"/>
              <w:rPr>
                <w:sz w:val="24"/>
                <w:szCs w:val="24"/>
                <w:color w:val="auto"/>
              </w:rPr>
            </w:pPr>
          </w:p>
        </w:tc>
      </w:tr>
    </w:tbl>
    <w:p>
      <w:pPr>
        <w:sectPr>
          <w:pgSz w:w="11900" w:h="16838" w:orient="portrait"/>
          <w:cols w:equalWidth="0" w:num="1">
            <w:col w:w="11220"/>
          </w:cols>
          <w:pgMar w:left="320" w:top="891" w:right="3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I, Gregory S. Bielli, certify that:</w:t>
      </w:r>
    </w:p>
    <w:p>
      <w:pPr>
        <w:spacing w:after="0" w:line="17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2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40" w:hanging="328"/>
        <w:spacing w:after="0" w:line="342" w:lineRule="auto"/>
        <w:tabs>
          <w:tab w:leader="none" w:pos="65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60" w:hanging="328"/>
        <w:spacing w:after="0" w:line="263"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Dated:   November 4, 2021</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S. Bielli</w:t>
            </w:r>
          </w:p>
        </w:tc>
      </w:tr>
      <w:tr>
        <w:trPr>
          <w:trHeight w:val="222"/>
        </w:trPr>
        <w:tc>
          <w:tcPr>
            <w:tcW w:w="5920" w:type="dxa"/>
            <w:vAlign w:val="bottom"/>
          </w:tcPr>
          <w:p>
            <w:pPr>
              <w:spacing w:after="0"/>
              <w:rPr>
                <w:sz w:val="19"/>
                <w:szCs w:val="19"/>
                <w:color w:val="auto"/>
              </w:rPr>
            </w:pPr>
          </w:p>
        </w:tc>
        <w:tc>
          <w:tcPr>
            <w:tcW w:w="5280" w:type="dxa"/>
            <w:vAlign w:val="bottom"/>
          </w:tcPr>
          <w:p>
            <w:pPr>
              <w:ind w:left="900"/>
              <w:spacing w:after="0"/>
              <w:rPr>
                <w:sz w:val="20"/>
                <w:szCs w:val="20"/>
                <w:color w:val="auto"/>
              </w:rPr>
            </w:pPr>
            <w:r>
              <w:rPr>
                <w:rFonts w:ascii="Arial" w:cs="Arial" w:eastAsia="Arial" w:hAnsi="Arial"/>
                <w:sz w:val="18"/>
                <w:szCs w:val="18"/>
                <w:color w:val="auto"/>
              </w:rPr>
              <w:t>Gregory S. Bielli</w:t>
            </w:r>
          </w:p>
        </w:tc>
      </w:tr>
      <w:tr>
        <w:trPr>
          <w:trHeight w:val="230"/>
        </w:trPr>
        <w:tc>
          <w:tcPr>
            <w:tcW w:w="5920" w:type="dxa"/>
            <w:vAlign w:val="bottom"/>
          </w:tcPr>
          <w:p>
            <w:pPr>
              <w:spacing w:after="0"/>
              <w:rPr>
                <w:sz w:val="20"/>
                <w:szCs w:val="20"/>
                <w:color w:val="auto"/>
              </w:rPr>
            </w:pPr>
          </w:p>
        </w:tc>
        <w:tc>
          <w:tcPr>
            <w:tcW w:w="5280" w:type="dxa"/>
            <w:vAlign w:val="bottom"/>
          </w:tcPr>
          <w:p>
            <w:pPr>
              <w:ind w:left="9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20"/>
          </w:cols>
          <w:pgMar w:left="320" w:top="891" w:right="3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D Velasquez, certify that:</w:t>
      </w:r>
    </w:p>
    <w:p>
      <w:pPr>
        <w:spacing w:after="0" w:line="17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42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40" w:hanging="328"/>
        <w:spacing w:after="0" w:line="342" w:lineRule="auto"/>
        <w:tabs>
          <w:tab w:leader="none" w:pos="65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60" w:hanging="328"/>
        <w:spacing w:after="0" w:line="263"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2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Dated:   November 4, 2021</w:t>
            </w:r>
          </w:p>
        </w:tc>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D. Velasquez</w:t>
            </w:r>
          </w:p>
        </w:tc>
      </w:tr>
      <w:tr>
        <w:trPr>
          <w:trHeight w:val="222"/>
        </w:trPr>
        <w:tc>
          <w:tcPr>
            <w:tcW w:w="4240" w:type="dxa"/>
            <w:vAlign w:val="bottom"/>
          </w:tcPr>
          <w:p>
            <w:pPr>
              <w:spacing w:after="0"/>
              <w:rPr>
                <w:sz w:val="19"/>
                <w:szCs w:val="19"/>
                <w:color w:val="auto"/>
              </w:rPr>
            </w:pPr>
          </w:p>
        </w:tc>
        <w:tc>
          <w:tcPr>
            <w:tcW w:w="6960" w:type="dxa"/>
            <w:vAlign w:val="bottom"/>
          </w:tcPr>
          <w:p>
            <w:pPr>
              <w:ind w:left="900"/>
              <w:spacing w:after="0"/>
              <w:rPr>
                <w:sz w:val="20"/>
                <w:szCs w:val="20"/>
                <w:color w:val="auto"/>
              </w:rPr>
            </w:pPr>
            <w:r>
              <w:rPr>
                <w:rFonts w:ascii="Arial" w:cs="Arial" w:eastAsia="Arial" w:hAnsi="Arial"/>
                <w:sz w:val="18"/>
                <w:szCs w:val="18"/>
                <w:color w:val="auto"/>
              </w:rPr>
              <w:t>Robert D. Velasquez</w:t>
            </w:r>
          </w:p>
        </w:tc>
      </w:tr>
      <w:tr>
        <w:trPr>
          <w:trHeight w:val="230"/>
        </w:trPr>
        <w:tc>
          <w:tcPr>
            <w:tcW w:w="4240" w:type="dxa"/>
            <w:vAlign w:val="bottom"/>
          </w:tcPr>
          <w:p>
            <w:pPr>
              <w:spacing w:after="0"/>
              <w:rPr>
                <w:sz w:val="20"/>
                <w:szCs w:val="20"/>
                <w:color w:val="auto"/>
              </w:rPr>
            </w:pPr>
          </w:p>
        </w:tc>
        <w:tc>
          <w:tcPr>
            <w:tcW w:w="6960" w:type="dxa"/>
            <w:vAlign w:val="bottom"/>
          </w:tcPr>
          <w:p>
            <w:pPr>
              <w:ind w:left="900"/>
              <w:spacing w:after="0"/>
              <w:rPr>
                <w:sz w:val="20"/>
                <w:szCs w:val="20"/>
                <w:color w:val="auto"/>
              </w:rPr>
            </w:pPr>
            <w:r>
              <w:rPr>
                <w:rFonts w:ascii="Arial" w:cs="Arial" w:eastAsia="Arial" w:hAnsi="Arial"/>
                <w:sz w:val="18"/>
                <w:szCs w:val="18"/>
                <w:color w:val="auto"/>
              </w:rPr>
              <w:t>Senior Vice President of Finance and Chief Financial Officer</w:t>
            </w:r>
          </w:p>
        </w:tc>
      </w:tr>
    </w:tbl>
    <w:p>
      <w:pPr>
        <w:sectPr>
          <w:pgSz w:w="11900" w:h="16838" w:orient="portrait"/>
          <w:cols w:equalWidth="0" w:num="1">
            <w:col w:w="11220"/>
          </w:cols>
          <w:pgMar w:left="320" w:top="891" w:right="359" w:bottom="1440" w:gutter="0" w:footer="0" w:header="0"/>
        </w:sectPr>
      </w:pPr>
    </w:p>
    <w:bookmarkStart w:id="59" w:name="page60"/>
    <w:bookmarkEnd w:id="59"/>
    <w:p>
      <w:pPr>
        <w:ind w:left="5120"/>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97" w:lineRule="exact"/>
        <w:rPr>
          <w:sz w:val="20"/>
          <w:szCs w:val="20"/>
          <w:color w:val="auto"/>
        </w:rPr>
      </w:pPr>
    </w:p>
    <w:p>
      <w:pPr>
        <w:ind w:left="660" w:right="720" w:hanging="328"/>
        <w:spacing w:after="0" w:line="25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September 30, 2021 fully complies with the requirements of Section 13(a) of the Securities Exchange Act of 1934;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 of the Company.</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78" w:lineRule="exact"/>
        <w:rPr>
          <w:sz w:val="20"/>
          <w:szCs w:val="20"/>
          <w:color w:val="auto"/>
        </w:rPr>
      </w:pPr>
    </w:p>
    <w:p>
      <w:pPr>
        <w:ind w:left="20"/>
        <w:spacing w:after="0"/>
        <w:tabs>
          <w:tab w:leader="none" w:pos="3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4,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691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Bielli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691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8">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D. Velasquez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of Finance and Chief Financial Officer</w:t>
      </w:r>
    </w:p>
    <w:sectPr>
      <w:pgSz w:w="11900" w:h="16838" w:orient="portrait"/>
      <w:cols w:equalWidth="0" w:num="1">
        <w:col w:w="11080"/>
      </w:cols>
      <w:pgMar w:left="320" w:top="89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2"/>
      <w:numFmt w:val="bullet"/>
      <w:start w:val="1"/>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decimal"/>
      <w:start w:val="4"/>
    </w:lvl>
  </w:abstractNum>
  <w:abstractNum w:abstractNumId="5">
    <w:nsid w:val="75A2A8D4"/>
    <w:multiLevelType w:val="hybridMultilevel"/>
    <w:lvl w:ilvl="0">
      <w:lvlJc w:val="left"/>
      <w:lvlText w:val="%1."/>
      <w:numFmt w:val="decimal"/>
      <w:start w:val="5"/>
    </w:lvl>
  </w:abstractNum>
  <w:abstractNum w:abstractNumId="6">
    <w:nsid w:val="8EDBDAB"/>
    <w:multiLevelType w:val="hybridMultilevel"/>
    <w:lvl w:ilvl="0">
      <w:lvlJc w:val="left"/>
      <w:lvlText w:val="1"/>
      <w:numFmt w:val="bullet"/>
      <w:start w:val="1"/>
    </w:lvl>
  </w:abstractNum>
  <w:abstractNum w:abstractNumId="7">
    <w:nsid w:val="79838CB2"/>
    <w:multiLevelType w:val="hybridMultilevel"/>
    <w:lvl w:ilvl="0">
      <w:lvlJc w:val="left"/>
      <w:lvlText w:val="%1."/>
      <w:numFmt w:val="decimal"/>
      <w:start w:val="8"/>
    </w:lvl>
  </w:abstractNum>
  <w:abstractNum w:abstractNumId="8">
    <w:nsid w:val="4353D0CD"/>
    <w:multiLevelType w:val="hybridMultilevel"/>
    <w:lvl w:ilvl="0">
      <w:lvlJc w:val="left"/>
      <w:lvlText w:val="%1."/>
      <w:numFmt w:val="decimal"/>
      <w:start w:val="9"/>
    </w:lvl>
  </w:abstractNum>
  <w:abstractNum w:abstractNumId="9">
    <w:nsid w:val="B03E0C6"/>
    <w:multiLevelType w:val="hybridMultilevel"/>
    <w:lvl w:ilvl="0">
      <w:lvlJc w:val="left"/>
      <w:lvlText w:val="%1."/>
      <w:numFmt w:val="decimal"/>
      <w:start w:val="10"/>
    </w:lvl>
  </w:abstractNum>
  <w:abstractNum w:abstractNumId="10">
    <w:nsid w:val="189A769B"/>
    <w:multiLevelType w:val="hybridMultilevel"/>
    <w:lvl w:ilvl="0">
      <w:lvlJc w:val="left"/>
      <w:lvlText w:val="%1."/>
      <w:numFmt w:val="decimal"/>
      <w:start w:val="11"/>
    </w:lvl>
  </w:abstractNum>
  <w:abstractNum w:abstractNumId="11">
    <w:nsid w:val="54E49EB4"/>
    <w:multiLevelType w:val="hybridMultilevel"/>
    <w:lvl w:ilvl="0">
      <w:lvlJc w:val="left"/>
      <w:lvlText w:val="%1."/>
      <w:numFmt w:val="decimal"/>
      <w:start w:val="12"/>
    </w:lvl>
  </w:abstractNum>
  <w:abstractNum w:abstractNumId="12">
    <w:nsid w:val="71F32454"/>
    <w:multiLevelType w:val="hybridMultilevel"/>
    <w:lvl w:ilvl="0">
      <w:lvlJc w:val="left"/>
      <w:lvlText w:val="•"/>
      <w:numFmt w:val="bullet"/>
      <w:start w:val="1"/>
    </w:lvl>
    <w:lvl w:ilvl="1">
      <w:lvlJc w:val="left"/>
      <w:lvlText w:val="◦"/>
      <w:numFmt w:val="bullet"/>
      <w:start w:val="1"/>
    </w:lvl>
  </w:abstractNum>
  <w:abstractNum w:abstractNumId="13">
    <w:nsid w:val="2CA8861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4">
    <w:nsid w:val="836C40E"/>
    <w:multiLevelType w:val="hybridMultilevel"/>
    <w:lvl w:ilvl="0">
      <w:lvlJc w:val="left"/>
      <w:lvlText w:val="•"/>
      <w:numFmt w:val="bullet"/>
      <w:start w:val="1"/>
    </w:lvl>
    <w:lvl w:ilvl="1">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5"/>
    </w:lvl>
    <w:lvl w:ilvl="1">
      <w:lvlJc w:val="left"/>
      <w:lvlText w:val="***"/>
      <w:numFmt w:val="bullet"/>
      <w:start w:val="1"/>
    </w:lvl>
  </w:abstractNum>
  <w:abstractNum w:abstractNumId="18">
    <w:nsid w:val="1E7FF521"/>
    <w:multiLevelType w:val="hybridMultilevel"/>
    <w:lvl w:ilvl="0">
      <w:lvlJc w:val="left"/>
      <w:lvlText w:val="•"/>
      <w:numFmt w:val="bullet"/>
      <w:start w:val="1"/>
    </w:lvl>
    <w:lvl w:ilvl="1">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lvl w:ilvl="1">
      <w:lvlJc w:val="left"/>
      <w:lvlText w:val="◦"/>
      <w:numFmt w:val="bullet"/>
      <w:start w:val="1"/>
    </w:lvl>
  </w:abstractNum>
  <w:abstractNum w:abstractNumId="27">
    <w:nsid w:val="5577F8E1"/>
    <w:multiLevelType w:val="hybridMultilevel"/>
    <w:lvl w:ilvl="0">
      <w:lvlJc w:val="left"/>
      <w:lvlText w:val="•"/>
      <w:numFmt w:val="bullet"/>
      <w:start w:val="1"/>
    </w:lvl>
    <w:lvl w:ilvl="1">
      <w:lvlJc w:val="left"/>
      <w:lvlText w:val="◦"/>
      <w:numFmt w:val="bullet"/>
      <w:start w:val="1"/>
    </w:lvl>
  </w:abstractNum>
  <w:abstractNum w:abstractNumId="28">
    <w:nsid w:val="440BADFC"/>
    <w:multiLevelType w:val="hybridMultilevel"/>
    <w:lvl w:ilvl="0">
      <w:lvlJc w:val="left"/>
      <w:lvlText w:val="1"/>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lvl w:ilvl="1">
      <w:lvlJc w:val="left"/>
      <w:lvlText w:val="1"/>
      <w:numFmt w:val="bullet"/>
      <w:start w:val="1"/>
    </w:lvl>
  </w:abstractNum>
  <w:abstractNum w:abstractNumId="31">
    <w:nsid w:val="77465F01"/>
    <w:multiLevelType w:val="hybridMultilevel"/>
    <w:lvl w:ilvl="0">
      <w:lvlJc w:val="left"/>
      <w:lvlText w:val="•"/>
      <w:numFmt w:val="bullet"/>
      <w:start w:val="1"/>
    </w:lvl>
    <w:lvl w:ilvl="1">
      <w:lvlJc w:val="left"/>
      <w:lvlText w:val="•"/>
      <w:numFmt w:val="bullet"/>
      <w:start w:val="1"/>
    </w:lvl>
  </w:abstractNum>
  <w:abstractNum w:abstractNumId="32">
    <w:nsid w:val="7724C67E"/>
    <w:multiLevelType w:val="hybridMultilevel"/>
    <w:lvl w:ilvl="0">
      <w:lvlJc w:val="left"/>
      <w:lvlText w:val="•"/>
      <w:numFmt w:val="bullet"/>
      <w:start w:val="1"/>
    </w:lvl>
    <w:lvl w:ilvl="1">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bullet"/>
      <w:start w:val="1"/>
    </w:lvl>
  </w:abstractNum>
  <w:abstractNum w:abstractNumId="35">
    <w:nsid w:val="5E884ADC"/>
    <w:multiLevelType w:val="hybridMultilevel"/>
    <w:lvl w:ilvl="0">
      <w:lvlJc w:val="left"/>
      <w:lvlText w:val="2"/>
      <w:numFmt w:val="bullet"/>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2"/>
    </w:lvl>
  </w:abstractNum>
  <w:abstractNum w:abstractNumId="38">
    <w:nsid w:val="580BD78F"/>
    <w:multiLevelType w:val="hybridMultilevel"/>
    <w:lvl w:ilvl="0">
      <w:lvlJc w:val="left"/>
      <w:lvlText w:val="%1"/>
      <w:numFmt w:val="decimal"/>
      <w:start w:val="104"/>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113" Type="http://schemas.openxmlformats.org/officeDocument/2006/relationships/image" Target="media/image68.png"/><Relationship Id="rId114" Type="http://schemas.openxmlformats.org/officeDocument/2006/relationships/image" Target="media/image69.png"/><Relationship Id="rId115" Type="http://schemas.openxmlformats.org/officeDocument/2006/relationships/image" Target="media/image70.png"/><Relationship Id="rId116" Type="http://schemas.openxmlformats.org/officeDocument/2006/relationships/image" Target="media/image71.png"/><Relationship Id="rId117" Type="http://schemas.openxmlformats.org/officeDocument/2006/relationships/image" Target="media/image72.png"/><Relationship Id="rId118" Type="http://schemas.openxmlformats.org/officeDocument/2006/relationships/image" Target="media/image73.png"/><Relationship Id="rId73" Type="http://schemas.openxmlformats.org/officeDocument/2006/relationships/hyperlink" Target="http://www.sec.gov/Archives/edgar/data/96869/000009686921000016/ex31restatedcertificateo.htm" TargetMode="External"/><Relationship Id="rId74" Type="http://schemas.openxmlformats.org/officeDocument/2006/relationships/hyperlink" Target="http://www.sec.gov/Archives/edgar/data/96869/000119312520151616/d937443dex991.htm" TargetMode="External"/><Relationship Id="rId75" Type="http://schemas.openxmlformats.org/officeDocument/2006/relationships/hyperlink" Target="http://www.sec.gov/Archives/edgar/data/96869/000119312505245123/dex41.htm" TargetMode="External"/><Relationship Id="rId76" Type="http://schemas.openxmlformats.org/officeDocument/2006/relationships/hyperlink" Target="http://www.sec.gov/Archives/edgar/data/96869/000119312519119877/d718363dex46.htm" TargetMode="External"/><Relationship Id="rId77" Type="http://schemas.openxmlformats.org/officeDocument/2006/relationships/hyperlink" Target="http://www.sec.gov/Archives/edgar/data/96869/0000096869-98-000002.txt" TargetMode="External"/><Relationship Id="rId78" Type="http://schemas.openxmlformats.org/officeDocument/2006/relationships/hyperlink" Target="http://www.sec.gov/Archives/edgar/data/96869/000119312509042772/dex109.htm" TargetMode="External"/><Relationship Id="rId79" Type="http://schemas.openxmlformats.org/officeDocument/2006/relationships/hyperlink" Target="http://www.sec.gov/Archives/edgar/data/96869/000119312509042772/dex1010.htm" TargetMode="External"/><Relationship Id="rId80" Type="http://schemas.openxmlformats.org/officeDocument/2006/relationships/hyperlink" Target="http://www.sec.gov/Archives/edgar/data/96869/000102140802004535/dex1016.txt" TargetMode="External"/><Relationship Id="rId81" Type="http://schemas.openxmlformats.org/officeDocument/2006/relationships/hyperlink" Target="http://www.sec.gov/Archives/edgar/data/96869/000119312504082310/dex41.htm" TargetMode="External"/><Relationship Id="rId82" Type="http://schemas.openxmlformats.org/officeDocument/2006/relationships/hyperlink" Target="http://www.sec.gov/Archives/edgar/data/96869/000119312504082310/dex42.htm" TargetMode="External"/><Relationship Id="rId83" Type="http://schemas.openxmlformats.org/officeDocument/2006/relationships/hyperlink" Target="http://www.sec.gov/Archives/edgar/data/96869/000119312505051499/dex1021.htm" TargetMode="External"/><Relationship Id="rId84" Type="http://schemas.openxmlformats.org/officeDocument/2006/relationships/hyperlink" Target="http://www.sec.gov/Archives/edgar/data/96869/000119312505051499/dex1023.htm" TargetMode="External"/><Relationship Id="rId85" Type="http://schemas.openxmlformats.org/officeDocument/2006/relationships/hyperlink" Target="http://www.sec.gov/Archives/edgar/data/96869/000119312505051499/dex1022.htm" TargetMode="External"/><Relationship Id="rId86" Type="http://schemas.openxmlformats.org/officeDocument/2006/relationships/hyperlink" Target="http://www.sec.gov/Archives/edgar/data/96869/000119312506118520/dex1024.htm" TargetMode="External"/><Relationship Id="rId87" Type="http://schemas.openxmlformats.org/officeDocument/2006/relationships/hyperlink" Target="http://www.sec.gov/Archives/edgar/data/96869/000119312508138009/dex1028.htm" TargetMode="External"/><Relationship Id="rId88" Type="http://schemas.openxmlformats.org/officeDocument/2006/relationships/hyperlink" Target="http://www.sec.gov/Archives/edgar/data/96869/000119312509170594/dex1025.htm" TargetMode="External"/><Relationship Id="rId89" Type="http://schemas.openxmlformats.org/officeDocument/2006/relationships/hyperlink" Target="http://www.sec.gov/Archives/edgar/data/96869/000144530513001209/exhibit1026-execagreementa.htm" TargetMode="External"/><Relationship Id="rId90" Type="http://schemas.openxmlformats.org/officeDocument/2006/relationships/hyperlink" Target="http://www.sec.gov/Archives/edgar/data/96869/000119312513246605/d549609dex1027.htm" TargetMode="External"/><Relationship Id="rId91" Type="http://schemas.openxmlformats.org/officeDocument/2006/relationships/hyperlink" Target="http://www.sec.gov/Archives/edgar/data/96869/000119312513326495/d581835dex101.htm" TargetMode="External"/><Relationship Id="rId92" Type="http://schemas.openxmlformats.org/officeDocument/2006/relationships/hyperlink" Target="http://www.sec.gov/Archives/edgar/data/96869/000009686914000009/exhibit1029tmvamendments20.htm" TargetMode="External"/><Relationship Id="rId93" Type="http://schemas.openxmlformats.org/officeDocument/2006/relationships/hyperlink" Target="http://www.sec.gov/Archives/edgar/data/96869/000119312514270067/d758856dex1030.htm" TargetMode="External"/><Relationship Id="rId94" Type="http://schemas.openxmlformats.org/officeDocument/2006/relationships/hyperlink" Target="http://www.sec.gov/Archives/edgar/data/96869/000119312514375013/d806135dex1031.htm" TargetMode="External"/><Relationship Id="rId95" Type="http://schemas.openxmlformats.org/officeDocument/2006/relationships/hyperlink" Target="http://www.sec.gov/Archives/edgar/data/96869/000119312514375013/d806135dex1032.htm" TargetMode="External"/><Relationship Id="rId98" Type="http://schemas.openxmlformats.org/officeDocument/2006/relationships/hyperlink" Target="http://www.sec.gov/Archives/edgar/data/96869/000119312514375013/d806135dex1033.htm" TargetMode="External"/><Relationship Id="rId99" Type="http://schemas.openxmlformats.org/officeDocument/2006/relationships/hyperlink" Target="http://www.sec.gov/Archives/edgar/data/96869/000009686915000003/exhibit1034calpineagreemen.htm" TargetMode="External"/><Relationship Id="rId100" Type="http://schemas.openxmlformats.org/officeDocument/2006/relationships/hyperlink" Target="http://www.sec.gov/Archives/edgar/data/96869/000009686915000010/ex1035q32015.htm" TargetMode="External"/><Relationship Id="rId101" Type="http://schemas.openxmlformats.org/officeDocument/2006/relationships/hyperlink" Target="http://www.sec.gov/Archives/edgar/data/96869/000009686916000017/ex1037limitedliabilityagre.htm" TargetMode="External"/><Relationship Id="rId102" Type="http://schemas.openxmlformats.org/officeDocument/2006/relationships/hyperlink" Target="http://www.sec.gov/Archives/edgar/data/96869/000009686916000019/ex1038llagreementoftrc-mrc1.htm" TargetMode="External"/><Relationship Id="rId103" Type="http://schemas.openxmlformats.org/officeDocument/2006/relationships/hyperlink" Target="http://www.sec.gov/Archives/edgar/data/96869/000009686917000002/exhibit1039centennialredem.htm" TargetMode="External"/><Relationship Id="rId104" Type="http://schemas.openxmlformats.org/officeDocument/2006/relationships/hyperlink" Target="http://www.sec.gov/Archives/edgar/data/96869/000009686917000002/exhibit1040firstamendmentt.htm" TargetMode="External"/><Relationship Id="rId105" Type="http://schemas.openxmlformats.org/officeDocument/2006/relationships/hyperlink" Target="http://www.sec.gov/Archives/edgar/data/96869/000009686917000002/exhibit1041secondamendment.htm" TargetMode="External"/><Relationship Id="rId106" Type="http://schemas.openxmlformats.org/officeDocument/2006/relationships/hyperlink" Target="http://www.sec.gov/Archives/edgar/data/96869/000009686918000015/ex1042trcmrc3llc.htm" TargetMode="External"/><Relationship Id="rId107" Type="http://schemas.openxmlformats.org/officeDocument/2006/relationships/hyperlink" Target="http://www.sec.gov/Archives/edgar/data/96869/000009686919000004/exhibit1043201810k.htm" TargetMode="External"/><Relationship Id="rId108" Type="http://schemas.openxmlformats.org/officeDocument/2006/relationships/hyperlink" Target="http://www.sec.gov/Archives/edgar/data/96869/000009686919000004/exhibit1044201810k.htm" TargetMode="External"/><Relationship Id="rId109" Type="http://schemas.openxmlformats.org/officeDocument/2006/relationships/hyperlink" Target="http://www.sec.gov/Archives/edgar/data/96869/000009686919000014/ex1046aloc.htm" TargetMode="External"/><Relationship Id="rId110" Type="http://schemas.openxmlformats.org/officeDocument/2006/relationships/hyperlink" Target="http://www.sec.gov/Archives/edgar/data/96869/000009686919000014/ex1045atn.htm" TargetMode="External"/><Relationship Id="rId111" Type="http://schemas.openxmlformats.org/officeDocument/2006/relationships/hyperlink" Target="http://www.sec.gov/Archives/edgar/data/96869/000009686920000007/exhibit1047-gregbseverance.htm" TargetMode="External"/><Relationship Id="rId112" Type="http://schemas.openxmlformats.org/officeDocument/2006/relationships/hyperlink" Target="http://www.sec.gov/Archives/edgar/data/96869/000009686921000011/ex1048mrc4ll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2021-11-04T15:37:38Z</dcterms:created>
  <dcterms:modified xsi:type="dcterms:W3CDTF">2021-11-04T15:37:38Z</dcterms:modified>
</cp:coreProperties>
</file>