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(Mark One)</w:t>
      </w:r>
    </w:p>
    <w:p>
      <w:pPr>
        <w:spacing w:after="0" w:line="199" w:lineRule="exact"/>
        <w:rPr>
          <w:sz w:val="24"/>
          <w:szCs w:val="24"/>
          <w:color w:val="auto"/>
        </w:rPr>
      </w:pPr>
    </w:p>
    <w:p>
      <w:pPr>
        <w:jc w:val="center"/>
        <w:ind w:left="4360" w:right="2280" w:hanging="2028"/>
        <w:spacing w:after="0" w:line="267" w:lineRule="auto"/>
        <w:tabs>
          <w:tab w:leader="none" w:pos="248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 For the quarterly period ended March 31, 2022</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1" w:lineRule="exact"/>
        <w:rPr>
          <w:sz w:val="24"/>
          <w:szCs w:val="24"/>
          <w:color w:val="auto"/>
        </w:rPr>
      </w:pPr>
    </w:p>
    <w:p>
      <w:pPr>
        <w:ind w:left="2480" w:hanging="152"/>
        <w:spacing w:after="0"/>
        <w:tabs>
          <w:tab w:leader="none" w:pos="24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41" w:lineRule="exact"/>
        <w:rPr>
          <w:sz w:val="24"/>
          <w:szCs w:val="24"/>
          <w:color w:val="auto"/>
        </w:rPr>
      </w:pPr>
    </w:p>
    <w:p>
      <w:pPr>
        <w:ind w:left="4340"/>
        <w:spacing w:after="0"/>
        <w:tabs>
          <w:tab w:leader="none" w:pos="64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3338195</wp:posOffset>
            </wp:positionH>
            <wp:positionV relativeFrom="paragraph">
              <wp:posOffset>83185</wp:posOffset>
            </wp:positionV>
            <wp:extent cx="498475" cy="498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475" cy="498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TEJON RANCH CO.</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77-0196136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P.O. Box 1000, Tejon Ranch, California 93243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(661) 248-3000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3"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39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20" w:type="dxa"/>
            <w:vAlign w:val="bottom"/>
          </w:tcPr>
          <w:p>
            <w:pPr>
              <w:spacing w:after="0"/>
              <w:rPr>
                <w:sz w:val="16"/>
                <w:szCs w:val="16"/>
                <w:color w:val="auto"/>
              </w:rPr>
            </w:pPr>
          </w:p>
        </w:tc>
      </w:tr>
      <w:tr>
        <w:trPr>
          <w:trHeight w:val="276"/>
        </w:trPr>
        <w:tc>
          <w:tcPr>
            <w:tcW w:w="3420" w:type="dxa"/>
            <w:vAlign w:val="bottom"/>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20" w:type="dxa"/>
            <w:vAlign w:val="bottom"/>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7"/>
        </w:trPr>
        <w:tc>
          <w:tcPr>
            <w:tcW w:w="3420" w:type="dxa"/>
            <w:vAlign w:val="bottom"/>
            <w:tcBorders>
              <w:top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Common Stock, $0.50 par value</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TRC</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281" w:lineRule="exact"/>
        <w:rPr>
          <w:sz w:val="24"/>
          <w:szCs w:val="24"/>
          <w:color w:val="auto"/>
        </w:rPr>
      </w:pPr>
    </w:p>
    <w:p>
      <w:pPr>
        <w:jc w:val="both"/>
        <w:ind w:left="20" w:right="60"/>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161" w:lineRule="exact"/>
        <w:rPr>
          <w:sz w:val="24"/>
          <w:szCs w:val="24"/>
          <w:color w:val="auto"/>
        </w:rPr>
      </w:pPr>
    </w:p>
    <w:p>
      <w:pPr>
        <w:ind w:left="20" w:right="120"/>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193" w:lineRule="exact"/>
        <w:rPr>
          <w:sz w:val="24"/>
          <w:szCs w:val="24"/>
          <w:color w:val="auto"/>
        </w:rPr>
      </w:pPr>
    </w:p>
    <w:p>
      <w:pPr>
        <w:ind w:left="2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00" w:top="781" w:right="359" w:bottom="1440" w:gutter="0" w:footer="0" w:header="0"/>
        </w:sectPr>
      </w:pPr>
    </w:p>
    <w:p>
      <w:pPr>
        <w:spacing w:after="0" w:line="90" w:lineRule="exact"/>
        <w:rPr>
          <w:sz w:val="24"/>
          <w:szCs w:val="24"/>
          <w:color w:val="auto"/>
        </w:rPr>
      </w:pPr>
    </w:p>
    <w:p>
      <w:pPr>
        <w:ind w:left="240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62" w:lineRule="exact"/>
        <w:rPr>
          <w:sz w:val="24"/>
          <w:szCs w:val="24"/>
          <w:color w:val="auto"/>
        </w:rPr>
      </w:pPr>
    </w:p>
    <w:p>
      <w:pPr>
        <w:sectPr>
          <w:pgSz w:w="11900" w:h="16838" w:orient="portrait"/>
          <w:cols w:equalWidth="0" w:num="2">
            <w:col w:w="4800" w:space="720"/>
            <w:col w:w="5720"/>
          </w:cols>
          <w:pgMar w:left="300" w:top="781" w:right="359" w:bottom="1440" w:gutter="0" w:footer="0" w:header="0"/>
          <w:type w:val="continuous"/>
        </w:sectPr>
      </w:pPr>
    </w:p>
    <w:p>
      <w:pPr>
        <w:ind w:left="2460"/>
        <w:spacing w:after="0" w:line="150"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74" w:lineRule="exact"/>
        <w:rPr>
          <w:sz w:val="24"/>
          <w:szCs w:val="24"/>
          <w:color w:val="auto"/>
        </w:rPr>
      </w:pPr>
    </w:p>
    <w:p>
      <w:pPr>
        <w:sectPr>
          <w:pgSz w:w="11900" w:h="16838" w:orient="portrait"/>
          <w:cols w:equalWidth="0" w:num="2">
            <w:col w:w="4260" w:space="720"/>
            <w:col w:w="6260"/>
          </w:cols>
          <w:pgMar w:left="300" w:top="781" w:right="359" w:bottom="1440" w:gutter="0" w:footer="0" w:header="0"/>
          <w:type w:val="continuous"/>
        </w:sectPr>
      </w:pPr>
    </w:p>
    <w:p>
      <w:pPr>
        <w:jc w:val="center"/>
        <w:ind w:right="-239"/>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11240"/>
          </w:cols>
          <w:pgMar w:left="300" w:top="781" w:right="359" w:bottom="1440" w:gutter="0" w:footer="0" w:header="0"/>
          <w:type w:val="continuous"/>
        </w:sectPr>
      </w:pPr>
    </w:p>
    <w:p>
      <w:pPr>
        <w:spacing w:after="0" w:line="169" w:lineRule="exact"/>
        <w:rPr>
          <w:sz w:val="24"/>
          <w:szCs w:val="24"/>
          <w:color w:val="auto"/>
        </w:rPr>
      </w:pPr>
    </w:p>
    <w:p>
      <w:pPr>
        <w:ind w:left="20" w:right="180"/>
        <w:spacing w:after="0" w:line="15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0" w:lineRule="exact"/>
        <w:rPr>
          <w:sz w:val="24"/>
          <w:szCs w:val="24"/>
          <w:color w:val="auto"/>
        </w:rPr>
      </w:pPr>
    </w:p>
    <w:p>
      <w:pPr>
        <w:ind w:left="20"/>
        <w:spacing w:after="0" w:line="15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the Company’s outstanding shares of Common Stock on April 30, 2022 was 26,481,691.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458470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81"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PART I.</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FINANCIAL INFORMATION</w:t>
            </w:r>
          </w:p>
        </w:tc>
        <w:tc>
          <w:tcPr>
            <w:tcW w:w="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92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Statements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Operations for the Three Months Ended March 31, 2022 and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Comprehensive Income for the Three Months Ended March 31, 2022 and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Consolidated Balance Sheets as of March 31, 2022 (unaudited) and December 31,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Cash Flows for the Three Months Ended March 31, 2022 and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 of Changes in Equity and Noncontrolling Interests for the Three Months Ended March 31, 2022 and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Controls and Procedures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 II.</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Legal Proceedings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Risk Factors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Mine Safety Disclosures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Information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Exhibits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SIGNATURES</w:t>
            </w:r>
          </w:p>
        </w:tc>
        <w:tc>
          <w:tcPr>
            <w:tcW w:w="94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5"/>
        </w:trPr>
        <w:tc>
          <w:tcPr>
            <w:tcW w:w="920" w:type="dxa"/>
            <w:vAlign w:val="bottom"/>
          </w:tcPr>
          <w:p>
            <w:pPr>
              <w:spacing w:after="0"/>
              <w:rPr>
                <w:sz w:val="24"/>
                <w:szCs w:val="24"/>
                <w:color w:val="auto"/>
              </w:rPr>
            </w:pPr>
          </w:p>
        </w:tc>
        <w:tc>
          <w:tcPr>
            <w:tcW w:w="9420" w:type="dxa"/>
            <w:vAlign w:val="bottom"/>
          </w:tcPr>
          <w:p>
            <w:pPr>
              <w:ind w:left="4680"/>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9A9A9A"/>
            </w:tcBorders>
          </w:tcPr>
          <w:p>
            <w:pPr>
              <w:spacing w:after="0"/>
              <w:rPr>
                <w:sz w:val="7"/>
                <w:szCs w:val="7"/>
                <w:color w:val="auto"/>
              </w:rPr>
            </w:pPr>
          </w:p>
        </w:tc>
        <w:tc>
          <w:tcPr>
            <w:tcW w:w="9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1.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2021</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9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0" w:type="dxa"/>
            <w:vAlign w:val="bottom"/>
          </w:tcPr>
          <w:p>
            <w:pPr>
              <w:spacing w:after="0"/>
              <w:rPr>
                <w:sz w:val="1"/>
                <w:szCs w:val="1"/>
                <w:color w:val="auto"/>
              </w:rPr>
            </w:pPr>
          </w:p>
        </w:tc>
      </w:tr>
      <w:tr>
        <w:trPr>
          <w:trHeight w:val="180"/>
        </w:trPr>
        <w:tc>
          <w:tcPr>
            <w:tcW w:w="7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Mineral resources</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11,968</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7,176</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Farming</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Ranch operations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11,054</w:t>
            </w:r>
          </w:p>
        </w:tc>
        <w:tc>
          <w:tcPr>
            <w:tcW w:w="0" w:type="dxa"/>
            <w:vAlign w:val="bottom"/>
          </w:tcPr>
          <w:p>
            <w:pPr>
              <w:spacing w:after="0"/>
              <w:rPr>
                <w:sz w:val="1"/>
                <w:szCs w:val="1"/>
                <w:color w:val="auto"/>
              </w:rPr>
            </w:pP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180"/>
        </w:trPr>
        <w:tc>
          <w:tcPr>
            <w:tcW w:w="7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Mineral resources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5,047</w:t>
            </w:r>
          </w:p>
        </w:tc>
        <w:tc>
          <w:tcPr>
            <w:tcW w:w="0" w:type="dxa"/>
            <w:vAlign w:val="bottom"/>
          </w:tcPr>
          <w:p>
            <w:pPr>
              <w:spacing w:after="0"/>
              <w:rPr>
                <w:sz w:val="1"/>
                <w:szCs w:val="1"/>
                <w:color w:val="auto"/>
              </w:rPr>
            </w:pPr>
          </w:p>
        </w:tc>
      </w:tr>
      <w:tr>
        <w:trPr>
          <w:trHeight w:val="180"/>
        </w:trPr>
        <w:tc>
          <w:tcPr>
            <w:tcW w:w="7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Farming</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Ranch operations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Corporate expenses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expenses</w:t>
            </w: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15,808</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12,108</w:t>
            </w:r>
          </w:p>
        </w:tc>
        <w:tc>
          <w:tcPr>
            <w:tcW w:w="0" w:type="dxa"/>
            <w:vAlign w:val="bottom"/>
          </w:tcPr>
          <w:p>
            <w:pPr>
              <w:spacing w:after="0"/>
              <w:rPr>
                <w:sz w:val="1"/>
                <w:szCs w:val="1"/>
                <w:color w:val="auto"/>
              </w:rPr>
            </w:pPr>
          </w:p>
        </w:tc>
      </w:tr>
      <w:tr>
        <w:trPr>
          <w:trHeight w:val="171"/>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income</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income, net</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1"/>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other income</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 before equity in earnings of unconsolidated joint ventures</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6,147</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earnings (losses) of unconsolidated joint ventures, net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 expense</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3,046</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 per share attributable to common stockholders, basic</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4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9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spacing w:after="0"/>
              <w:rPr>
                <w:sz w:val="12"/>
                <w:szCs w:val="12"/>
                <w:color w:val="auto"/>
              </w:rPr>
            </w:pPr>
          </w:p>
        </w:tc>
        <w:tc>
          <w:tcPr>
            <w:tcW w:w="1080" w:type="dxa"/>
            <w:vAlign w:val="bottom"/>
            <w:tcBorders>
              <w:bottom w:val="single" w:sz="8" w:color="auto"/>
            </w:tcBorders>
          </w:tcPr>
          <w:p>
            <w:pPr>
              <w:jc w:val="right"/>
              <w:ind w:right="9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attributable to common stockholders, diluted</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69"/>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71"/>
        </w:trPr>
        <w:tc>
          <w:tcPr>
            <w:tcW w:w="78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2021</w:t>
            </w:r>
          </w:p>
        </w:tc>
        <w:tc>
          <w:tcPr>
            <w:tcW w:w="560" w:type="dxa"/>
            <w:vAlign w:val="bottom"/>
            <w:tcBorders>
              <w:bottom w:val="single" w:sz="8" w:color="auto"/>
            </w:tcBorders>
          </w:tcPr>
          <w:p>
            <w:pPr>
              <w:spacing w:after="0"/>
              <w:rPr>
                <w:sz w:val="14"/>
                <w:szCs w:val="14"/>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r>
      <w:tr>
        <w:trPr>
          <w:trHeight w:val="180"/>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gain:</w:t>
            </w: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78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Unrealized gain on interest rate swap</w:t>
            </w: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2,203</w:t>
            </w:r>
          </w:p>
        </w:tc>
      </w:tr>
      <w:tr>
        <w:trPr>
          <w:trHeight w:val="171"/>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comprehensive gain before taxes</w:t>
            </w:r>
          </w:p>
        </w:tc>
        <w:tc>
          <w:tcPr>
            <w:tcW w:w="1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2,193</w:t>
            </w:r>
          </w:p>
        </w:tc>
      </w:tr>
      <w:tr>
        <w:trPr>
          <w:trHeight w:val="180"/>
        </w:trPr>
        <w:tc>
          <w:tcPr>
            <w:tcW w:w="78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Expense for income taxes related to other comprehensive income items</w:t>
            </w: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71"/>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comprehensive gain</w:t>
            </w:r>
          </w:p>
        </w:tc>
        <w:tc>
          <w:tcPr>
            <w:tcW w:w="1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1,580</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6,104</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517</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non-controlling interests</w:t>
            </w:r>
          </w:p>
        </w:tc>
        <w:tc>
          <w:tcPr>
            <w:tcW w:w="1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common stockholders</w:t>
            </w: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525</w:t>
            </w:r>
          </w:p>
        </w:tc>
      </w:tr>
      <w:tr>
        <w:trPr>
          <w:trHeight w:val="20"/>
        </w:trPr>
        <w:tc>
          <w:tcPr>
            <w:tcW w:w="7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2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184"/>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4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(unaudited)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32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36,195</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Marketable securities - available-for-sale</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10,983</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6,473</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Inventories</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62,972</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net</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17,301</w:t>
            </w:r>
          </w:p>
        </w:tc>
        <w:tc>
          <w:tcPr>
            <w:tcW w:w="0" w:type="dxa"/>
            <w:vAlign w:val="bottom"/>
          </w:tcPr>
          <w:p>
            <w:pPr>
              <w:spacing w:after="0"/>
              <w:rPr>
                <w:sz w:val="1"/>
                <w:szCs w:val="1"/>
                <w:color w:val="auto"/>
              </w:rPr>
            </w:pPr>
          </w:p>
        </w:tc>
      </w:tr>
      <w:tr>
        <w:trPr>
          <w:trHeight w:val="138"/>
        </w:trPr>
        <w:tc>
          <w:tcPr>
            <w:tcW w:w="73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Real estate development (includes $113,014 at March 31, 2022 and $112,063 at December 31, 2021, attributable to Centennial</w:t>
            </w: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Founders, LLC, Note 15)</w:t>
            </w:r>
          </w:p>
        </w:tc>
        <w:tc>
          <w:tcPr>
            <w:tcW w:w="14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321,449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319,030</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50,699</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joint ventures</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43,418</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 water assets</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50,997</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420" w:type="dxa"/>
            <w:vAlign w:val="bottom"/>
            <w:tcBorders>
              <w:bottom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552,028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546,036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73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AND EQUITY</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Trade accounts payable</w:t>
            </w: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Deferred income</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Income Taxes Payable</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4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15,595</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48,155</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deferred gains</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8,409</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14,468</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14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89,525</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Tejon Ranch Co. Stockholders’ Equity</w:t>
            </w: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Common stock, $0.50 par value per share:</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Authorized shares - 30,000,000</w:t>
            </w: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Issued and outstanding shares - 26,473,349 at March 31, 2022 and 26,400,921 at December 31, 2021</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345,166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344,936</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(6,822)</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Retained earnings</w:t>
            </w:r>
          </w:p>
        </w:tc>
        <w:tc>
          <w:tcPr>
            <w:tcW w:w="1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94,142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89,835</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Tejon Ranch Co. Stockholders’ Equity</w:t>
            </w:r>
          </w:p>
        </w:tc>
        <w:tc>
          <w:tcPr>
            <w:tcW w:w="14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447,513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441,149</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15,362</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4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462,882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456,511</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420" w:type="dxa"/>
            <w:vAlign w:val="bottom"/>
            <w:tcBorders>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552,028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546,036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69"/>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520" w:type="dxa"/>
            <w:vAlign w:val="bottom"/>
          </w:tcPr>
          <w:p>
            <w:pPr>
              <w:spacing w:after="0"/>
              <w:rPr>
                <w:sz w:val="14"/>
                <w:szCs w:val="14"/>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80" w:type="dxa"/>
            <w:vAlign w:val="bottom"/>
            <w:vMerge w:val="continue"/>
          </w:tcPr>
          <w:p>
            <w:pPr>
              <w:spacing w:after="0"/>
              <w:rPr>
                <w:sz w:val="13"/>
                <w:szCs w:val="13"/>
                <w:color w:val="auto"/>
              </w:rPr>
            </w:pPr>
          </w:p>
        </w:tc>
        <w:tc>
          <w:tcPr>
            <w:tcW w:w="2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3600" w:type="dxa"/>
            <w:vAlign w:val="bottom"/>
            <w:gridSpan w:val="2"/>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80"/>
        </w:trPr>
        <w:tc>
          <w:tcPr>
            <w:tcW w:w="5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by operating activities:</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180"/>
        </w:trPr>
        <w:tc>
          <w:tcPr>
            <w:tcW w:w="5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Amortization of premium/discount of marketable securities</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Equity in earnings of unconsolidated joint ventures, net</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5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Non-cash retirement plan (benefit) expense</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520"/>
              <w:spacing w:after="0" w:line="181" w:lineRule="exact"/>
              <w:rPr>
                <w:sz w:val="20"/>
                <w:szCs w:val="20"/>
                <w:color w:val="auto"/>
              </w:rPr>
            </w:pPr>
            <w:r>
              <w:rPr>
                <w:rFonts w:ascii="Times New Roman" w:cs="Times New Roman" w:eastAsia="Times New Roman" w:hAnsi="Times New Roman"/>
                <w:sz w:val="14"/>
                <w:szCs w:val="14"/>
                <w:color w:val="auto"/>
              </w:rPr>
              <w:t>Profit from water sales</w:t>
            </w:r>
            <w:r>
              <w:rPr>
                <w:rFonts w:ascii="Times New Roman" w:cs="Times New Roman" w:eastAsia="Times New Roman" w:hAnsi="Times New Roman"/>
                <w:sz w:val="18"/>
                <w:szCs w:val="18"/>
                <w:color w:val="auto"/>
                <w:vertAlign w:val="superscript"/>
              </w:rPr>
              <w:t>1</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5280" w:type="dxa"/>
            <w:vAlign w:val="bottom"/>
          </w:tcPr>
          <w:p>
            <w:pPr>
              <w:ind w:left="520"/>
              <w:spacing w:after="0" w:line="181" w:lineRule="exact"/>
              <w:rPr>
                <w:sz w:val="20"/>
                <w:szCs w:val="20"/>
                <w:color w:val="auto"/>
              </w:rPr>
            </w:pPr>
            <w:r>
              <w:rPr>
                <w:rFonts w:ascii="Times New Roman" w:cs="Times New Roman" w:eastAsia="Times New Roman" w:hAnsi="Times New Roman"/>
                <w:sz w:val="14"/>
                <w:szCs w:val="14"/>
                <w:color w:val="auto"/>
              </w:rPr>
              <w:t>Profit from land sales</w:t>
            </w:r>
            <w:r>
              <w:rPr>
                <w:rFonts w:ascii="Times New Roman" w:cs="Times New Roman" w:eastAsia="Times New Roman" w:hAnsi="Times New Roman"/>
                <w:sz w:val="18"/>
                <w:szCs w:val="18"/>
                <w:color w:val="auto"/>
                <w:vertAlign w:val="superscript"/>
              </w:rPr>
              <w:t>2</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Gain on sale of property plant and equipment</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0"/>
        </w:trPr>
        <w:tc>
          <w:tcPr>
            <w:tcW w:w="5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Deferred income taxes</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0" w:type="dxa"/>
            <w:vAlign w:val="bottom"/>
          </w:tcPr>
          <w:p>
            <w:pPr>
              <w:spacing w:after="0"/>
              <w:rPr>
                <w:sz w:val="1"/>
                <w:szCs w:val="1"/>
                <w:color w:val="auto"/>
              </w:rPr>
            </w:pPr>
          </w:p>
        </w:tc>
      </w:tr>
      <w:tr>
        <w:trPr>
          <w:trHeight w:val="180"/>
        </w:trPr>
        <w:tc>
          <w:tcPr>
            <w:tcW w:w="5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Excess tax shortfall from stock-based compensation</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 of earnings from unconsolidated joint ventures</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80"/>
        </w:trPr>
        <w:tc>
          <w:tcPr>
            <w:tcW w:w="5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Receivables, inventories, prepaids and other assets, net</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180"/>
        </w:trPr>
        <w:tc>
          <w:tcPr>
            <w:tcW w:w="52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Current liabilities</w:t>
            </w:r>
          </w:p>
        </w:tc>
        <w:tc>
          <w:tcPr>
            <w:tcW w:w="25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17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0" w:type="dxa"/>
            <w:vAlign w:val="bottom"/>
          </w:tcPr>
          <w:p>
            <w:pPr>
              <w:spacing w:after="0"/>
              <w:rPr>
                <w:sz w:val="1"/>
                <w:szCs w:val="1"/>
                <w:color w:val="auto"/>
              </w:rPr>
            </w:pPr>
          </w:p>
        </w:tc>
      </w:tr>
      <w:tr>
        <w:trPr>
          <w:trHeight w:val="180"/>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Maturities and sales of marketable securities</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7,967</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80"/>
        </w:trPr>
        <w:tc>
          <w:tcPr>
            <w:tcW w:w="5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Funds invested in marketable securities</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 estate and equipment expenditures</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0" w:type="dxa"/>
            <w:vAlign w:val="bottom"/>
          </w:tcPr>
          <w:p>
            <w:pPr>
              <w:spacing w:after="0"/>
              <w:rPr>
                <w:sz w:val="1"/>
                <w:szCs w:val="1"/>
                <w:color w:val="auto"/>
              </w:rPr>
            </w:pPr>
          </w:p>
        </w:tc>
      </w:tr>
      <w:tr>
        <w:trPr>
          <w:trHeight w:val="180"/>
        </w:trPr>
        <w:tc>
          <w:tcPr>
            <w:tcW w:w="5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sale of real estate/assets</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80"/>
        </w:trPr>
        <w:tc>
          <w:tcPr>
            <w:tcW w:w="5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 of equity from unconsolidated joint ventures</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Proceeds from water sales</w:t>
            </w:r>
            <w:r>
              <w:rPr>
                <w:rFonts w:ascii="Times New Roman" w:cs="Times New Roman" w:eastAsia="Times New Roman" w:hAnsi="Times New Roman"/>
                <w:sz w:val="18"/>
                <w:szCs w:val="18"/>
                <w:color w:val="auto"/>
                <w:vertAlign w:val="superscript"/>
              </w:rPr>
              <w:t>1</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5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Investments in water assets</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Net proceeds from land sales</w:t>
            </w:r>
            <w:r>
              <w:rPr>
                <w:rFonts w:ascii="Times New Roman" w:cs="Times New Roman" w:eastAsia="Times New Roman" w:hAnsi="Times New Roman"/>
                <w:sz w:val="18"/>
                <w:szCs w:val="18"/>
                <w:color w:val="auto"/>
                <w:vertAlign w:val="superscript"/>
              </w:rPr>
              <w:t>2</w:t>
            </w:r>
          </w:p>
        </w:tc>
        <w:tc>
          <w:tcPr>
            <w:tcW w:w="25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4,438</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(11,679)</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Taxes on vested stock grants</w:t>
            </w:r>
          </w:p>
        </w:tc>
        <w:tc>
          <w:tcPr>
            <w:tcW w:w="25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17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(9,997)</w:t>
            </w:r>
          </w:p>
        </w:tc>
        <w:tc>
          <w:tcPr>
            <w:tcW w:w="0" w:type="dxa"/>
            <w:vAlign w:val="bottom"/>
          </w:tcPr>
          <w:p>
            <w:pPr>
              <w:spacing w:after="0"/>
              <w:rPr>
                <w:sz w:val="1"/>
                <w:szCs w:val="1"/>
                <w:color w:val="auto"/>
              </w:rPr>
            </w:pPr>
          </w:p>
        </w:tc>
      </w:tr>
      <w:tr>
        <w:trPr>
          <w:trHeight w:val="18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5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37,398</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55,320</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5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37,908</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52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w:t>
            </w:r>
          </w:p>
        </w:tc>
        <w:tc>
          <w:tcPr>
            <w:tcW w:w="2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0" w:type="dxa"/>
            <w:vAlign w:val="bottom"/>
            <w:gridSpan w:val="2"/>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36,705</w:t>
            </w:r>
          </w:p>
        </w:tc>
        <w:tc>
          <w:tcPr>
            <w:tcW w:w="80" w:type="dxa"/>
            <w:vAlign w:val="bottom"/>
          </w:tcPr>
          <w:p>
            <w:pPr>
              <w:spacing w:after="0"/>
              <w:rPr>
                <w:sz w:val="15"/>
                <w:szCs w:val="15"/>
                <w:color w:val="auto"/>
              </w:rPr>
            </w:pPr>
          </w:p>
        </w:tc>
        <w:tc>
          <w:tcPr>
            <w:tcW w:w="110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45,323</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(Shown in Other Assets)</w:t>
            </w:r>
          </w:p>
        </w:tc>
        <w:tc>
          <w:tcPr>
            <w:tcW w:w="25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2520" w:type="dxa"/>
            <w:vAlign w:val="bottom"/>
          </w:tcPr>
          <w:p>
            <w:pPr>
              <w:spacing w:after="0"/>
              <w:rPr>
                <w:sz w:val="14"/>
                <w:szCs w:val="14"/>
                <w:color w:val="auto"/>
              </w:rPr>
            </w:pP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37,908</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45,323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520" w:type="dxa"/>
            <w:vAlign w:val="bottom"/>
            <w:vMerge w:val="restart"/>
          </w:tcPr>
          <w:p>
            <w:pPr>
              <w:jc w:val="right"/>
              <w:ind w:right="2049"/>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52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28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 included in current liabilities</w:t>
            </w:r>
          </w:p>
        </w:tc>
        <w:tc>
          <w:tcPr>
            <w:tcW w:w="7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7"/>
        </w:trPr>
        <w:tc>
          <w:tcPr>
            <w:tcW w:w="7780" w:type="dxa"/>
            <w:vAlign w:val="bottom"/>
            <w:tcBorders>
              <w:bottom w:val="single" w:sz="8" w:color="CCEEFF"/>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Accrued long-term water assets included in current liabilities</w:t>
            </w:r>
          </w:p>
        </w:tc>
        <w:tc>
          <w:tcPr>
            <w:tcW w:w="720" w:type="dxa"/>
            <w:vAlign w:val="bottom"/>
            <w:tcBorders>
              <w:bottom w:val="single" w:sz="8" w:color="auto"/>
            </w:tcBorders>
            <w:shd w:val="clear" w:color="auto" w:fill="CCEEFF"/>
          </w:tcPr>
          <w:p>
            <w:pPr>
              <w:jc w:val="right"/>
              <w:ind w:right="56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(374)</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20" w:right="220"/>
        <w:spacing w:after="0" w:line="232" w:lineRule="auto"/>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In determining the classification of cash inflows and outflows related to water asset activity, the Company’s practices are supported by Accounting Standards Codification (“ASC”) 230-10-45-22, which provides that “Certain cash receipts and payments have aspects of more than one class of cash flows…. If so, the appropriate classification shall depend on the activity that is likely to be the predominant source of cash flows for the</w:t>
      </w:r>
    </w:p>
    <w:p>
      <w:pPr>
        <w:ind w:left="20" w:right="140"/>
        <w:spacing w:after="0" w:line="234" w:lineRule="auto"/>
        <w:rPr>
          <w:sz w:val="20"/>
          <w:szCs w:val="20"/>
          <w:color w:val="auto"/>
        </w:rPr>
      </w:pPr>
      <w:r>
        <w:rPr>
          <w:rFonts w:ascii="Times New Roman" w:cs="Times New Roman" w:eastAsia="Times New Roman" w:hAnsi="Times New Roman"/>
          <w:sz w:val="13"/>
          <w:szCs w:val="13"/>
          <w:color w:val="auto"/>
        </w:rPr>
        <w:t>item.” Also, at the 2006 American Institution of Certified Public Accountants Conference on Current SEC and PCAOB Developments, the Securities and Exchange Commission, or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164" w:lineRule="exact"/>
        <w:rPr>
          <w:sz w:val="20"/>
          <w:szCs w:val="20"/>
          <w:color w:val="auto"/>
        </w:rPr>
      </w:pPr>
    </w:p>
    <w:p>
      <w:pPr>
        <w:ind w:left="20" w:right="100"/>
        <w:spacing w:after="0" w:line="241" w:lineRule="auto"/>
        <w:rPr>
          <w:sz w:val="20"/>
          <w:szCs w:val="20"/>
          <w:color w:val="auto"/>
        </w:rPr>
      </w:pPr>
      <w:r>
        <w:rPr>
          <w:rFonts w:ascii="Times New Roman" w:cs="Times New Roman" w:eastAsia="Times New Roman" w:hAnsi="Times New Roman"/>
          <w:sz w:val="13"/>
          <w:szCs w:val="13"/>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$1.7 million in 2022, this cash inflow is appropriately classified in the Company’s investing activities. The profit of $0.7 million related to the water purchased in prior periods is appropriately being deducted from operating activities for the current period. The Company has and will continue to apply this methodology to water asset transactions that meet this fact pattern.</w:t>
      </w:r>
    </w:p>
    <w:p>
      <w:pPr>
        <w:spacing w:after="0" w:line="206" w:lineRule="exact"/>
        <w:rPr>
          <w:sz w:val="20"/>
          <w:szCs w:val="20"/>
          <w:color w:val="auto"/>
        </w:rPr>
      </w:pPr>
    </w:p>
    <w:p>
      <w:pPr>
        <w:ind w:left="20" w:right="40"/>
        <w:spacing w:after="0" w:line="232" w:lineRule="auto"/>
        <w:rPr>
          <w:sz w:val="20"/>
          <w:szCs w:val="20"/>
          <w:color w:val="auto"/>
        </w:rPr>
      </w:pP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In determining the classification of cash inflows and outflows related to land development costs, the Company’s practices are supported by Accounting Standards Codification (“ASC”) 230-10-45-22, which provides that “Certain cash receipts and payments have aspects of more than one class of cash flows…. If so, the appropriate classification shall depend on the activity that is likely to be the predominant source of cash flows for the</w:t>
      </w:r>
    </w:p>
    <w:p>
      <w:pPr>
        <w:ind w:left="20" w:right="140"/>
        <w:spacing w:after="0" w:line="234" w:lineRule="auto"/>
        <w:rPr>
          <w:sz w:val="20"/>
          <w:szCs w:val="20"/>
          <w:color w:val="auto"/>
        </w:rPr>
      </w:pPr>
      <w:r>
        <w:rPr>
          <w:rFonts w:ascii="Times New Roman" w:cs="Times New Roman" w:eastAsia="Times New Roman" w:hAnsi="Times New Roman"/>
          <w:sz w:val="13"/>
          <w:szCs w:val="13"/>
          <w:color w:val="auto"/>
        </w:rPr>
        <w:t>item.” Also, at the 2006 American Institution of Certified Public Accountants Conference on Current SEC and PCAOB Developments, the Securities and Exchange Commission, or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164" w:lineRule="exact"/>
        <w:rPr>
          <w:sz w:val="20"/>
          <w:szCs w:val="20"/>
          <w:color w:val="auto"/>
        </w:rPr>
      </w:pPr>
    </w:p>
    <w:p>
      <w:pPr>
        <w:ind w:left="20" w:right="20"/>
        <w:spacing w:after="0" w:line="241" w:lineRule="auto"/>
        <w:rPr>
          <w:sz w:val="20"/>
          <w:szCs w:val="20"/>
          <w:color w:val="auto"/>
        </w:rPr>
      </w:pPr>
      <w:r>
        <w:rPr>
          <w:rFonts w:ascii="Times New Roman" w:cs="Times New Roman" w:eastAsia="Times New Roman" w:hAnsi="Times New Roman"/>
          <w:sz w:val="13"/>
          <w:szCs w:val="13"/>
          <w:color w:val="auto"/>
        </w:rPr>
        <w:t>Given the nature of our land development costs and the aforementioned authoritative guidance, the Company estimates the appropriate classification of land development costs based on the timing of the sale of land. Land development costs incurred during prior periods that were classified as investing were sold for $4.7 million in 2022, this cash inflow is appropriately classified in the Company’s investing activities. The profit of $3.6 million related to land development costs incurred in prior periods is appropriately being deducted from operating activities for the current period. The Company has and will continue to apply this methodology to land sale transactions that meet this fact pattern.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 OF CHANGES IN EQUITY AND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shares outstanding)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Total</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1"/>
                <w:szCs w:val="11"/>
                <w:color w:val="auto"/>
              </w:rPr>
            </w:pPr>
          </w:p>
        </w:tc>
        <w:tc>
          <w:tcPr>
            <w:tcW w:w="11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Stockholders'</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Outstanding</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 Income</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Interest</w:t>
            </w:r>
          </w:p>
        </w:tc>
        <w:tc>
          <w:tcPr>
            <w:tcW w:w="12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Total Equity</w:t>
            </w:r>
          </w:p>
        </w:tc>
        <w:tc>
          <w:tcPr>
            <w:tcW w:w="0" w:type="dxa"/>
            <w:vAlign w:val="bottom"/>
          </w:tcPr>
          <w:p>
            <w:pPr>
              <w:spacing w:after="0"/>
              <w:rPr>
                <w:sz w:val="1"/>
                <w:szCs w:val="1"/>
                <w:color w:val="auto"/>
              </w:rPr>
            </w:pPr>
          </w:p>
        </w:tc>
      </w:tr>
      <w:tr>
        <w:trPr>
          <w:trHeight w:val="171"/>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26,400,921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344,936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89,835</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441,149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456,511</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0" w:type="dxa"/>
            <w:vAlign w:val="bottom"/>
          </w:tcPr>
          <w:p>
            <w:pPr>
              <w:spacing w:after="0"/>
              <w:rPr>
                <w:sz w:val="1"/>
                <w:szCs w:val="1"/>
                <w:color w:val="auto"/>
              </w:rPr>
            </w:pPr>
          </w:p>
        </w:tc>
      </w:tr>
      <w:tr>
        <w:trPr>
          <w:trHeight w:val="138"/>
        </w:trPr>
        <w:tc>
          <w:tcPr>
            <w:tcW w:w="2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withheld for taxes and tax benefit of</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26,473,349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94,142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462,882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26,276,830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445,331</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138"/>
        </w:trPr>
        <w:tc>
          <w:tcPr>
            <w:tcW w:w="2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withheld for taxes and tax benefit of</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26,336,115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83,432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446,148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CONSOLIDATED FINANCIAL STATEMENTS</w:t>
      </w:r>
    </w:p>
    <w:p>
      <w:pPr>
        <w:spacing w:after="0" w:line="35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3"/>
          <w:szCs w:val="13"/>
          <w:b w:val="1"/>
          <w:bCs w:val="1"/>
          <w:color w:val="auto"/>
        </w:rPr>
        <w:t>BASIS OF PRESENTATION</w:t>
      </w:r>
    </w:p>
    <w:p>
      <w:pPr>
        <w:spacing w:after="0" w:line="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30"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The periods ended March 31, 2022 and December 31, 2021 include the consolidation of Centennial Founders, LLC’s statement of operations within the resort/residential real estate development segment and statements of cash flows. The Company’s March 31, 2022 and December 31, 2021 balance sheets and statements of changes in equity and noncontrolling interests are presented on a consolidated basis, including the consolidation of Centennial Founders, LLC.</w:t>
      </w:r>
    </w:p>
    <w:p>
      <w:pPr>
        <w:spacing w:after="0" w:line="4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4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results of the period reported herein are not indicative of the results to be expected for the full year due to the seasonal nature of the Company’s agricultural activities, water activities, timing of real estate sales and leasing activities. Historically, the Company’s largest percentages of farming revenues are recognized during the third and fourth quarters of the fiscal year. Please refer to Item 2. Management’s Discussion and Analysis of Financial Condition and Results of Operations for further discussion.</w:t>
      </w:r>
    </w:p>
    <w:p>
      <w:pPr>
        <w:spacing w:after="0" w:line="3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For further information and a summary of significant accounting policies, refer to the Consolidated Financial Statements and notes thereto included in the Company’s Annual Report on Form 10-K for the year ended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Cash</w:t>
      </w:r>
    </w:p>
    <w:p>
      <w:pPr>
        <w:spacing w:after="0" w:line="85"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Restricted cash is included in Prepaid expenses and other current assets within the Consolidated Balance Sheets and primarily relate to funds held in escrow. The Company had $1,203,000 of restricted cash as of March 31,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new Accounting Standards Update, or ASU, is applicable to our consolidated financial statements as of March 31, 2022.</w:t>
      </w:r>
    </w:p>
    <w:p>
      <w:pPr>
        <w:spacing w:after="0" w:line="1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EQUITY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Share (EPS)</w:t>
      </w:r>
    </w:p>
    <w:p>
      <w:pPr>
        <w:spacing w:after="0" w:line="85"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Basic net income (loss) per share attributable to common stockholders is based upon the weighted-average number of shares of common stock outstanding during the year. Diluted net income (loss) per share attributable to common stockholders is based upon the weighted average number of shares of common stock outstanding and the weighted average number of shares outstanding assuming the issuance of common stock upon exercise of stock options, warrants to purchase common stock, and the vesting of restricted stock grants per ASC Topic 260, “Earnings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380" w:type="dxa"/>
            <w:vAlign w:val="bottom"/>
            <w:tcBorders>
              <w:bottom w:val="single" w:sz="8" w:color="auto"/>
            </w:tcBorders>
            <w:gridSpan w:val="3"/>
          </w:tcPr>
          <w:p>
            <w:pPr>
              <w:jc w:val="right"/>
              <w:ind w:right="709"/>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71"/>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w:t>
            </w:r>
          </w:p>
        </w:tc>
        <w:tc>
          <w:tcPr>
            <w:tcW w:w="3700" w:type="dxa"/>
            <w:vAlign w:val="bottom"/>
          </w:tcPr>
          <w:p>
            <w:pPr>
              <w:spacing w:after="0"/>
              <w:rPr>
                <w:sz w:val="14"/>
                <w:szCs w:val="14"/>
                <w:color w:val="auto"/>
              </w:rPr>
            </w:pPr>
          </w:p>
        </w:tc>
        <w:tc>
          <w:tcPr>
            <w:tcW w:w="16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60"/>
        </w:trPr>
        <w:tc>
          <w:tcPr>
            <w:tcW w:w="42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Common stock</w:t>
            </w:r>
          </w:p>
        </w:tc>
        <w:tc>
          <w:tcPr>
            <w:tcW w:w="5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26,431,989</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26,313,722</w:t>
            </w:r>
          </w:p>
        </w:tc>
        <w:tc>
          <w:tcPr>
            <w:tcW w:w="0" w:type="dxa"/>
            <w:vAlign w:val="bottom"/>
          </w:tcPr>
          <w:p>
            <w:pPr>
              <w:spacing w:after="0"/>
              <w:rPr>
                <w:sz w:val="1"/>
                <w:szCs w:val="1"/>
                <w:color w:val="auto"/>
              </w:rPr>
            </w:pP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 equivalents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47,507</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57,010</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 shares outstanding</w:t>
            </w:r>
          </w:p>
        </w:tc>
        <w:tc>
          <w:tcPr>
            <w:tcW w:w="370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26,479,496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26,370,732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jc w:val="right"/>
              <w:ind w:right="2149"/>
              <w:spacing w:after="0"/>
              <w:rPr>
                <w:sz w:val="20"/>
                <w:szCs w:val="20"/>
                <w:color w:val="auto"/>
              </w:rPr>
            </w:pPr>
            <w:r>
              <w:rPr>
                <w:rFonts w:ascii="Times New Roman" w:cs="Times New Roman" w:eastAsia="Times New Roman" w:hAnsi="Times New Roman"/>
                <w:sz w:val="14"/>
                <w:szCs w:val="14"/>
                <w:color w:val="auto"/>
              </w:rPr>
              <w:t>9</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2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9" w:name="page10"/>
    <w:bookmarkEnd w:id="9"/>
    <w:p>
      <w:pPr>
        <w:ind w:left="280" w:hanging="275"/>
        <w:spacing w:after="0"/>
        <w:tabs>
          <w:tab w:leader="none" w:pos="28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MARKETABLE SECURITIES</w:t>
      </w:r>
    </w:p>
    <w:p>
      <w:pPr>
        <w:spacing w:after="0" w:line="8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ASC Topic 320, “Investments – Debt and Equity Securities,” requires that an enterprise classify all debt securities as either held-to-maturity, trading or available-for-sale. The Company classifies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40" w:type="dxa"/>
            <w:vAlign w:val="bottom"/>
            <w:vMerge w:val="restart"/>
          </w:tcPr>
          <w:p>
            <w:pPr>
              <w:jc w:val="center"/>
              <w:ind w:left="1009"/>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Pr>
          <w:p>
            <w:pPr>
              <w:spacing w:after="0"/>
              <w:rPr>
                <w:sz w:val="16"/>
                <w:szCs w:val="16"/>
                <w:color w:val="auto"/>
              </w:rPr>
            </w:pPr>
          </w:p>
        </w:tc>
        <w:tc>
          <w:tcPr>
            <w:tcW w:w="220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March 31, 2022</w:t>
            </w:r>
          </w:p>
        </w:tc>
        <w:tc>
          <w:tcPr>
            <w:tcW w:w="260" w:type="dxa"/>
            <w:vAlign w:val="bottom"/>
          </w:tcPr>
          <w:p>
            <w:pPr>
              <w:spacing w:after="0"/>
              <w:rPr>
                <w:sz w:val="16"/>
                <w:szCs w:val="16"/>
                <w:color w:val="auto"/>
              </w:rPr>
            </w:pPr>
          </w:p>
        </w:tc>
        <w:tc>
          <w:tcPr>
            <w:tcW w:w="2120" w:type="dxa"/>
            <w:vAlign w:val="bottom"/>
            <w:gridSpan w:val="4"/>
          </w:tcPr>
          <w:p>
            <w:pPr>
              <w:jc w:val="right"/>
              <w:ind w:right="569"/>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118"/>
        </w:trPr>
        <w:tc>
          <w:tcPr>
            <w:tcW w:w="416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500" w:type="dxa"/>
            <w:vAlign w:val="bottom"/>
            <w:gridSpan w:val="2"/>
          </w:tcPr>
          <w:p>
            <w:pPr>
              <w:jc w:val="center"/>
              <w:ind w:left="749"/>
              <w:spacing w:after="0"/>
              <w:rPr>
                <w:sz w:val="20"/>
                <w:szCs w:val="20"/>
                <w:color w:val="auto"/>
              </w:rPr>
            </w:pPr>
            <w:r>
              <w:rPr>
                <w:rFonts w:ascii="Times New Roman" w:cs="Times New Roman" w:eastAsia="Times New Roman" w:hAnsi="Times New Roman"/>
                <w:sz w:val="14"/>
                <w:szCs w:val="14"/>
                <w:color w:val="auto"/>
                <w:w w:val="99"/>
              </w:rPr>
              <w:t>Hierarchy</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180" w:type="dxa"/>
            <w:vAlign w:val="bottom"/>
          </w:tcPr>
          <w:p>
            <w:pPr>
              <w:spacing w:after="0"/>
              <w:rPr>
                <w:sz w:val="16"/>
                <w:szCs w:val="16"/>
                <w:color w:val="auto"/>
              </w:rPr>
            </w:pPr>
          </w:p>
        </w:tc>
        <w:tc>
          <w:tcPr>
            <w:tcW w:w="9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6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5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0"/>
        </w:trPr>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unrealized gains</w:t>
            </w: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Certificates of deposit</w:t>
            </w:r>
          </w:p>
        </w:tc>
        <w:tc>
          <w:tcPr>
            <w:tcW w:w="2240" w:type="dxa"/>
            <w:vAlign w:val="bottom"/>
            <w:tcBorders>
              <w:top w:val="single" w:sz="8" w:color="CCEEFF"/>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Level 1</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6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2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U.S. Treasury and agency notes</w:t>
            </w:r>
          </w:p>
        </w:tc>
        <w:tc>
          <w:tcPr>
            <w:tcW w:w="2240" w:type="dxa"/>
            <w:vAlign w:val="bottom"/>
            <w:tcBorders>
              <w:bottom w:val="single" w:sz="8" w:color="CCEEFF"/>
            </w:tcBorders>
          </w:tcPr>
          <w:p>
            <w:pPr>
              <w:jc w:val="center"/>
              <w:ind w:left="100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0" w:type="dxa"/>
            <w:vAlign w:val="bottom"/>
          </w:tcPr>
          <w:p>
            <w:pPr>
              <w:spacing w:after="0"/>
              <w:rPr>
                <w:sz w:val="1"/>
                <w:szCs w:val="1"/>
                <w:color w:val="auto"/>
              </w:rPr>
            </w:pPr>
          </w:p>
        </w:tc>
      </w:tr>
      <w:tr>
        <w:trPr>
          <w:trHeight w:val="16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notes</w:t>
            </w:r>
          </w:p>
        </w:tc>
        <w:tc>
          <w:tcPr>
            <w:tcW w:w="2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more than 12 months</w:t>
            </w:r>
          </w:p>
        </w:tc>
        <w:tc>
          <w:tcPr>
            <w:tcW w:w="2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unrealized gains</w:t>
            </w: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Corporate notes</w:t>
            </w:r>
          </w:p>
        </w:tc>
        <w:tc>
          <w:tcPr>
            <w:tcW w:w="2240" w:type="dxa"/>
            <w:vAlign w:val="bottom"/>
            <w:tcBorders>
              <w:top w:val="single" w:sz="8" w:color="CCEEFF"/>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0" w:type="dxa"/>
            <w:vAlign w:val="bottom"/>
          </w:tcPr>
          <w:p>
            <w:pPr>
              <w:spacing w:after="0"/>
              <w:rPr>
                <w:sz w:val="1"/>
                <w:szCs w:val="1"/>
                <w:color w:val="auto"/>
              </w:rPr>
            </w:pPr>
          </w:p>
        </w:tc>
      </w:tr>
      <w:tr>
        <w:trPr>
          <w:trHeight w:val="16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 notes</w:t>
            </w: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Municipal notes</w:t>
            </w:r>
          </w:p>
        </w:tc>
        <w:tc>
          <w:tcPr>
            <w:tcW w:w="2240" w:type="dxa"/>
            <w:vAlign w:val="bottom"/>
            <w:tcBorders>
              <w:bottom w:val="single" w:sz="8" w:color="CCEEFF"/>
            </w:tcBorders>
          </w:tcPr>
          <w:p>
            <w:pPr>
              <w:jc w:val="center"/>
              <w:ind w:left="100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ASC Topic 326, "Financial Instruments - Credit Losses," requires the Company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March 31, 2022, the Company has not recorded any credit losses.</w:t>
      </w:r>
    </w:p>
    <w:p>
      <w:pPr>
        <w:spacing w:after="0" w:line="4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At March 31, 2022, the fair market value of marketable securities was $77,000 below their cost basis. The Company’s gross unrealized holding gains equaled zero and gross unrealized holding losses equaled $77,000. As of March 31, 2022, the adjustment to accumulated other comprehensive loss reflected a decline in market value of $68,000, including estimated taxes of $19,000.</w:t>
      </w:r>
    </w:p>
    <w:p>
      <w:pPr>
        <w:spacing w:after="0" w:line="1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elected to exclude applicable accrued interest from both the fair value and the amortized cost basis of the available-for-sale debt securities, and separately present the accrued interest receivable balance per ASC Topic 326. The accrued interest receivables balance totaled $71,000 as of March 31, 2022,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U.S. Treasury and agency notes</w:t>
      </w:r>
    </w:p>
    <w:p>
      <w:pPr>
        <w:spacing w:after="0" w:line="8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unrealized losses on the Company's investments in U.S. Treasury and agency notes at March 31, 2022 and December 31, 2021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March 31, 2022 and December 31, 2021, the Company did not intend to sell these securities and it is not more-likely-than-not that the Company would be required to sell these securities before recovery of their cost basis. Therefore, these investments did not require an ACL as of March 31, 2022 and December 31, 2021.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auto"/>
        </w:rPr>
        <w:t>Corporate notes</w:t>
      </w:r>
    </w:p>
    <w:p>
      <w:pPr>
        <w:spacing w:after="0" w:line="7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contractual terms of those investments do not permit the issuers to settle the securities at a price less than the amortized cost basis of the investments. The unrealized losses on corporate notes are a function of changes in investment spreads and interest rate movements and not changes in credit quality. The Company expects to recover the entire amortized cost basis of these securities. As of March 31, 2022 and December 31, 2021, the Company did not intend to sell these securities and it is not more-likely-than-not that the Company would be required to sell these securities before recovery of their cost basis. Therefore, these investments did not require an ACL as of March 31, 2022 and December 31,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summarize the maturities, at par, of marketable securities as of:</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79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March 31, 2022</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r>
      <w:tr>
        <w:trPr>
          <w:trHeight w:val="17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w w:val="99"/>
              </w:rPr>
              <w:t>2023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notes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7,527</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6,575</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14,102</w:t>
            </w:r>
          </w:p>
        </w:tc>
      </w:tr>
      <w:tr>
        <w:trPr>
          <w:trHeight w:val="171"/>
        </w:trPr>
        <w:tc>
          <w:tcPr>
            <w:tcW w:w="79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11,794</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19,369</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91"/>
        </w:trPr>
        <w:tc>
          <w:tcPr>
            <w:tcW w:w="7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color w:val="auto"/>
              </w:rPr>
              <w:t>December 31, 2021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w w:val="99"/>
              </w:rPr>
              <w:t>2023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notes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w:t>
            </w:r>
          </w:p>
        </w:tc>
      </w:tr>
      <w:tr>
        <w:trPr>
          <w:trHeight w:val="171"/>
        </w:trPr>
        <w:tc>
          <w:tcPr>
            <w:tcW w:w="79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10,930</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investments in corporate notes are with companies that have an investment grade rating from Standard &amp; Poor’s as of March 31, 2022.</w:t>
      </w:r>
    </w:p>
    <w:p>
      <w:pPr>
        <w:spacing w:after="0" w:line="81" w:lineRule="exact"/>
        <w:rPr>
          <w:sz w:val="20"/>
          <w:szCs w:val="20"/>
          <w:color w:val="auto"/>
        </w:rPr>
      </w:pPr>
    </w:p>
    <w:p>
      <w:pPr>
        <w:ind w:left="280" w:hanging="275"/>
        <w:spacing w:after="0"/>
        <w:tabs>
          <w:tab w:leader="none" w:pos="28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REAL ESTATE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accumulated real estate development costs by project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March 31, 2022</w:t>
            </w:r>
          </w:p>
        </w:tc>
        <w:tc>
          <w:tcPr>
            <w:tcW w:w="340" w:type="dxa"/>
            <w:vAlign w:val="bottom"/>
          </w:tcPr>
          <w:p>
            <w:pPr>
              <w:spacing w:after="0"/>
              <w:rPr>
                <w:sz w:val="16"/>
                <w:szCs w:val="16"/>
                <w:color w:val="auto"/>
              </w:rPr>
            </w:pPr>
          </w:p>
        </w:tc>
        <w:tc>
          <w:tcPr>
            <w:tcW w:w="19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16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development</w:t>
            </w:r>
          </w:p>
        </w:tc>
        <w:tc>
          <w:tcPr>
            <w:tcW w:w="24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Mountain Village</w:t>
            </w:r>
          </w:p>
        </w:tc>
        <w:tc>
          <w:tcPr>
            <w:tcW w:w="286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150,668</w:t>
            </w: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Centennial</w:t>
            </w:r>
          </w:p>
        </w:tc>
        <w:tc>
          <w:tcPr>
            <w:tcW w:w="2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112,063</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Grapevine</w:t>
            </w:r>
          </w:p>
        </w:tc>
        <w:tc>
          <w:tcPr>
            <w:tcW w:w="2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37,922</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24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18,377</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development</w:t>
            </w:r>
          </w:p>
        </w:tc>
        <w:tc>
          <w:tcPr>
            <w:tcW w:w="24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321,449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319,030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w:t>
            </w:r>
          </w:p>
        </w:tc>
        <w:tc>
          <w:tcPr>
            <w:tcW w:w="2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286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46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net</w:t>
            </w:r>
          </w:p>
        </w:tc>
        <w:tc>
          <w:tcPr>
            <w:tcW w:w="246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17,207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60" w:type="dxa"/>
            <w:vAlign w:val="bottom"/>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42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1" w:name="page12"/>
    <w:bookmarkEnd w:id="11"/>
    <w:p>
      <w:pPr>
        <w:ind w:left="280" w:hanging="275"/>
        <w:spacing w:after="0"/>
        <w:tabs>
          <w:tab w:leader="none" w:pos="28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LONG-TERM WATER ASSETS</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the Tejon-Castac Water District (TCWD) in the Kern Water Banks.</w:t>
      </w:r>
    </w:p>
    <w:p>
      <w:pPr>
        <w:spacing w:after="0" w:line="3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has secured State Water Project, or SWP, entitlements under long-term SWP water contracts within the Tulare Lake Basin Water Storage District, or Tulare Lake Basin, and the Dudley-Ridge Water District, or Dudley-Ridge, totaling 3,444 acre-feet of SWP entitlement annually, subject to SWP allocations. These contracts extend through 2035 and have been transferred to the Antelope Valley East Kern Water Agency, or AVEK, for the Company's use in the Antelope Valley. In 2013, the Company acquired a contract to purchase water that obligates the Company to purchase 6,693 acre-feet of water each year from Nickel Family, LLC, or Nickel, a California limited liability company that is located in Kern County.</w:t>
      </w:r>
    </w:p>
    <w:p>
      <w:pPr>
        <w:spacing w:after="0" w:line="4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initial term of the water purchase agreement with Nickel runs to 2044 and includes a Company option to extend the contract for an additional 35 years. The purchase cost of water in 2022 is $861 per acre-foot. The purchase cost is subject to annual cost increases based on the greater of the consumer price index or 3%.</w:t>
      </w:r>
    </w:p>
    <w:p>
      <w:pPr>
        <w:spacing w:after="0" w:line="1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4"/>
          <w:szCs w:val="14"/>
          <w:color w:val="auto"/>
        </w:rPr>
        <w:t>Water assets will ultimately be sold to water districts servicing the Company’s commercial/industrial and resort/residential real estate developments, and for the Company's own use in its agricultural operations. Interim uses may include the sale of the temporary “right-of-use” of portions of this water to third-party users on an annual basis until this water is fully allocated to Company uses, as previously described.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Water revenues and cost of sales were as follows ($ in thousands):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7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March 31, 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March 31, 2021</w:t>
            </w:r>
          </w:p>
        </w:tc>
      </w:tr>
      <w:tr>
        <w:trPr>
          <w:trHeight w:val="17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Acre-Feet Sold</w:t>
            </w:r>
          </w:p>
        </w:tc>
        <w:tc>
          <w:tcPr>
            <w:tcW w:w="17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5,881</w:t>
            </w:r>
          </w:p>
        </w:tc>
      </w:tr>
      <w:tr>
        <w:trPr>
          <w:trHeight w:val="71"/>
        </w:trPr>
        <w:tc>
          <w:tcPr>
            <w:tcW w:w="65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900" w:type="dxa"/>
            <w:vAlign w:val="bottom"/>
          </w:tcPr>
          <w:p>
            <w:pPr>
              <w:spacing w:after="0"/>
              <w:rPr>
                <w:sz w:val="6"/>
                <w:szCs w:val="6"/>
                <w:color w:val="auto"/>
              </w:rPr>
            </w:pP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740" w:type="dxa"/>
            <w:vAlign w:val="bottom"/>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7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4,351</w:t>
            </w: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Profit</w:t>
            </w:r>
          </w:p>
        </w:tc>
        <w:tc>
          <w:tcPr>
            <w:tcW w:w="1740" w:type="dxa"/>
            <w:vAlign w:val="bottom"/>
            <w:tcBorders>
              <w:bottom w:val="single" w:sz="8" w:color="auto"/>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costs assigned to water assets held for future use were as follows ($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March 31, 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December 31, 2021</w:t>
            </w:r>
          </w:p>
        </w:tc>
        <w:tc>
          <w:tcPr>
            <w:tcW w:w="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Banked water and water for future delivery</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23,855</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Transferable water</w:t>
            </w:r>
          </w:p>
        </w:tc>
        <w:tc>
          <w:tcPr>
            <w:tcW w:w="9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water held for future use at cost</w:t>
            </w:r>
          </w:p>
        </w:tc>
        <w:tc>
          <w:tcPr>
            <w:tcW w:w="9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28,225</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Water Assets</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2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8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Company’s carrying amounts of its purchased water contracts were as follows ($ in thousands):</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gridSpan w:val="6"/>
          </w:tcPr>
          <w:p>
            <w:pPr>
              <w:ind w:left="380"/>
              <w:spacing w:after="0"/>
              <w:rPr>
                <w:sz w:val="20"/>
                <w:szCs w:val="20"/>
                <w:color w:val="auto"/>
              </w:rPr>
            </w:pPr>
            <w:r>
              <w:rPr>
                <w:rFonts w:ascii="Times New Roman" w:cs="Times New Roman" w:eastAsia="Times New Roman" w:hAnsi="Times New Roman"/>
                <w:sz w:val="14"/>
                <w:szCs w:val="14"/>
                <w:color w:val="auto"/>
              </w:rPr>
              <w:t>March 31, 2022</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Costs</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Accumulated Depreciation</w:t>
            </w:r>
          </w:p>
        </w:tc>
        <w:tc>
          <w:tcPr>
            <w:tcW w:w="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Costs</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Accumulated Depreciation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Dudley-Ridge water rights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Nickel water rights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(5,408)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Tulare Lake Basin water rights</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(14,043)</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cost of purchased water contracts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cost water held for future use</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28,225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27,899</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investments in water assets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50,982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50,997</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12" w:name="page13"/>
    <w:bookmarkEnd w:id="12"/>
    <w:p>
      <w:pPr>
        <w:ind w:right="220"/>
        <w:spacing w:after="0" w:line="270" w:lineRule="auto"/>
        <w:rPr>
          <w:sz w:val="20"/>
          <w:szCs w:val="20"/>
          <w:color w:val="auto"/>
        </w:rPr>
      </w:pPr>
      <w:r>
        <w:rPr>
          <w:rFonts w:ascii="Times New Roman" w:cs="Times New Roman" w:eastAsia="Times New Roman" w:hAnsi="Times New Roman"/>
          <w:sz w:val="14"/>
          <w:szCs w:val="14"/>
          <w:color w:val="auto"/>
        </w:rPr>
        <w:t>Water contracts with the Wheeler Ridge Maricopa Water Storage District, or WRMWSD, and TCWD are also in place, but were entered into with each district at the inception of the respective contracts, were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acre-feet, unaudited)</w:t>
            </w:r>
          </w:p>
        </w:tc>
        <w:tc>
          <w:tcPr>
            <w:tcW w:w="26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March 31, 2022</w:t>
            </w:r>
          </w:p>
        </w:tc>
        <w:tc>
          <w:tcPr>
            <w:tcW w:w="242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161"/>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 held for future use</w:t>
            </w:r>
          </w:p>
        </w:tc>
        <w:tc>
          <w:tcPr>
            <w:tcW w:w="2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r>
      <w:tr>
        <w:trPr>
          <w:trHeight w:val="18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TCWD - Banked water owned by the Company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55,227</w:t>
            </w: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56,189</w:t>
            </w:r>
          </w:p>
        </w:tc>
      </w:tr>
      <w:tr>
        <w:trPr>
          <w:trHeight w:val="180"/>
        </w:trPr>
        <w:tc>
          <w:tcPr>
            <w:tcW w:w="6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Company water bank</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50,349</w:t>
            </w:r>
          </w:p>
        </w:tc>
        <w:tc>
          <w:tcPr>
            <w:tcW w:w="1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50,349</w:t>
            </w:r>
          </w:p>
        </w:tc>
      </w:tr>
      <w:tr>
        <w:trPr>
          <w:trHeight w:val="18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Water available for banking, sales, or internal use</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w:t>
            </w:r>
          </w:p>
        </w:tc>
        <w:tc>
          <w:tcPr>
            <w:tcW w:w="100" w:type="dxa"/>
            <w:vAlign w:val="bottom"/>
            <w:shd w:val="clear" w:color="auto" w:fill="CCEEFF"/>
          </w:tcPr>
          <w:p>
            <w:pPr>
              <w:spacing w:after="0"/>
              <w:rPr>
                <w:sz w:val="15"/>
                <w:szCs w:val="15"/>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w:t>
            </w:r>
          </w:p>
        </w:tc>
      </w:tr>
      <w:tr>
        <w:trPr>
          <w:trHeight w:val="171"/>
        </w:trPr>
        <w:tc>
          <w:tcPr>
            <w:tcW w:w="6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water held for future use</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111,080</w:t>
            </w:r>
          </w:p>
        </w:tc>
        <w:tc>
          <w:tcPr>
            <w:tcW w:w="10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110,741</w:t>
            </w: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water contracts</w:t>
            </w: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80"/>
        </w:trPr>
        <w:tc>
          <w:tcPr>
            <w:tcW w:w="6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Water Contracts (Dudley-Ridge, Nickel and Tulare)</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1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10,137</w:t>
            </w:r>
          </w:p>
        </w:tc>
      </w:tr>
      <w:tr>
        <w:trPr>
          <w:trHeight w:val="18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WRMWSD - Contracts with the Company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15,547</w:t>
            </w:r>
          </w:p>
        </w:tc>
      </w:tr>
      <w:tr>
        <w:trPr>
          <w:trHeight w:val="180"/>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TCWD - Contracts with the Company</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10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5,749</w:t>
            </w:r>
          </w:p>
        </w:tc>
      </w:tr>
      <w:tr>
        <w:trPr>
          <w:trHeight w:val="171"/>
        </w:trPr>
        <w:tc>
          <w:tcPr>
            <w:tcW w:w="6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purchased water contracts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31,433</w:t>
            </w:r>
          </w:p>
        </w:tc>
        <w:tc>
          <w:tcPr>
            <w:tcW w:w="100" w:type="dxa"/>
            <w:vAlign w:val="bottom"/>
            <w:shd w:val="clear" w:color="auto" w:fill="CCEEFF"/>
          </w:tcPr>
          <w:p>
            <w:pPr>
              <w:spacing w:after="0"/>
              <w:rPr>
                <w:sz w:val="14"/>
                <w:szCs w:val="14"/>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31,433</w:t>
            </w:r>
          </w:p>
        </w:tc>
      </w:tr>
      <w:tr>
        <w:trPr>
          <w:trHeight w:val="171"/>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water held for future use and purchased water contracts</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142,513</w:t>
            </w:r>
          </w:p>
        </w:tc>
        <w:tc>
          <w:tcPr>
            <w:tcW w:w="100" w:type="dxa"/>
            <w:vAlign w:val="bottom"/>
          </w:tcPr>
          <w:p>
            <w:pPr>
              <w:spacing w:after="0"/>
              <w:rPr>
                <w:sz w:val="14"/>
                <w:szCs w:val="14"/>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142,174</w:t>
            </w:r>
          </w:p>
        </w:tc>
      </w:tr>
      <w:tr>
        <w:trPr>
          <w:trHeight w:val="20"/>
        </w:trPr>
        <w:tc>
          <w:tcPr>
            <w:tcW w:w="624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Tejon Ranchcorp, or Ranchcorp, a wholly-owned subsidiary of Tejon Ranch Co., entered into a Water Supply Agreement with Pastoria Energy Facility, L.L.C., or PEF, in 2015. PEF is a current lessee of the Company in a land lease for the operation of a power plant. Pursuant to the Water Supply Agreement, PEF may purchase from the Company up to 3,500 acre-feet of water per year until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2022 is $1,224 per acre-foot, subject to 3% annual increases over the life of the contract. The Water Supply Agreement contains other customary terms and conditions, including representations and warranties that are typical for agreements of this type. The Company's commitments to sell water can be met through current water assets.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6.   ACCRUED LIABILITIES AND OTHER</w:t>
            </w:r>
          </w:p>
        </w:tc>
        <w:tc>
          <w:tcPr>
            <w:tcW w:w="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55"/>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liabilities and other consisted of the following:</w:t>
            </w:r>
          </w:p>
        </w:tc>
        <w:tc>
          <w:tcPr>
            <w:tcW w:w="4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76"/>
        </w:trPr>
        <w:tc>
          <w:tcPr>
            <w:tcW w:w="20" w:type="dxa"/>
            <w:vAlign w:val="bottom"/>
          </w:tcPr>
          <w:p>
            <w:pPr>
              <w:spacing w:after="0"/>
              <w:rPr>
                <w:sz w:val="24"/>
                <w:szCs w:val="24"/>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Pr>
          <w:p>
            <w:pPr>
              <w:spacing w:after="0"/>
              <w:rPr>
                <w:sz w:val="24"/>
                <w:szCs w:val="24"/>
                <w:color w:val="auto"/>
              </w:rPr>
            </w:pPr>
          </w:p>
        </w:tc>
        <w:tc>
          <w:tcPr>
            <w:tcW w:w="2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March 31, 2022</w:t>
            </w:r>
          </w:p>
        </w:tc>
        <w:tc>
          <w:tcPr>
            <w:tcW w:w="340" w:type="dxa"/>
            <w:vAlign w:val="bottom"/>
          </w:tcPr>
          <w:p>
            <w:pPr>
              <w:spacing w:after="0"/>
              <w:rPr>
                <w:sz w:val="24"/>
                <w:szCs w:val="24"/>
                <w:color w:val="auto"/>
              </w:rPr>
            </w:pPr>
          </w:p>
        </w:tc>
        <w:tc>
          <w:tcPr>
            <w:tcW w:w="19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171"/>
        </w:trPr>
        <w:tc>
          <w:tcPr>
            <w:tcW w:w="20" w:type="dxa"/>
            <w:vAlign w:val="bottom"/>
          </w:tcPr>
          <w:p>
            <w:pPr>
              <w:spacing w:after="0"/>
              <w:rPr>
                <w:sz w:val="14"/>
                <w:szCs w:val="14"/>
                <w:color w:val="auto"/>
              </w:rPr>
            </w:pPr>
          </w:p>
        </w:tc>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vacation</w:t>
            </w: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r>
      <w:tr>
        <w:trPr>
          <w:trHeight w:val="180"/>
        </w:trPr>
        <w:tc>
          <w:tcPr>
            <w:tcW w:w="20" w:type="dxa"/>
            <w:vAlign w:val="bottom"/>
          </w:tcPr>
          <w:p>
            <w:pPr>
              <w:spacing w:after="0"/>
              <w:rPr>
                <w:sz w:val="15"/>
                <w:szCs w:val="15"/>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paid personal leave</w:t>
            </w:r>
          </w:p>
        </w:tc>
        <w:tc>
          <w:tcPr>
            <w:tcW w:w="4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180"/>
        </w:trPr>
        <w:tc>
          <w:tcPr>
            <w:tcW w:w="20" w:type="dxa"/>
            <w:vAlign w:val="bottom"/>
          </w:tcPr>
          <w:p>
            <w:pPr>
              <w:spacing w:after="0"/>
              <w:rPr>
                <w:sz w:val="15"/>
                <w:szCs w:val="15"/>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bonus</w:t>
            </w:r>
          </w:p>
        </w:tc>
        <w:tc>
          <w:tcPr>
            <w:tcW w:w="40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r>
      <w:tr>
        <w:trPr>
          <w:trHeight w:val="180"/>
        </w:trPr>
        <w:tc>
          <w:tcPr>
            <w:tcW w:w="20" w:type="dxa"/>
            <w:vAlign w:val="bottom"/>
          </w:tcPr>
          <w:p>
            <w:pPr>
              <w:spacing w:after="0"/>
              <w:rPr>
                <w:sz w:val="15"/>
                <w:szCs w:val="15"/>
                <w:color w:val="auto"/>
              </w:rPr>
            </w:pPr>
          </w:p>
        </w:tc>
        <w:tc>
          <w:tcPr>
            <w:tcW w:w="65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Property tax payable</w:t>
            </w:r>
            <w:r>
              <w:rPr>
                <w:rFonts w:ascii="Times New Roman" w:cs="Times New Roman" w:eastAsia="Times New Roman" w:hAnsi="Times New Roman"/>
                <w:sz w:val="18"/>
                <w:szCs w:val="18"/>
                <w:color w:val="auto"/>
                <w:vertAlign w:val="superscript"/>
              </w:rPr>
              <w:t>1</w:t>
            </w:r>
          </w:p>
        </w:tc>
        <w:tc>
          <w:tcPr>
            <w:tcW w:w="4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3,451</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00" w:hanging="60"/>
        <w:spacing w:after="0"/>
        <w:tabs>
          <w:tab w:leader="none" w:pos="10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California property taxes are accrued throughout the year and are paid every April and December.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7.   LINE OF CREDIT AND LONG-TERM DEBT</w:t>
            </w:r>
          </w:p>
        </w:tc>
        <w:tc>
          <w:tcPr>
            <w:tcW w:w="4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44"/>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 consisted of the following:</w:t>
            </w:r>
          </w:p>
        </w:tc>
        <w:tc>
          <w:tcPr>
            <w:tcW w:w="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Pr>
          <w:p>
            <w:pPr>
              <w:spacing w:after="0"/>
              <w:rPr>
                <w:sz w:val="24"/>
                <w:szCs w:val="24"/>
                <w:color w:val="auto"/>
              </w:rPr>
            </w:pP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March 31, 2022</w:t>
            </w:r>
          </w:p>
        </w:tc>
        <w:tc>
          <w:tcPr>
            <w:tcW w:w="340" w:type="dxa"/>
            <w:vAlign w:val="bottom"/>
          </w:tcPr>
          <w:p>
            <w:pPr>
              <w:spacing w:after="0"/>
              <w:rPr>
                <w:sz w:val="24"/>
                <w:szCs w:val="24"/>
                <w:color w:val="auto"/>
              </w:rPr>
            </w:pPr>
          </w:p>
        </w:tc>
        <w:tc>
          <w:tcPr>
            <w:tcW w:w="19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171"/>
        </w:trPr>
        <w:tc>
          <w:tcPr>
            <w:tcW w:w="20" w:type="dxa"/>
            <w:vAlign w:val="bottom"/>
          </w:tcPr>
          <w:p>
            <w:pPr>
              <w:spacing w:after="0"/>
              <w:rPr>
                <w:sz w:val="14"/>
                <w:szCs w:val="14"/>
                <w:color w:val="auto"/>
              </w:rPr>
            </w:pPr>
          </w:p>
        </w:tc>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w:t>
            </w: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51,674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52,784</w:t>
            </w:r>
          </w:p>
        </w:tc>
      </w:tr>
      <w:tr>
        <w:trPr>
          <w:trHeight w:val="180"/>
        </w:trPr>
        <w:tc>
          <w:tcPr>
            <w:tcW w:w="20" w:type="dxa"/>
            <w:vAlign w:val="bottom"/>
          </w:tcPr>
          <w:p>
            <w:pPr>
              <w:spacing w:after="0"/>
              <w:rPr>
                <w:sz w:val="15"/>
                <w:szCs w:val="15"/>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line-of-credit and current maturities of long-term debt</w:t>
            </w:r>
          </w:p>
        </w:tc>
        <w:tc>
          <w:tcPr>
            <w:tcW w:w="4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w:t>
            </w:r>
          </w:p>
        </w:tc>
      </w:tr>
      <w:tr>
        <w:trPr>
          <w:trHeight w:val="180"/>
        </w:trPr>
        <w:tc>
          <w:tcPr>
            <w:tcW w:w="20" w:type="dxa"/>
            <w:vAlign w:val="bottom"/>
          </w:tcPr>
          <w:p>
            <w:pPr>
              <w:spacing w:after="0"/>
              <w:rPr>
                <w:sz w:val="15"/>
                <w:szCs w:val="15"/>
                <w:color w:val="auto"/>
              </w:rPr>
            </w:pPr>
          </w:p>
        </w:tc>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deferred loan costs</w:t>
            </w:r>
          </w:p>
        </w:tc>
        <w:tc>
          <w:tcPr>
            <w:tcW w:w="40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71"/>
        </w:trPr>
        <w:tc>
          <w:tcPr>
            <w:tcW w:w="20" w:type="dxa"/>
            <w:vAlign w:val="bottom"/>
          </w:tcPr>
          <w:p>
            <w:pPr>
              <w:spacing w:after="0"/>
              <w:rPr>
                <w:sz w:val="14"/>
                <w:szCs w:val="14"/>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47,001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48,155</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3" w:name="page14"/>
    <w:bookmarkEnd w:id="13"/>
    <w:p>
      <w:pPr>
        <w:ind w:left="280" w:hanging="275"/>
        <w:spacing w:after="0"/>
        <w:tabs>
          <w:tab w:leader="none" w:pos="28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liabilities consisted of the following: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Pr>
          <w:p>
            <w:pPr>
              <w:spacing w:after="0"/>
              <w:rPr>
                <w:sz w:val="16"/>
                <w:szCs w:val="16"/>
                <w:color w:val="auto"/>
              </w:rPr>
            </w:pPr>
          </w:p>
        </w:tc>
        <w:tc>
          <w:tcPr>
            <w:tcW w:w="2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March 31, 2022</w:t>
            </w:r>
          </w:p>
        </w:tc>
        <w:tc>
          <w:tcPr>
            <w:tcW w:w="340" w:type="dxa"/>
            <w:vAlign w:val="bottom"/>
          </w:tcPr>
          <w:p>
            <w:pPr>
              <w:spacing w:after="0"/>
              <w:rPr>
                <w:sz w:val="16"/>
                <w:szCs w:val="16"/>
                <w:color w:val="auto"/>
              </w:rPr>
            </w:pPr>
          </w:p>
        </w:tc>
        <w:tc>
          <w:tcPr>
            <w:tcW w:w="19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171"/>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liability</w:t>
            </w: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80"/>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 liability (Note 10)</w:t>
            </w:r>
          </w:p>
        </w:tc>
        <w:tc>
          <w:tcPr>
            <w:tcW w:w="4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w:t>
            </w: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executive retirement plan liability</w:t>
            </w:r>
          </w:p>
        </w:tc>
        <w:tc>
          <w:tcPr>
            <w:tcW w:w="40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7,847</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Excess joint venture distributions and other</w:t>
            </w:r>
          </w:p>
        </w:tc>
        <w:tc>
          <w:tcPr>
            <w:tcW w:w="4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3,348</w:t>
            </w:r>
          </w:p>
        </w:tc>
      </w:tr>
      <w:tr>
        <w:trPr>
          <w:trHeight w:val="196"/>
        </w:trPr>
        <w:tc>
          <w:tcPr>
            <w:tcW w:w="6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captions presented in the table above, please refer to the respective Notes to Unaudited Consolidated Financial Statements for further detail.</w:t>
      </w:r>
    </w:p>
    <w:p>
      <w:pPr>
        <w:spacing w:after="0" w:line="134" w:lineRule="exact"/>
        <w:rPr>
          <w:sz w:val="20"/>
          <w:szCs w:val="20"/>
          <w:color w:val="auto"/>
        </w:rPr>
      </w:pPr>
    </w:p>
    <w:p>
      <w:pPr>
        <w:ind w:left="280" w:hanging="275"/>
        <w:spacing w:after="0"/>
        <w:tabs>
          <w:tab w:leader="none" w:pos="28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 COMPENSATION - RESTRICTED STOCK AND PERFORMANCE SHARE GRANTS</w:t>
      </w:r>
    </w:p>
    <w:p>
      <w:pPr>
        <w:spacing w:after="0" w:line="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share price, or as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vesting for market-based awards is determined using a </w:t>
      </w:r>
      <w:r>
        <w:rPr>
          <w:rFonts w:ascii="Times New Roman" w:cs="Times New Roman" w:eastAsia="Times New Roman" w:hAnsi="Times New Roman"/>
          <w:sz w:val="14"/>
          <w:szCs w:val="14"/>
          <w:i w:val="1"/>
          <w:iCs w:val="1"/>
          <w:color w:val="auto"/>
        </w:rPr>
        <w:t>Monte Carlo</w:t>
      </w:r>
      <w:r>
        <w:rPr>
          <w:rFonts w:ascii="Times New Roman" w:cs="Times New Roman" w:eastAsia="Times New Roman" w:hAnsi="Times New Roman"/>
          <w:sz w:val="14"/>
          <w:szCs w:val="14"/>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 not result in a reversal of previously recognized share-based compensation expense.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Company’s Performance Condition Grants as of the three months ended March 31, 2022:</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60" w:type="dxa"/>
            <w:vAlign w:val="bottom"/>
            <w:tcBorders>
              <w:bottom w:val="single" w:sz="8" w:color="auto"/>
            </w:tcBorders>
          </w:tcPr>
          <w:p>
            <w:pPr>
              <w:spacing w:after="0"/>
              <w:rPr>
                <w:sz w:val="16"/>
                <w:szCs w:val="16"/>
                <w:color w:val="auto"/>
              </w:rPr>
            </w:pPr>
          </w:p>
        </w:tc>
        <w:tc>
          <w:tcPr>
            <w:tcW w:w="8180" w:type="dxa"/>
            <w:vAlign w:val="bottom"/>
            <w:tcBorders>
              <w:bottom w:val="single" w:sz="8" w:color="auto"/>
            </w:tcBorders>
          </w:tcPr>
          <w:p>
            <w:pPr>
              <w:jc w:val="right"/>
              <w:ind w:right="4669"/>
              <w:spacing w:after="0"/>
              <w:rPr>
                <w:sz w:val="20"/>
                <w:szCs w:val="20"/>
                <w:color w:val="auto"/>
              </w:rPr>
            </w:pPr>
            <w:r>
              <w:rPr>
                <w:rFonts w:ascii="Times New Roman" w:cs="Times New Roman" w:eastAsia="Times New Roman" w:hAnsi="Times New Roman"/>
                <w:sz w:val="14"/>
                <w:szCs w:val="14"/>
                <w:color w:val="auto"/>
              </w:rPr>
              <w:t>Performance Condition Grants</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Threshold performance</w:t>
            </w:r>
          </w:p>
        </w:tc>
        <w:tc>
          <w:tcPr>
            <w:tcW w:w="8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 performance</w:t>
            </w:r>
          </w:p>
        </w:tc>
        <w:tc>
          <w:tcPr>
            <w:tcW w:w="8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453,747</w:t>
            </w: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Maximum performance</w:t>
            </w:r>
          </w:p>
        </w:tc>
        <w:tc>
          <w:tcPr>
            <w:tcW w:w="8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342,411</w:t>
            </w:r>
          </w:p>
        </w:tc>
      </w:tr>
    </w:tbl>
    <w:p>
      <w:pPr>
        <w:spacing w:after="0" w:line="113"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following is a summary of the Company’s stock grant activity, both time and performance share grants, assuming target achievement for outstanding performance grants for the three months ended March 31, 2022: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980" w:type="dxa"/>
            <w:vAlign w:val="bottom"/>
            <w:tcBorders>
              <w:bottom w:val="single" w:sz="8" w:color="CCEEFF"/>
            </w:tcBorders>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March 31, 2022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Grants Outstanding Beginning of Period at Target Achievement</w:t>
            </w:r>
          </w:p>
        </w:tc>
        <w:tc>
          <w:tcPr>
            <w:tcW w:w="3900" w:type="dxa"/>
            <w:vAlign w:val="bottom"/>
            <w:shd w:val="clear" w:color="auto" w:fill="CCEEFF"/>
          </w:tcPr>
          <w:p>
            <w:pPr>
              <w:spacing w:after="0"/>
              <w:rPr>
                <w:sz w:val="14"/>
                <w:szCs w:val="14"/>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683,645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New Stock Grants/Additional Shares due to Achievement in Excess of Target</w:t>
            </w:r>
          </w:p>
        </w:tc>
        <w:tc>
          <w:tcPr>
            <w:tcW w:w="6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Grants</w:t>
            </w:r>
          </w:p>
        </w:tc>
        <w:tc>
          <w:tcPr>
            <w:tcW w:w="6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Expired/Forfeited Grants</w:t>
            </w:r>
          </w:p>
        </w:tc>
        <w:tc>
          <w:tcPr>
            <w:tcW w:w="6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Grants Outstanding End of Period at Target Achievement</w:t>
            </w:r>
          </w:p>
        </w:tc>
        <w:tc>
          <w:tcPr>
            <w:tcW w:w="3900" w:type="dxa"/>
            <w:vAlign w:val="bottom"/>
            <w:tcBorders>
              <w:top w:val="single" w:sz="8" w:color="CCEEFF"/>
              <w:bottom w:val="single" w:sz="8" w:color="CCEEFF"/>
            </w:tcBorders>
            <w:shd w:val="clear" w:color="auto" w:fill="CCEEFF"/>
          </w:tcPr>
          <w:p>
            <w:pPr>
              <w:spacing w:after="0"/>
              <w:rPr>
                <w:sz w:val="16"/>
                <w:szCs w:val="16"/>
                <w:color w:val="auto"/>
              </w:rPr>
            </w:pP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3109"/>
              <w:spacing w:after="0"/>
              <w:rPr>
                <w:sz w:val="20"/>
                <w:szCs w:val="20"/>
                <w:color w:val="auto"/>
              </w:rPr>
            </w:pPr>
            <w:r>
              <w:rPr>
                <w:rFonts w:ascii="Times New Roman" w:cs="Times New Roman" w:eastAsia="Times New Roman" w:hAnsi="Times New Roman"/>
                <w:sz w:val="14"/>
                <w:szCs w:val="14"/>
                <w:color w:val="auto"/>
              </w:rPr>
              <w:t>14</w:t>
            </w: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98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The following is a summary of the assumptions used to determine the price for the Company’s market-based Performance Condition Grants for the three months ended March 31, 2022: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 except for share prices)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 date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12/12/2019</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03/11/2020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12/11/2020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03/18/2021</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03/17/2022</w:t>
            </w: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end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12/31/2022</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12/31/2022</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12/31/2023</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03/18/2024</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12/16/2024</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03/17/2025</w:t>
            </w: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price at target achievement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$16.36</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$17.07</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$20.02</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$21.58</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$20.43</w:t>
            </w:r>
          </w:p>
        </w:tc>
      </w:tr>
      <w:tr>
        <w:trPr>
          <w:trHeight w:val="212"/>
        </w:trPr>
        <w:tc>
          <w:tcPr>
            <w:tcW w:w="4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17.28%</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18.21%</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29.25%</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30.30%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31.29%</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31.54%</w:t>
            </w: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1.69%</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0.58%</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0.19%</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0.33%</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0.92%</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2.13%</w:t>
            </w:r>
          </w:p>
        </w:tc>
      </w:tr>
      <w:tr>
        <w:trPr>
          <w:trHeight w:val="212"/>
        </w:trPr>
        <w:tc>
          <w:tcPr>
            <w:tcW w:w="4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Simulated Monte Carlo share price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$11.95</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$15.59</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$18.82</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$21.48</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$21.75</w:t>
            </w: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granted</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6,327</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81,716</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3,628</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10,905</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3,536</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13,338</w:t>
            </w:r>
          </w:p>
        </w:tc>
      </w:tr>
      <w:tr>
        <w:trPr>
          <w:trHeight w:val="17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fair value of award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$76</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$480</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$57</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$205</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$76</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$290</w:t>
            </w:r>
          </w:p>
        </w:tc>
      </w:tr>
    </w:tbl>
    <w:p>
      <w:pPr>
        <w:spacing w:after="0" w:line="10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The unamortized cost associated with unvested stock grants and the weighted average period over which it is expected to be recognized as of March 31, 2022 were $3,031,000 and 12 months, respectively. The fair value of restricted stock with time-based vesting features is based upon the Company’s share price on the date of grant and is expensed over the service period. The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a maximum, the Company determined, based on historic and projected results, the probability of (1) achieving the performance objective and (2) the level of achievement. Based on this information, the Company determines the fair value of the award and measures the expense over the service period related to these grants.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w:t>
      </w:r>
    </w:p>
    <w:p>
      <w:pPr>
        <w:spacing w:after="0" w:line="10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Under the Non-Employee Director Stock Incentive Plan, or NDSI Plan, each non-employee director receives a portion of his or her annual compensation in stock. The stock is granted at the end of each quarter based on the quarter-end stock price.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stock compensation costs for the Company's 1998 Stock Incentive Plan, or the Employee Plan, and NDSI Plan for the following periods: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4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1160" w:type="dxa"/>
            <w:vAlign w:val="bottom"/>
            <w:tcBorders>
              <w:bottom w:val="single" w:sz="8" w:color="auto"/>
            </w:tcBorders>
          </w:tcPr>
          <w:p>
            <w:pPr>
              <w:spacing w:after="0"/>
              <w:rPr>
                <w:sz w:val="16"/>
                <w:szCs w:val="16"/>
                <w:color w:val="auto"/>
              </w:rPr>
            </w:pPr>
          </w:p>
        </w:tc>
      </w:tr>
      <w:tr>
        <w:trPr>
          <w:trHeight w:val="171"/>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Employee Plan:</w:t>
            </w: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92"/>
              </w:rPr>
              <w:t>2021</w:t>
            </w:r>
          </w:p>
        </w:tc>
      </w:tr>
      <w:tr>
        <w:trPr>
          <w:trHeight w:val="171"/>
        </w:trPr>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Expensed</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r>
      <w:tr>
        <w:trPr>
          <w:trHeight w:val="180"/>
        </w:trPr>
        <w:tc>
          <w:tcPr>
            <w:tcW w:w="7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Capitalized</w:t>
            </w: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1"/>
        </w:trPr>
        <w:tc>
          <w:tcPr>
            <w:tcW w:w="7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r>
      <w:tr>
        <w:trPr>
          <w:trHeight w:val="180"/>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NDSI Plan - Expensed</w:t>
            </w: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96"/>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 Compensation Costs</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60" w:hanging="355"/>
        <w:spacing w:after="0"/>
        <w:tabs>
          <w:tab w:leader="none" w:pos="36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INTEREST RATE SWAP</w:t>
      </w:r>
    </w:p>
    <w:p>
      <w:pPr>
        <w:spacing w:after="0" w:line="8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In October 2014, the Company entered into an interest rate swap agreement to reduce its exposure to fluctuations in the floating interest rate tied to the London Inter-Bank Offered Rate, or LIBOR, under the term note with Wells Fargo, or the Term Note, as discussed within the Capital Structure and Financial Condition section of Management's Discussion and Analysis of Financial Condition and Results of Operations.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w:t>
      </w:r>
    </w:p>
    <w:p>
      <w:pPr>
        <w:spacing w:after="0" w:line="3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During the quarter ended March 31, 2022, the interest rate swap agreement was deemed highly effective. Changes in fair value, including accrued interest and adjustments for non-performance risk, that qualify as cash flow hedges are classified in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accumulated other comprehensive income, or AOCI. Amounts classified in AOCI are subsequently reclassified into earnings in the period during which the hedged transactions affect earnings.</w:t>
      </w:r>
    </w:p>
    <w:p>
      <w:pPr>
        <w:spacing w:after="0" w:line="7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As of March 31, 2022, the fair value of the interest rate swap agreement was less than its cost basis and as such is recorded within Other Liabilities on the Consolidated Balance Sheets. The Company had the following outstanding interest rate swap agreement designated as an interest rate cash flow hedge as of March 31, 2022 and December 31, 2021 ($ in thousands):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March 31, 2022</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20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9"/>
              </w:rPr>
              <w:t>Weighted Average Interest Pay</w:t>
            </w: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20" w:type="dxa"/>
            <w:vAlign w:val="bottom"/>
            <w:tcBorders>
              <w:top w:val="single" w:sz="8" w:color="auto"/>
            </w:tcBorders>
          </w:tcPr>
          <w:p>
            <w:pPr>
              <w:spacing w:after="0"/>
              <w:rPr>
                <w:sz w:val="11"/>
                <w:szCs w:val="11"/>
                <w:color w:val="auto"/>
              </w:rPr>
            </w:pPr>
          </w:p>
        </w:tc>
      </w:tr>
      <w:tr>
        <w:trPr>
          <w:trHeight w:val="191"/>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Effective Date</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Maturity Date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Fair Value Hierarchy</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Rate</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Fair Value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Notional Amount</w:t>
            </w:r>
          </w:p>
        </w:tc>
      </w:tr>
      <w:tr>
        <w:trPr>
          <w:trHeight w:val="171"/>
        </w:trPr>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July 5, 2019</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5, 2029</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Level 2</w:t>
            </w: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$49,790</w:t>
            </w:r>
          </w:p>
        </w:tc>
      </w:tr>
      <w:tr>
        <w:trPr>
          <w:trHeight w:val="339"/>
        </w:trPr>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color w:val="auto"/>
              </w:rPr>
              <w:t>December 31, 2021</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29"/>
        </w:trPr>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9"/>
              </w:rPr>
              <w:t>Weighted Average Interest Pay</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91"/>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Effective Date</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Maturity Date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Fair Value Hierarchy</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Rate</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Fair Value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Notional Amount</w:t>
            </w:r>
          </w:p>
        </w:tc>
      </w:tr>
      <w:tr>
        <w:trPr>
          <w:trHeight w:val="171"/>
        </w:trPr>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July 5, 2019</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5, 2029</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Level 2</w:t>
            </w: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$(3,088)</w:t>
            </w:r>
          </w:p>
        </w:tc>
        <w:tc>
          <w:tcPr>
            <w:tcW w:w="10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$50,837</w:t>
            </w:r>
          </w:p>
        </w:tc>
      </w:tr>
    </w:tbl>
    <w:p>
      <w:pPr>
        <w:spacing w:after="0" w:line="185" w:lineRule="exact"/>
        <w:rPr>
          <w:sz w:val="20"/>
          <w:szCs w:val="20"/>
          <w:color w:val="auto"/>
        </w:rPr>
      </w:pPr>
    </w:p>
    <w:p>
      <w:pPr>
        <w:ind w:left="360" w:hanging="355"/>
        <w:spacing w:after="0"/>
        <w:tabs>
          <w:tab w:leader="none" w:pos="36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7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Company’s provision for income taxes as of March 31, 2022 has been calculated by applying an estimate of the annual effective tax rate for the full year to “ordinary” income or loss (pre-tax income or loss excluding unusual or infrequently occurring discrete items). For the three months ended March 31, 2022, the Company’s income tax expense was $3,046,000 compared to $21,000 for the three months ended March 31, 2021. Effective tax rates were 41% and -2% for the three months ended March 31, 2022 and 2021, respectively. As of March 31, 2022, the Company had income tax payables of $4,591,000. The Company classifies interest and penalties incurred on tax payments as income tax expense.</w:t>
      </w:r>
    </w:p>
    <w:p>
      <w:pPr>
        <w:spacing w:after="0" w:line="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For the three months ended March 31, 2022, the Company’s effective tax rate was above statutory tax rates as a result of permanent differences related to Section 162(m) limitations and discrete tax expense associated with stock compensation. The Section 162(m) compensation deduction limitations occurred as a result of changes in tax law arising from the 2017 Tax Cuts Jobs Act. The discrete item was triggered when stock grants were issued to participants at a price less than the original grant price, causing a deferred tax shortfall. The shortfall recognized represents the reversal of excess deferred tax assets recognized in prior periods. The recognition of the shortfall is not anticipated to have an impact on the Company's current income tax payable.</w:t>
      </w:r>
    </w:p>
    <w:p>
      <w:pPr>
        <w:spacing w:after="0" w:line="96" w:lineRule="exact"/>
        <w:rPr>
          <w:sz w:val="20"/>
          <w:szCs w:val="20"/>
          <w:color w:val="auto"/>
        </w:rPr>
      </w:pPr>
    </w:p>
    <w:p>
      <w:pPr>
        <w:ind w:right="8220" w:firstLine="5"/>
        <w:spacing w:after="0" w:line="357" w:lineRule="auto"/>
        <w:tabs>
          <w:tab w:leader="none" w:pos="354"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Water Contracts</w:t>
      </w:r>
    </w:p>
    <w:p>
      <w:pPr>
        <w:spacing w:after="0" w:line="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has secured water contracts that are encumbered by the Company's land. These water contracts require minimum annual payments, for which $12,066,000 is expected to be paid in 2022.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$277,288,000 as of March 31, 2022.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Conservancy Payments</w:t>
      </w:r>
    </w:p>
    <w:p>
      <w:pPr>
        <w:spacing w:after="0" w:line="85"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As of March 31, 2022, the Company has fulfilled its financial obligations to the Tejon Ranch Conservancy as prescribed in the Conservation Agreement that was entered into with five major environmental organizations in 2008.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Contracts</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finalized until the future payment dates. The Company believes as of March 31, 2022, the net savings resulting from exiting the contract during this future time period will more than offset the incentive payment costs.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Community Facilities Districts</w:t>
      </w:r>
    </w:p>
    <w:p>
      <w:pPr>
        <w:spacing w:after="0" w:line="7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6" w:name="page17"/>
    <w:bookmarkEnd w:id="16"/>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 that can be sold in the future.</w:t>
      </w:r>
    </w:p>
    <w:p>
      <w:pPr>
        <w:spacing w:after="0" w:line="3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connection with the sale of the bonds, there is a standby letter of credit for $4,393,000 related to the issuance of East CFD bonds. The standby letter of credit is in place to provide additional credit enhancement and cover approximately two years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As of March 31, 2022, there were no additional improvement funds remaining from the West CFD bonds. There are $15,647,940 of additional improvement funds remaining within the East CFD bonds for reimbursement of public infrastructure costs during future years. During fiscal 2022, the Company expects to pay approximately $3,247,000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tax assessment of each individual property sold or leased is not determinable at this time because it is based on the current tax rate of the property at the time of sale or at the time it is leased to a third-party. Accordingly, the Company was not required to recognize an obligation on March 31, 2022.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National Cement</w:t>
      </w:r>
    </w:p>
    <w:p>
      <w:pPr>
        <w:spacing w:after="0" w:line="7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Company leases land to National Cement Company of California Inc., or National, for the purpose of manufacturing Portland cement from limestone deposits on the leased acreage. The California Regional Water Quality Control Board, or RWQCB, for the Lahontan Region issued orders in the late 1990s with respect to environmental conditions on the property currently leased to National.</w:t>
      </w:r>
    </w:p>
    <w:p>
      <w:pPr>
        <w:spacing w:after="0" w:line="4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Company's former tenant Lafarge Corporation, or Lafarge, and current tenant National, remediated these environmental conditions consistent with the RWQCB orders and continue to maintain monitoring activities.</w:t>
      </w:r>
    </w:p>
    <w:p>
      <w:pPr>
        <w:spacing w:after="0" w:line="2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March 31, 2022, the Company is not aware of any failure by Lafarge or National to comply with directives of the RWQCB. Under current and prior leases, National and Lafarge are obligated to indemnify the Company for costs and liabilities arising out of their use of the leased premises. The remediation of environmental conditions is included within the scope of the National or Lafarge indemnity obligations. If the Company were required to remediate any environmental conditions at its own cost, it is unlikely that the amount of any such expenditure by the Company at this point in time would be material and there is no reasonable likelihood of continuing risk from this matter.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color w:val="auto"/>
        </w:rPr>
        <w:t>Centennial</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Climate Resolve Action and the CBD/CNPS Action collectively allege that LA County failed to properly follow the procedures and requirements of CEQA and the California Planning and</w:t>
      </w:r>
    </w:p>
    <w:p>
      <w:pPr>
        <w:spacing w:after="0" w:line="4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Zoning Law. The Climate Resolve Action and the CBD/CNPS Action have been deemed “related” and have been consolidated for adjudication before the judge presiding over the Climate Resolve Action. The Climate Resolve Action and CBD/CNPS Action seek to invalidate the Centennial Approvals and require LA County to revise the environmental documentation related to the Centennial project. The court held three consolidated hearings for the CBD/CNPS Action and Climate Resolve Action on September 30, 2020, November 13, 2020, and January 8, 2021.</w:t>
      </w:r>
    </w:p>
    <w:p>
      <w:pPr>
        <w:spacing w:after="0" w:line="4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greenhouse gas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the Climate Resolve Action (“Motion for Reconsideration”). The hearing on the Motion for Reconsideration originally scheduled for August 13, 2021, was rescheduled to December 1, 2021.</w:t>
      </w:r>
    </w:p>
    <w:p>
      <w:pPr>
        <w:spacing w:after="0" w:line="157"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4"/>
          <w:szCs w:val="14"/>
          <w:color w:val="auto"/>
        </w:rPr>
        <w:t>On November 30, 2021, the Company together with Ranchcorp and Centennial, entered into a Settlement Agreement with Climate Resolve. Pursuant to the Settlement Agreement, the Company has agreed: (1) to make Centennial a net zero greenhouse gas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a full copy of which is attached hereto this Annual Report (10-K). In exchange, Climate Resolve filed a request for dismissal of the Climate Resolve Action with prejudice from the Los Angeles County Superior Court. On December 3</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2021, the Los Angeles Superior Court granted and entered Climate Resolve’s dismissal with prejudice concluding the Climate Resolve Action. On December 1, 2021, the Los Angeles Superior Court continued CBD/CNPS Motion for Reconsideration to January 14, 2022, directing CBD/CNPS to evaluate the Settlement Agreement reached in the Climate Resolve Action to address issues surrounding remedies should CBD be granted prevailing party status in the Climate Resolve Action, and to evaluate the potential to settle or otherwise address CBD’s objections to the Centennial project. To that end, the Company met and conferred twice on January 4, 2022 and January 20, 2022. On January 14, the Los Angeles County Superior Court heard CBD/CNPS Motion for Reconsideration and issued its decision granting CBD/CNPS prevailing party status in the Climate Resolve Action. The Los Angeles County Superior Court set a tentative hearing date of February 25, 2022 concerning the entry of final judgment and awarding of appropriate remedies. Upon mutual request of the parties and approval by the Court, the February 25, 2022 hearing date has been extended twice, originally to March 30, 2022, and then again to May 13, 2022. Prior to and subsequent of final judgment being entered, appellate litigation may follow. To the extent there may be an adverse outcome of the claims still pending as described above, the monetary value cannot be estimated at this time.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Proceedings Incidental to Business</w:t>
      </w:r>
    </w:p>
    <w:p>
      <w:pPr>
        <w:spacing w:after="0" w:line="8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2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8" w:name="page19"/>
    <w:bookmarkEnd w:id="18"/>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RETIREMENT PLANS</w:t>
      </w:r>
    </w:p>
    <w:p>
      <w:pPr>
        <w:spacing w:after="0" w:line="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expects to contribute $165,000 to the Benefit Plan in 2022.</w:t>
      </w:r>
    </w:p>
    <w:p>
      <w:pPr>
        <w:spacing w:after="0" w:line="3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March 31, 2022, the investment mix was approximately 20% equity, 79% debt, and 1% money market funds. At December 31, 2021, the investment mix was approximately 35% equity, 64% debt, and 1% money market funds. Equity investments comprise of value, growth, large cap, small cap and international stock funds. Debt investments consist of U.S. Treasury securities and investment grade corporate debt. A weighted average discount rate of 2.8% was used in determining the net periodic pension cost for fiscal 2022 and 2021. The assumed expected long-term rate of return on plan assets is 7.3% for both fiscal 2022 and 2021. The long-term rate of return on Benefit Plan assets is based on the historical returns within the plan and expectations for future returns.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Total pension and retirement earnings for the Benefit Plan was as follows:</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6"/>
        </w:trPr>
        <w:tc>
          <w:tcPr>
            <w:tcW w:w="73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gridSpan w:val="4"/>
          </w:tcPr>
          <w:p>
            <w:pPr>
              <w:jc w:val="right"/>
              <w:ind w:right="969"/>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7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2021</w:t>
            </w:r>
          </w:p>
        </w:tc>
      </w:tr>
      <w:tr>
        <w:trPr>
          <w:trHeight w:val="16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(cost) components:</w:t>
            </w: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0"/>
        </w:trPr>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180"/>
        </w:trPr>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amortization and deferral</w:t>
            </w:r>
          </w:p>
        </w:tc>
        <w:tc>
          <w:tcPr>
            <w:tcW w:w="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periodic pension earnings</w:t>
            </w: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0"/>
        </w:trPr>
        <w:tc>
          <w:tcPr>
            <w:tcW w:w="7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In April 2017, the Company froze the SERP as it relates to the accrual of additional benefits.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The pension and retirement expense for the SERP was as follows:</w:t>
            </w:r>
          </w:p>
        </w:tc>
        <w:tc>
          <w:tcPr>
            <w:tcW w:w="2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6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460" w:type="dxa"/>
            <w:vAlign w:val="bottom"/>
            <w:tcBorders>
              <w:bottom w:val="single" w:sz="8" w:color="auto"/>
            </w:tcBorders>
            <w:gridSpan w:val="4"/>
          </w:tcPr>
          <w:p>
            <w:pPr>
              <w:jc w:val="right"/>
              <w:ind w:right="969"/>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7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6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components:</w:t>
            </w:r>
          </w:p>
        </w:tc>
        <w:tc>
          <w:tcPr>
            <w:tcW w:w="2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316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0"/>
        </w:trPr>
        <w:tc>
          <w:tcPr>
            <w:tcW w:w="4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Net amortization and other</w:t>
            </w:r>
          </w:p>
        </w:tc>
        <w:tc>
          <w:tcPr>
            <w:tcW w:w="27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periodic pension expense</w:t>
            </w:r>
          </w:p>
        </w:tc>
        <w:tc>
          <w:tcPr>
            <w:tcW w:w="2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1569"/>
              <w:spacing w:after="0"/>
              <w:rPr>
                <w:sz w:val="20"/>
                <w:szCs w:val="20"/>
                <w:color w:val="auto"/>
              </w:rPr>
            </w:pPr>
            <w:r>
              <w:rPr>
                <w:rFonts w:ascii="Times New Roman" w:cs="Times New Roman" w:eastAsia="Times New Roman" w:hAnsi="Times New Roman"/>
                <w:sz w:val="14"/>
                <w:szCs w:val="14"/>
                <w:color w:val="auto"/>
              </w:rPr>
              <w:t>19</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6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6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9" w:name="page20"/>
    <w:bookmarkEnd w:id="19"/>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REPORTING SEGMENTS AND RELATED INFORMATION</w:t>
      </w:r>
    </w:p>
    <w:p>
      <w:pPr>
        <w:spacing w:after="0" w:line="85"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The Company currently operates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 Commercial/Industrial</w:t>
      </w:r>
    </w:p>
    <w:p>
      <w:pPr>
        <w:spacing w:after="0" w:line="85"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4"/>
          <w:szCs w:val="14"/>
          <w:color w:val="auto"/>
        </w:rPr>
        <w:t>Commercial/Industrial real estate development segment revenues consist of land sale revenues, leases of land and/or building space to tenants at the Company's commercial retail and industrial developments, base and percentage rents from the PEF power plant lease, communication tower rents, land sales, and payments from easement leases. Refer to Note 15 for discussion of unconsolidated joint ventures. The following table summarizes revenues, expenses and operating income from this segment for the periods ended: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29"/>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71"/>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r>
      <w:tr>
        <w:trPr>
          <w:trHeight w:val="18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Equity in earnings of unconsolidated joint ventures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Commercial/industrial revenues and equity in earnings of unconsolidated joint ventures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r>
      <w:tr>
        <w:trPr>
          <w:trHeight w:val="18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Commercial/industrial expenses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commercial/industrial and unconsolidated joint ventures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 Resort/Residential</w:t>
      </w:r>
    </w:p>
    <w:p>
      <w:pPr>
        <w:spacing w:after="0" w:line="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$423,000 and $553,000 for the three months ended March 31, 2022 and 2021,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Mineral Resources</w:t>
      </w:r>
    </w:p>
    <w:p>
      <w:pPr>
        <w:spacing w:after="0" w:line="8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29"/>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9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39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7,176</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Mineral resources expenses</w:t>
            </w:r>
          </w:p>
        </w:tc>
        <w:tc>
          <w:tcPr>
            <w:tcW w:w="39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5,047</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mineral resources</w:t>
            </w:r>
          </w:p>
        </w:tc>
        <w:tc>
          <w:tcPr>
            <w:tcW w:w="39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2069"/>
              <w:spacing w:after="0"/>
              <w:rPr>
                <w:sz w:val="20"/>
                <w:szCs w:val="20"/>
                <w:color w:val="auto"/>
              </w:rPr>
            </w:pPr>
            <w:r>
              <w:rPr>
                <w:rFonts w:ascii="Times New Roman" w:cs="Times New Roman" w:eastAsia="Times New Roman" w:hAnsi="Times New Roman"/>
                <w:sz w:val="14"/>
                <w:szCs w:val="14"/>
                <w:color w:val="auto"/>
              </w:rPr>
              <w:t>20</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39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color w:val="auto"/>
        </w:rPr>
        <w:t>Farming</w:t>
      </w:r>
    </w:p>
    <w:p>
      <w:pPr>
        <w:spacing w:after="0" w:line="8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Farming segment revenues include the sale of almonds, pistachios, wine grapes, and hay. The following table summarizes revenues, expenses and operating results from this segment for the periods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29"/>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71"/>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Farming revenues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r>
      <w:tr>
        <w:trPr>
          <w:trHeight w:val="180"/>
        </w:trPr>
        <w:tc>
          <w:tcPr>
            <w:tcW w:w="7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Farming expenses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w:t>
            </w:r>
          </w:p>
        </w:tc>
      </w:tr>
      <w:tr>
        <w:trPr>
          <w:trHeight w:val="196"/>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farming</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Ranch Operations</w:t>
      </w:r>
    </w:p>
    <w:p>
      <w:pPr>
        <w:spacing w:after="0" w:line="8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29"/>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71"/>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r>
      <w:tr>
        <w:trPr>
          <w:trHeight w:val="18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Ranch operations expenses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ranch operations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INVESTMENT IN UNCONSOLIDATED AND CONSOLIDATED JOINT VENTURES</w:t>
      </w:r>
    </w:p>
    <w:p>
      <w:pPr>
        <w:spacing w:after="0" w:line="13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March 31, 2022 was $37,348,000. Equity in earnings from unconsolidated joint ventures was $1,213,000 for the three months ended March 31, 2022. The unconsolidated joint ventures have not been consolidated as of March 31, 2022, because the Company does not control the investments. The Company’s current joint ventures are as follows:</w:t>
      </w:r>
    </w:p>
    <w:p>
      <w:pPr>
        <w:spacing w:after="0" w:line="98" w:lineRule="exact"/>
        <w:rPr>
          <w:sz w:val="20"/>
          <w:szCs w:val="20"/>
          <w:color w:val="auto"/>
        </w:rPr>
      </w:pPr>
    </w:p>
    <w:p>
      <w:pPr>
        <w:ind w:left="360" w:right="140" w:hanging="260"/>
        <w:spacing w:after="0" w:line="264" w:lineRule="auto"/>
        <w:tabs>
          <w:tab w:leader="none" w:pos="3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Petro Travel Plaza Holdings LLC – Petro Travel Plaza Holdings LLC, or Petro, is an unconsolidated joint venture with TravelCenters of America that develops and manages travel plazas, gas stations, convenience stores, and fast-food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$24,076,000 as of March 31, 2022.</w:t>
      </w:r>
    </w:p>
    <w:p>
      <w:pPr>
        <w:spacing w:after="0" w:line="98" w:lineRule="exact"/>
        <w:rPr>
          <w:rFonts w:ascii="Times New Roman" w:cs="Times New Roman" w:eastAsia="Times New Roman" w:hAnsi="Times New Roman"/>
          <w:sz w:val="14"/>
          <w:szCs w:val="14"/>
          <w:color w:val="auto"/>
        </w:rPr>
      </w:pPr>
    </w:p>
    <w:p>
      <w:pPr>
        <w:ind w:left="360" w:right="220" w:hanging="260"/>
        <w:spacing w:after="0" w:line="270" w:lineRule="auto"/>
        <w:tabs>
          <w:tab w:leader="none" w:pos="3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Majestic Realty Co. – Majestic Realty Co., or Majestic, is a privately-held developer and owner of real estate projects throughout the United States. The Company has formed six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spacing w:after="0" w:line="29" w:lineRule="exact"/>
        <w:rPr>
          <w:rFonts w:ascii="Times New Roman" w:cs="Times New Roman" w:eastAsia="Times New Roman" w:hAnsi="Times New Roman"/>
          <w:sz w:val="14"/>
          <w:szCs w:val="14"/>
          <w:color w:val="auto"/>
        </w:rPr>
      </w:pPr>
    </w:p>
    <w:p>
      <w:pPr>
        <w:ind w:left="760" w:right="300" w:hanging="246"/>
        <w:spacing w:after="0" w:line="287" w:lineRule="auto"/>
        <w:tabs>
          <w:tab w:leader="none" w:pos="757"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29, 2022, TRC-MRC 5 LLC was formed to pursue the development, construction, lease-up, and management of an approximately 446,400 square foot industrial building located within TRCC-East.</w:t>
      </w:r>
    </w:p>
    <w:p>
      <w:pPr>
        <w:spacing w:after="0" w:line="39" w:lineRule="exact"/>
        <w:rPr>
          <w:rFonts w:ascii="Times New Roman" w:cs="Times New Roman" w:eastAsia="Times New Roman" w:hAnsi="Times New Roman"/>
          <w:sz w:val="14"/>
          <w:szCs w:val="14"/>
          <w:color w:val="auto"/>
        </w:rPr>
      </w:pPr>
    </w:p>
    <w:p>
      <w:pPr>
        <w:ind w:left="760" w:right="280" w:hanging="246"/>
        <w:spacing w:after="0" w:line="287" w:lineRule="auto"/>
        <w:tabs>
          <w:tab w:leader="none" w:pos="757"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2022, we formed TRC-MRC Multi I, LLC, to pursue the development, construction, lease-up, and management of a approximately 495 multi-family rental units located within TRCC-East.</w:t>
      </w:r>
    </w:p>
    <w:p>
      <w:pPr>
        <w:spacing w:after="0" w:line="39" w:lineRule="exact"/>
        <w:rPr>
          <w:rFonts w:ascii="Times New Roman" w:cs="Times New Roman" w:eastAsia="Times New Roman" w:hAnsi="Times New Roman"/>
          <w:sz w:val="14"/>
          <w:szCs w:val="14"/>
          <w:color w:val="auto"/>
        </w:rPr>
      </w:pPr>
    </w:p>
    <w:p>
      <w:pPr>
        <w:ind w:left="760" w:right="160" w:hanging="246"/>
        <w:spacing w:after="0" w:line="259" w:lineRule="auto"/>
        <w:tabs>
          <w:tab w:leader="none" w:pos="757"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2021, TRC-MRC 4 LLC was formed to pursue the development, construction, lease-up, and management of a 629,274 square foot industrial building located within TRCC-East. Construction of the building has begun with completion expected in 2022. The construction is being financed by a $47,500,000 construction loan that had an outstanding balance of $24,039,000 as of March 31, 2022. The construction loan is individually and collectively guaranteed by the Company and Majestic. In 2021, the Company contributed land with a fair value of $8,464,000 to TRC-MRC 4, LLC. The total cost of the land was $2,895,000. The Company recognized profit of $2,785,000 and deferred profit of $2,785,000 after applying the five-step revenue recognition model in accordance with ASC Topic 606 — Revenue From Contracts With Customers and ASC Topic 323, Investments — Equity Method and Joint Ventures. The Company's investment in this joint venture was $4,668,000 as of March 31, 2022.</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1" w:name="page22"/>
    <w:bookmarkEnd w:id="21"/>
    <w:p>
      <w:pPr>
        <w:ind w:left="755" w:hanging="246"/>
        <w:spacing w:after="0" w:line="259" w:lineRule="auto"/>
        <w:tabs>
          <w:tab w:leader="none" w:pos="75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construction of the building was completed in the fourth quarter of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$35,120,000 as of March 31, 2022. On April 1, 2019, the Company contributed land with a fair value of $5,854,000 to TRC-MRC 3, LLC in accordance with the limited liability agreement. The Company's investment in this joint venture was $713,000 as of March 31, 2022.</w:t>
      </w:r>
    </w:p>
    <w:p>
      <w:pPr>
        <w:spacing w:after="0" w:line="61" w:lineRule="exact"/>
        <w:rPr>
          <w:rFonts w:ascii="Times New Roman" w:cs="Times New Roman" w:eastAsia="Times New Roman" w:hAnsi="Times New Roman"/>
          <w:sz w:val="14"/>
          <w:szCs w:val="14"/>
          <w:color w:val="auto"/>
        </w:rPr>
      </w:pPr>
    </w:p>
    <w:p>
      <w:pPr>
        <w:ind w:left="755" w:right="40" w:hanging="246"/>
        <w:spacing w:after="0" w:line="258" w:lineRule="auto"/>
        <w:tabs>
          <w:tab w:leader="none" w:pos="749" w:val="left"/>
        </w:tabs>
        <w:numPr>
          <w:ilvl w:val="1"/>
          <w:numId w:val="13"/>
        </w:numPr>
        <w:rPr>
          <w:rFonts w:ascii="Times New Roman" w:cs="Times New Roman" w:eastAsia="Times New Roman" w:hAnsi="Times New Roman"/>
          <w:sz w:val="7"/>
          <w:szCs w:val="7"/>
          <w:color w:val="auto"/>
        </w:rPr>
      </w:pPr>
      <w:r>
        <w:rPr>
          <w:rFonts w:ascii="Times New Roman" w:cs="Times New Roman" w:eastAsia="Times New Roman" w:hAnsi="Times New Roman"/>
          <w:sz w:val="14"/>
          <w:szCs w:val="14"/>
          <w:color w:val="auto"/>
        </w:rPr>
        <w:t>In August 2016, the Company partnered with Majestic to form TRC-MRC 2, LLC to acquire, lease, and maintain a fully occupied warehouse at TRCC-West. The partnership acquired the 651,909 square foot building for $24,773,000, which was largely financed through a promissory note guaranteed by both partners. The promissory note was refinanced on June 1, 2018 with a $25,240,000 promissory note. The note matures on July 1, 2028 and has an outstanding principal balance of $23,097,000 as of March 31, 2022. The building is 100% leased as of March 31, 2022. Since its inception, the Company has received excess distributions resulting in a deficit balance in its investment of $1,498,000.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61" w:lineRule="exact"/>
        <w:rPr>
          <w:rFonts w:ascii="Times New Roman" w:cs="Times New Roman" w:eastAsia="Times New Roman" w:hAnsi="Times New Roman"/>
          <w:sz w:val="7"/>
          <w:szCs w:val="7"/>
          <w:color w:val="auto"/>
        </w:rPr>
      </w:pPr>
    </w:p>
    <w:p>
      <w:pPr>
        <w:ind w:left="755" w:right="60" w:hanging="246"/>
        <w:spacing w:after="0" w:line="257" w:lineRule="auto"/>
        <w:tabs>
          <w:tab w:leader="none" w:pos="749" w:val="left"/>
        </w:tabs>
        <w:numPr>
          <w:ilvl w:val="1"/>
          <w:numId w:val="13"/>
        </w:numPr>
        <w:rPr>
          <w:rFonts w:ascii="Times New Roman" w:cs="Times New Roman" w:eastAsia="Times New Roman" w:hAnsi="Times New Roman"/>
          <w:sz w:val="7"/>
          <w:szCs w:val="7"/>
          <w:color w:val="auto"/>
        </w:rPr>
      </w:pPr>
      <w:r>
        <w:rPr>
          <w:rFonts w:ascii="Times New Roman" w:cs="Times New Roman" w:eastAsia="Times New Roman" w:hAnsi="Times New Roman"/>
          <w:sz w:val="14"/>
          <w:szCs w:val="14"/>
          <w:color w:val="auto"/>
        </w:rPr>
        <w:t>In September 2016, TRC-MRC 1, LLC was formed to develop and operate an approximately 480,480 square foot industrial building at TRCC-East. The building is 100% leased as of March 31, 2022. Since its inception, the Company has received excess distributions resulting in a deficit balance in its investment of $1,764,000.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$23,250,000 was outstanding as of March 31, 2022. During the first quarter we received notice from a tenant of plans to vacate their current space, concurrently, we received a request from a second tenant wanting to move into a larger space. These two events will free up approximately 240,000 square feet of space during the second quarter</w:t>
      </w:r>
      <w:r>
        <w:rPr>
          <w:rFonts w:ascii="Times New Roman" w:cs="Times New Roman" w:eastAsia="Times New Roman" w:hAnsi="Times New Roman"/>
          <w:sz w:val="11"/>
          <w:szCs w:val="11"/>
          <w:color w:val="auto"/>
        </w:rPr>
        <w:t>.</w:t>
      </w:r>
    </w:p>
    <w:p>
      <w:pPr>
        <w:spacing w:after="0" w:line="63" w:lineRule="exact"/>
        <w:rPr>
          <w:rFonts w:ascii="Times New Roman" w:cs="Times New Roman" w:eastAsia="Times New Roman" w:hAnsi="Times New Roman"/>
          <w:sz w:val="7"/>
          <w:szCs w:val="7"/>
          <w:color w:val="auto"/>
        </w:rPr>
      </w:pPr>
    </w:p>
    <w:p>
      <w:pPr>
        <w:ind w:left="255" w:right="100" w:hanging="255"/>
        <w:spacing w:after="0" w:line="287" w:lineRule="auto"/>
        <w:tabs>
          <w:tab w:leader="none" w:pos="25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Rockefeller Joint Ventures – The Company has two active joint ventures with Rockefeller Group Development Corporation, or Rockefeller. At March 31, 2022, the Company’s combined equity investment balance in these two joint ventures was $7,891,000.</w:t>
      </w:r>
    </w:p>
    <w:p>
      <w:pPr>
        <w:spacing w:after="0" w:line="39" w:lineRule="exact"/>
        <w:rPr>
          <w:rFonts w:ascii="Times New Roman" w:cs="Times New Roman" w:eastAsia="Times New Roman" w:hAnsi="Times New Roman"/>
          <w:sz w:val="14"/>
          <w:szCs w:val="14"/>
          <w:color w:val="auto"/>
        </w:rPr>
      </w:pPr>
    </w:p>
    <w:p>
      <w:pPr>
        <w:ind w:left="755" w:right="60" w:hanging="246"/>
        <w:spacing w:after="0" w:line="264" w:lineRule="auto"/>
        <w:tabs>
          <w:tab w:leader="none" w:pos="75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18-19 West LLC was formed in August 2009 through the contribution of 61.5 acres of land by the Company that is being held for future development. The Company owns a 50% interest in this joint venture, and the joint venture is being accounted for under the equity method due to both members having significant participating rights in the management of the venture. In 2021, a third-party purchased the land from the joint venture for $15,213,000. The cash proceeds from the sale were distributed to the partners in the first quarter of 2022 and we expect to dissolve the entity in late 2022.</w:t>
      </w:r>
    </w:p>
    <w:p>
      <w:pPr>
        <w:spacing w:after="0" w:line="200" w:lineRule="exact"/>
        <w:rPr>
          <w:sz w:val="20"/>
          <w:szCs w:val="20"/>
          <w:color w:val="auto"/>
        </w:rPr>
      </w:pPr>
    </w:p>
    <w:p>
      <w:pPr>
        <w:spacing w:after="0" w:line="29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804" w:right="319" w:bottom="1440" w:gutter="0" w:footer="0" w:header="0"/>
        </w:sectPr>
      </w:pPr>
    </w:p>
    <w:bookmarkStart w:id="22" w:name="page23"/>
    <w:bookmarkEnd w:id="22"/>
    <w:p>
      <w:pPr>
        <w:ind w:left="760" w:hanging="246"/>
        <w:spacing w:after="0" w:line="239" w:lineRule="auto"/>
        <w:tabs>
          <w:tab w:leader="none" w:pos="757"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TRCC/Rock Outlet Center LLC was formed in 2013 to develop, own, and manage a net leasable 326,000 square foot outlet center on land at TRCC-East.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As a result, the investment in TRCC/Rock Outlet Center LLC is being accounted for under the equity method. On September 7, 2021, the TRCC/Rock Outlet Center LLC joint venture successfully extended the maturity date of its term note with a financial institution from September 5, 2021 to May 31, 2024. In connection with the loan extension, the joint venture also reduced the outstanding amount by $4,600,000. As of March 31, 2022, the outstanding balance of the term note was $28,516,000. The Company and Rockefeller guarantee the performance of the debt.</w:t>
      </w:r>
    </w:p>
    <w:p>
      <w:pPr>
        <w:spacing w:after="0" w:line="169" w:lineRule="exact"/>
        <w:rPr>
          <w:rFonts w:ascii="Times New Roman" w:cs="Times New Roman" w:eastAsia="Times New Roman" w:hAnsi="Times New Roman"/>
          <w:sz w:val="14"/>
          <w:szCs w:val="14"/>
          <w:color w:val="auto"/>
        </w:rPr>
      </w:pPr>
    </w:p>
    <w:p>
      <w:pPr>
        <w:ind w:left="260" w:right="480" w:hanging="255"/>
        <w:spacing w:after="0" w:line="271" w:lineRule="auto"/>
        <w:tabs>
          <w:tab w:leader="none" w:pos="2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Founders, LLC – Centennial Founders, LLC, CFL, is a joint venture with TRI Pointe Homes to pursue the entitlement and development of land that the Company owns in Los Angeles County. As of March 31, 2022, the Company owned 93.13% of CFL.</w:t>
      </w:r>
    </w:p>
    <w:p>
      <w:pPr>
        <w:spacing w:after="0" w:line="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Company’s investment balance in its unconsolidated joint ventures differs from its respective capital accounts in the respective joint ventures. The difference represents the difference between the cost basis of assets contributed by the Company and the agreed upon fair value of the assets contributed.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3" w:name="page24"/>
    <w:bookmarkEnd w:id="23"/>
    <w:p>
      <w:pPr>
        <w:ind w:right="180"/>
        <w:spacing w:after="0" w:line="287" w:lineRule="auto"/>
        <w:rPr>
          <w:sz w:val="20"/>
          <w:szCs w:val="20"/>
          <w:color w:val="auto"/>
        </w:rPr>
      </w:pPr>
      <w:r>
        <w:rPr>
          <w:rFonts w:ascii="Times New Roman" w:cs="Times New Roman" w:eastAsia="Times New Roman" w:hAnsi="Times New Roman"/>
          <w:sz w:val="14"/>
          <w:szCs w:val="14"/>
          <w:color w:val="auto"/>
        </w:rPr>
        <w:t>Unaudited condensed statement of operations for the three months ended March 31, 2022 and condensed balance sheet information of the Company’s unconsolidated joint ventures as of March 31, 2022 and December 31, 2021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TRC</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Equity in Earnings (Loss)</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38,328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Five West Parcel, LLC</w:t>
            </w:r>
          </w:p>
        </w:tc>
        <w:tc>
          <w:tcPr>
            <w:tcW w:w="7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18-19 West, LLC</w:t>
            </w:r>
          </w:p>
        </w:tc>
        <w:tc>
          <w:tcPr>
            <w:tcW w:w="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TRCC/Rock Outlet Center, LLC</w:t>
            </w:r>
            <w:r>
              <w:rPr>
                <w:rFonts w:ascii="Times New Roman" w:cs="Times New Roman" w:eastAsia="Times New Roman" w:hAnsi="Times New Roman"/>
                <w:sz w:val="18"/>
                <w:szCs w:val="18"/>
                <w:color w:val="auto"/>
                <w:vertAlign w:val="superscript"/>
              </w:rPr>
              <w:t>1</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7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top w:val="single" w:sz="8" w:color="auto"/>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42,774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00" w:type="dxa"/>
            <w:vAlign w:val="bottom"/>
            <w:tcBorders>
              <w:top w:val="single" w:sz="8" w:color="CCEEFF"/>
              <w:bottom w:val="single" w:sz="8" w:color="CCEEFF"/>
            </w:tcBorders>
            <w:vMerge w:val="continue"/>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0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Consolidated</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20" w:right="40" w:hanging="1"/>
        <w:spacing w:after="0" w:line="255" w:lineRule="auto"/>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for TRCC/Rock Outlet Center are presented net of non-cash tenant allowance amortization of $0.3 million and $0.3 million as of the three months ended March 31, 2022 and March 31, 2021, respectively.</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96"/>
              </w:rPr>
              <w:t>Joint Venture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TRC</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6"/>
              </w:rPr>
              <w:t>Joint Venture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TRC</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Pr>
          <w:p>
            <w:pPr>
              <w:spacing w:after="0"/>
              <w:rPr>
                <w:sz w:val="16"/>
                <w:szCs w:val="16"/>
                <w:color w:val="auto"/>
              </w:rPr>
            </w:pPr>
          </w:p>
        </w:tc>
        <w:tc>
          <w:tcPr>
            <w:tcW w:w="9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6"/>
                <w:szCs w:val="16"/>
                <w:color w:val="auto"/>
              </w:rPr>
            </w:pPr>
          </w:p>
        </w:tc>
        <w:tc>
          <w:tcPr>
            <w:tcW w:w="8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Debt</w:t>
            </w:r>
          </w:p>
        </w:tc>
        <w:tc>
          <w:tcPr>
            <w:tcW w:w="200" w:type="dxa"/>
            <w:vAlign w:val="bottom"/>
          </w:tcPr>
          <w:p>
            <w:pPr>
              <w:spacing w:after="0"/>
              <w:rPr>
                <w:sz w:val="16"/>
                <w:szCs w:val="16"/>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6"/>
                <w:szCs w:val="16"/>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Debt</w:t>
            </w:r>
          </w:p>
        </w:tc>
        <w:tc>
          <w:tcPr>
            <w:tcW w:w="200" w:type="dxa"/>
            <w:vAlign w:val="bottom"/>
          </w:tcPr>
          <w:p>
            <w:pPr>
              <w:spacing w:after="0"/>
              <w:rPr>
                <w:sz w:val="16"/>
                <w:szCs w:val="16"/>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6"/>
                <w:szCs w:val="16"/>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81,767</w:t>
            </w:r>
          </w:p>
        </w:tc>
        <w:tc>
          <w:tcPr>
            <w:tcW w:w="24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(14,657)</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(14,848)</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58,859</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22,915</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18-19 West, LLC</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14,965</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6,877</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61,445</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(28,516)</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31,909</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61,927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(28,783)</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32,323</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24,892</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(23,250)</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24,964</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(23,400)</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(23,097)</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(3,926)</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(23,255)</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(5,657)</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37,306</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(35,120)</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37,579</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(35,324)</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33,424</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(24,039)</w:t>
            </w: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25,671</w:t>
            </w: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(16,307)</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9,319</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0" w:type="dxa"/>
            <w:vAlign w:val="bottom"/>
          </w:tcPr>
          <w:p>
            <w:pPr>
              <w:spacing w:after="0"/>
              <w:rPr>
                <w:sz w:val="1"/>
                <w:szCs w:val="1"/>
                <w:color w:val="auto"/>
              </w:rPr>
            </w:pPr>
          </w:p>
        </w:tc>
      </w:tr>
      <w:tr>
        <w:trPr>
          <w:trHeight w:val="171"/>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260,064</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(148,679)</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100,412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37,348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263,667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(141,917)</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110,034</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43,418</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160" w:type="dxa"/>
            <w:vAlign w:val="bottom"/>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101,789</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101,408</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101,178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100,261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260" w:hanging="241"/>
        <w:spacing w:after="0"/>
        <w:tabs>
          <w:tab w:leader="none" w:pos="2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Founders, LLC is consolidated within the Company's financial statements.</w:t>
      </w:r>
    </w:p>
    <w:p>
      <w:pPr>
        <w:spacing w:after="0" w:line="155"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w:t>
      </w:r>
    </w:p>
    <w:p>
      <w:pPr>
        <w:spacing w:after="0" w:line="8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4"/>
          <w:szCs w:val="14"/>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residential, and industrial development. The Company is the largest landowner and taxpayer within TCWD. The Company has a water service contract with TCWD that entitles it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w:t>
      </w:r>
    </w:p>
    <w:p>
      <w:pPr>
        <w:spacing w:after="0" w:line="4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Officer/Chief Financial Officer is one of nine directors at WRMWSD. As of March 31, 2022, the Company paid $2,262,000 for these water contracts and related costs.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2. 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Forward-Looking Statements</w:t>
      </w:r>
    </w:p>
    <w:p>
      <w:pPr>
        <w:spacing w:after="0" w:line="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potential losses to Tejon Ranch Co. and its subsidiaries (the Company, Tejon, we, us, and our)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the uncertainties regarding the impact of COVID-19 on the Company, its customers and suppliers, and global economic conditions, and other future events and conditions. In some cases, these statements are identifiable through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the impacts of COVID-19 and the actions taken by governments, businesses, and individuals in response to it, including the development, distribution, efficacy and acceptance of vaccines and related mandates,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our most recent Annual Report on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OVERVIEW</w:t>
      </w:r>
    </w:p>
    <w:p>
      <w:pPr>
        <w:spacing w:after="0" w:line="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Business Objectives and Strategies</w:t>
      </w:r>
    </w:p>
    <w:p>
      <w:pPr>
        <w:spacing w:after="0" w:line="85"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Our primary business objective is to maximize long-term shareholder value through the monetization of our land-based assets. A key element of our strategy is to entitle and then develop large-scale mixed-use master planned residential and commercial/industrial real estate development projects to serve the growing populations of Southern and Central California. Our mixed-use master planned residential developments have been approved to collectively include up to 35,278 housing units, and more than 35 million square feet of commercial space. Over the next few years, it is possible that we will be engaged in continuous litigation defending the entitlements of our master planned developments.</w:t>
      </w:r>
    </w:p>
    <w:p>
      <w:pPr>
        <w:spacing w:after="0" w:line="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are currently executing on value creation as we are engaged in construction, commercial sales, and leasing at our fully operational commercial/industrial center Tejon Ranch Commerce Center, or TRCC. In January 2021, the Kern County Board of Supervisors approved two Conditional Use Permits, authorizing development of multi-family apartment uses within the Tejon Ranch Commerce Center, on a 27-acre site located immediately north of the Outlets at Tejon. This authorization allows the Company to develop up to a maximum of 495 multi-family residences, in thirteen apartment buildings, as well as approximately 6,500 square feet of community amenity space and we anticipate construction beginning late 2022. All of these efforts are supported by diverse revenue streams generated from other operations including: farming, mineral resources, and our various joint ventures.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Our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operate in five reporting segments: commercial/industrial real estate development; resort/residential real estate development; mineral resources; farming; and ranch operations.</w:t>
      </w:r>
    </w:p>
    <w:p>
      <w:pPr>
        <w:spacing w:after="0" w:line="83"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Activities within the commercial/industrial real estate development segment include planning and permitting of land for development; construction of infrastructure; construction of pre-leased buildings; construction of buildings to be leased or sold;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5" w:name="page26"/>
    <w:bookmarkEnd w:id="25"/>
    <w:p>
      <w:pPr>
        <w:spacing w:after="0" w:line="287" w:lineRule="auto"/>
        <w:rPr>
          <w:sz w:val="20"/>
          <w:szCs w:val="20"/>
          <w:color w:val="auto"/>
        </w:rPr>
      </w:pPr>
      <w:r>
        <w:rPr>
          <w:rFonts w:ascii="Times New Roman" w:cs="Times New Roman" w:eastAsia="Times New Roman" w:hAnsi="Times New Roman"/>
          <w:sz w:val="14"/>
          <w:szCs w:val="14"/>
          <w:color w:val="auto"/>
        </w:rPr>
        <w:t>and the sale of land to third parties for their own development. The commercial/industrial real estate development segment also includes activities related to the power plant lease and communications leases.</w:t>
      </w:r>
    </w:p>
    <w:p>
      <w:pPr>
        <w:spacing w:after="0" w:line="18"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At the heart of the commercial/industrial real estate development segment is TRCC, a 20 million square foot commercial/industrial development on Interstate 5 just north of the Los Angeles basin. Six million square feet of industrial, commercial and retail space has already been developed, including distribution centers for IKEA, Caterpillar, Famous Footwear, L'Oreal, Camping World, and Dollar General. TRCC sits on both sides of Interstate 5, giving distributors immediate access to the west coast’s principal north-south goods movement corridor.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also involved in multiple joint ventures within TRCC with several partners that help us expand our commercial/industrial business activities:</w:t>
      </w:r>
    </w:p>
    <w:p>
      <w:pPr>
        <w:spacing w:after="0" w:line="83" w:lineRule="exact"/>
        <w:rPr>
          <w:sz w:val="20"/>
          <w:szCs w:val="20"/>
          <w:color w:val="auto"/>
        </w:rPr>
      </w:pPr>
    </w:p>
    <w:p>
      <w:pPr>
        <w:ind w:left="520" w:right="6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joint venture with Petro that owns and operates two travel and truck stop facilities, comprised of five separate gas stations with convenience stores and fast-food restaurants within TRCC-West and TRCC-East.</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joint ventures with Rockefeller Development Group, or Rockefeller:</w:t>
      </w:r>
    </w:p>
    <w:p>
      <w:pPr>
        <w:spacing w:after="0" w:line="14" w:lineRule="exact"/>
        <w:rPr>
          <w:rFonts w:ascii="Times New Roman" w:cs="Times New Roman" w:eastAsia="Times New Roman" w:hAnsi="Times New Roman"/>
          <w:sz w:val="14"/>
          <w:szCs w:val="14"/>
          <w:color w:val="auto"/>
        </w:rPr>
      </w:pPr>
    </w:p>
    <w:p>
      <w:pPr>
        <w:ind w:left="1020" w:right="140" w:hanging="251"/>
        <w:spacing w:after="0" w:line="242" w:lineRule="auto"/>
        <w:tabs>
          <w:tab w:leader="none" w:pos="1017"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18-19 West LLC owns 61.5 acres of land for future development within TRCC-West. In 2019, our 18-19 West LLC joint venture entered into a land purchase option with the same third-party who purchased the Five West building and land. In November 2021, the third-party exercised the land option and purchased the land from the joint venture for $15,213,000; and</w:t>
      </w:r>
    </w:p>
    <w:p>
      <w:pPr>
        <w:spacing w:after="0" w:line="5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TRCC/Rock Outlet Center LLC operates the Outlets at Tejon, a net leasable 326,000 square foot shopping experience in TRCC-East;</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Six joint ventures with Majestic Realty Co., or Majestic, to develop, manage, and operate industrial buildings within TRCC:</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TRC-MRC 1, LLC operates a 480,480 square foot industrial building in TRCC-East, which was completed during 2017 and is fully leased;</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TRC-MRC 2, LLC owns and operates a 651,909 square foot building in TRCC-West that is fully leased;</w:t>
      </w:r>
    </w:p>
    <w:p>
      <w:pPr>
        <w:spacing w:after="0" w:line="72"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TRC-MRC 3, LLC operates a 579,040 square foot industrial building in TRCC-East that is fully leased; and</w:t>
      </w:r>
    </w:p>
    <w:p>
      <w:pPr>
        <w:spacing w:after="0" w:line="83"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17"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TRC-MRC 4, LLC was formed in 2021 to pursue the development, construction, leasing and management of a 629,274 square foot industrial building in TRCC-East. Grading on the site has been substantially completed and construction of the building has begun. The building is expected to be completed during the second half of 2022.</w:t>
      </w:r>
    </w:p>
    <w:p>
      <w:pPr>
        <w:spacing w:after="0" w:line="28" w:lineRule="exact"/>
        <w:rPr>
          <w:rFonts w:ascii="Times New Roman" w:cs="Times New Roman" w:eastAsia="Times New Roman" w:hAnsi="Times New Roman"/>
          <w:sz w:val="14"/>
          <w:szCs w:val="14"/>
          <w:color w:val="auto"/>
        </w:rPr>
      </w:pPr>
    </w:p>
    <w:p>
      <w:pPr>
        <w:ind w:left="1020" w:right="140" w:hanging="251"/>
        <w:spacing w:after="0" w:line="287" w:lineRule="auto"/>
        <w:tabs>
          <w:tab w:leader="none" w:pos="1017"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TRC-MRC 5 LLC was formed in March 29, 2022 to pursue the development, construction, lease-up, and management of an approximately 446,400 square foot industrial building located within TRCC-East. The project is currently in its initial planning and design phases with construction set to commence in 2023.</w:t>
      </w:r>
    </w:p>
    <w:p>
      <w:pPr>
        <w:spacing w:after="0" w:line="18" w:lineRule="exact"/>
        <w:rPr>
          <w:rFonts w:ascii="Times New Roman" w:cs="Times New Roman" w:eastAsia="Times New Roman" w:hAnsi="Times New Roman"/>
          <w:sz w:val="14"/>
          <w:szCs w:val="14"/>
          <w:color w:val="auto"/>
        </w:rPr>
      </w:pPr>
    </w:p>
    <w:p>
      <w:pPr>
        <w:ind w:left="1020" w:right="100" w:hanging="251"/>
        <w:spacing w:after="0" w:line="287" w:lineRule="auto"/>
        <w:tabs>
          <w:tab w:leader="none" w:pos="1017" w:val="left"/>
        </w:tabs>
        <w:numPr>
          <w:ilvl w:val="1"/>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TRC-MRC Multi I, LLC was formed in February 2022 with Majestic for the development, leasing and management of approximately 495 multi-family residential community. The development would be located on an approximately 23-acre site located immediately north of the Outlets at Tejon.</w:t>
      </w:r>
    </w:p>
    <w:p>
      <w:pPr>
        <w:spacing w:after="0" w:line="2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resort/residential real estate development segment is actively involved in the land entitlement and development process internally and through a joint venture. Our active developments within this segment are Mountain Village at Tejon Ranch, or MV, Centennial at Tejon Ranch, or Centennial, and Grapevine at Tejon Ranch, or Grapevine.</w:t>
      </w:r>
    </w:p>
    <w:p>
      <w:pPr>
        <w:spacing w:after="0" w:line="29" w:lineRule="exact"/>
        <w:rPr>
          <w:sz w:val="20"/>
          <w:szCs w:val="20"/>
          <w:color w:val="auto"/>
        </w:rPr>
      </w:pPr>
    </w:p>
    <w:p>
      <w:pPr>
        <w:ind w:left="520" w:right="60" w:hanging="260"/>
        <w:spacing w:after="0" w:line="27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MV encompasses a total of 26,417 acres, of which 5,082 acres will be used for a mixed-use development that will include housing, retail, and commercial components. MV is entitled for 3,450 homes, 160,000 square feet of commercial development, 750 hotel keys, and more than 21,335 acres of open space. The first final map for the project consisting of 401 residential lots and parcels for hospitality, amenities, and public uses was approved by Kern County in December 2021;</w:t>
      </w:r>
    </w:p>
    <w:p>
      <w:pPr>
        <w:spacing w:after="0" w:line="18" w:lineRule="exact"/>
        <w:rPr>
          <w:rFonts w:ascii="Times New Roman" w:cs="Times New Roman" w:eastAsia="Times New Roman" w:hAnsi="Times New Roman"/>
          <w:sz w:val="14"/>
          <w:szCs w:val="14"/>
          <w:color w:val="auto"/>
        </w:rPr>
      </w:pPr>
    </w:p>
    <w:p>
      <w:pPr>
        <w:ind w:left="520" w:right="100" w:hanging="260"/>
        <w:spacing w:after="0" w:line="248"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Centennial had entitlements approved in December 2018 and received legislative approvals in April 2019 from the Los Angeles County Board of Supervisors. See Note 12 (Commitments and Contingencies) of the Notes to Unaudited Consolidated Financial Statements for additional information related to current litigation; and</w:t>
      </w:r>
    </w:p>
    <w:p>
      <w:pPr>
        <w:spacing w:after="0" w:line="45" w:lineRule="exact"/>
        <w:rPr>
          <w:rFonts w:ascii="Times New Roman" w:cs="Times New Roman" w:eastAsia="Times New Roman" w:hAnsi="Times New Roman"/>
          <w:sz w:val="14"/>
          <w:szCs w:val="14"/>
          <w:color w:val="auto"/>
        </w:rPr>
      </w:pPr>
    </w:p>
    <w:p>
      <w:pPr>
        <w:ind w:left="520" w:right="100" w:hanging="260"/>
        <w:spacing w:after="0" w:line="246"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Grapevine is an 8,010-acre development area located on the San Joaquin Valley floor area of our lands, adjacent to TRCC. Upon completion of Grapevine, the community will include 12,000 homes, 5.1 million square feet for commercial development, and more than 3,367 acres of open space and parks. The 4,643 acres designated for mixed-use development will include housing, retail, commercial, and industrial components.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6" w:name="page27"/>
    <w:bookmarkEnd w:id="26"/>
    <w:p>
      <w:pPr>
        <w:ind w:left="520" w:right="160" w:hanging="260"/>
        <w:spacing w:after="0" w:line="25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northeast of Grapevine is Grapevine North, a 7,655-acre development area, that is currently used for agricultural purposes. Identified as a development area in the RWA, Grapevine North presents a significant opportunity for future development. Grapevine North may feature mixed use community development similar to Grapevine at Tejon Ranch, or other development uses as appropriate based upon market conditions at the time.</w:t>
      </w:r>
    </w:p>
    <w:p>
      <w:pPr>
        <w:spacing w:after="0" w:line="41" w:lineRule="exact"/>
        <w:rPr>
          <w:sz w:val="20"/>
          <w:szCs w:val="20"/>
          <w:color w:val="auto"/>
        </w:rPr>
      </w:pPr>
    </w:p>
    <w:p>
      <w:pPr>
        <w:ind w:right="740"/>
        <w:spacing w:after="0" w:line="287" w:lineRule="auto"/>
        <w:rPr>
          <w:sz w:val="20"/>
          <w:szCs w:val="20"/>
          <w:color w:val="auto"/>
        </w:rPr>
      </w:pPr>
      <w:r>
        <w:rPr>
          <w:rFonts w:ascii="Times New Roman" w:cs="Times New Roman" w:eastAsia="Times New Roman" w:hAnsi="Times New Roman"/>
          <w:sz w:val="14"/>
          <w:szCs w:val="14"/>
          <w:color w:val="auto"/>
        </w:rPr>
        <w:t>Please refer to our Annual Report on Form 10-K for the year ended December 31, 2021, for a more detailed description of our active developments within the resort/residential real estate development segment.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mineral resources segment generates revenues from oil and gas royalty leases, rock and aggregate mining leases, a lease with National Cement Company of California Inc., and water sales.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farming segment produces revenues from the sale of wine grapes, almonds, and pistachios.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Lastly, the ranch operations segment consists of game management revenues and ancillary land uses such as grazing leases and filming.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Summary of First Quarter 2022 Performance</w:t>
      </w:r>
    </w:p>
    <w:p>
      <w:pPr>
        <w:spacing w:after="0" w:line="7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For the three months ended March 31, 2022, the Company had a net income attributable to common stockholders of $4,307,000 compared to a net loss of $1,055,000 for the three months ended March 31, 2021. Improvements in the Company's operating results are attributed to the following: commercial land sale resulting in a $3,937,000 increase in Commercial/Industrial operating profits, additional water sales resulting in a $2,682,000 improvement in Mineral Resources operating profits, and improved joint venture operating results of $1,272,000. Income tax expense increased accordingly by $3,025,000 to reflect the improved operating results.</w:t>
      </w:r>
    </w:p>
    <w:p>
      <w:pPr>
        <w:spacing w:after="0" w:line="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For the first three months of 2021, we had a net loss attributable to common stockholders of $1,055,000 compared to a net loss of $682,000 during the first three months of 2020. The primary driver of this decrease was a $1,414,000 decrease in the equity in earnings of unconsolidated joint ventures. For the quarter, Petro Travel Plaza Holdings experienced significant declines in fuel margins resulting from higher fuel costs. Additionally, full-service restaurant margins within the Petro joint venture decreased due to ongoing closures during the period, driven by operating capacity limitations under California's Blueprint for a Safer Economy. The decline in operating results from our joint ventures was offset by a $998,000 increase in mineral resources revenues, driven by increased water sales due, in part, to drier conditions statewide which led to a lower SWP allocation over the comparative period.</w:t>
      </w:r>
    </w:p>
    <w:p>
      <w:pPr>
        <w:spacing w:after="0" w:line="4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Critical Accounting Estimates</w:t>
      </w:r>
    </w:p>
    <w:p>
      <w:pPr>
        <w:spacing w:after="0" w:line="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preparation of our interim financial statements in accordance with generally accepted accounting principles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our future ability to utilize deferred tax assets, and defined benefit retirement plan.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2022, our critical accounting policies have not changed since the filing of our Annual Report on Form 10-K for the year ended December 31, 2021.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006EBF"/>
        </w:rPr>
        <w:t>Results of Operations by Segment</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Real Estate – Commercial/Industrial:</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51"/>
        </w:trPr>
        <w:tc>
          <w:tcPr>
            <w:tcW w:w="2260" w:type="dxa"/>
            <w:vAlign w:val="bottom"/>
            <w:tcBorders>
              <w:top w:val="single" w:sz="8" w:color="006EBF"/>
            </w:tcBorders>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5"/>
          </w:tcPr>
          <w:p>
            <w:pPr>
              <w:ind w:left="44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60" w:type="dxa"/>
            <w:vAlign w:val="bottom"/>
          </w:tcPr>
          <w:p>
            <w:pPr>
              <w:spacing w:after="0"/>
              <w:rPr>
                <w:sz w:val="24"/>
                <w:szCs w:val="24"/>
                <w:color w:val="auto"/>
              </w:rPr>
            </w:pPr>
          </w:p>
        </w:tc>
        <w:tc>
          <w:tcPr>
            <w:tcW w:w="1840" w:type="dxa"/>
            <w:vAlign w:val="bottom"/>
            <w:gridSpan w:val="3"/>
          </w:tcPr>
          <w:p>
            <w:pPr>
              <w:ind w:left="1120"/>
              <w:spacing w:after="0"/>
              <w:rPr>
                <w:sz w:val="20"/>
                <w:szCs w:val="20"/>
                <w:color w:val="auto"/>
              </w:rPr>
            </w:pPr>
            <w:r>
              <w:rPr>
                <w:rFonts w:ascii="Times New Roman" w:cs="Times New Roman" w:eastAsia="Times New Roman" w:hAnsi="Times New Roman"/>
                <w:sz w:val="14"/>
                <w:szCs w:val="14"/>
                <w:color w:val="auto"/>
              </w:rPr>
              <w:t>Change</w:t>
            </w:r>
          </w:p>
        </w:tc>
        <w:tc>
          <w:tcPr>
            <w:tcW w:w="1260" w:type="dxa"/>
            <w:vAlign w:val="bottom"/>
          </w:tcPr>
          <w:p>
            <w:pPr>
              <w:spacing w:after="0"/>
              <w:rPr>
                <w:sz w:val="24"/>
                <w:szCs w:val="24"/>
                <w:color w:val="auto"/>
              </w:rPr>
            </w:pPr>
          </w:p>
        </w:tc>
      </w:tr>
      <w:tr>
        <w:trPr>
          <w:trHeight w:val="171"/>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Pastoria Energy Facility</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TRCC Leasing</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TRCC management fees and reimbursements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r>
      <w:tr>
        <w:trPr>
          <w:trHeight w:val="180"/>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leases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Communication leases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Landscaping and other</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80"/>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Land sale</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1"/>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commercial/industrial revenues</w:t>
            </w: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7,349</w:t>
            </w:r>
          </w:p>
        </w:tc>
        <w:tc>
          <w:tcPr>
            <w:tcW w:w="14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4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230 %</w:t>
            </w:r>
          </w:p>
        </w:tc>
      </w:tr>
      <w:tr>
        <w:trPr>
          <w:trHeight w:val="171"/>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commercial/industrial expenses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r>
      <w:tr>
        <w:trPr>
          <w:trHeight w:val="171"/>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 from commercial/industrial</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3,937</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582 %</w:t>
            </w:r>
          </w:p>
        </w:tc>
      </w:tr>
      <w:tr>
        <w:trPr>
          <w:trHeight w:val="20"/>
        </w:trPr>
        <w:tc>
          <w:tcPr>
            <w:tcW w:w="2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60" w:right="40" w:hanging="255"/>
        <w:spacing w:after="0" w:line="287"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revenues were $7,349,000 for the three months ended March 31, 2022, an increase of $5,121,000, or 230%, from $2,228,000 for the three months ended March 31, 2021. The increase is attributed to a land sale to a third party for a 12.3-acre parcel for total consideration of $4,681,000.</w:t>
      </w:r>
    </w:p>
    <w:p>
      <w:pPr>
        <w:spacing w:after="0" w:line="28" w:lineRule="exact"/>
        <w:rPr>
          <w:rFonts w:ascii="Times New Roman" w:cs="Times New Roman" w:eastAsia="Times New Roman" w:hAnsi="Times New Roman"/>
          <w:sz w:val="14"/>
          <w:szCs w:val="14"/>
          <w:color w:val="auto"/>
        </w:rPr>
      </w:pPr>
    </w:p>
    <w:p>
      <w:pPr>
        <w:ind w:left="260" w:right="100" w:hanging="255"/>
        <w:spacing w:after="0" w:line="287"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expenses were $2,736,000 for the three months ended March 31, 2022, an increase of $1,184,000, or 76%, from $1,552,000 for the three months ended March 31, 2021. This increase is primarily attributed to recognizing cost of land sales associated with the 12.3-acre parcel noted above.</w:t>
      </w:r>
    </w:p>
    <w:p>
      <w:pPr>
        <w:spacing w:after="0" w:line="2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logistics operators currently located within TRCC have demonstrated success in serving all of California and the western region of the United States, and the Company showcases their success in its marketing efforts. We expect to continue to focus our marketing strategy for TRCC-East and TRCC-West on the significant labor and logistical benefits of our site, the pro-business approach of Kern County, and the demonstrated success of the current tenants and owners within our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4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Our Foreign Trade Zone (FTZ) designation allows businesses to secure the many benefits and cost reductions associated with streamlined movement of goods in and out of the trade zone. This FTZ designation is further supplemented by the Advance Kern Incentive Program, or AKIP, adopted by the Kern County Board of Supervisors. AKIP is aimed to expand and enhance the County's competitiveness by taking affirmative steps to attract new businesses and to encourage the growth and resilience of existing businesses. AKIP provides incentives such as assistance in obtaining tax incentives, building supporting infrastructure, and workforce development.</w:t>
      </w:r>
    </w:p>
    <w:p>
      <w:pPr>
        <w:spacing w:after="0" w:line="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believe that the FTZ and AKIP, along with our ability to provide fully entitled, shovel-ready land parcels to support buildings of any size, including buildings one million square feet or larger, can provide us with a potential marketing advantage. Our marketing efforts target the Inland Empire region of Southern California, the Santa Clarita Valley of northern Los Angeles County, the northern part of the San Fernando Valley - due to the limited availability of new product and high real estate costs in these locations, and the San Joaquin Valley of California. The Company continues to analyze the market and evaluate expansions of industrial buildings for lease either on our own or in partnerships, as we have done with the buildings developed within our joint ventures.</w:t>
      </w:r>
    </w:p>
    <w:p>
      <w:pPr>
        <w:spacing w:after="0" w:line="4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disadvantage of our distance from the ports is being mitigated. Strong demand for large distribution facilities is driving development farther east in a search for large, entitled parcels.</w:t>
      </w:r>
    </w:p>
    <w:p>
      <w:pPr>
        <w:spacing w:after="0" w:line="7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During the quarter ended March 31, 2022, vacancy rates in the Inland Empire dipped another 20 basis points to a historical low of 0.3%, leading to an increase in lease rate of 18.7%, both setting new records when compared to the fourth quarter of 2021. Demand for Inland Empire logistics space continues to be strong, as net absorption reached 3.1 million square feet. As lease rates increase in the Inland Empire, we may experience greater pricing advantages due to our lower land basis.</w:t>
      </w:r>
    </w:p>
    <w:p>
      <w:pPr>
        <w:spacing w:after="0" w:line="4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During the quarter ended March 31, 2022, vacancy rates in the San Fernando Valley and Ventura County were unchanged at 0.5% quarter over quarter and 120 basis points below its mark from one year ago. Rents are at $1.16 square feet, which increased by 5% over the fourth quarter of 2021.</w:t>
      </w:r>
    </w:p>
    <w:p>
      <w:pPr>
        <w:spacing w:after="0" w:line="8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Industrial vacancy rates are expected to remain low, and industrial users seeking larger spaces are going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 The Company's TRC-MRC 4 joint venture is currently constructing a 629,274 square foot industrial building while Scannell Properties, a third-party land purchaser, is building a 252,000 square foot industrial building.</w:t>
      </w:r>
    </w:p>
    <w:p>
      <w:pPr>
        <w:spacing w:after="0" w:line="4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expect our commercial/industrial real estate development segment to continue to experience costs, net of amounts capitalized, primarily related to professional service fees, marketing costs, commissions, planning costs, and staffing costs as we continue to pursue development opportunities. These costs are expected to remain consistent with current levels of expense with any variability in future costs tied to specific absorption transactions in any given year.</w:t>
      </w:r>
    </w:p>
    <w:p>
      <w:pPr>
        <w:spacing w:after="0" w:line="3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Real Estate – Resort/Residential: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 the preliminary stages of property development for this segment; hence, no revenues or profits are attributed to this segment.</w:t>
      </w:r>
    </w:p>
    <w:p>
      <w:pPr>
        <w:spacing w:after="0" w:line="8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Resort/residential real estate development segment expenses were $423,000 for the three months ended March 31, 2022, a decrease of $130,000, or 24%, from $553,000 for the three months ended March 31, 2021. The decrease is attributed to additional payroll capitalized to qualifying real estate development projects.</w:t>
      </w:r>
    </w:p>
    <w:p>
      <w:pPr>
        <w:spacing w:after="0" w:line="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long-term business plan of developing the communities of MV, Centennial, and Grapevine remains unchanged. As home buyer trends change in California to a more suburban orientation and the economy stabilizes, we believe the perception of land values will continue to improve. Long-term macro fundamentals, primarily California's population growth and household formation will also support housing demand in our region. California also has a significant documented housing shortage, which we believe our communities will help ease as the population base within California continues to grow. Most of the expenditures and capital investment to be incurred within our resort/residential real estate segment are expected to continue to focus on the mixed use master planned communities of Centennial, Grapevine, and Mountain Village.</w:t>
      </w:r>
    </w:p>
    <w:p>
      <w:pPr>
        <w:spacing w:after="0" w:line="37" w:lineRule="exact"/>
        <w:rPr>
          <w:sz w:val="20"/>
          <w:szCs w:val="20"/>
          <w:color w:val="auto"/>
        </w:rPr>
      </w:pPr>
    </w:p>
    <w:p>
      <w:pPr>
        <w:ind w:left="52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 the approved Centennial specific plan includes 19,333 residential units and more than 10.1 million square feet of commercial space. The Company is working with the County of Los Angeles to address litigation filed in the Los Angeles Superior Court. See Note 12 (Commitments and Contingencies) of the Notes to Unaudited Consolidated Financial Statements for further discussion.</w:t>
      </w:r>
    </w:p>
    <w:p>
      <w:pPr>
        <w:spacing w:after="0" w:line="40"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Grapevine – an 8,010-acre development area located on the San Joaquin Valley floor area of our lands, adjacent to TRCC. Upon completion of Grapevine, the community will include 12,000 homes, 5.1 million square feet for commercial development, and more than 3,367 acres of open space and parks.</w:t>
      </w:r>
    </w:p>
    <w:p>
      <w:pPr>
        <w:spacing w:after="0" w:line="28" w:lineRule="exact"/>
        <w:rPr>
          <w:rFonts w:ascii="Times New Roman" w:cs="Times New Roman" w:eastAsia="Times New Roman" w:hAnsi="Times New Roman"/>
          <w:sz w:val="14"/>
          <w:szCs w:val="14"/>
          <w:color w:val="auto"/>
        </w:rPr>
      </w:pPr>
    </w:p>
    <w:p>
      <w:pPr>
        <w:ind w:left="520" w:right="6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MV – a fully entitled project that obtained final map approvals in 2021 for 401 residential lots and parcels for hospitality, amenities, and public uses. The timing of the MV development in the coming years will depend on the strength of both the economy and the real estate market, including both primary and second home markets. In moving the project forward, we will focus on consumer and market research studies, fine tuning of development business plans.</w:t>
      </w:r>
    </w:p>
    <w:p>
      <w:pPr>
        <w:spacing w:after="0" w:line="29"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 the next several years,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Mineral Resources: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51"/>
        </w:trPr>
        <w:tc>
          <w:tcPr>
            <w:tcW w:w="1180" w:type="dxa"/>
            <w:vAlign w:val="bottom"/>
            <w:tcBorders>
              <w:top w:val="single" w:sz="8" w:color="006EBF"/>
            </w:tcBorders>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Oil and gas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Cement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Rock aggregate</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Exploration leases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Water Sales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Reimbursables and other</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65,900 %</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mineral resources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7,176</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mineral resources expenses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5,047</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9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from mineral resources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126 %</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left="260" w:hanging="255"/>
        <w:spacing w:after="0" w:line="264" w:lineRule="auto"/>
        <w:tabs>
          <w:tab w:leader="none" w:pos="2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revenues were $11,968,000 for the three months ended March 31, 2022, an increase of $4,792,000, or 67%, from $7,176,000 for the three months ended March 31, 2021. The dry 2021/2022 winter diminished water availability in California and eventually resulted in a SWP allocation of 5%. As a result, the Company generated $3,905,000 in additional water sales during the quarter ended March 31, 2022. Comparatively the Company sold 6,970 and 5,881 acre-feet of water as of March 31, 2022 and 2021, respectively. The remainder of the increase is attributed to the timing of property tax reimbursements from our mineral leases.</w:t>
      </w:r>
    </w:p>
    <w:p>
      <w:pPr>
        <w:spacing w:after="0" w:line="55" w:lineRule="exact"/>
        <w:rPr>
          <w:rFonts w:ascii="Times New Roman" w:cs="Times New Roman" w:eastAsia="Times New Roman" w:hAnsi="Times New Roman"/>
          <w:sz w:val="14"/>
          <w:szCs w:val="14"/>
          <w:color w:val="auto"/>
        </w:rPr>
      </w:pPr>
    </w:p>
    <w:p>
      <w:pPr>
        <w:ind w:left="260" w:right="40" w:hanging="255"/>
        <w:spacing w:after="0" w:line="280" w:lineRule="auto"/>
        <w:tabs>
          <w:tab w:leader="none" w:pos="2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expenses were $7,157,000 for the three months ended March 31, 2022, an increase of $2,110,000, or 42%, from $5,047,000 for the three months ended March 31, 2021. This increase in expenses is primarily attributed to an increase in water cost of sales resulting from the increased water sales volumes along with the prices associated with the mix of water sold.</w:t>
      </w:r>
    </w:p>
    <w:p>
      <w:pPr>
        <w:spacing w:after="0" w:line="19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As anticipated changes arise in the future related to groundwater management in California, such as limits on groundwater pumping in over drafted water basins outside of our lands, we believe that our water assets, including water banking operations, ground water recharge programs, and access to water contracts like those we have purchased in the past, will become even more important and valuable in servicing our projects and providing opportunities for water sales to third parties. With 2021 and the first quarter of 2022 being drought periods, local water market participants had few alternative water sources. Current forecasts indicate that this trend may continue beyond the first quarter of 2022, which may lead to favorable water sales opportunities.</w:t>
      </w:r>
    </w:p>
    <w:p>
      <w:pPr>
        <w:spacing w:after="0" w:line="8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The price per barrel of oil has increased over 42% from December 31, 2021 levels. California Resources Corporation, or CRC, our largest oil royalty tenant currently has 13 wells in production, with the expectation of returning more wells into production in the near future. So far in 2022, we have seen a small increase in oil production. Prices for oil, natural gas fluctuate in response to relatively minor changes in supply and demand, market uncertainty and a variety of additional factors that are beyond our control, such as: changes in domestic and global supply and demand, domestic and global inventory levels, political and regulatory conditions in California, and international disputes such as current conflicts in Eastern Europe.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Farming:</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72"/>
        </w:trPr>
        <w:tc>
          <w:tcPr>
            <w:tcW w:w="580" w:type="dxa"/>
            <w:vAlign w:val="bottom"/>
            <w:tcBorders>
              <w:top w:val="single" w:sz="8" w:color="006EBF"/>
            </w:tcBorders>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Farming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Almonds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Pistachios</w:t>
            </w:r>
          </w:p>
        </w:tc>
        <w:tc>
          <w:tcPr>
            <w:tcW w:w="4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Wine grapes</w:t>
            </w:r>
          </w:p>
        </w:tc>
        <w:tc>
          <w:tcPr>
            <w:tcW w:w="4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Hay</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farming revenues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farming expenses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loss from farming</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20"/>
        </w:trPr>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260" w:right="20" w:hanging="255"/>
        <w:spacing w:after="0" w:line="270" w:lineRule="auto"/>
        <w:tabs>
          <w:tab w:leader="none" w:pos="2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revenues were $655,000 for the three months ended March 31, 2022, an increase of $48,000, or 8%, from $607,000 during the same period in 2021. The improvement is primarily attributed to an $185,000 increase in almond revenues. Comparatively, we sold 269,000 and 161,000 pounds of almonds as of March 31, 2022 and 2021, respectively. This increase was offset by a $74,000 decline in water usage reimbursements associated with a farmland lease.</w:t>
      </w:r>
    </w:p>
    <w:p>
      <w:pPr>
        <w:spacing w:after="0" w:line="50" w:lineRule="exact"/>
        <w:rPr>
          <w:rFonts w:ascii="Times New Roman" w:cs="Times New Roman" w:eastAsia="Times New Roman" w:hAnsi="Times New Roman"/>
          <w:sz w:val="14"/>
          <w:szCs w:val="14"/>
          <w:color w:val="auto"/>
        </w:rPr>
      </w:pPr>
    </w:p>
    <w:p>
      <w:pPr>
        <w:ind w:left="260" w:right="380" w:hanging="255"/>
        <w:spacing w:after="0" w:line="287" w:lineRule="auto"/>
        <w:tabs>
          <w:tab w:leader="none" w:pos="2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expenses were $1,762,000 for the three months ended March 31, 2022, an increase of $284,000, or 19%, from $1,478,000 during the same period in 2021. The increase in expenses resulted from higher fixed water costs resulting from increased costs associated with maintaining local water district infrastructure.</w:t>
      </w:r>
    </w:p>
    <w:p>
      <w:pPr>
        <w:spacing w:after="0" w:line="2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Our almond, pistachio, and wine grape crop sales are highly seasonal with most of our sales occurring during the third and fourth quarters. Nut and grape crop markets are particularly sensitive to the size of each year’s world crop and the demand for those crops. As witnessed in 2020, large crop yields in California and abroad can rapidly depress prices. Tariffs from India, which is a major customer of almonds and pistachios, can make American products less competitive and push customers to switch to another producing country.</w:t>
      </w:r>
    </w:p>
    <w:p>
      <w:pPr>
        <w:spacing w:after="0" w:line="3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Weather conditions can also impact the number of tree and vine dormant hours, which are integral to tree and vine growth. We will not know the impact of current weather conditions on 2022 production until the summer of 2022. Thus far, we have experienced a warm winter, which reduces the number of chilling hours for our pistachio and almond trees. In the past, this has had a very adverse effect on pistachio yields. The current SWP allocation of 5% alone is inadequate for our farming needs. As such, management will use a portion of the Company's water sources to cover any shortfall and may incur additional water delivery charges, which will increase overall 2022 crop production costs.</w:t>
      </w:r>
    </w:p>
    <w:p>
      <w:pPr>
        <w:spacing w:after="0" w:line="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Labor shortages are increasing the cost of labor for the Company’s farming segment, while supply chain disruptions such as shortages of drivers for trucking companies and availability of food grade containers are impacting our ability to deliver goods to customers. Because a majority of the Company's almonds are sold to customers in India and China, it is very likely that there will be continued sales delays given the current disruption in the global supply chain network. The Company, along with the rest of the farming industry, is experiencing increased costs for chemicals, herbicides and fertilizers. For the remainder of 2022, we expect these issues to have an adverse effect on the Company's farming operations.</w:t>
      </w:r>
    </w:p>
    <w:p>
      <w:pPr>
        <w:spacing w:after="0" w:line="45"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Ranch Operations: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51"/>
        </w:trPr>
        <w:tc>
          <w:tcPr>
            <w:tcW w:w="1160" w:type="dxa"/>
            <w:vAlign w:val="bottom"/>
            <w:tcBorders>
              <w:top w:val="single" w:sz="8" w:color="006EBF"/>
            </w:tcBorders>
          </w:tcPr>
          <w:p>
            <w:pPr>
              <w:spacing w:after="0"/>
              <w:rPr>
                <w:sz w:val="24"/>
                <w:szCs w:val="24"/>
                <w:color w:val="auto"/>
              </w:rPr>
            </w:pPr>
          </w:p>
        </w:tc>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Game management and other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Grazing</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Ranch Operations expenses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72"/>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from Ranch Operations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r>
    </w:tbl>
    <w:p>
      <w:pPr>
        <w:ind w:left="100" w:hanging="81"/>
        <w:spacing w:after="0" w:line="202" w:lineRule="auto"/>
        <w:tabs>
          <w:tab w:leader="none" w:pos="100" w:val="left"/>
        </w:tabs>
        <w:numPr>
          <w:ilvl w:val="1"/>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Game management and other revenues consist of revenues from hunting, filming, high desert hunt club (a premier upland bird hunting club), and other ancillary activities.</w:t>
      </w:r>
    </w:p>
    <w:p>
      <w:pPr>
        <w:spacing w:after="0" w:line="330" w:lineRule="exact"/>
        <w:rPr>
          <w:rFonts w:ascii="Times New Roman" w:cs="Times New Roman" w:eastAsia="Times New Roman" w:hAnsi="Times New Roman"/>
          <w:sz w:val="17"/>
          <w:szCs w:val="17"/>
          <w:color w:val="auto"/>
          <w:vertAlign w:val="superscript"/>
        </w:rPr>
      </w:pPr>
    </w:p>
    <w:p>
      <w:pPr>
        <w:ind w:left="260" w:right="260" w:hanging="255"/>
        <w:spacing w:after="0" w:line="287"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revenues were $1,048,000 for the three months ended March 31, 2022, an increase of $5,000, or 0%, from $1,043,000 for the same period in 2021. The fluctuation is in line with expectations</w:t>
      </w:r>
    </w:p>
    <w:p>
      <w:pPr>
        <w:spacing w:after="0" w:line="7" w:lineRule="exact"/>
        <w:rPr>
          <w:rFonts w:ascii="Times New Roman" w:cs="Times New Roman" w:eastAsia="Times New Roman" w:hAnsi="Times New Roman"/>
          <w:sz w:val="14"/>
          <w:szCs w:val="14"/>
          <w:color w:val="auto"/>
        </w:rPr>
      </w:pPr>
    </w:p>
    <w:p>
      <w:pPr>
        <w:ind w:left="260" w:hanging="255"/>
        <w:spacing w:after="0" w:line="278"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expenses were $1,315,000 for the three months ended March 31, 2022, an increase of $128,000, or 11%, from $1,187,000 for the same period in 2021. This increase is primarily attributed to an increase in repairs and maintenance costs resulting from a shift in business strategy. Historically, the Company has maintained property grounds using internal sources, during 2022 we began outsourcing this effort which is attributing to the aforementioned increase in repairs and maintenance costs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-911225</wp:posOffset>
            </wp:positionV>
            <wp:extent cx="472948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29480" cy="698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Corporate and Other:</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Corporate general and administrative costs were $2,415,000 for the three months ended March 31, 2022, an increase of $124,000, or 5%, from $2,291,000 for the same period in 2021. The increase in 2022 is attributed to the fact that the Company did not have an in-house counsel during the first quarter of 2021.</w:t>
      </w:r>
    </w:p>
    <w:p>
      <w:pPr>
        <w:spacing w:after="0" w:line="8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On November 2021, the Company's 18-19 West joint venture sold its land for $15,213,000. In 2022, the Company received excess distributions and recognized long-term deferred gains, associated with the 18-19 West joint venture of $925,000.</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Joint Ventures: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51"/>
        </w:trPr>
        <w:tc>
          <w:tcPr>
            <w:tcW w:w="920" w:type="dxa"/>
            <w:vAlign w:val="bottom"/>
            <w:tcBorders>
              <w:top w:val="single" w:sz="8" w:color="006EBF"/>
            </w:tcBorders>
          </w:tcPr>
          <w:p>
            <w:pPr>
              <w:spacing w:after="0"/>
              <w:rPr>
                <w:sz w:val="24"/>
                <w:szCs w:val="24"/>
                <w:color w:val="auto"/>
              </w:rPr>
            </w:pPr>
          </w:p>
        </w:tc>
        <w:tc>
          <w:tcPr>
            <w:tcW w:w="2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 earnings (loss)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Five West Parcel, LLC</w:t>
            </w:r>
          </w:p>
        </w:tc>
        <w:tc>
          <w:tcPr>
            <w:tcW w:w="4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9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18-19 West, LLC</w:t>
            </w:r>
          </w:p>
        </w:tc>
        <w:tc>
          <w:tcPr>
            <w:tcW w:w="4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1,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TRC-MRC 2,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3,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TRC-MRC 4,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6"/>
        </w:trPr>
        <w:tc>
          <w:tcPr>
            <w:tcW w:w="3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 in earnings</w:t>
            </w: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w:t>
            </w: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260" w:right="80" w:hanging="255"/>
        <w:spacing w:after="0" w:line="270"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were $1,213,000 for the three months ended March 31, 2022, an increase of $1,272,000, from a loss of $59,000 during the same period in 2021. The improvement is primarily attributed to the Company's Petro joint venture that saw an increase in overall traffic and fuel sales volumes when compared to the prior year. Additionally, the joint venture's full service restaurants were open during the first quarter of 2022, but were closed due to COVID-19 mandates during the same period in 2021.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"Non-GAAP Financial Measures" for further financial discussion of the results of our joint ventures.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General Outlook</w:t>
      </w:r>
    </w:p>
    <w:p>
      <w:pPr>
        <w:spacing w:after="0" w:line="85"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4"/>
          <w:szCs w:val="14"/>
          <w:color w:val="auto"/>
        </w:rPr>
        <w:t>The operations of the Company are seasonal and future results of operations cannot reliably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4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2021, or Annual Report, and to Part I, Item 1A - "Risk Factors" of our Annual Report. We continue to be involved in various legal proceedings related to leased acreage. For a further discussion, please refer to Note 12 (Commitments and Contingencies) of the Notes to Unaudited Consolidated Financial Statements in this report.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Income Taxes</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For the three months ended March 31, 2022, the Company had net income tax expense of $3,046,000 compared to $21,000 for the three months ended March 31, 2021. The effective tax rates approximated 41% and -2% for the three months ended March 31, 2022 and 2021, respectively. As of March 31, 2022, income tax payables were $4,591,000. The Company classifies interest and penalties incurred on tax payments as income tax expenses. The Company's effective tax rates were higher than statutory rates primarily because permanent differences related to Section 162(m) limitations and discrete tax expense associated with stock compensation. The Section 162(m) compensation deduction limitations occurred due to changes in tax law arising from the 2017 Tax Cuts Jobs Act.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is not anticipated to have a material impact on the Company's current income tax payable.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Cash Flow and Liquidity</w:t>
      </w:r>
    </w:p>
    <w:p>
      <w:pPr>
        <w:spacing w:after="0" w:line="7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40" w:lineRule="exact"/>
        <w:rPr>
          <w:sz w:val="20"/>
          <w:szCs w:val="20"/>
          <w:color w:val="auto"/>
        </w:rPr>
      </w:pPr>
    </w:p>
    <w:p>
      <w:pPr>
        <w:ind w:right="800"/>
        <w:spacing w:after="0" w:line="287" w:lineRule="auto"/>
        <w:rPr>
          <w:sz w:val="20"/>
          <w:szCs w:val="20"/>
          <w:color w:val="auto"/>
        </w:rPr>
      </w:pPr>
      <w:r>
        <w:rPr>
          <w:rFonts w:ascii="Times New Roman" w:cs="Times New Roman" w:eastAsia="Times New Roman" w:hAnsi="Times New Roman"/>
          <w:sz w:val="14"/>
          <w:szCs w:val="14"/>
          <w:color w:val="auto"/>
        </w:rPr>
        <w:t>To enhance shareholder value over the long-term, we expect to continue to make investments in our real estate segments to secure land entitlement approvals, build infrastructure for our developments, provide adequate water supplies, and provide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33" w:name="page34"/>
    <w:bookmarkEnd w:id="33"/>
    <w:p>
      <w:pPr>
        <w:ind w:right="140"/>
        <w:spacing w:after="0" w:line="287" w:lineRule="auto"/>
        <w:rPr>
          <w:sz w:val="20"/>
          <w:szCs w:val="20"/>
          <w:color w:val="auto"/>
        </w:rPr>
      </w:pPr>
      <w:r>
        <w:rPr>
          <w:rFonts w:ascii="Times New Roman" w:cs="Times New Roman" w:eastAsia="Times New Roman" w:hAnsi="Times New Roman"/>
          <w:sz w:val="14"/>
          <w:szCs w:val="14"/>
          <w:color w:val="auto"/>
        </w:rPr>
        <w:t>funds for general land development activities. Within our farming segment, we intend to make investments as needed to improve efficiency and add capacity to its operations when it is profitable to do so.</w:t>
      </w:r>
    </w:p>
    <w:p>
      <w:pPr>
        <w:spacing w:after="0" w:line="18" w:lineRule="exact"/>
        <w:rPr>
          <w:sz w:val="20"/>
          <w:szCs w:val="20"/>
          <w:color w:val="auto"/>
        </w:rPr>
      </w:pPr>
    </w:p>
    <w:p>
      <w:pPr>
        <w:ind w:right="1820"/>
        <w:spacing w:after="0" w:line="398" w:lineRule="auto"/>
        <w:rPr>
          <w:sz w:val="20"/>
          <w:szCs w:val="20"/>
          <w:color w:val="auto"/>
        </w:rPr>
      </w:pPr>
      <w:r>
        <w:rPr>
          <w:rFonts w:ascii="Times New Roman" w:cs="Times New Roman" w:eastAsia="Times New Roman" w:hAnsi="Times New Roman"/>
          <w:sz w:val="14"/>
          <w:szCs w:val="14"/>
          <w:color w:val="auto"/>
        </w:rPr>
        <w:t>Our cash, cash equivalents and marketable securities totaled $56,242,000 as of March 31, 2022, an increase of $9,064,000 from $47,178,000 as of December 31, 2021. The following table shows our cash flow activities for the three months ended March 31,</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7,984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16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(5,243)</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(11,679)</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three months of 2022, the Company's operations provided $7,984,000 primarily as a result distributions of earnings from unconsolidated joint ventures.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three months of 2021, the Company's operations provided $3,714,000. The primary driver included collection of outstanding receivables.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During the first three months of 2022, investing activities used $5,243,000. The Company made capital expenditures, inclusive of capitalized interest and payroll (exclusive of stock compensation), of $4,432,000, which includes predevelopment activities for our master planned communities; $517,000 consisting of permitting efforts for MV; $156,000 consisting of permitting efforts for Grapevine, and costs related to litigation defense for Centennial of $1,274,000. At TRCC, we spent $642,000 on infrastructure improvements, qualifying costs related to land development and the residential community at TRCC-East. Within our farming segment, we spent $1,673,000 which includes cultural costs for orchards not currently in production and replacing machinery and equipment. Lastly, the Company used $941,000 to acquire water 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three months of 2021, investing activities used $11,679,000. The Company made capital expenditures, inclusive of capitalized interest and payroll (exclusive of stock compensation),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$5,218,000, which includes predevelopment activities for our master planned communities; $1,064,000 consisting of planning and permitting primarily related to the preparation of final maps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Phase 1 of MV; expenditures relating to litigation of $293,000 for Grapevine, and costs related to litigation defense for Centennial of $529,000. At TRCC, we spent $721,000 on water treatment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infrastructure improvements and road improvements tied to the ongoing development of the industrial building currently under construction at TRCC-East. Within our farming segment, we spent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$2,178,000, which includes cultural costs for orchards not currently in production and replacing machinery and equipment. We also invested $5,715,000 in marketable securities. Lastly,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used $1,653,000 to acquire long-term water assets.</w:t>
      </w:r>
    </w:p>
    <w:p>
      <w:pPr>
        <w:spacing w:after="0" w:line="6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estimated capital investment, inclusive of capitalized interest and payroll, for the remainder of 2022 is primarily related to our real estate projects. These estimated investments include approximately $12,074,000 of infrastructure development at TRCC-East to support continued commercial retail and industrial development and to expand water facilities to support future anticipated absorption. We also plan to invest approximately $1,664,000 for cultural costs tied to new almond orchards and vineyards, and to replace farm equipment. The farm investments are part of a long-term farm management program to redevelop declining orchards and vineyards to maintain and improve future farm revenues. Lastly, we expect to invest up to $6,566,000 for land planning, litigation/appeals, federal and state agency permitting activities, and development activities at MV, Centennial, and Grapevine during the remainder of 2022.</w:t>
      </w:r>
    </w:p>
    <w:p>
      <w:pPr>
        <w:spacing w:after="0" w:line="3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three months ended March 31, 2022 and 2021, was $579,000 and $624,000, respectively, and is classified within real estate development. We also capitalized payroll costs related to development, pre-construction, and construction projects which aggregated $719,000 and $519,000 for the three months ended March 31, 2022 and 2021, respectively. Expenditures for repairs and maintenance are expensed as incurred.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three months of 2022, financing activities used $2,231,000, which was attributable to long-term debt service of $1,109,000 and tax payments on vested share grants of $1,122,000.</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three months of 2021, financing activities used $2,032,000, which was attributable to long-term debt service of $1,066,000 and tax payments on vested share grants of $966,000.</w:t>
      </w:r>
    </w:p>
    <w:p>
      <w:pPr>
        <w:spacing w:after="0" w:line="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certain years or periods having different earnings than comparable periods. Based on the Company's experience, the Company believes it will have adequate cash flows, cash balances, and availability on our line of credit (discussed below) over the next twelve months to fund internal operations. As we move forward with the completion of our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41"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We continuously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Capital Structure and Financial Condition</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At March 31, 2022, total capitalization at book value was $514,556,000, consisting of $51,674,000 of debt and $462,882,000 of equity, resulting in a debt-to-total-capitalization ratio of approximately 10.0%.</w:t>
      </w:r>
    </w:p>
    <w:p>
      <w:pPr>
        <w:spacing w:after="0" w:line="1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On October 13, 2014, the Company, as borrower, entered into an Amended and Restated Credit Agreement, a Term Note and a Revolving Line of Credit Note, with Wells Fargo, or collectively the Credit Facility. The Credit Facility added a $70,000,000 term loan, or Term Loan, to the then existing $30,000,000 revolving line of credit, or RLC. In August 2019, the Company amended the Term Note (Amended Term Note) and extended its maturity to June 2029 and amended the RLC to expand the capacity from $30,000,000 to $35,000,000 and extend the maturity to October 5, 2024.</w:t>
      </w:r>
    </w:p>
    <w:p>
      <w:pPr>
        <w:spacing w:after="0" w:line="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Amended Term Note had a $49,790,000 balance as of March 31, 2022. The interest rate per annum applicable to the Amended Term Loan is LIBOR (as defined in the Amended Term Note) plus a margin of 170 basis points. The interest rate for the term of the Amended Term Note has been fixed through the use of an interest rate swap at a rate of 4.16%. The Amended Term Note requires monthly amortization payments pursuant to a schedule set forth in the Amended Term Note, with the final outstanding principal amount due June 5, 2029. The Amended Credit Facility is secured by the Company's farmland and farm assets, which include equipment, crops and crop receivables; the PEF power plant lease and lease site; and related accounts and other rights to payment and inventory.</w:t>
      </w:r>
    </w:p>
    <w:p>
      <w:pPr>
        <w:spacing w:after="0" w:line="10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RLC had no outstanding balance as of March 31, 2022 and December 31, 2021. At the Company’s option, the interest rate on this line of credit can float at 1.50% over a selected LIBOR rate or can be fixed at 1.50% above LIBOR for a fixed rate term. During the term of this RLC (which matures in October 2024), the Company can borrow at any time and partially or wholly repay any outstanding borrowings and then re-borrow, as necessary.</w:t>
      </w:r>
    </w:p>
    <w:p>
      <w:pPr>
        <w:spacing w:after="0" w:line="9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Any future borrowings under the RLC are expected to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40"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The Amended Credit Facility requires compliance with three financial covenants: (a) total liabilities divided by tangible net worth not greater than 0.75 to 1.0 at each quarter end; (b) a debt service coverage ratio not less than 1.25 to 1.00 as of each quarter end on a rolling four quarter basis; and (c) maintain liquid assets equal to or greater than $20,000,000. At March 31, 2022 and December 31, 2021, the Company was in compliance with those financial covenants.</w:t>
      </w:r>
    </w:p>
    <w:p>
      <w:pPr>
        <w:spacing w:after="0" w:line="30"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Amended Credit Facility also contains customary negative covenants that limit the ability of TRC to, among other things, make capital expenditures, incur indebtedness and issue guaranties, consummate certain assets sales, acquisitions or mergers, make investments, pay dividends or repurchase stock, or incur liens on any assets.</w:t>
      </w:r>
    </w:p>
    <w:p>
      <w:pPr>
        <w:spacing w:after="0" w:line="29"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Amended Credit Facility contains customary events of default, including: failure to make required payments; failure to comply with terms of the Amended Credit Facility; bankruptcy and insolvency; and a change in control without consent of bank</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35" w:name="page36"/>
    <w:bookmarkEnd w:id="35"/>
    <w:p>
      <w:pPr>
        <w:spacing w:after="0" w:line="287" w:lineRule="auto"/>
        <w:rPr>
          <w:sz w:val="20"/>
          <w:szCs w:val="20"/>
          <w:color w:val="auto"/>
        </w:rPr>
      </w:pPr>
      <w:r>
        <w:rPr>
          <w:rFonts w:ascii="Times New Roman" w:cs="Times New Roman" w:eastAsia="Times New Roman" w:hAnsi="Times New Roman"/>
          <w:sz w:val="14"/>
          <w:szCs w:val="14"/>
          <w:color w:val="auto"/>
        </w:rPr>
        <w:t>(which consent will not be unreasonably withheld). The Amended Credit Facility contains other customary terms and conditions, including representations and warranties, which are typical for credit facilities of this type.</w:t>
      </w:r>
    </w:p>
    <w:p>
      <w:pPr>
        <w:spacing w:after="0" w:line="1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also has a $4,750,000 promissory note agreement whose principal and interest due monthly began October 1, 2013. The interest rate on this promissory note is 4.25% per annum, with principal and interest payments ending on September 1, 2028. The balance as of March 31, 2022 was $1,884,000.</w:t>
      </w:r>
    </w:p>
    <w:p>
      <w:pPr>
        <w:spacing w:after="0" w:line="2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and the issuance of additional common stock.</w:t>
      </w:r>
    </w:p>
    <w:p>
      <w:pPr>
        <w:spacing w:after="0" w:line="4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May 2019, we filed an updated shelf registration statement on Form S-3, which went effective in May 2019. Under the shelf registration statement, we may offer and sell in the future one or more offerings not to exceed $200,000,000,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3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Although we have a strong liquidity position at March 31, 2022 with $56,242,000 in cash and securities and $35,000,000 available on our RLC to meet any short-term liquidity needs, we have taken steps to maximize positive cash flow, in case a lack of liquidity in the economy limits our access to third party funding by responsibly limiting cash expenditures to the extent practical. See Note 3 (Marketable Securities) and Note 7 (Line of Credit and Long-Term Debt) of the Notes to Unaudited Consolidated Financial Statements for more information.</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Contractual Cash Obligations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contractual cash obligations and commercial commitments as of March 31, 2022, to be paid over the next five years and thereafter:</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4"/>
                <w:szCs w:val="14"/>
                <w:color w:val="auto"/>
              </w:rPr>
              <w:t>Payments Due by Period</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7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One Year or Less</w:t>
            </w:r>
          </w:p>
        </w:tc>
        <w:tc>
          <w:tcPr>
            <w:tcW w:w="22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Years 2-3</w:t>
            </w:r>
          </w:p>
        </w:tc>
        <w:tc>
          <w:tcPr>
            <w:tcW w:w="22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Years 4-5</w:t>
            </w:r>
          </w:p>
        </w:tc>
        <w:tc>
          <w:tcPr>
            <w:tcW w:w="22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Thereafter</w:t>
            </w:r>
          </w:p>
        </w:tc>
      </w:tr>
      <w:tr>
        <w:trPr>
          <w:trHeight w:val="16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Contractual Obligations:</w:t>
            </w: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8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Estimated water payments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215,531</w:t>
            </w:r>
          </w:p>
        </w:tc>
      </w:tr>
      <w:tr>
        <w:trPr>
          <w:trHeight w:val="180"/>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26,874</w:t>
            </w:r>
          </w:p>
        </w:tc>
      </w:tr>
      <w:tr>
        <w:trPr>
          <w:trHeight w:val="18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on long-term debt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w:t>
            </w:r>
          </w:p>
        </w:tc>
      </w:tr>
      <w:tr>
        <w:trPr>
          <w:trHeight w:val="180"/>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contract commitments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r>
      <w:tr>
        <w:trPr>
          <w:trHeight w:val="18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Defined Benefit Plan</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r>
      <w:tr>
        <w:trPr>
          <w:trHeight w:val="180"/>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SERP</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r>
      <w:tr>
        <w:trPr>
          <w:trHeight w:val="18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Financing fees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357,725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24,825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40,899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41,647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250,354</w:t>
            </w:r>
          </w:p>
        </w:tc>
      </w:tr>
      <w:tr>
        <w:trPr>
          <w:trHeight w:val="20"/>
        </w:trPr>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categories above include purchase obligations and other long-term liabilities reflected on our balance sheet under GAAP. We define a “purchase obligation” a “an agreement to purchase goods or services that is enforceable and legally binding on the registrant that specifies all significant terms, including: fixed or minimum quantities to be purchased; fixed, minimum or variable price provisions; and the approximate timing of the transaction.” Based on this definition, the table above includes only those contracts that include fixed or minimum obligations. It does not include normal purchases, which are made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04" w:right="359" w:bottom="1440" w:gutter="0" w:footer="0" w:header="0"/>
        </w:sectPr>
      </w:pPr>
    </w:p>
    <w:bookmarkStart w:id="36" w:name="page37"/>
    <w:bookmarkEnd w:id="36"/>
    <w:p>
      <w:pPr>
        <w:spacing w:after="0" w:line="270" w:lineRule="auto"/>
        <w:rPr>
          <w:sz w:val="20"/>
          <w:szCs w:val="20"/>
          <w:color w:val="auto"/>
        </w:rPr>
      </w:pPr>
      <w:r>
        <w:rPr>
          <w:rFonts w:ascii="Times New Roman" w:cs="Times New Roman" w:eastAsia="Times New Roman" w:hAnsi="Times New Roman"/>
          <w:sz w:val="14"/>
          <w:szCs w:val="14"/>
          <w:color w:val="auto"/>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30"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4"/>
          <w:szCs w:val="14"/>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4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expect to contribute $165,000 to our defined benefit plan in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04"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006EBF"/>
              </w:rPr>
              <w:t>Off-Balance Sheet Arrangements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71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shows contingent obligations we have with respect to certain bonds issued by the CFDs: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4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96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color w:val="auto"/>
              </w:rPr>
              <w:t>Amount of Commitment Expiration Per Period</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171"/>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&lt; 1 year</w:t>
            </w: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2 -3 Years</w:t>
            </w:r>
          </w:p>
        </w:tc>
        <w:tc>
          <w:tcPr>
            <w:tcW w:w="2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4 -5 Years</w:t>
            </w:r>
          </w:p>
        </w:tc>
        <w:tc>
          <w:tcPr>
            <w:tcW w:w="18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After 5 Years</w:t>
            </w:r>
          </w:p>
        </w:tc>
      </w:tr>
      <w:tr>
        <w:trPr>
          <w:trHeight w:val="16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Commercial Commitments:</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8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Standby letter of credit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other commercial commitments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w:t>
      </w:r>
    </w:p>
    <w:p>
      <w:pPr>
        <w:spacing w:after="0" w:line="4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connection with the sale of the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as of March 31, 2022, that the letter of credit will likely never be drawn upon. This letter of credit is for a two-year period and will be renewed in two-year intervals as necessary. The annual cost related to the letter of credit is approximately $68,000. The tax assessment of each individual property sold or leased within each CFD is not determinable at this time because it is based on the current tax rate of the property at the time of sale or at the time it is leased to a third-party. Accordingly, the Company is not required to recognize an obligation as of March 31, 2022.</w:t>
      </w:r>
    </w:p>
    <w:p>
      <w:pPr>
        <w:spacing w:after="0" w:line="4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As of March 31, 2022, aggregate outstanding debt of unconsolidated joint ventures was $148,679,000. We provided a guarantee on $134,022,000 of this debt, relating to our joint ventures with Rockefeller and Majestic. Because of positive cash flow generation within the Rockefeller and Majestic joint ventures, we, as of March 31, 2022, do not expect the guarantee to be called upon. We do not provide a guarantee on the $14,657,000 of debt related to our joint venture with TA/Petro.</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006EBF"/>
        </w:rPr>
        <w:t>Non-GAAP Financial Measures</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EBITDA represents earnings before interest, taxes, depreciation, and amortization, a non-GAAP financial measure, and is used by us and others as a supplemental measure of performance. Adjusted EBITDA is used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09"/>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71"/>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r>
      <w:tr>
        <w:trPr>
          <w:trHeight w:val="180"/>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net</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Consolidated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Our share of interest expense from unconsolidated joint ventures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r>
      <w:tr>
        <w:trPr>
          <w:trHeight w:val="171"/>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net</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Our share of depreciation and amortization from unconsolidated joint ventures</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r>
      <w:tr>
        <w:trPr>
          <w:trHeight w:val="171"/>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2,140</w:t>
            </w:r>
          </w:p>
        </w:tc>
      </w:tr>
      <w:tr>
        <w:trPr>
          <w:trHeight w:val="171"/>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r>
      <w:tr>
        <w:trPr>
          <w:trHeight w:val="18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w:t>
            </w: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29"/>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71"/>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Commercial/Industrial operating income</w:t>
            </w:r>
          </w:p>
        </w:tc>
        <w:tc>
          <w:tcPr>
            <w:tcW w:w="32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Plus: Commercial/Industrial depreciation and amortization</w:t>
            </w:r>
          </w:p>
        </w:tc>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Plus: General, administrative, cost of sales and other expenses</w:t>
            </w:r>
          </w:p>
        </w:tc>
        <w:tc>
          <w:tcPr>
            <w:tcW w:w="3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0" w:type="dxa"/>
            <w:vAlign w:val="bottom"/>
          </w:tcPr>
          <w:p>
            <w:pPr>
              <w:spacing w:after="0"/>
              <w:rPr>
                <w:sz w:val="1"/>
                <w:szCs w:val="1"/>
                <w:color w:val="auto"/>
              </w:rPr>
            </w:pPr>
          </w:p>
        </w:tc>
      </w:tr>
      <w:tr>
        <w:trPr>
          <w:trHeight w:val="180"/>
        </w:trPr>
        <w:tc>
          <w:tcPr>
            <w:tcW w:w="4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Other revenues including land sales</w:t>
            </w:r>
          </w:p>
        </w:tc>
        <w:tc>
          <w:tcPr>
            <w:tcW w:w="32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Commercial/Industrial net operating income</w:t>
            </w:r>
          </w:p>
        </w:tc>
        <w:tc>
          <w:tcPr>
            <w:tcW w:w="32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2089"/>
              <w:spacing w:after="0"/>
              <w:rPr>
                <w:sz w:val="20"/>
                <w:szCs w:val="20"/>
                <w:color w:val="auto"/>
              </w:rPr>
            </w:pPr>
            <w:r>
              <w:rPr>
                <w:rFonts w:ascii="Times New Roman" w:cs="Times New Roman" w:eastAsia="Times New Roman" w:hAnsi="Times New Roman"/>
                <w:sz w:val="14"/>
                <w:szCs w:val="14"/>
                <w:color w:val="auto"/>
              </w:rPr>
              <w:t>39</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6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0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09"/>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71"/>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operating income</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Pastoria Energy Facility</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TRCC</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Communication leases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18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commercial leases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Commercial/Industrial net operating income</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4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09"/>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3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of unconsolidated joint ventures</w:t>
            </w:r>
          </w:p>
        </w:tc>
        <w:tc>
          <w:tcPr>
            <w:tcW w:w="33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 of unconsolidated joint ventures</w:t>
            </w:r>
          </w:p>
        </w:tc>
        <w:tc>
          <w:tcPr>
            <w:tcW w:w="33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of unconsolidated joint ventures</w:t>
            </w:r>
          </w:p>
        </w:tc>
        <w:tc>
          <w:tcPr>
            <w:tcW w:w="3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of unconsolidated joint ventures</w:t>
            </w:r>
          </w:p>
        </w:tc>
        <w:tc>
          <w:tcPr>
            <w:tcW w:w="33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income of unconsolidated joint ventures</w:t>
            </w:r>
          </w:p>
        </w:tc>
        <w:tc>
          <w:tcPr>
            <w:tcW w:w="33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2109"/>
              <w:spacing w:after="0"/>
              <w:rPr>
                <w:sz w:val="20"/>
                <w:szCs w:val="20"/>
                <w:color w:val="auto"/>
              </w:rPr>
            </w:pPr>
            <w:r>
              <w:rPr>
                <w:rFonts w:ascii="Times New Roman" w:cs="Times New Roman" w:eastAsia="Times New Roman" w:hAnsi="Times New Roman"/>
                <w:sz w:val="14"/>
                <w:szCs w:val="14"/>
                <w:color w:val="auto"/>
              </w:rPr>
              <w:t>40</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5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8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3. QUANTITATIVE AND QUALITATIVE DISCLOSURES ABOUT MARKET RISK</w:t>
      </w:r>
    </w:p>
    <w:p>
      <w:pPr>
        <w:spacing w:after="0" w:line="7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Financial Market Risks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exposure to financial market risks includes changes to interest rates and credit risks related to marketable securities, interest rates related to our outstanding indebtedness and trade receivables.</w:t>
      </w:r>
    </w:p>
    <w:p>
      <w:pPr>
        <w:spacing w:after="0" w:line="7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40"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The RLC had no outstanding balance as of March 31, 2022. The interest rate on the RLC can either float at 1.50% over a selected LIBOR rate or can be fixed at 1.50% above LIBOR for a fixed term for a limited period of time and change only at maturity of the fixed rate portion. The floating rate and fixed rate options within our RLC help us manage our interest rate exposure on any outstanding balances.</w:t>
      </w:r>
    </w:p>
    <w:p>
      <w:pPr>
        <w:spacing w:after="0" w:line="4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We are exposed to interest rate risk on our long-term debt. Long-term debt consists of two term loans, one of which has a balance of $49,790,000 as of March 31, 2022 and is tied to LIBOR plus a margin of 1.70%. The interest rate for the term of this loan has been fixed through the use of an interest rate swap that fixed the rate at 4.16%. The outstanding balance on the second term loan as of March 31, 2022 was $1,884,000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34"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40"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following tables provide information about our financial instruments that are sensitive to changes in interest rates. The tables present our debt obligations and marketable securities and their related weighted average interest rates by expected maturity dates.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Sensitivity Financial Market Risks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 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percentage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Thereafter</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$11,851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$7,611</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$19,462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$19,537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0.50%</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1.31%</w:t>
            </w:r>
          </w:p>
        </w:tc>
        <w:tc>
          <w:tcPr>
            <w:tcW w:w="10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0.85%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($4.75M note)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$192</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$265</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$277</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$289</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$302</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(Amended 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$3,174</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$4,429</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$4,624</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$4,825</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$5,038</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$27,700</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$49,790</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$49,790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0"/>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Interest Rate Sensitivity Financial Market Risks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At December 31,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percentage data)</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100" w:type="dxa"/>
            <w:vAlign w:val="bottom"/>
          </w:tcPr>
          <w:p>
            <w:pPr>
              <w:spacing w:after="0"/>
              <w:rPr>
                <w:sz w:val="16"/>
                <w:szCs w:val="16"/>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Thereafter</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$9,834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$10,590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$10,983</w:t>
            </w:r>
          </w:p>
        </w:tc>
        <w:tc>
          <w:tcPr>
            <w:tcW w:w="0" w:type="dxa"/>
            <w:vAlign w:val="bottom"/>
          </w:tcPr>
          <w:p>
            <w:pPr>
              <w:spacing w:after="0"/>
              <w:rPr>
                <w:sz w:val="1"/>
                <w:szCs w:val="1"/>
                <w:color w:val="auto"/>
              </w:rPr>
            </w:pPr>
          </w:p>
        </w:tc>
      </w:tr>
      <w:tr>
        <w:trPr>
          <w:trHeight w:val="180"/>
        </w:trPr>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0.20%</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0.20%</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($4.75M note)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$254</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$277</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$289</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$302</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$560</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$1,947</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$1,947</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($70.0M note)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$4,221</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$4,429</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$4,624</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$4,825</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$5,038</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$27,700</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$50,837</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$50,837</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Commodity Price Exposure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Farming inventories and accounts receivables are exposed to adverse price fluctuations. Farming inventories consists of farming cultural and processing costs associated with crop production.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Farming inventory costs are recorded as incurred. Historically, these costs have been recovered through crop sales occurring after harvest.</w:t>
      </w:r>
    </w:p>
    <w:p>
      <w:pPr>
        <w:spacing w:after="0" w:line="6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With respect to accounts receivables, the amount at risk primarily relates to farm crops. These receivables are recorded as estimates of the prices that ultimately will be received for the crops. The final price is generally not known for several months following the close of our fiscal year. Of the $3,275,000 of accounts receivable outstanding at March 31, 2022, $1,505,106, or 46%, pertains to pistachio sales receivables that are at risk to changing prices.</w:t>
      </w:r>
    </w:p>
    <w:p>
      <w:pPr>
        <w:spacing w:after="0" w:line="4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price estimated for the remaining accounts receivable for pistachios recorded at March 31, 2022 was $2.14 per pound and compared to $2.04 at December 31, 2021 levels. For each $0.01 change in the price per pound of pistachios, our receivable for pistachios increases or decreases by $7,000. Although the final price per pound of pistachios, and therefore the extent of the risk is presently unknown, pricing over the past three years has ranged from $1.98 to $2.14.</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4. CONTROLS AND PROCEDURES</w:t>
      </w:r>
    </w:p>
    <w:p>
      <w:pPr>
        <w:spacing w:after="0" w:line="96" w:lineRule="exact"/>
        <w:rPr>
          <w:sz w:val="20"/>
          <w:szCs w:val="20"/>
          <w:color w:val="auto"/>
        </w:rPr>
      </w:pPr>
    </w:p>
    <w:p>
      <w:pPr>
        <w:ind w:left="440" w:hanging="435"/>
        <w:spacing w:after="0"/>
        <w:tabs>
          <w:tab w:leader="none" w:pos="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Evaluation of Disclosure Controls and Procedures</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At the end of the period covered by this report,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61" w:lineRule="exact"/>
        <w:rPr>
          <w:sz w:val="20"/>
          <w:szCs w:val="20"/>
          <w:color w:val="auto"/>
        </w:rPr>
      </w:pPr>
    </w:p>
    <w:p>
      <w:pPr>
        <w:ind w:left="440" w:hanging="435"/>
        <w:spacing w:after="0"/>
        <w:tabs>
          <w:tab w:leader="none" w:pos="4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Internal Control Over Financial Reporting</w:t>
      </w:r>
    </w:p>
    <w:p>
      <w:pPr>
        <w:spacing w:after="0" w:line="13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6EBF"/>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1. Legal Proceedings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Note 12 (Commitments and Contingencies) in the Notes to Unaudited Consolidated Financial Statements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1A. Risk Factors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the risk factors previously disclosed in Part I, Item 1A in our most recent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2. Unregistered Sales of Equity Securities and Use of Proceeds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3. Defaults Upon Senior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4. Mine Safety Disclosures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5. Other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006EBF"/>
                <w:w w:val="98"/>
              </w:rPr>
              <w:t>Item 6. Exhibits:</w:t>
            </w:r>
          </w:p>
        </w:tc>
        <w:tc>
          <w:tcPr>
            <w:tcW w:w="89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1000" w:type="dxa"/>
            <w:vAlign w:val="bottom"/>
            <w:tcBorders>
              <w:top w:val="single" w:sz="8" w:color="006EBF"/>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6"/>
                <w:szCs w:val="16"/>
                <w:color w:val="auto"/>
              </w:rPr>
            </w:pPr>
          </w:p>
        </w:tc>
        <w:tc>
          <w:tcPr>
            <w:tcW w:w="8900" w:type="dxa"/>
            <w:vAlign w:val="bottom"/>
          </w:tcPr>
          <w:p>
            <w:pPr>
              <w:ind w:left="60"/>
              <w:spacing w:after="0"/>
              <w:rPr>
                <w:rFonts w:ascii="Times New Roman" w:cs="Times New Roman" w:eastAsia="Times New Roman" w:hAnsi="Times New Roman"/>
                <w:sz w:val="14"/>
                <w:szCs w:val="14"/>
                <w:color w:val="auto"/>
              </w:rPr>
            </w:pPr>
            <w:hyperlink r:id="rId64">
              <w:r>
                <w:rPr>
                  <w:rFonts w:ascii="Times New Roman" w:cs="Times New Roman" w:eastAsia="Times New Roman" w:hAnsi="Times New Roman"/>
                  <w:sz w:val="14"/>
                  <w:szCs w:val="14"/>
                  <w:color w:val="auto"/>
                </w:rPr>
                <w:t>Restated Certificate of Incorporation</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w:t>
            </w:r>
          </w:p>
        </w:tc>
      </w:tr>
      <w:tr>
        <w:trPr>
          <w:trHeight w:val="180"/>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5"/>
                <w:szCs w:val="15"/>
                <w:color w:val="auto"/>
              </w:rPr>
            </w:pPr>
          </w:p>
        </w:tc>
        <w:tc>
          <w:tcPr>
            <w:tcW w:w="8900" w:type="dxa"/>
            <w:vAlign w:val="bottom"/>
          </w:tcPr>
          <w:p>
            <w:pPr>
              <w:ind w:left="60"/>
              <w:spacing w:after="0"/>
              <w:rPr>
                <w:rFonts w:ascii="Times New Roman" w:cs="Times New Roman" w:eastAsia="Times New Roman" w:hAnsi="Times New Roman"/>
                <w:sz w:val="14"/>
                <w:szCs w:val="14"/>
                <w:color w:val="auto"/>
              </w:rPr>
            </w:pPr>
            <w:hyperlink r:id="rId65">
              <w:r>
                <w:rPr>
                  <w:rFonts w:ascii="Times New Roman" w:cs="Times New Roman" w:eastAsia="Times New Roman" w:hAnsi="Times New Roman"/>
                  <w:sz w:val="14"/>
                  <w:szCs w:val="14"/>
                  <w:color w:val="auto"/>
                </w:rPr>
                <w:t>Amended and Restated Bylaws</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w:t>
            </w:r>
          </w:p>
        </w:tc>
      </w:tr>
      <w:tr>
        <w:trPr>
          <w:trHeight w:val="180"/>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5"/>
                <w:szCs w:val="15"/>
                <w:color w:val="auto"/>
              </w:rPr>
            </w:pPr>
          </w:p>
        </w:tc>
        <w:tc>
          <w:tcPr>
            <w:tcW w:w="8900" w:type="dxa"/>
            <w:vAlign w:val="bottom"/>
          </w:tcPr>
          <w:p>
            <w:pPr>
              <w:ind w:left="60"/>
              <w:spacing w:after="0"/>
              <w:rPr>
                <w:rFonts w:ascii="Times New Roman" w:cs="Times New Roman" w:eastAsia="Times New Roman" w:hAnsi="Times New Roman"/>
                <w:sz w:val="14"/>
                <w:szCs w:val="14"/>
                <w:color w:val="auto"/>
              </w:rPr>
            </w:pPr>
            <w:hyperlink r:id="rId66">
              <w:r>
                <w:rPr>
                  <w:rFonts w:ascii="Times New Roman" w:cs="Times New Roman" w:eastAsia="Times New Roman" w:hAnsi="Times New Roman"/>
                  <w:sz w:val="14"/>
                  <w:szCs w:val="14"/>
                  <w:color w:val="auto"/>
                </w:rPr>
                <w:t>Registration and Reimbursement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5</w:t>
            </w:r>
          </w:p>
        </w:tc>
      </w:tr>
      <w:tr>
        <w:trPr>
          <w:trHeight w:val="180"/>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5"/>
                <w:szCs w:val="15"/>
                <w:color w:val="auto"/>
              </w:rPr>
            </w:pPr>
          </w:p>
        </w:tc>
        <w:tc>
          <w:tcPr>
            <w:tcW w:w="8900" w:type="dxa"/>
            <w:vAlign w:val="bottom"/>
          </w:tcPr>
          <w:p>
            <w:pPr>
              <w:ind w:left="60"/>
              <w:spacing w:after="0"/>
              <w:rPr>
                <w:rFonts w:ascii="Times New Roman" w:cs="Times New Roman" w:eastAsia="Times New Roman" w:hAnsi="Times New Roman"/>
                <w:sz w:val="14"/>
                <w:szCs w:val="14"/>
                <w:color w:val="auto"/>
              </w:rPr>
            </w:pPr>
            <w:hyperlink r:id="rId67">
              <w:r>
                <w:rPr>
                  <w:rFonts w:ascii="Times New Roman" w:cs="Times New Roman" w:eastAsia="Times New Roman" w:hAnsi="Times New Roman"/>
                  <w:sz w:val="14"/>
                  <w:szCs w:val="14"/>
                  <w:color w:val="auto"/>
                </w:rPr>
                <w:t>Form of Indenture for Debt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37</w:t>
            </w:r>
          </w:p>
        </w:tc>
      </w:tr>
      <w:tr>
        <w:trPr>
          <w:trHeight w:val="142"/>
        </w:trPr>
        <w:tc>
          <w:tcPr>
            <w:tcW w:w="11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89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Water Service Contract with Wheeler Ridge-Maricopa Water Storage District (without exhibits), amendments originally filed under Item 11 to</w:t>
            </w:r>
          </w:p>
        </w:tc>
        <w:tc>
          <w:tcPr>
            <w:tcW w:w="1200" w:type="dxa"/>
            <w:vAlign w:val="bottom"/>
          </w:tcPr>
          <w:p>
            <w:pPr>
              <w:spacing w:after="0"/>
              <w:rPr>
                <w:sz w:val="12"/>
                <w:szCs w:val="12"/>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Registrant's Annual Report on Form 10-K</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6</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10.7</w:t>
            </w:r>
          </w:p>
        </w:tc>
        <w:tc>
          <w:tcPr>
            <w:tcW w:w="8900" w:type="dxa"/>
            <w:vAlign w:val="bottom"/>
          </w:tcPr>
          <w:p>
            <w:pPr>
              <w:ind w:left="60"/>
              <w:spacing w:after="0"/>
              <w:rPr>
                <w:rFonts w:ascii="Times New Roman" w:cs="Times New Roman" w:eastAsia="Times New Roman" w:hAnsi="Times New Roman"/>
                <w:sz w:val="14"/>
                <w:szCs w:val="14"/>
                <w:color w:val="auto"/>
              </w:rPr>
            </w:pPr>
            <w:hyperlink r:id="rId68">
              <w:r>
                <w:rPr>
                  <w:rFonts w:ascii="Times New Roman" w:cs="Times New Roman" w:eastAsia="Times New Roman" w:hAnsi="Times New Roman"/>
                  <w:sz w:val="14"/>
                  <w:szCs w:val="14"/>
                  <w:color w:val="auto"/>
                </w:rPr>
                <w:t>*Severance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8900" w:type="dxa"/>
            <w:vAlign w:val="bottom"/>
          </w:tcPr>
          <w:p>
            <w:pPr>
              <w:ind w:left="60"/>
              <w:spacing w:after="0"/>
              <w:rPr>
                <w:rFonts w:ascii="Times New Roman" w:cs="Times New Roman" w:eastAsia="Times New Roman" w:hAnsi="Times New Roman"/>
                <w:sz w:val="14"/>
                <w:szCs w:val="14"/>
                <w:color w:val="auto"/>
              </w:rPr>
            </w:pPr>
            <w:hyperlink r:id="rId68">
              <w:r>
                <w:rPr>
                  <w:rFonts w:ascii="Times New Roman" w:cs="Times New Roman" w:eastAsia="Times New Roman" w:hAnsi="Times New Roman"/>
                  <w:sz w:val="14"/>
                  <w:szCs w:val="14"/>
                  <w:color w:val="auto"/>
                </w:rPr>
                <w:t>*Director Compensation Plan</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4"/>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10.9</w:t>
            </w:r>
          </w:p>
        </w:tc>
        <w:tc>
          <w:tcPr>
            <w:tcW w:w="8900" w:type="dxa"/>
            <w:vAlign w:val="bottom"/>
          </w:tcPr>
          <w:p>
            <w:pPr>
              <w:ind w:left="60"/>
              <w:spacing w:after="0"/>
              <w:rPr>
                <w:rFonts w:ascii="Times New Roman" w:cs="Times New Roman" w:eastAsia="Times New Roman" w:hAnsi="Times New Roman"/>
                <w:sz w:val="14"/>
                <w:szCs w:val="14"/>
                <w:color w:val="auto"/>
              </w:rPr>
            </w:pPr>
            <w:hyperlink r:id="rId69">
              <w:r>
                <w:rPr>
                  <w:rFonts w:ascii="Times New Roman" w:cs="Times New Roman" w:eastAsia="Times New Roman" w:hAnsi="Times New Roman"/>
                  <w:sz w:val="14"/>
                  <w:szCs w:val="14"/>
                  <w:color w:val="auto"/>
                </w:rPr>
                <w:t>*Amended and Restated Non-Employee Director Stock Incentive Plan</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8</w:t>
            </w:r>
          </w:p>
        </w:tc>
      </w:tr>
      <w:tr>
        <w:trPr>
          <w:trHeight w:val="272"/>
        </w:trPr>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10.9(1)</w:t>
            </w:r>
          </w:p>
        </w:tc>
        <w:tc>
          <w:tcPr>
            <w:tcW w:w="8900" w:type="dxa"/>
            <w:vAlign w:val="bottom"/>
          </w:tcPr>
          <w:p>
            <w:pPr>
              <w:ind w:left="60"/>
              <w:spacing w:after="0"/>
              <w:rPr>
                <w:rFonts w:ascii="Times New Roman" w:cs="Times New Roman" w:eastAsia="Times New Roman" w:hAnsi="Times New Roman"/>
                <w:sz w:val="14"/>
                <w:szCs w:val="14"/>
                <w:color w:val="auto"/>
              </w:rPr>
            </w:pPr>
            <w:hyperlink r:id="rId68">
              <w:r>
                <w:rPr>
                  <w:rFonts w:ascii="Times New Roman" w:cs="Times New Roman" w:eastAsia="Times New Roman" w:hAnsi="Times New Roman"/>
                  <w:sz w:val="14"/>
                  <w:szCs w:val="14"/>
                  <w:color w:val="auto"/>
                </w:rPr>
                <w:t>*Stock Option Agreement Pursuant to the Non-Employee Director Stock Incentive Plan</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10.10</w:t>
            </w:r>
          </w:p>
        </w:tc>
        <w:tc>
          <w:tcPr>
            <w:tcW w:w="8900" w:type="dxa"/>
            <w:vAlign w:val="bottom"/>
          </w:tcPr>
          <w:p>
            <w:pPr>
              <w:ind w:left="60"/>
              <w:spacing w:after="0"/>
              <w:rPr>
                <w:rFonts w:ascii="Times New Roman" w:cs="Times New Roman" w:eastAsia="Times New Roman" w:hAnsi="Times New Roman"/>
                <w:sz w:val="14"/>
                <w:szCs w:val="14"/>
                <w:color w:val="auto"/>
              </w:rPr>
            </w:pPr>
            <w:hyperlink r:id="rId70">
              <w:r>
                <w:rPr>
                  <w:rFonts w:ascii="Times New Roman" w:cs="Times New Roman" w:eastAsia="Times New Roman" w:hAnsi="Times New Roman"/>
                  <w:sz w:val="14"/>
                  <w:szCs w:val="14"/>
                  <w:color w:val="auto"/>
                </w:rPr>
                <w:t>*Amended and Restated 1998 Stock Incentive Plan</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9</w:t>
            </w:r>
          </w:p>
        </w:tc>
      </w:tr>
      <w:tr>
        <w:trPr>
          <w:trHeight w:val="180"/>
        </w:trPr>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10.10(1)</w:t>
            </w:r>
          </w:p>
        </w:tc>
        <w:tc>
          <w:tcPr>
            <w:tcW w:w="8900" w:type="dxa"/>
            <w:vAlign w:val="bottom"/>
          </w:tcPr>
          <w:p>
            <w:pPr>
              <w:ind w:left="60"/>
              <w:spacing w:after="0"/>
              <w:rPr>
                <w:rFonts w:ascii="Times New Roman" w:cs="Times New Roman" w:eastAsia="Times New Roman" w:hAnsi="Times New Roman"/>
                <w:sz w:val="14"/>
                <w:szCs w:val="14"/>
                <w:color w:val="auto"/>
              </w:rPr>
            </w:pPr>
            <w:hyperlink r:id="rId68">
              <w:r>
                <w:rPr>
                  <w:rFonts w:ascii="Times New Roman" w:cs="Times New Roman" w:eastAsia="Times New Roman" w:hAnsi="Times New Roman"/>
                  <w:sz w:val="14"/>
                  <w:szCs w:val="14"/>
                  <w:color w:val="auto"/>
                </w:rPr>
                <w:t>*Stock Option Agreement Pursuant to the 1998 Stock Incentive Plan</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10.12</w:t>
            </w:r>
          </w:p>
        </w:tc>
        <w:tc>
          <w:tcPr>
            <w:tcW w:w="8900" w:type="dxa"/>
            <w:vAlign w:val="bottom"/>
          </w:tcPr>
          <w:p>
            <w:pPr>
              <w:ind w:left="60"/>
              <w:spacing w:after="0"/>
              <w:rPr>
                <w:rFonts w:ascii="Times New Roman" w:cs="Times New Roman" w:eastAsia="Times New Roman" w:hAnsi="Times New Roman"/>
                <w:sz w:val="14"/>
                <w:szCs w:val="14"/>
                <w:color w:val="auto"/>
              </w:rPr>
            </w:pPr>
            <w:hyperlink r:id="rId71">
              <w:r>
                <w:rPr>
                  <w:rFonts w:ascii="Times New Roman" w:cs="Times New Roman" w:eastAsia="Times New Roman" w:hAnsi="Times New Roman"/>
                  <w:sz w:val="14"/>
                  <w:szCs w:val="14"/>
                  <w:color w:val="auto"/>
                </w:rPr>
                <w:t>Ground Lease with Pastoria Energy Facility L.L.C.</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10</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10.15</w:t>
            </w:r>
          </w:p>
        </w:tc>
        <w:tc>
          <w:tcPr>
            <w:tcW w:w="8900" w:type="dxa"/>
            <w:vAlign w:val="bottom"/>
          </w:tcPr>
          <w:p>
            <w:pPr>
              <w:ind w:left="60"/>
              <w:spacing w:after="0"/>
              <w:rPr>
                <w:rFonts w:ascii="Times New Roman" w:cs="Times New Roman" w:eastAsia="Times New Roman" w:hAnsi="Times New Roman"/>
                <w:sz w:val="14"/>
                <w:szCs w:val="14"/>
                <w:color w:val="auto"/>
              </w:rPr>
            </w:pPr>
            <w:hyperlink r:id="rId72">
              <w:r>
                <w:rPr>
                  <w:rFonts w:ascii="Times New Roman" w:cs="Times New Roman" w:eastAsia="Times New Roman" w:hAnsi="Times New Roman"/>
                  <w:sz w:val="14"/>
                  <w:szCs w:val="14"/>
                  <w:color w:val="auto"/>
                </w:rPr>
                <w:t>Form of Securities Purchase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11</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10.16</w:t>
            </w:r>
          </w:p>
        </w:tc>
        <w:tc>
          <w:tcPr>
            <w:tcW w:w="8900" w:type="dxa"/>
            <w:vAlign w:val="bottom"/>
          </w:tcPr>
          <w:p>
            <w:pPr>
              <w:ind w:left="60"/>
              <w:spacing w:after="0"/>
              <w:rPr>
                <w:rFonts w:ascii="Times New Roman" w:cs="Times New Roman" w:eastAsia="Times New Roman" w:hAnsi="Times New Roman"/>
                <w:sz w:val="14"/>
                <w:szCs w:val="14"/>
                <w:color w:val="auto"/>
              </w:rPr>
            </w:pPr>
            <w:hyperlink r:id="rId73">
              <w:r>
                <w:rPr>
                  <w:rFonts w:ascii="Times New Roman" w:cs="Times New Roman" w:eastAsia="Times New Roman" w:hAnsi="Times New Roman"/>
                  <w:sz w:val="14"/>
                  <w:szCs w:val="14"/>
                  <w:color w:val="auto"/>
                </w:rPr>
                <w:t>Form of Registration Rights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12</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10.17</w:t>
            </w:r>
          </w:p>
        </w:tc>
        <w:tc>
          <w:tcPr>
            <w:tcW w:w="8900" w:type="dxa"/>
            <w:vAlign w:val="bottom"/>
          </w:tcPr>
          <w:p>
            <w:pPr>
              <w:ind w:left="60"/>
              <w:spacing w:after="0"/>
              <w:rPr>
                <w:rFonts w:ascii="Times New Roman" w:cs="Times New Roman" w:eastAsia="Times New Roman" w:hAnsi="Times New Roman"/>
                <w:sz w:val="14"/>
                <w:szCs w:val="14"/>
                <w:color w:val="auto"/>
              </w:rPr>
            </w:pPr>
            <w:hyperlink r:id="rId74">
              <w:r>
                <w:rPr>
                  <w:rFonts w:ascii="Times New Roman" w:cs="Times New Roman" w:eastAsia="Times New Roman" w:hAnsi="Times New Roman"/>
                  <w:sz w:val="14"/>
                  <w:szCs w:val="14"/>
                  <w:color w:val="auto"/>
                </w:rPr>
                <w:t>*2004 Stock Incentive Program</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10.18</w:t>
            </w:r>
          </w:p>
        </w:tc>
        <w:tc>
          <w:tcPr>
            <w:tcW w:w="8900" w:type="dxa"/>
            <w:vAlign w:val="bottom"/>
          </w:tcPr>
          <w:p>
            <w:pPr>
              <w:ind w:left="60"/>
              <w:spacing w:after="0"/>
              <w:rPr>
                <w:rFonts w:ascii="Times New Roman" w:cs="Times New Roman" w:eastAsia="Times New Roman" w:hAnsi="Times New Roman"/>
                <w:sz w:val="14"/>
                <w:szCs w:val="14"/>
                <w:color w:val="auto"/>
              </w:rPr>
            </w:pPr>
            <w:hyperlink r:id="rId75">
              <w:r>
                <w:rPr>
                  <w:rFonts w:ascii="Times New Roman" w:cs="Times New Roman" w:eastAsia="Times New Roman" w:hAnsi="Times New Roman"/>
                  <w:sz w:val="14"/>
                  <w:szCs w:val="14"/>
                  <w:color w:val="auto"/>
                </w:rPr>
                <w:t>*Form of Restricted Stock Agreement for Directors</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10.19</w:t>
            </w:r>
          </w:p>
        </w:tc>
        <w:tc>
          <w:tcPr>
            <w:tcW w:w="8900" w:type="dxa"/>
            <w:vAlign w:val="bottom"/>
          </w:tcPr>
          <w:p>
            <w:pPr>
              <w:ind w:left="60"/>
              <w:spacing w:after="0"/>
              <w:rPr>
                <w:rFonts w:ascii="Times New Roman" w:cs="Times New Roman" w:eastAsia="Times New Roman" w:hAnsi="Times New Roman"/>
                <w:sz w:val="14"/>
                <w:szCs w:val="14"/>
                <w:color w:val="auto"/>
              </w:rPr>
            </w:pPr>
            <w:hyperlink r:id="rId76">
              <w:r>
                <w:rPr>
                  <w:rFonts w:ascii="Times New Roman" w:cs="Times New Roman" w:eastAsia="Times New Roman" w:hAnsi="Times New Roman"/>
                  <w:sz w:val="14"/>
                  <w:szCs w:val="14"/>
                  <w:color w:val="auto"/>
                </w:rPr>
                <w:t>*Form of Restricted Stock Unit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10.23</w:t>
            </w:r>
          </w:p>
        </w:tc>
        <w:tc>
          <w:tcPr>
            <w:tcW w:w="8900" w:type="dxa"/>
            <w:vAlign w:val="bottom"/>
          </w:tcPr>
          <w:p>
            <w:pPr>
              <w:ind w:left="60"/>
              <w:spacing w:after="0"/>
              <w:rPr>
                <w:rFonts w:ascii="Times New Roman" w:cs="Times New Roman" w:eastAsia="Times New Roman" w:hAnsi="Times New Roman"/>
                <w:sz w:val="14"/>
                <w:szCs w:val="14"/>
                <w:color w:val="auto"/>
              </w:rPr>
            </w:pPr>
            <w:hyperlink r:id="rId77">
              <w:r>
                <w:rPr>
                  <w:rFonts w:ascii="Times New Roman" w:cs="Times New Roman" w:eastAsia="Times New Roman" w:hAnsi="Times New Roman"/>
                  <w:sz w:val="14"/>
                  <w:szCs w:val="14"/>
                  <w:color w:val="auto"/>
                </w:rPr>
                <w:t>Limited Liability Company Agreement of Tejon Mountain Village LLC</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14</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10.24</w:t>
            </w:r>
          </w:p>
        </w:tc>
        <w:tc>
          <w:tcPr>
            <w:tcW w:w="8900" w:type="dxa"/>
            <w:vAlign w:val="bottom"/>
          </w:tcPr>
          <w:p>
            <w:pPr>
              <w:ind w:left="60"/>
              <w:spacing w:after="0"/>
              <w:rPr>
                <w:rFonts w:ascii="Times New Roman" w:cs="Times New Roman" w:eastAsia="Times New Roman" w:hAnsi="Times New Roman"/>
                <w:sz w:val="14"/>
                <w:szCs w:val="14"/>
                <w:color w:val="auto"/>
              </w:rPr>
            </w:pPr>
            <w:hyperlink r:id="rId78">
              <w:r>
                <w:rPr>
                  <w:rFonts w:ascii="Times New Roman" w:cs="Times New Roman" w:eastAsia="Times New Roman" w:hAnsi="Times New Roman"/>
                  <w:sz w:val="14"/>
                  <w:szCs w:val="14"/>
                  <w:color w:val="auto"/>
                </w:rPr>
                <w:t>Tejon Ranch Conservation and Land Use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15</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10.25</w:t>
            </w:r>
          </w:p>
        </w:tc>
        <w:tc>
          <w:tcPr>
            <w:tcW w:w="8900" w:type="dxa"/>
            <w:vAlign w:val="bottom"/>
          </w:tcPr>
          <w:p>
            <w:pPr>
              <w:ind w:left="60"/>
              <w:spacing w:after="0"/>
              <w:rPr>
                <w:rFonts w:ascii="Times New Roman" w:cs="Times New Roman" w:eastAsia="Times New Roman" w:hAnsi="Times New Roman"/>
                <w:sz w:val="14"/>
                <w:szCs w:val="14"/>
                <w:color w:val="auto"/>
              </w:rPr>
            </w:pPr>
            <w:hyperlink r:id="rId79">
              <w:r>
                <w:rPr>
                  <w:rFonts w:ascii="Times New Roman" w:cs="Times New Roman" w:eastAsia="Times New Roman" w:hAnsi="Times New Roman"/>
                  <w:sz w:val="14"/>
                  <w:szCs w:val="14"/>
                  <w:color w:val="auto"/>
                </w:rPr>
                <w:t>Second Amended and Restated Limited Liability Agreement of Centennial Founders, LLC</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16</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10.26</w:t>
            </w:r>
          </w:p>
        </w:tc>
        <w:tc>
          <w:tcPr>
            <w:tcW w:w="8900" w:type="dxa"/>
            <w:vAlign w:val="bottom"/>
          </w:tcPr>
          <w:p>
            <w:pPr>
              <w:ind w:left="60"/>
              <w:spacing w:after="0"/>
              <w:rPr>
                <w:rFonts w:ascii="Times New Roman" w:cs="Times New Roman" w:eastAsia="Times New Roman" w:hAnsi="Times New Roman"/>
                <w:sz w:val="14"/>
                <w:szCs w:val="14"/>
                <w:color w:val="auto"/>
              </w:rPr>
            </w:pPr>
            <w:hyperlink r:id="rId80">
              <w:r>
                <w:rPr>
                  <w:rFonts w:ascii="Times New Roman" w:cs="Times New Roman" w:eastAsia="Times New Roman" w:hAnsi="Times New Roman"/>
                  <w:sz w:val="14"/>
                  <w:szCs w:val="14"/>
                  <w:color w:val="auto"/>
                </w:rPr>
                <w:t>*Executive Employment Agreement - Allen E. Lyda</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17</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10.27</w:t>
            </w:r>
          </w:p>
        </w:tc>
        <w:tc>
          <w:tcPr>
            <w:tcW w:w="8900" w:type="dxa"/>
            <w:vAlign w:val="bottom"/>
          </w:tcPr>
          <w:p>
            <w:pPr>
              <w:ind w:left="60"/>
              <w:spacing w:after="0"/>
              <w:rPr>
                <w:rFonts w:ascii="Times New Roman" w:cs="Times New Roman" w:eastAsia="Times New Roman" w:hAnsi="Times New Roman"/>
                <w:sz w:val="14"/>
                <w:szCs w:val="14"/>
                <w:color w:val="auto"/>
              </w:rPr>
            </w:pPr>
            <w:hyperlink r:id="rId81">
              <w:r>
                <w:rPr>
                  <w:rFonts w:ascii="Times New Roman" w:cs="Times New Roman" w:eastAsia="Times New Roman" w:hAnsi="Times New Roman"/>
                  <w:sz w:val="14"/>
                  <w:szCs w:val="14"/>
                  <w:color w:val="auto"/>
                </w:rPr>
                <w:t>Limited Liability Company Agreement of TRCC/Rock Outlet Center LLC</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18</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10.28</w:t>
            </w:r>
          </w:p>
        </w:tc>
        <w:tc>
          <w:tcPr>
            <w:tcW w:w="8900" w:type="dxa"/>
            <w:vAlign w:val="bottom"/>
          </w:tcPr>
          <w:p>
            <w:pPr>
              <w:ind w:left="60"/>
              <w:spacing w:after="0"/>
              <w:rPr>
                <w:rFonts w:ascii="Times New Roman" w:cs="Times New Roman" w:eastAsia="Times New Roman" w:hAnsi="Times New Roman"/>
                <w:sz w:val="14"/>
                <w:szCs w:val="14"/>
                <w:color w:val="auto"/>
              </w:rPr>
            </w:pPr>
            <w:hyperlink r:id="rId82">
              <w:r>
                <w:rPr>
                  <w:rFonts w:ascii="Times New Roman" w:cs="Times New Roman" w:eastAsia="Times New Roman" w:hAnsi="Times New Roman"/>
                  <w:sz w:val="14"/>
                  <w:szCs w:val="14"/>
                  <w:color w:val="auto"/>
                </w:rPr>
                <w:t>Warrant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19</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10.29</w:t>
            </w:r>
          </w:p>
        </w:tc>
        <w:tc>
          <w:tcPr>
            <w:tcW w:w="8900" w:type="dxa"/>
            <w:vAlign w:val="bottom"/>
          </w:tcPr>
          <w:p>
            <w:pPr>
              <w:ind w:left="60"/>
              <w:spacing w:after="0"/>
              <w:rPr>
                <w:rFonts w:ascii="Times New Roman" w:cs="Times New Roman" w:eastAsia="Times New Roman" w:hAnsi="Times New Roman"/>
                <w:sz w:val="14"/>
                <w:szCs w:val="14"/>
                <w:color w:val="auto"/>
              </w:rPr>
            </w:pPr>
            <w:hyperlink r:id="rId83">
              <w:r>
                <w:rPr>
                  <w:rFonts w:ascii="Times New Roman" w:cs="Times New Roman" w:eastAsia="Times New Roman" w:hAnsi="Times New Roman"/>
                  <w:sz w:val="14"/>
                  <w:szCs w:val="14"/>
                  <w:color w:val="auto"/>
                </w:rPr>
                <w:t>Amendments to Limited Liability Company Agreement of Tejon Mountain Village LLC</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20</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10.30</w:t>
            </w:r>
          </w:p>
        </w:tc>
        <w:tc>
          <w:tcPr>
            <w:tcW w:w="8900" w:type="dxa"/>
            <w:vAlign w:val="bottom"/>
          </w:tcPr>
          <w:p>
            <w:pPr>
              <w:ind w:left="60"/>
              <w:spacing w:after="0"/>
              <w:rPr>
                <w:rFonts w:ascii="Times New Roman" w:cs="Times New Roman" w:eastAsia="Times New Roman" w:hAnsi="Times New Roman"/>
                <w:sz w:val="14"/>
                <w:szCs w:val="14"/>
                <w:color w:val="auto"/>
              </w:rPr>
            </w:pPr>
            <w:hyperlink r:id="rId84">
              <w:r>
                <w:rPr>
                  <w:rFonts w:ascii="Times New Roman" w:cs="Times New Roman" w:eastAsia="Times New Roman" w:hAnsi="Times New Roman"/>
                  <w:sz w:val="14"/>
                  <w:szCs w:val="14"/>
                  <w:color w:val="auto"/>
                </w:rPr>
                <w:t>Membership Interest Purchase Agreement - Tejon Mountain Village LLC</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21</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10.31</w:t>
            </w:r>
          </w:p>
        </w:tc>
        <w:tc>
          <w:tcPr>
            <w:tcW w:w="8900" w:type="dxa"/>
            <w:vAlign w:val="bottom"/>
          </w:tcPr>
          <w:p>
            <w:pPr>
              <w:ind w:left="60"/>
              <w:spacing w:after="0"/>
              <w:rPr>
                <w:rFonts w:ascii="Times New Roman" w:cs="Times New Roman" w:eastAsia="Times New Roman" w:hAnsi="Times New Roman"/>
                <w:sz w:val="14"/>
                <w:szCs w:val="14"/>
                <w:color w:val="auto"/>
              </w:rPr>
            </w:pPr>
            <w:hyperlink r:id="rId85">
              <w:r>
                <w:rPr>
                  <w:rFonts w:ascii="Times New Roman" w:cs="Times New Roman" w:eastAsia="Times New Roman" w:hAnsi="Times New Roman"/>
                  <w:sz w:val="14"/>
                  <w:szCs w:val="14"/>
                  <w:color w:val="auto"/>
                </w:rPr>
                <w:t>Amended and Restated Credit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22</w:t>
            </w:r>
          </w:p>
        </w:tc>
      </w:tr>
      <w:tr>
        <w:trPr>
          <w:trHeight w:val="184"/>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10.32</w:t>
            </w:r>
          </w:p>
        </w:tc>
        <w:tc>
          <w:tcPr>
            <w:tcW w:w="8900" w:type="dxa"/>
            <w:vAlign w:val="bottom"/>
          </w:tcPr>
          <w:p>
            <w:pPr>
              <w:ind w:left="60"/>
              <w:spacing w:after="0"/>
              <w:rPr>
                <w:rFonts w:ascii="Times New Roman" w:cs="Times New Roman" w:eastAsia="Times New Roman" w:hAnsi="Times New Roman"/>
                <w:sz w:val="14"/>
                <w:szCs w:val="14"/>
                <w:color w:val="auto"/>
              </w:rPr>
            </w:pPr>
            <w:hyperlink r:id="rId86">
              <w:r>
                <w:rPr>
                  <w:rFonts w:ascii="Times New Roman" w:cs="Times New Roman" w:eastAsia="Times New Roman" w:hAnsi="Times New Roman"/>
                  <w:sz w:val="14"/>
                  <w:szCs w:val="14"/>
                  <w:color w:val="auto"/>
                </w:rPr>
                <w:t>Term Note</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25</w:t>
            </w:r>
          </w:p>
        </w:tc>
      </w:tr>
      <w:tr>
        <w:trPr>
          <w:trHeight w:val="66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00" w:type="dxa"/>
            <w:vAlign w:val="bottom"/>
          </w:tcPr>
          <w:p>
            <w:pPr>
              <w:ind w:left="4400"/>
              <w:spacing w:after="0"/>
              <w:rPr>
                <w:sz w:val="20"/>
                <w:szCs w:val="20"/>
                <w:color w:val="auto"/>
              </w:rPr>
            </w:pPr>
            <w:r>
              <w:rPr>
                <w:rFonts w:ascii="Times New Roman" w:cs="Times New Roman" w:eastAsia="Times New Roman" w:hAnsi="Times New Roman"/>
                <w:sz w:val="14"/>
                <w:szCs w:val="14"/>
                <w:color w:val="auto"/>
              </w:rPr>
              <w:t>44</w:t>
            </w:r>
          </w:p>
        </w:tc>
        <w:tc>
          <w:tcPr>
            <w:tcW w:w="12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44" w:name="page45"/>
    <w:bookmarkEnd w:id="44"/>
    <w:tbl>
      <w:tblPr>
        <w:tblLayout w:type="fixed"/>
        <w:tblInd w:w="580" w:type="dxa"/>
        <w:tblCellMar>
          <w:top w:w="0" w:type="dxa"/>
          <w:left w:w="0" w:type="dxa"/>
          <w:bottom w:w="0" w:type="dxa"/>
          <w:right w:w="0" w:type="dxa"/>
        </w:tblCellMar>
      </w:tblP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10.33</w:t>
            </w:r>
          </w:p>
        </w:tc>
        <w:tc>
          <w:tcPr>
            <w:tcW w:w="8700" w:type="dxa"/>
            <w:vAlign w:val="bottom"/>
          </w:tcPr>
          <w:p>
            <w:pPr>
              <w:ind w:left="60"/>
              <w:spacing w:after="0"/>
              <w:rPr>
                <w:rFonts w:ascii="Times New Roman" w:cs="Times New Roman" w:eastAsia="Times New Roman" w:hAnsi="Times New Roman"/>
                <w:sz w:val="14"/>
                <w:szCs w:val="14"/>
                <w:color w:val="auto"/>
              </w:rPr>
            </w:pPr>
            <w:hyperlink r:id="rId89">
              <w:r>
                <w:rPr>
                  <w:rFonts w:ascii="Times New Roman" w:cs="Times New Roman" w:eastAsia="Times New Roman" w:hAnsi="Times New Roman"/>
                  <w:sz w:val="14"/>
                  <w:szCs w:val="14"/>
                  <w:color w:val="auto"/>
                </w:rPr>
                <w:t>Revolving Line of Credit</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36</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10.34</w:t>
            </w:r>
          </w:p>
        </w:tc>
        <w:tc>
          <w:tcPr>
            <w:tcW w:w="8700" w:type="dxa"/>
            <w:vAlign w:val="bottom"/>
          </w:tcPr>
          <w:p>
            <w:pPr>
              <w:ind w:left="60"/>
              <w:spacing w:after="0"/>
              <w:rPr>
                <w:rFonts w:ascii="Times New Roman" w:cs="Times New Roman" w:eastAsia="Times New Roman" w:hAnsi="Times New Roman"/>
                <w:sz w:val="14"/>
                <w:szCs w:val="14"/>
                <w:color w:val="auto"/>
              </w:rPr>
            </w:pPr>
            <w:hyperlink r:id="rId90">
              <w:r>
                <w:rPr>
                  <w:rFonts w:ascii="Times New Roman" w:cs="Times New Roman" w:eastAsia="Times New Roman" w:hAnsi="Times New Roman"/>
                  <w:sz w:val="14"/>
                  <w:szCs w:val="14"/>
                  <w:color w:val="auto"/>
                </w:rPr>
                <w:t>Amendments to Lease Agreement with Pastoria Energy Facility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23</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10.35</w:t>
            </w:r>
          </w:p>
        </w:tc>
        <w:tc>
          <w:tcPr>
            <w:tcW w:w="8700" w:type="dxa"/>
            <w:vAlign w:val="bottom"/>
          </w:tcPr>
          <w:p>
            <w:pPr>
              <w:ind w:left="60"/>
              <w:spacing w:after="0"/>
              <w:rPr>
                <w:rFonts w:ascii="Times New Roman" w:cs="Times New Roman" w:eastAsia="Times New Roman" w:hAnsi="Times New Roman"/>
                <w:sz w:val="14"/>
                <w:szCs w:val="14"/>
                <w:color w:val="auto"/>
              </w:rPr>
            </w:pPr>
            <w:hyperlink r:id="rId91">
              <w:r>
                <w:rPr>
                  <w:rFonts w:ascii="Times New Roman" w:cs="Times New Roman" w:eastAsia="Times New Roman" w:hAnsi="Times New Roman"/>
                  <w:sz w:val="14"/>
                  <w:szCs w:val="14"/>
                  <w:color w:val="auto"/>
                </w:rPr>
                <w:t>Water Supply Agreement with Pastoria Energy Facility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24</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10.37</w:t>
            </w:r>
          </w:p>
        </w:tc>
        <w:tc>
          <w:tcPr>
            <w:tcW w:w="8700" w:type="dxa"/>
            <w:vAlign w:val="bottom"/>
          </w:tcPr>
          <w:p>
            <w:pPr>
              <w:ind w:left="60"/>
              <w:spacing w:after="0"/>
              <w:rPr>
                <w:rFonts w:ascii="Times New Roman" w:cs="Times New Roman" w:eastAsia="Times New Roman" w:hAnsi="Times New Roman"/>
                <w:sz w:val="14"/>
                <w:szCs w:val="14"/>
                <w:color w:val="auto"/>
              </w:rPr>
            </w:pPr>
            <w:hyperlink r:id="rId92">
              <w:r>
                <w:rPr>
                  <w:rFonts w:ascii="Times New Roman" w:cs="Times New Roman" w:eastAsia="Times New Roman" w:hAnsi="Times New Roman"/>
                  <w:sz w:val="14"/>
                  <w:szCs w:val="14"/>
                  <w:color w:val="auto"/>
                </w:rPr>
                <w:t>Limited Liability Company Agreement of TRC-MRC 2,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26</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10.38</w:t>
            </w:r>
          </w:p>
        </w:tc>
        <w:tc>
          <w:tcPr>
            <w:tcW w:w="8700" w:type="dxa"/>
            <w:vAlign w:val="bottom"/>
          </w:tcPr>
          <w:p>
            <w:pPr>
              <w:ind w:left="60"/>
              <w:spacing w:after="0"/>
              <w:rPr>
                <w:rFonts w:ascii="Times New Roman" w:cs="Times New Roman" w:eastAsia="Times New Roman" w:hAnsi="Times New Roman"/>
                <w:sz w:val="14"/>
                <w:szCs w:val="14"/>
                <w:color w:val="auto"/>
              </w:rPr>
            </w:pPr>
            <w:hyperlink r:id="rId93">
              <w:r>
                <w:rPr>
                  <w:rFonts w:ascii="Times New Roman" w:cs="Times New Roman" w:eastAsia="Times New Roman" w:hAnsi="Times New Roman"/>
                  <w:sz w:val="14"/>
                  <w:szCs w:val="14"/>
                  <w:color w:val="auto"/>
                </w:rPr>
                <w:t>Limited Liability Company Agreement of TRC-MRC 1,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27</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10.39</w:t>
            </w:r>
          </w:p>
        </w:tc>
        <w:tc>
          <w:tcPr>
            <w:tcW w:w="8700" w:type="dxa"/>
            <w:vAlign w:val="bottom"/>
          </w:tcPr>
          <w:p>
            <w:pPr>
              <w:ind w:left="60"/>
              <w:spacing w:after="0"/>
              <w:rPr>
                <w:rFonts w:ascii="Times New Roman" w:cs="Times New Roman" w:eastAsia="Times New Roman" w:hAnsi="Times New Roman"/>
                <w:sz w:val="14"/>
                <w:szCs w:val="14"/>
                <w:color w:val="auto"/>
              </w:rPr>
            </w:pPr>
            <w:hyperlink r:id="rId94">
              <w:r>
                <w:rPr>
                  <w:rFonts w:ascii="Times New Roman" w:cs="Times New Roman" w:eastAsia="Times New Roman" w:hAnsi="Times New Roman"/>
                  <w:sz w:val="14"/>
                  <w:szCs w:val="14"/>
                  <w:color w:val="auto"/>
                </w:rPr>
                <w:t>Centennial Founders LLC, Redemption and Withdrawal Agreement - Lewis Tejon Member,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28</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10.40</w:t>
            </w:r>
          </w:p>
        </w:tc>
        <w:tc>
          <w:tcPr>
            <w:tcW w:w="8700" w:type="dxa"/>
            <w:vAlign w:val="bottom"/>
          </w:tcPr>
          <w:p>
            <w:pPr>
              <w:ind w:left="60"/>
              <w:spacing w:after="0"/>
              <w:rPr>
                <w:rFonts w:ascii="Times New Roman" w:cs="Times New Roman" w:eastAsia="Times New Roman" w:hAnsi="Times New Roman"/>
                <w:sz w:val="14"/>
                <w:szCs w:val="14"/>
                <w:color w:val="auto"/>
              </w:rPr>
            </w:pPr>
            <w:hyperlink r:id="rId95">
              <w:r>
                <w:rPr>
                  <w:rFonts w:ascii="Times New Roman" w:cs="Times New Roman" w:eastAsia="Times New Roman" w:hAnsi="Times New Roman"/>
                  <w:sz w:val="14"/>
                  <w:szCs w:val="14"/>
                  <w:color w:val="auto"/>
                </w:rPr>
                <w:t>First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29</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10.41</w:t>
            </w:r>
          </w:p>
        </w:tc>
        <w:tc>
          <w:tcPr>
            <w:tcW w:w="8700" w:type="dxa"/>
            <w:vAlign w:val="bottom"/>
          </w:tcPr>
          <w:p>
            <w:pPr>
              <w:ind w:left="60"/>
              <w:spacing w:after="0"/>
              <w:rPr>
                <w:rFonts w:ascii="Times New Roman" w:cs="Times New Roman" w:eastAsia="Times New Roman" w:hAnsi="Times New Roman"/>
                <w:sz w:val="14"/>
                <w:szCs w:val="14"/>
                <w:color w:val="auto"/>
              </w:rPr>
            </w:pPr>
            <w:hyperlink r:id="rId96">
              <w:r>
                <w:rPr>
                  <w:rFonts w:ascii="Times New Roman" w:cs="Times New Roman" w:eastAsia="Times New Roman" w:hAnsi="Times New Roman"/>
                  <w:sz w:val="14"/>
                  <w:szCs w:val="14"/>
                  <w:color w:val="auto"/>
                </w:rPr>
                <w:t>Second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30</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10.42</w:t>
            </w:r>
          </w:p>
        </w:tc>
        <w:tc>
          <w:tcPr>
            <w:tcW w:w="8700" w:type="dxa"/>
            <w:vAlign w:val="bottom"/>
          </w:tcPr>
          <w:p>
            <w:pPr>
              <w:ind w:left="60"/>
              <w:spacing w:after="0"/>
              <w:rPr>
                <w:rFonts w:ascii="Times New Roman" w:cs="Times New Roman" w:eastAsia="Times New Roman" w:hAnsi="Times New Roman"/>
                <w:sz w:val="14"/>
                <w:szCs w:val="14"/>
                <w:color w:val="auto"/>
              </w:rPr>
            </w:pPr>
            <w:hyperlink r:id="rId97">
              <w:r>
                <w:rPr>
                  <w:rFonts w:ascii="Times New Roman" w:cs="Times New Roman" w:eastAsia="Times New Roman" w:hAnsi="Times New Roman"/>
                  <w:sz w:val="14"/>
                  <w:szCs w:val="14"/>
                  <w:color w:val="auto"/>
                </w:rPr>
                <w:t>Limited Liability Company Agreement of TRC-MRC 3,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10.43</w:t>
            </w:r>
          </w:p>
        </w:tc>
        <w:tc>
          <w:tcPr>
            <w:tcW w:w="8700" w:type="dxa"/>
            <w:vAlign w:val="bottom"/>
          </w:tcPr>
          <w:p>
            <w:pPr>
              <w:ind w:left="60"/>
              <w:spacing w:after="0"/>
              <w:rPr>
                <w:rFonts w:ascii="Times New Roman" w:cs="Times New Roman" w:eastAsia="Times New Roman" w:hAnsi="Times New Roman"/>
                <w:sz w:val="14"/>
                <w:szCs w:val="14"/>
                <w:color w:val="auto"/>
              </w:rPr>
            </w:pPr>
            <w:hyperlink r:id="rId98">
              <w:r>
                <w:rPr>
                  <w:rFonts w:ascii="Times New Roman" w:cs="Times New Roman" w:eastAsia="Times New Roman" w:hAnsi="Times New Roman"/>
                  <w:sz w:val="14"/>
                  <w:szCs w:val="14"/>
                  <w:color w:val="auto"/>
                </w:rPr>
                <w:t>Fourth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32</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10.44</w:t>
            </w:r>
          </w:p>
        </w:tc>
        <w:tc>
          <w:tcPr>
            <w:tcW w:w="8700" w:type="dxa"/>
            <w:vAlign w:val="bottom"/>
          </w:tcPr>
          <w:p>
            <w:pPr>
              <w:ind w:left="60"/>
              <w:spacing w:after="0"/>
              <w:rPr>
                <w:rFonts w:ascii="Times New Roman" w:cs="Times New Roman" w:eastAsia="Times New Roman" w:hAnsi="Times New Roman"/>
                <w:sz w:val="14"/>
                <w:szCs w:val="14"/>
                <w:color w:val="auto"/>
              </w:rPr>
            </w:pPr>
            <w:hyperlink r:id="rId99">
              <w:r>
                <w:rPr>
                  <w:rFonts w:ascii="Times New Roman" w:cs="Times New Roman" w:eastAsia="Times New Roman" w:hAnsi="Times New Roman"/>
                  <w:sz w:val="14"/>
                  <w:szCs w:val="14"/>
                  <w:color w:val="auto"/>
                </w:rPr>
                <w:t>Centennial Founders, LLC Redemption and Withdrawal Agreement - CalAtlantic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33</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10.45</w:t>
            </w:r>
          </w:p>
        </w:tc>
        <w:tc>
          <w:tcPr>
            <w:tcW w:w="8700" w:type="dxa"/>
            <w:vAlign w:val="bottom"/>
          </w:tcPr>
          <w:p>
            <w:pPr>
              <w:ind w:left="60"/>
              <w:spacing w:after="0"/>
              <w:rPr>
                <w:rFonts w:ascii="Times New Roman" w:cs="Times New Roman" w:eastAsia="Times New Roman" w:hAnsi="Times New Roman"/>
                <w:sz w:val="14"/>
                <w:szCs w:val="14"/>
                <w:color w:val="auto"/>
              </w:rPr>
            </w:pPr>
            <w:hyperlink r:id="rId100">
              <w:r>
                <w:rPr>
                  <w:rFonts w:ascii="Times New Roman" w:cs="Times New Roman" w:eastAsia="Times New Roman" w:hAnsi="Times New Roman"/>
                  <w:sz w:val="14"/>
                  <w:szCs w:val="14"/>
                  <w:color w:val="auto"/>
                </w:rPr>
                <w:t>Amended Revolving Line of Credit</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34</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10.46</w:t>
            </w:r>
          </w:p>
        </w:tc>
        <w:tc>
          <w:tcPr>
            <w:tcW w:w="8700" w:type="dxa"/>
            <w:vAlign w:val="bottom"/>
          </w:tcPr>
          <w:p>
            <w:pPr>
              <w:ind w:left="60"/>
              <w:spacing w:after="0"/>
              <w:rPr>
                <w:rFonts w:ascii="Times New Roman" w:cs="Times New Roman" w:eastAsia="Times New Roman" w:hAnsi="Times New Roman"/>
                <w:sz w:val="14"/>
                <w:szCs w:val="14"/>
                <w:color w:val="auto"/>
              </w:rPr>
            </w:pPr>
            <w:hyperlink r:id="rId101">
              <w:r>
                <w:rPr>
                  <w:rFonts w:ascii="Times New Roman" w:cs="Times New Roman" w:eastAsia="Times New Roman" w:hAnsi="Times New Roman"/>
                  <w:sz w:val="14"/>
                  <w:szCs w:val="14"/>
                  <w:color w:val="auto"/>
                </w:rPr>
                <w:t>Amended Term Note</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35</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10.47</w:t>
            </w:r>
          </w:p>
        </w:tc>
        <w:tc>
          <w:tcPr>
            <w:tcW w:w="8700" w:type="dxa"/>
            <w:vAlign w:val="bottom"/>
          </w:tcPr>
          <w:p>
            <w:pPr>
              <w:ind w:left="60"/>
              <w:spacing w:after="0"/>
              <w:rPr>
                <w:rFonts w:ascii="Times New Roman" w:cs="Times New Roman" w:eastAsia="Times New Roman" w:hAnsi="Times New Roman"/>
                <w:sz w:val="14"/>
                <w:szCs w:val="14"/>
                <w:color w:val="auto"/>
              </w:rPr>
            </w:pPr>
            <w:hyperlink r:id="rId102">
              <w:r>
                <w:rPr>
                  <w:rFonts w:ascii="Times New Roman" w:cs="Times New Roman" w:eastAsia="Times New Roman" w:hAnsi="Times New Roman"/>
                  <w:sz w:val="14"/>
                  <w:szCs w:val="14"/>
                  <w:color w:val="auto"/>
                </w:rPr>
                <w:t>*Executive Officer Severance Agreement - Gregory S. Bielli</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38</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10.48</w:t>
            </w:r>
          </w:p>
        </w:tc>
        <w:tc>
          <w:tcPr>
            <w:tcW w:w="8700" w:type="dxa"/>
            <w:vAlign w:val="bottom"/>
          </w:tcPr>
          <w:p>
            <w:pPr>
              <w:ind w:left="60"/>
              <w:spacing w:after="0"/>
              <w:rPr>
                <w:rFonts w:ascii="Times New Roman" w:cs="Times New Roman" w:eastAsia="Times New Roman" w:hAnsi="Times New Roman"/>
                <w:sz w:val="14"/>
                <w:szCs w:val="14"/>
                <w:color w:val="auto"/>
              </w:rPr>
            </w:pPr>
            <w:hyperlink r:id="rId103">
              <w:r>
                <w:rPr>
                  <w:rFonts w:ascii="Times New Roman" w:cs="Times New Roman" w:eastAsia="Times New Roman" w:hAnsi="Times New Roman"/>
                  <w:sz w:val="14"/>
                  <w:szCs w:val="14"/>
                  <w:color w:val="auto"/>
                </w:rPr>
                <w:t>Limited Liability Company Agreement of TRC-MRC 4,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39</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10.49</w:t>
            </w:r>
          </w:p>
        </w:tc>
        <w:tc>
          <w:tcPr>
            <w:tcW w:w="8700" w:type="dxa"/>
            <w:vAlign w:val="bottom"/>
          </w:tcPr>
          <w:p>
            <w:pPr>
              <w:ind w:left="60"/>
              <w:spacing w:after="0"/>
              <w:rPr>
                <w:rFonts w:ascii="Times New Roman" w:cs="Times New Roman" w:eastAsia="Times New Roman" w:hAnsi="Times New Roman"/>
                <w:sz w:val="14"/>
                <w:szCs w:val="14"/>
                <w:color w:val="auto"/>
              </w:rPr>
            </w:pPr>
            <w:hyperlink r:id="rId104">
              <w:r>
                <w:rPr>
                  <w:rFonts w:ascii="Times New Roman" w:cs="Times New Roman" w:eastAsia="Times New Roman" w:hAnsi="Times New Roman"/>
                  <w:sz w:val="14"/>
                  <w:szCs w:val="14"/>
                  <w:color w:val="auto"/>
                </w:rPr>
                <w:t>Settlement Agreement of CEQA litigation with Climate Resolve</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40</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10.50</w:t>
            </w:r>
          </w:p>
        </w:tc>
        <w:tc>
          <w:tcPr>
            <w:tcW w:w="8700" w:type="dxa"/>
            <w:vAlign w:val="bottom"/>
          </w:tcPr>
          <w:p>
            <w:pPr>
              <w:ind w:left="60"/>
              <w:spacing w:after="0"/>
              <w:rPr>
                <w:rFonts w:ascii="Times New Roman" w:cs="Times New Roman" w:eastAsia="Times New Roman" w:hAnsi="Times New Roman"/>
                <w:sz w:val="14"/>
                <w:szCs w:val="14"/>
                <w:color w:val="auto"/>
              </w:rPr>
            </w:pPr>
            <w:hyperlink r:id="rId105">
              <w:r>
                <w:rPr>
                  <w:rFonts w:ascii="Times New Roman" w:cs="Times New Roman" w:eastAsia="Times New Roman" w:hAnsi="Times New Roman"/>
                  <w:sz w:val="14"/>
                  <w:szCs w:val="14"/>
                  <w:color w:val="auto"/>
                </w:rPr>
                <w:t>Limited Liability Company Agreement of TRC-MRC Multi I,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10.51</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Limited Liability Company Agreement of TRC-MRC 5, LLC</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31.1</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Pursuant to Section 302 of the Sarbanes-Oxley Act of 2002</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31.2</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Pursuant to Section 302 of the Sarbanes-Oxley Act of 2002</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Pursuant to 18 U.S.C. Section 1350, as Adopted Pursuant to Section 906 of the Sarbanes-Oxley Act of 2002</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Furnished</w:t>
            </w:r>
          </w:p>
        </w:tc>
      </w:tr>
      <w:tr>
        <w:trPr>
          <w:trHeight w:val="142"/>
        </w:trPr>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101.INS</w:t>
            </w:r>
          </w:p>
        </w:tc>
        <w:tc>
          <w:tcPr>
            <w:tcW w:w="8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w:t>
            </w: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Filed herewith</w:t>
            </w:r>
          </w:p>
        </w:tc>
      </w:tr>
      <w:tr>
        <w:trPr>
          <w:trHeight w:val="184"/>
        </w:trPr>
        <w:tc>
          <w:tcPr>
            <w:tcW w:w="600" w:type="dxa"/>
            <w:vAlign w:val="bottom"/>
          </w:tcPr>
          <w:p>
            <w:pPr>
              <w:spacing w:after="0"/>
              <w:rPr>
                <w:sz w:val="16"/>
                <w:szCs w:val="16"/>
                <w:color w:val="auto"/>
              </w:rPr>
            </w:pP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document.</w:t>
            </w:r>
          </w:p>
        </w:tc>
        <w:tc>
          <w:tcPr>
            <w:tcW w:w="1340" w:type="dxa"/>
            <w:vAlign w:val="bottom"/>
          </w:tcPr>
          <w:p>
            <w:pPr>
              <w:spacing w:after="0"/>
              <w:rPr>
                <w:sz w:val="16"/>
                <w:szCs w:val="16"/>
                <w:color w:val="auto"/>
              </w:rPr>
            </w:pPr>
          </w:p>
        </w:tc>
      </w:tr>
      <w:tr>
        <w:trPr>
          <w:trHeight w:val="183"/>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101.SCH</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101.CAL</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101.DEF</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101.LAB</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4"/>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101.PRE</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bl>
    <w:p>
      <w:pPr>
        <w:ind w:left="1040" w:right="4880" w:hanging="137"/>
        <w:spacing w:after="0" w:line="297" w:lineRule="auto"/>
        <w:tabs>
          <w:tab w:leader="none" w:pos="123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 * Management contract, compensatory plan or arrangement.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1</w:t>
            </w: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3.1 to our Quarterly Report on Form 10-Q for the period</w:t>
            </w:r>
          </w:p>
        </w:tc>
      </w:tr>
      <w:tr>
        <w:trPr>
          <w:trHeight w:val="184"/>
        </w:trPr>
        <w:tc>
          <w:tcPr>
            <w:tcW w:w="640" w:type="dxa"/>
            <w:vAlign w:val="bottom"/>
          </w:tcPr>
          <w:p>
            <w:pPr>
              <w:spacing w:after="0"/>
              <w:rPr>
                <w:sz w:val="16"/>
                <w:szCs w:val="16"/>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ended June 30, 2021, is incorporated herein by reference.</w:t>
            </w:r>
          </w:p>
        </w:tc>
      </w:tr>
      <w:tr>
        <w:trPr>
          <w:trHeight w:val="160"/>
        </w:trPr>
        <w:tc>
          <w:tcPr>
            <w:tcW w:w="6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FN 2</w:t>
            </w:r>
          </w:p>
        </w:tc>
        <w:tc>
          <w:tcPr>
            <w:tcW w:w="10640" w:type="dxa"/>
            <w:vAlign w:val="bottom"/>
          </w:tcPr>
          <w:p>
            <w:pPr>
              <w:ind w:left="340"/>
              <w:spacing w:after="0" w:line="159"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99.1 to our Current Report on Form 8-K filed on May 26,</w:t>
            </w:r>
          </w:p>
        </w:tc>
      </w:tr>
      <w:tr>
        <w:trPr>
          <w:trHeight w:val="184"/>
        </w:trPr>
        <w:tc>
          <w:tcPr>
            <w:tcW w:w="640" w:type="dxa"/>
            <w:vAlign w:val="bottom"/>
          </w:tcPr>
          <w:p>
            <w:pPr>
              <w:spacing w:after="0"/>
              <w:rPr>
                <w:sz w:val="16"/>
                <w:szCs w:val="16"/>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2020, is incorporated herein by reference.</w:t>
            </w:r>
          </w:p>
        </w:tc>
      </w:tr>
      <w:tr>
        <w:trPr>
          <w:trHeight w:val="145"/>
        </w:trPr>
        <w:tc>
          <w:tcPr>
            <w:tcW w:w="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5</w:t>
            </w:r>
          </w:p>
        </w:tc>
        <w:tc>
          <w:tcPr>
            <w:tcW w:w="10640" w:type="dxa"/>
            <w:vAlign w:val="bottom"/>
          </w:tcPr>
          <w:p>
            <w:pPr>
              <w:ind w:left="34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4.1 to our Current Report on Form 8-K filed on</w:t>
            </w:r>
          </w:p>
        </w:tc>
      </w:tr>
      <w:tr>
        <w:trPr>
          <w:trHeight w:val="184"/>
        </w:trPr>
        <w:tc>
          <w:tcPr>
            <w:tcW w:w="640" w:type="dxa"/>
            <w:vAlign w:val="bottom"/>
          </w:tcPr>
          <w:p>
            <w:pPr>
              <w:spacing w:after="0"/>
              <w:rPr>
                <w:sz w:val="16"/>
                <w:szCs w:val="16"/>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December 20, 2005, is incorporated herein by reference.</w:t>
            </w:r>
          </w:p>
        </w:tc>
      </w:tr>
      <w:tr>
        <w:trPr>
          <w:trHeight w:val="145"/>
        </w:trPr>
        <w:tc>
          <w:tcPr>
            <w:tcW w:w="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6</w:t>
            </w:r>
          </w:p>
        </w:tc>
        <w:tc>
          <w:tcPr>
            <w:tcW w:w="10640" w:type="dxa"/>
            <w:vAlign w:val="bottom"/>
          </w:tcPr>
          <w:p>
            <w:pPr>
              <w:ind w:left="34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under Item 14 to our Annual Report on Form 10-K for the year</w:t>
            </w:r>
          </w:p>
        </w:tc>
      </w:tr>
      <w:tr>
        <w:trPr>
          <w:trHeight w:val="184"/>
        </w:trPr>
        <w:tc>
          <w:tcPr>
            <w:tcW w:w="640" w:type="dxa"/>
            <w:vAlign w:val="bottom"/>
          </w:tcPr>
          <w:p>
            <w:pPr>
              <w:spacing w:after="0"/>
              <w:rPr>
                <w:sz w:val="16"/>
                <w:szCs w:val="16"/>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ended December 31, 1994, is incorporated herein by reference. This Exhibit was not filed with the Securities and Exchange Commission in an electronic format.</w:t>
            </w:r>
          </w:p>
        </w:tc>
      </w:tr>
      <w:tr>
        <w:trPr>
          <w:trHeight w:val="145"/>
        </w:trPr>
        <w:tc>
          <w:tcPr>
            <w:tcW w:w="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7</w:t>
            </w:r>
          </w:p>
        </w:tc>
        <w:tc>
          <w:tcPr>
            <w:tcW w:w="10640" w:type="dxa"/>
            <w:vAlign w:val="bottom"/>
          </w:tcPr>
          <w:p>
            <w:pPr>
              <w:ind w:left="34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under Item 14 to our Annual Report on Form 10-K for the year</w:t>
            </w:r>
          </w:p>
        </w:tc>
      </w:tr>
      <w:tr>
        <w:trPr>
          <w:trHeight w:val="184"/>
        </w:trPr>
        <w:tc>
          <w:tcPr>
            <w:tcW w:w="640" w:type="dxa"/>
            <w:vAlign w:val="bottom"/>
          </w:tcPr>
          <w:p>
            <w:pPr>
              <w:spacing w:after="0"/>
              <w:rPr>
                <w:sz w:val="16"/>
                <w:szCs w:val="16"/>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ended December 31, 1997, is incorporated herein by reference.</w:t>
            </w:r>
          </w:p>
        </w:tc>
      </w:tr>
      <w:tr>
        <w:trPr>
          <w:trHeight w:val="145"/>
        </w:trPr>
        <w:tc>
          <w:tcPr>
            <w:tcW w:w="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8</w:t>
            </w:r>
          </w:p>
        </w:tc>
        <w:tc>
          <w:tcPr>
            <w:tcW w:w="10640" w:type="dxa"/>
            <w:vAlign w:val="bottom"/>
          </w:tcPr>
          <w:p>
            <w:pPr>
              <w:ind w:left="34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10.9 to our Annual Report on Form 10-K for the year</w:t>
            </w:r>
          </w:p>
        </w:tc>
      </w:tr>
      <w:tr>
        <w:trPr>
          <w:trHeight w:val="184"/>
        </w:trPr>
        <w:tc>
          <w:tcPr>
            <w:tcW w:w="640" w:type="dxa"/>
            <w:vAlign w:val="bottom"/>
          </w:tcPr>
          <w:p>
            <w:pPr>
              <w:spacing w:after="0"/>
              <w:rPr>
                <w:sz w:val="16"/>
                <w:szCs w:val="16"/>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ended December 31, 2008, is incorporated herein by reference.</w:t>
            </w:r>
          </w:p>
        </w:tc>
      </w:tr>
      <w:tr>
        <w:trPr>
          <w:trHeight w:val="675"/>
        </w:trPr>
        <w:tc>
          <w:tcPr>
            <w:tcW w:w="640" w:type="dxa"/>
            <w:vAlign w:val="bottom"/>
          </w:tcPr>
          <w:p>
            <w:pPr>
              <w:spacing w:after="0"/>
              <w:rPr>
                <w:sz w:val="24"/>
                <w:szCs w:val="24"/>
                <w:color w:val="auto"/>
              </w:rPr>
            </w:pPr>
          </w:p>
        </w:tc>
        <w:tc>
          <w:tcPr>
            <w:tcW w:w="10640" w:type="dxa"/>
            <w:vAlign w:val="bottom"/>
          </w:tcPr>
          <w:p>
            <w:pPr>
              <w:ind w:left="4940"/>
              <w:spacing w:after="0"/>
              <w:rPr>
                <w:sz w:val="20"/>
                <w:szCs w:val="20"/>
                <w:color w:val="auto"/>
              </w:rPr>
            </w:pPr>
            <w:r>
              <w:rPr>
                <w:rFonts w:ascii="Times New Roman" w:cs="Times New Roman" w:eastAsia="Times New Roman" w:hAnsi="Times New Roman"/>
                <w:sz w:val="14"/>
                <w:szCs w:val="14"/>
                <w:color w:val="auto"/>
              </w:rPr>
              <w:t>45</w:t>
            </w:r>
          </w:p>
        </w:tc>
      </w:tr>
      <w:tr>
        <w:trPr>
          <w:trHeight w:val="87"/>
        </w:trPr>
        <w:tc>
          <w:tcPr>
            <w:tcW w:w="640" w:type="dxa"/>
            <w:vAlign w:val="bottom"/>
            <w:tcBorders>
              <w:bottom w:val="single" w:sz="8" w:color="9A9A9A"/>
            </w:tcBorders>
          </w:tcPr>
          <w:p>
            <w:pPr>
              <w:spacing w:after="0"/>
              <w:rPr>
                <w:sz w:val="7"/>
                <w:szCs w:val="7"/>
                <w:color w:val="auto"/>
              </w:rPr>
            </w:pPr>
          </w:p>
        </w:tc>
        <w:tc>
          <w:tcPr>
            <w:tcW w:w="106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9</w:t>
            </w: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10.10 to our Annual Report on Form 10-K for the year</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2008,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10</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10.16 to our Annual Report on Form 10-K for the year</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2001,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11</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4.1 to our Current Report on Form 8-K filed on May 7,</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2004,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12</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4.2 to our Current Report on Form 8-K filed on May 7,</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2004,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13</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Exhibits 10.21-10.23 to our Annual Report on Form 10-K for the</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year ended December 31, 2004,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14</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10.24 to our Current Report on Form 8-K filed on</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May 24, 2006,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15</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10.28 to our Current Report on Form 8-K filed on</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June 23, 2008,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16</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10.25 to our Quarterly Report on Form 10-Q for the</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June 30, 2009,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17</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10.26 to our Quarterly Report on Form 10-Q for the</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March 31, 2013, for the period ended March 31, 2013,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18</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10.27 to our Current Report on Form 8-K filed on June 4,</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2013,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19</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 to our Current Report on Form 8-K filed on</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August 8, 2013,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20</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10.29 to our Amended Annual Report on Form 10-K/A</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 the year ended December 31, 2013,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21</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10.30 to our Current Report on Form 8-K filed on July</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16, 2014,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22</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Exhibits 10.31 to our Current Report on Form 8-K filed on</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October 17, 2014,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23</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10.34 to our Annual Report on Form 10-K for the year</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24</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10.35 to our Quarterly Report on Form 10-Q for the</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June 30, 2015,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25</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10.32 to our Current Report on Form 8-K filed on</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October 17, 2014,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26</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10.37 to our Quarterly Report on Form 10-Q for the</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June 30, 2016,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27</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10.38 to our Quarterly Report on Form 10-Q for the</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September 30, 2016,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28</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10.39 to our Annual Report on Form 10-K for the year</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2016,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29</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10.40 to our Annual Report on Form 10-K for the year</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2016,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30</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10.41 to our Annual Report on Form 10-K for the year</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2016, is incorporated herein by reference.</w:t>
            </w:r>
          </w:p>
        </w:tc>
      </w:tr>
      <w:tr>
        <w:trPr>
          <w:trHeight w:val="686"/>
        </w:trPr>
        <w:tc>
          <w:tcPr>
            <w:tcW w:w="680" w:type="dxa"/>
            <w:vAlign w:val="bottom"/>
          </w:tcPr>
          <w:p>
            <w:pPr>
              <w:spacing w:after="0"/>
              <w:rPr>
                <w:sz w:val="24"/>
                <w:szCs w:val="24"/>
                <w:color w:val="auto"/>
              </w:rPr>
            </w:pPr>
          </w:p>
        </w:tc>
        <w:tc>
          <w:tcPr>
            <w:tcW w:w="10600" w:type="dxa"/>
            <w:vAlign w:val="bottom"/>
          </w:tcPr>
          <w:p>
            <w:pPr>
              <w:ind w:left="4900"/>
              <w:spacing w:after="0"/>
              <w:rPr>
                <w:sz w:val="20"/>
                <w:szCs w:val="20"/>
                <w:color w:val="auto"/>
              </w:rPr>
            </w:pPr>
            <w:r>
              <w:rPr>
                <w:rFonts w:ascii="Times New Roman" w:cs="Times New Roman" w:eastAsia="Times New Roman" w:hAnsi="Times New Roman"/>
                <w:sz w:val="14"/>
                <w:szCs w:val="14"/>
                <w:color w:val="auto"/>
              </w:rPr>
              <w:t>46</w:t>
            </w:r>
          </w:p>
        </w:tc>
      </w:tr>
      <w:tr>
        <w:trPr>
          <w:trHeight w:val="87"/>
        </w:trPr>
        <w:tc>
          <w:tcPr>
            <w:tcW w:w="680" w:type="dxa"/>
            <w:vAlign w:val="bottom"/>
            <w:tcBorders>
              <w:bottom w:val="single" w:sz="8" w:color="9A9A9A"/>
            </w:tcBorders>
          </w:tcPr>
          <w:p>
            <w:pPr>
              <w:spacing w:after="0"/>
              <w:rPr>
                <w:sz w:val="7"/>
                <w:szCs w:val="7"/>
                <w:color w:val="auto"/>
              </w:rPr>
            </w:pPr>
          </w:p>
        </w:tc>
        <w:tc>
          <w:tcPr>
            <w:tcW w:w="10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31</w:t>
            </w: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10.42 to our Quarterly Report on Form 10-Q for the</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September 30, 2018,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32</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10.43 to our Annual Report on Form 10-K for the year</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2018,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33</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10.44 to our Annual Report on Form 10-K for the year</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2018,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34</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10.45 to our Quarterly Report on Form 10-Q for the</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September 30, 2019,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35</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10.46 to our Quarterly Report on Form 10-Q for the</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September 30, 2019,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36</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10.33 to our Current Report on Form 8-K filed on</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October 17, 2014,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37</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333-231032) as Exhibit 4.6 to our Registration Statement on Form S-3 filed</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on April 25, 2019,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38</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10.47 to our Annual Report on Form 10-K for the year</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2019,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39</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10.48 to our Quarterly Report on Form 10-Q for the</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March 31, 2021,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40</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10.49 to our Annual Report on Form 10-K for the year</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2021,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41</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10.50 to our Annual Report on Form 10-K for the year</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2021, is incorporated herein by reference.</w:t>
            </w:r>
          </w:p>
        </w:tc>
      </w:tr>
      <w:tr>
        <w:trPr>
          <w:trHeight w:val="686"/>
        </w:trPr>
        <w:tc>
          <w:tcPr>
            <w:tcW w:w="660" w:type="dxa"/>
            <w:vAlign w:val="bottom"/>
          </w:tcPr>
          <w:p>
            <w:pPr>
              <w:spacing w:after="0"/>
              <w:rPr>
                <w:sz w:val="24"/>
                <w:szCs w:val="24"/>
                <w:color w:val="auto"/>
              </w:rPr>
            </w:pPr>
          </w:p>
        </w:tc>
        <w:tc>
          <w:tcPr>
            <w:tcW w:w="10620" w:type="dxa"/>
            <w:vAlign w:val="bottom"/>
          </w:tcPr>
          <w:p>
            <w:pPr>
              <w:ind w:left="4920"/>
              <w:spacing w:after="0"/>
              <w:rPr>
                <w:sz w:val="20"/>
                <w:szCs w:val="20"/>
                <w:color w:val="auto"/>
              </w:rPr>
            </w:pPr>
            <w:r>
              <w:rPr>
                <w:rFonts w:ascii="Times New Roman" w:cs="Times New Roman" w:eastAsia="Times New Roman" w:hAnsi="Times New Roman"/>
                <w:sz w:val="14"/>
                <w:szCs w:val="14"/>
                <w:color w:val="auto"/>
              </w:rPr>
              <w:t>47</w:t>
            </w:r>
          </w:p>
        </w:tc>
      </w:tr>
      <w:tr>
        <w:trPr>
          <w:trHeight w:val="87"/>
        </w:trPr>
        <w:tc>
          <w:tcPr>
            <w:tcW w:w="660" w:type="dxa"/>
            <w:vAlign w:val="bottom"/>
            <w:tcBorders>
              <w:bottom w:val="single" w:sz="8" w:color="9A9A9A"/>
            </w:tcBorders>
          </w:tcPr>
          <w:p>
            <w:pPr>
              <w:spacing w:after="0"/>
              <w:rPr>
                <w:sz w:val="7"/>
                <w:szCs w:val="7"/>
                <w:color w:val="auto"/>
              </w:rPr>
            </w:pPr>
          </w:p>
        </w:tc>
        <w:tc>
          <w:tcPr>
            <w:tcW w:w="10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47" w:name="page48"/>
    <w:bookmarkEnd w:id="47"/>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TEJON RANCH CO.</w:t>
      </w:r>
    </w:p>
    <w:p>
      <w:pPr>
        <w:sectPr>
          <w:pgSz w:w="11900" w:h="16838" w:orient="portrait"/>
          <w:cols w:equalWidth="0" w:num="1">
            <w:col w:w="10320"/>
          </w:cols>
          <w:pgMar w:left="300" w:top="728" w:right="127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7960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7960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796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/s/</w:t>
        <w:tab/>
        <w:t>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359791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Gregory S. Bielli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2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3"/>
          <w:szCs w:val="13"/>
          <w:color w:val="auto"/>
        </w:rPr>
        <w:t>Allen E. Lyda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359791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Allen E. Lyda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Operating Officer/Chief Financial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2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/s/</w:t>
        <w:tab/>
        <w:t>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359791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Robert D. Velasquez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Accounting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200" w:lineRule="exact"/>
        <w:rPr>
          <w:sz w:val="20"/>
          <w:szCs w:val="20"/>
          <w:color w:val="auto"/>
        </w:rPr>
      </w:pPr>
    </w:p>
    <w:p>
      <w:pPr>
        <w:sectPr>
          <w:pgSz w:w="11900" w:h="16838" w:orient="portrait"/>
          <w:cols w:equalWidth="0" w:num="2">
            <w:col w:w="4900" w:space="720"/>
            <w:col w:w="4700"/>
          </w:cols>
          <w:pgMar w:left="300" w:top="728" w:right="1279" w:bottom="1440" w:gutter="0" w:footer="0" w:header="0"/>
          <w:type w:val="continuous"/>
        </w:sectPr>
      </w:pPr>
    </w:p>
    <w:p>
      <w:pPr>
        <w:spacing w:after="0" w:line="3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320"/>
          </w:cols>
          <w:pgMar w:left="300" w:top="728" w:right="1279" w:bottom="1440" w:gutter="0" w:footer="0" w:header="0"/>
          <w:type w:val="continuous"/>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Gregory S. Bielli, certify that:</w:t>
      </w:r>
    </w:p>
    <w:p>
      <w:pPr>
        <w:spacing w:after="0" w:line="136" w:lineRule="exact"/>
        <w:rPr>
          <w:sz w:val="20"/>
          <w:szCs w:val="20"/>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Tejon Ranch Co.;</w:t>
      </w:r>
    </w:p>
    <w:p>
      <w:pPr>
        <w:spacing w:after="0" w:line="13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right="60" w:hanging="255"/>
        <w:spacing w:after="0" w:line="287"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2"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2"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720" w:val="left"/>
          <w:tab w:leader="none" w:pos="598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May 9, 2022</w:t>
      </w:r>
      <w:r>
        <w:rPr>
          <w:sz w:val="20"/>
          <w:szCs w:val="20"/>
          <w:color w:val="auto"/>
        </w:rPr>
        <w:tab/>
      </w:r>
      <w:r>
        <w:rPr>
          <w:rFonts w:ascii="Times New Roman" w:cs="Times New Roman" w:eastAsia="Times New Roman" w:hAnsi="Times New Roman"/>
          <w:sz w:val="14"/>
          <w:szCs w:val="14"/>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14605</wp:posOffset>
            </wp:positionV>
            <wp:extent cx="335534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Gregory S. Bielli</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7" w:right="31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Allen E. Lyda, certify that:</w:t>
      </w:r>
    </w:p>
    <w:p>
      <w:pPr>
        <w:spacing w:after="0" w:line="136" w:lineRule="exact"/>
        <w:rPr>
          <w:sz w:val="20"/>
          <w:szCs w:val="20"/>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Tejon Ranch Co.;</w:t>
      </w:r>
    </w:p>
    <w:p>
      <w:pPr>
        <w:spacing w:after="0" w:line="13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2"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2"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720" w:val="left"/>
          <w:tab w:leader="none" w:pos="426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May 9, 2022</w:t>
      </w:r>
      <w:r>
        <w:rPr>
          <w:sz w:val="20"/>
          <w:szCs w:val="20"/>
          <w:color w:val="auto"/>
        </w:rPr>
        <w:tab/>
      </w:r>
      <w:r>
        <w:rPr>
          <w:rFonts w:ascii="Times New Roman" w:cs="Times New Roman" w:eastAsia="Times New Roman" w:hAnsi="Times New Roman"/>
          <w:sz w:val="14"/>
          <w:szCs w:val="14"/>
          <w:color w:val="auto"/>
        </w:rPr>
        <w:t>/s/ Allen E. Lyda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14605</wp:posOffset>
            </wp:positionV>
            <wp:extent cx="443992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4439920" cy="6985"/>
                    </a:xfrm>
                    <a:prstGeom prst="rect">
                      <a:avLst/>
                    </a:prstGeom>
                    <a:noFill/>
                  </pic:spPr>
                </pic:pic>
              </a:graphicData>
            </a:graphic>
          </wp:anchor>
        </w:drawing>
      </w:r>
    </w:p>
    <w:p>
      <w:pPr>
        <w:spacing w:after="0" w:line="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Allen E. Lyda</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Chief Operating Officer/Chief Financial Officer</w:t>
      </w:r>
    </w:p>
    <w:p>
      <w:pPr>
        <w:sectPr>
          <w:pgSz w:w="11900" w:h="16838" w:orient="portrait"/>
          <w:cols w:equalWidth="0" w:num="1">
            <w:col w:w="11280"/>
          </w:cols>
          <w:pgMar w:left="300" w:top="727" w:right="319" w:bottom="1440" w:gutter="0" w:footer="0" w:header="0"/>
        </w:sectPr>
      </w:pPr>
    </w:p>
    <w:bookmarkStart w:id="149" w:name="page150"/>
    <w:bookmarkEnd w:id="149"/>
    <w:p>
      <w:pPr>
        <w:ind w:left="5260"/>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of the undersigned hereby certifies, in his capacity as an officer of Tejon Ranch Co. (the “Company”), for purposes of 18 U.S.C. Section 1350, as adopted pursuant to Section 906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Sarbanes-Oxley Act of 2002, that to his own knowledge:</w:t>
      </w:r>
    </w:p>
    <w:p>
      <w:pPr>
        <w:spacing w:after="0" w:line="185"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of the Company on Form 10-Q for the period ended March 31, 2022 fully complies with the requirements of Section 13(a) of the Securities Exchange Act of 1934; and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such report fairly presents, in all material respects, the financial condition and results of operation of the Company.</w:t>
      </w:r>
    </w:p>
    <w:p>
      <w:pPr>
        <w:spacing w:after="0" w:line="12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220" w:type="dxa"/>
            <w:vAlign w:val="bottom"/>
          </w:tcPr>
          <w:p>
            <w:pPr>
              <w:ind w:left="1500"/>
              <w:spacing w:after="0"/>
              <w:rPr>
                <w:sz w:val="20"/>
                <w:szCs w:val="20"/>
                <w:color w:val="auto"/>
              </w:rPr>
            </w:pPr>
            <w:r>
              <w:rPr>
                <w:rFonts w:ascii="Times New Roman" w:cs="Times New Roman" w:eastAsia="Times New Roman" w:hAnsi="Times New Roman"/>
                <w:sz w:val="14"/>
                <w:szCs w:val="14"/>
                <w:color w:val="auto"/>
                <w:w w:val="98"/>
              </w:rPr>
              <w:t>May 9, 2022</w:t>
            </w:r>
          </w:p>
        </w:tc>
      </w:tr>
    </w:tbl>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8498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Gregory S. Bielli</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Allen E. Lyda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8498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Allen E. Lyda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Operating Officer/Chief Financial Officer</w:t>
      </w:r>
    </w:p>
    <w:sectPr>
      <w:pgSz w:w="11900" w:h="16838" w:orient="portrait"/>
      <w:cols w:equalWidth="0" w:num="1">
        <w:col w:w="11240"/>
      </w:cols>
      <w:pgMar w:left="300" w:top="72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1."/>
      <w:numFmt w:val="decimal"/>
      <w:start w:val="4"/>
    </w:lvl>
  </w:abstractNum>
  <w:abstractNum w:abstractNumId="4">
    <w:nsid w:val="431BD7B7"/>
    <w:multiLevelType w:val="hybridMultilevel"/>
    <w:lvl w:ilvl="0">
      <w:lvlJc w:val="left"/>
      <w:lvlText w:val="%1."/>
      <w:numFmt w:val="decimal"/>
      <w:start w:val="5"/>
    </w:lvl>
  </w:abstractNum>
  <w:abstractNum w:abstractNumId="5">
    <w:nsid w:val="3F2DBA31"/>
    <w:multiLevelType w:val="hybridMultilevel"/>
    <w:lvl w:ilvl="0">
      <w:lvlJc w:val="left"/>
      <w:lvlText w:val="1"/>
      <w:numFmt w:val="bullet"/>
      <w:start w:val="1"/>
    </w:lvl>
  </w:abstractNum>
  <w:abstractNum w:abstractNumId="6">
    <w:nsid w:val="7C83E458"/>
    <w:multiLevelType w:val="hybridMultilevel"/>
    <w:lvl w:ilvl="0">
      <w:lvlJc w:val="left"/>
      <w:lvlText w:val="%1."/>
      <w:numFmt w:val="decimal"/>
      <w:start w:val="8"/>
    </w:lvl>
  </w:abstractNum>
  <w:abstractNum w:abstractNumId="7">
    <w:nsid w:val="257130A3"/>
    <w:multiLevelType w:val="hybridMultilevel"/>
    <w:lvl w:ilvl="0">
      <w:lvlJc w:val="left"/>
      <w:lvlText w:val="%1."/>
      <w:numFmt w:val="decimal"/>
      <w:start w:val="9"/>
    </w:lvl>
  </w:abstractNum>
  <w:abstractNum w:abstractNumId="8">
    <w:nsid w:val="62BBD95A"/>
    <w:multiLevelType w:val="hybridMultilevel"/>
    <w:lvl w:ilvl="0">
      <w:lvlJc w:val="left"/>
      <w:lvlText w:val="%1."/>
      <w:numFmt w:val="decimal"/>
      <w:start w:val="10"/>
    </w:lvl>
  </w:abstractNum>
  <w:abstractNum w:abstractNumId="9">
    <w:nsid w:val="436C6125"/>
    <w:multiLevelType w:val="hybridMultilevel"/>
    <w:lvl w:ilvl="0">
      <w:lvlJc w:val="left"/>
      <w:lvlText w:val="%1."/>
      <w:numFmt w:val="decimal"/>
      <w:start w:val="11"/>
    </w:lvl>
  </w:abstractNum>
  <w:abstractNum w:abstractNumId="10">
    <w:nsid w:val="628C895D"/>
    <w:multiLevelType w:val="hybridMultilevel"/>
    <w:lvl w:ilvl="0">
      <w:lvlJc w:val="left"/>
      <w:lvlText w:val="%1."/>
      <w:numFmt w:val="decimal"/>
      <w:start w:val="12"/>
    </w:lvl>
  </w:abstractNum>
  <w:abstractNum w:abstractNumId="11">
    <w:nsid w:val="333AB105"/>
    <w:multiLevelType w:val="hybridMultilevel"/>
    <w:lvl w:ilvl="0">
      <w:lvlJc w:val="left"/>
      <w:lvlText w:val="•"/>
      <w:numFmt w:val="bullet"/>
      <w:start w:val="1"/>
    </w:lvl>
    <w:lvl w:ilvl="1">
      <w:lvlJc w:val="left"/>
      <w:lvlText w:val="◦"/>
      <w:numFmt w:val="bullet"/>
      <w:start w:val="1"/>
    </w:lvl>
  </w:abstractNum>
  <w:abstractNum w:abstractNumId="12">
    <w:nsid w:val="721DA317"/>
    <w:multiLevelType w:val="hybridMultilevel"/>
    <w:lvl w:ilvl="0">
      <w:lvlJc w:val="left"/>
      <w:lvlText w:val="•"/>
      <w:numFmt w:val="bullet"/>
      <w:start w:val="1"/>
    </w:lvl>
    <w:lvl w:ilvl="1">
      <w:lvlJc w:val="left"/>
      <w:lvlText w:val="◦"/>
      <w:numFmt w:val="bullet"/>
      <w:start w:val="1"/>
    </w:lvl>
  </w:abstractNum>
  <w:abstractNum w:abstractNumId="13">
    <w:nsid w:val="2443A858"/>
    <w:multiLevelType w:val="hybridMultilevel"/>
    <w:lvl w:ilvl="0">
      <w:lvlJc w:val="left"/>
      <w:lvlText w:val="•"/>
      <w:numFmt w:val="bullet"/>
      <w:start w:val="1"/>
    </w:lvl>
    <w:lvl w:ilvl="1">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5"/>
    </w:lvl>
    <w:lvl w:ilvl="1">
      <w:lvlJc w:val="left"/>
      <w:lvlText w:val="***"/>
      <w:numFmt w:val="bullet"/>
      <w:start w:val="1"/>
    </w:lvl>
  </w:abstractNum>
  <w:abstractNum w:abstractNumId="16">
    <w:nsid w:val="75A2A8D4"/>
    <w:multiLevelType w:val="hybridMultilevel"/>
    <w:lvl w:ilvl="0">
      <w:lvlJc w:val="left"/>
      <w:lvlText w:val="•"/>
      <w:numFmt w:val="bullet"/>
      <w:start w:val="1"/>
    </w:lvl>
    <w:lvl w:ilvl="1">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lvl w:ilvl="1">
      <w:lvlJc w:val="left"/>
      <w:lvlText w:val="1"/>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1"/>
      <w:numFmt w:val="decimal"/>
      <w:start w:val="104"/>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64" Type="http://schemas.openxmlformats.org/officeDocument/2006/relationships/hyperlink" Target="http://www.sec.gov/Archives/edgar/data/96869/000009686921000016/ex31restatedcertificateo.htm" TargetMode="External"/><Relationship Id="rId65" Type="http://schemas.openxmlformats.org/officeDocument/2006/relationships/hyperlink" Target="http://www.sec.gov/Archives/edgar/data/96869/000119312520151616/d937443dex991.htm" TargetMode="External"/><Relationship Id="rId66" Type="http://schemas.openxmlformats.org/officeDocument/2006/relationships/hyperlink" Target="http://www.sec.gov/Archives/edgar/data/96869/000119312505245123/dex41.htm" TargetMode="External"/><Relationship Id="rId67" Type="http://schemas.openxmlformats.org/officeDocument/2006/relationships/hyperlink" Target="http://www.sec.gov/Archives/edgar/data/96869/000119312519119877/d718363dex46.htm" TargetMode="External"/><Relationship Id="rId68" Type="http://schemas.openxmlformats.org/officeDocument/2006/relationships/hyperlink" Target="http://www.sec.gov/Archives/edgar/data/96869/0000096869-98-000002.txt" TargetMode="External"/><Relationship Id="rId69" Type="http://schemas.openxmlformats.org/officeDocument/2006/relationships/hyperlink" Target="http://www.sec.gov/Archives/edgar/data/96869/000119312509042772/dex109.htm" TargetMode="External"/><Relationship Id="rId70" Type="http://schemas.openxmlformats.org/officeDocument/2006/relationships/hyperlink" Target="http://www.sec.gov/Archives/edgar/data/96869/000119312509042772/dex1010.htm" TargetMode="External"/><Relationship Id="rId71" Type="http://schemas.openxmlformats.org/officeDocument/2006/relationships/hyperlink" Target="http://www.sec.gov/Archives/edgar/data/96869/000102140802004535/dex1016.txt" TargetMode="External"/><Relationship Id="rId72" Type="http://schemas.openxmlformats.org/officeDocument/2006/relationships/hyperlink" Target="http://www.sec.gov/Archives/edgar/data/96869/000119312504082310/dex41.htm" TargetMode="External"/><Relationship Id="rId73" Type="http://schemas.openxmlformats.org/officeDocument/2006/relationships/hyperlink" Target="http://www.sec.gov/Archives/edgar/data/96869/000119312504082310/dex42.htm" TargetMode="External"/><Relationship Id="rId74" Type="http://schemas.openxmlformats.org/officeDocument/2006/relationships/hyperlink" Target="http://www.sec.gov/Archives/edgar/data/96869/000119312505051499/dex1021.htm" TargetMode="External"/><Relationship Id="rId75" Type="http://schemas.openxmlformats.org/officeDocument/2006/relationships/hyperlink" Target="http://www.sec.gov/Archives/edgar/data/96869/000119312505051499/dex1023.htm" TargetMode="External"/><Relationship Id="rId76" Type="http://schemas.openxmlformats.org/officeDocument/2006/relationships/hyperlink" Target="http://www.sec.gov/Archives/edgar/data/96869/000119312505051499/dex1022.htm" TargetMode="External"/><Relationship Id="rId77" Type="http://schemas.openxmlformats.org/officeDocument/2006/relationships/hyperlink" Target="http://www.sec.gov/Archives/edgar/data/96869/000119312506118520/dex1024.htm" TargetMode="External"/><Relationship Id="rId78" Type="http://schemas.openxmlformats.org/officeDocument/2006/relationships/hyperlink" Target="http://www.sec.gov/Archives/edgar/data/96869/000119312508138009/dex1028.htm" TargetMode="External"/><Relationship Id="rId79" Type="http://schemas.openxmlformats.org/officeDocument/2006/relationships/hyperlink" Target="http://www.sec.gov/Archives/edgar/data/96869/000119312509170594/dex1025.htm" TargetMode="External"/><Relationship Id="rId80" Type="http://schemas.openxmlformats.org/officeDocument/2006/relationships/hyperlink" Target="http://www.sec.gov/Archives/edgar/data/96869/000144530513001209/exhibit1026-execagreementa.htm" TargetMode="External"/><Relationship Id="rId81" Type="http://schemas.openxmlformats.org/officeDocument/2006/relationships/hyperlink" Target="http://www.sec.gov/Archives/edgar/data/96869/000119312513246605/d549609dex1027.htm" TargetMode="External"/><Relationship Id="rId82" Type="http://schemas.openxmlformats.org/officeDocument/2006/relationships/hyperlink" Target="http://www.sec.gov/Archives/edgar/data/96869/000119312513326495/d581835dex101.htm" TargetMode="External"/><Relationship Id="rId83" Type="http://schemas.openxmlformats.org/officeDocument/2006/relationships/hyperlink" Target="http://www.sec.gov/Archives/edgar/data/96869/000009686914000009/exhibit1029tmvamendments20.htm" TargetMode="External"/><Relationship Id="rId84" Type="http://schemas.openxmlformats.org/officeDocument/2006/relationships/hyperlink" Target="http://www.sec.gov/Archives/edgar/data/96869/000119312514270067/d758856dex1030.htm" TargetMode="External"/><Relationship Id="rId85" Type="http://schemas.openxmlformats.org/officeDocument/2006/relationships/hyperlink" Target="http://www.sec.gov/Archives/edgar/data/96869/000119312514375013/d806135dex1031.htm" TargetMode="External"/><Relationship Id="rId86" Type="http://schemas.openxmlformats.org/officeDocument/2006/relationships/hyperlink" Target="http://www.sec.gov/Archives/edgar/data/96869/000119312514375013/d806135dex1032.htm" TargetMode="External"/><Relationship Id="rId89" Type="http://schemas.openxmlformats.org/officeDocument/2006/relationships/hyperlink" Target="http://www.sec.gov/Archives/edgar/data/96869/000119312514375013/d806135dex1033.htm" TargetMode="External"/><Relationship Id="rId90" Type="http://schemas.openxmlformats.org/officeDocument/2006/relationships/hyperlink" Target="http://www.sec.gov/Archives/edgar/data/96869/000009686915000003/exhibit1034calpineagreemen.htm" TargetMode="External"/><Relationship Id="rId91" Type="http://schemas.openxmlformats.org/officeDocument/2006/relationships/hyperlink" Target="http://www.sec.gov/Archives/edgar/data/96869/000009686915000010/ex1035q32015.htm" TargetMode="External"/><Relationship Id="rId92" Type="http://schemas.openxmlformats.org/officeDocument/2006/relationships/hyperlink" Target="http://www.sec.gov/Archives/edgar/data/96869/000009686916000017/ex1037limitedliabilityagre.htm" TargetMode="External"/><Relationship Id="rId93" Type="http://schemas.openxmlformats.org/officeDocument/2006/relationships/hyperlink" Target="http://www.sec.gov/Archives/edgar/data/96869/000009686916000019/ex1038llagreementoftrc-mrc1.htm" TargetMode="External"/><Relationship Id="rId94" Type="http://schemas.openxmlformats.org/officeDocument/2006/relationships/hyperlink" Target="http://www.sec.gov/Archives/edgar/data/96869/000009686917000002/exhibit1039centennialredem.htm" TargetMode="External"/><Relationship Id="rId95" Type="http://schemas.openxmlformats.org/officeDocument/2006/relationships/hyperlink" Target="http://www.sec.gov/Archives/edgar/data/96869/000009686917000002/exhibit1040firstamendmentt.htm" TargetMode="External"/><Relationship Id="rId96" Type="http://schemas.openxmlformats.org/officeDocument/2006/relationships/hyperlink" Target="http://www.sec.gov/Archives/edgar/data/96869/000009686917000002/exhibit1041secondamendment.htm" TargetMode="External"/><Relationship Id="rId97" Type="http://schemas.openxmlformats.org/officeDocument/2006/relationships/hyperlink" Target="http://www.sec.gov/Archives/edgar/data/96869/000009686918000015/ex1042trcmrc3llc.htm" TargetMode="External"/><Relationship Id="rId98" Type="http://schemas.openxmlformats.org/officeDocument/2006/relationships/hyperlink" Target="http://www.sec.gov/Archives/edgar/data/96869/000009686919000004/exhibit1043201810k.htm" TargetMode="External"/><Relationship Id="rId99" Type="http://schemas.openxmlformats.org/officeDocument/2006/relationships/hyperlink" Target="http://www.sec.gov/Archives/edgar/data/96869/000009686919000004/exhibit1044201810k.htm" TargetMode="External"/><Relationship Id="rId100" Type="http://schemas.openxmlformats.org/officeDocument/2006/relationships/hyperlink" Target="http://www.sec.gov/Archives/edgar/data/96869/000009686919000014/ex1046aloc.htm" TargetMode="External"/><Relationship Id="rId101" Type="http://schemas.openxmlformats.org/officeDocument/2006/relationships/hyperlink" Target="http://www.sec.gov/Archives/edgar/data/96869/000009686919000014/ex1045atn.htm" TargetMode="External"/><Relationship Id="rId102" Type="http://schemas.openxmlformats.org/officeDocument/2006/relationships/hyperlink" Target="http://www.sec.gov/Archives/edgar/data/96869/000009686920000007/exhibit1047-gregbseverance.htm" TargetMode="External"/><Relationship Id="rId103" Type="http://schemas.openxmlformats.org/officeDocument/2006/relationships/hyperlink" Target="http://www.sec.gov/Archives/edgar/data/96869/000009686921000011/ex1048mrc4llc.htm" TargetMode="External"/><Relationship Id="rId104" Type="http://schemas.openxmlformats.org/officeDocument/2006/relationships/hyperlink" Target="http://www.sec.gov/Archives/edgar/data/96869/000009686922000005/exhibit1048centennialcrf.htm" TargetMode="External"/><Relationship Id="rId105" Type="http://schemas.openxmlformats.org/officeDocument/2006/relationships/hyperlink" Target="http://www.sec.gov/Archives/edgar/data/96869/000009686922000005/exhibit1050trc-mrcmulti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2022-05-09T14:40:41Z</dcterms:created>
  <dcterms:modified xsi:type="dcterms:W3CDTF">2022-05-09T14:40:41Z</dcterms:modified>
</cp:coreProperties>
</file>