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(Mark One)</w:t>
      </w:r>
    </w:p>
    <w:p>
      <w:pPr>
        <w:spacing w:after="0" w:line="260" w:lineRule="exact"/>
        <w:rPr>
          <w:sz w:val="24"/>
          <w:szCs w:val="24"/>
          <w:color w:val="auto"/>
        </w:rPr>
      </w:pPr>
    </w:p>
    <w:p>
      <w:pPr>
        <w:jc w:val="center"/>
        <w:ind w:left="3860" w:right="1300" w:hanging="2450"/>
        <w:spacing w:after="0" w:line="283" w:lineRule="auto"/>
        <w:tabs>
          <w:tab w:leader="none" w:pos="161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2025</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1600" w:hanging="196"/>
        <w:spacing w:after="0"/>
        <w:tabs>
          <w:tab w:leader="none" w:pos="1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9" w:lineRule="exact"/>
        <w:rPr>
          <w:sz w:val="24"/>
          <w:szCs w:val="24"/>
          <w:color w:val="auto"/>
        </w:rPr>
      </w:pPr>
    </w:p>
    <w:p>
      <w:pPr>
        <w:ind w:left="396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3253740</wp:posOffset>
            </wp:positionH>
            <wp:positionV relativeFrom="paragraph">
              <wp:posOffset>109855</wp:posOffset>
            </wp:positionV>
            <wp:extent cx="63436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TEJON RANCH CO.</w:t>
      </w:r>
    </w:p>
    <w:p>
      <w:pPr>
        <w:spacing w:after="0" w:line="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77-0196136</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4436 Lebec Road, P.O. Box 1000, Lebec, California 93243</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(661) 248-3000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$0.50 par value</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TRC</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355" w:lineRule="exact"/>
        <w:rPr>
          <w:sz w:val="24"/>
          <w:szCs w:val="24"/>
          <w:color w:val="auto"/>
        </w:rPr>
      </w:pPr>
    </w:p>
    <w:p>
      <w:pPr>
        <w:ind w:left="20" w:right="260"/>
        <w:spacing w:after="0" w:line="18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7" w:lineRule="exact"/>
        <w:rPr>
          <w:sz w:val="24"/>
          <w:szCs w:val="24"/>
          <w:color w:val="auto"/>
        </w:rPr>
      </w:pPr>
    </w:p>
    <w:p>
      <w:pPr>
        <w:ind w:left="20" w:right="280"/>
        <w:spacing w:after="0" w:line="19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7" w:lineRule="exact"/>
        <w:rPr>
          <w:sz w:val="24"/>
          <w:szCs w:val="24"/>
          <w:color w:val="auto"/>
        </w:rPr>
      </w:pPr>
    </w:p>
    <w:p>
      <w:pPr>
        <w:ind w:left="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954" w:right="439" w:bottom="1440" w:gutter="0" w:footer="0" w:header="0"/>
        </w:sectPr>
      </w:pPr>
    </w:p>
    <w:p>
      <w:pPr>
        <w:spacing w:after="0" w:line="105" w:lineRule="exact"/>
        <w:rPr>
          <w:sz w:val="24"/>
          <w:szCs w:val="24"/>
          <w:color w:val="auto"/>
        </w:rPr>
      </w:pPr>
    </w:p>
    <w:p>
      <w:pPr>
        <w:ind w:left="204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99" w:lineRule="exact"/>
        <w:rPr>
          <w:sz w:val="24"/>
          <w:szCs w:val="24"/>
          <w:color w:val="auto"/>
        </w:rPr>
      </w:pPr>
    </w:p>
    <w:p>
      <w:pPr>
        <w:sectPr>
          <w:pgSz w:w="11900" w:h="16838" w:orient="portrait"/>
          <w:cols w:equalWidth="0" w:num="2">
            <w:col w:w="4540" w:space="720"/>
            <w:col w:w="5880"/>
          </w:cols>
          <w:pgMar w:left="320" w:top="954" w:right="439" w:bottom="1440" w:gutter="0" w:footer="0" w:header="0"/>
          <w:type w:val="continuous"/>
        </w:sectPr>
      </w:pPr>
    </w:p>
    <w:p>
      <w:pPr>
        <w:ind w:left="2120"/>
        <w:spacing w:after="0" w:line="196"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94" w:lineRule="exact"/>
        <w:rPr>
          <w:sz w:val="24"/>
          <w:szCs w:val="24"/>
          <w:color w:val="auto"/>
        </w:rPr>
      </w:pPr>
    </w:p>
    <w:p>
      <w:pPr>
        <w:sectPr>
          <w:pgSz w:w="11900" w:h="16838" w:orient="portrait"/>
          <w:cols w:equalWidth="0" w:num="2">
            <w:col w:w="3840" w:space="720"/>
            <w:col w:w="6580"/>
          </w:cols>
          <w:pgMar w:left="320" w:top="954" w:right="439" w:bottom="1440" w:gutter="0" w:footer="0" w:header="0"/>
          <w:type w:val="continuous"/>
        </w:sectPr>
      </w:pPr>
    </w:p>
    <w:p>
      <w:pPr>
        <w:jc w:val="center"/>
        <w:ind w:right="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140"/>
          </w:cols>
          <w:pgMar w:left="320" w:top="954" w:right="439" w:bottom="1440" w:gutter="0" w:footer="0" w:header="0"/>
          <w:type w:val="continuous"/>
        </w:sectPr>
      </w:pPr>
    </w:p>
    <w:p>
      <w:pPr>
        <w:spacing w:after="0" w:line="206" w:lineRule="exact"/>
        <w:rPr>
          <w:sz w:val="24"/>
          <w:szCs w:val="24"/>
          <w:color w:val="auto"/>
        </w:rPr>
      </w:pPr>
    </w:p>
    <w:p>
      <w:pPr>
        <w:ind w:left="20" w:right="460"/>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the Company’s outstanding shares of Common Stock on October 31, 2025 was 26,893,955.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54" w:right="4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94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FINANCIAL INFORMATION</w:t>
            </w: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9"/>
        </w:trPr>
        <w:tc>
          <w:tcPr>
            <w:tcW w:w="820" w:type="dxa"/>
            <w:vAlign w:val="bottom"/>
            <w:vMerge w:val="continue"/>
          </w:tcPr>
          <w:p>
            <w:pPr>
              <w:spacing w:after="0"/>
              <w:rPr>
                <w:sz w:val="18"/>
                <w:szCs w:val="18"/>
                <w:color w:val="auto"/>
              </w:rPr>
            </w:pPr>
          </w:p>
        </w:tc>
        <w:tc>
          <w:tcPr>
            <w:tcW w:w="94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78"/>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Balance Sheets as of September 30, 2025 (unaudited) and December 31, 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78"/>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Consolidated Statements of Operations for the Three and Nine Months Ended September 30, 2025 and 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Consolidated Statements of Comprehensive Income (Loss) for the Three and Nine Months Ended September 30,</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 and 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Consolidated Statements of Cash Flows for the Nine Months Ended September 30, 2025 and 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Consolidated Statements of Changes in Equity for the Three and Nine Months Ended September 30, 2025 and 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to Unaudited Consolidated Financial Statements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Controls and Procedures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Mine Safety Disclosures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392"/>
        </w:trPr>
        <w:tc>
          <w:tcPr>
            <w:tcW w:w="10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864"/>
        </w:trPr>
        <w:tc>
          <w:tcPr>
            <w:tcW w:w="820" w:type="dxa"/>
            <w:vAlign w:val="bottom"/>
          </w:tcPr>
          <w:p>
            <w:pPr>
              <w:spacing w:after="0"/>
              <w:rPr>
                <w:sz w:val="24"/>
                <w:szCs w:val="24"/>
                <w:color w:val="auto"/>
              </w:rPr>
            </w:pPr>
          </w:p>
        </w:tc>
        <w:tc>
          <w:tcPr>
            <w:tcW w:w="948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9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8"/>
          <w:szCs w:val="18"/>
          <w:b w:val="1"/>
          <w:bCs w:val="1"/>
          <w:color w:val="006EBF"/>
        </w:rPr>
        <w:t>Glossary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initialisms or acronyms may be used in this document and shall be defined as set forth below:</w:t>
      </w:r>
    </w:p>
    <w:p>
      <w:pPr>
        <w:sectPr>
          <w:pgSz w:w="11900" w:h="16838" w:orient="portrait"/>
          <w:cols w:equalWidth="0" w:num="1">
            <w:col w:w="10119"/>
          </w:cols>
          <w:pgMar w:left="340" w:top="887" w:right="1440" w:bottom="1440" w:gutter="0" w:footer="0" w:header="0"/>
        </w:sect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CEQA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FASB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GSP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NLER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PEF</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Kern Incentive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Standards Codification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Standards Update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Antelope Valley East Kern Water Agency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Centennial Founders,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 for Biological Diversity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Environmental Quality 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Community Facilities District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Native Plant Society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Impact Report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Accounting Standards Board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Trade Zone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Accepted Accounting Principles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Greenhouse Gas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Groundwater Sustainability Plan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Village at Tejon Ranch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Liabilities to Equity Ratio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Pastoria Energy Facility, LLC</w:t>
      </w:r>
    </w:p>
    <w:p>
      <w:pPr>
        <w:spacing w:after="0" w:line="23" w:lineRule="exact"/>
        <w:rPr>
          <w:sz w:val="20"/>
          <w:szCs w:val="20"/>
          <w:color w:val="auto"/>
        </w:rPr>
      </w:pPr>
    </w:p>
    <w:p>
      <w:pPr>
        <w:sectPr>
          <w:pgSz w:w="11900" w:h="16838" w:orient="portrait"/>
          <w:cols w:equalWidth="0" w:num="2">
            <w:col w:w="1600" w:space="720"/>
            <w:col w:w="7799"/>
          </w:cols>
          <w:pgMar w:left="340" w:top="887"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RCL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TA/Petro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TCWD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TRCC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TRPFFA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WRMWSD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Revolving Credit Line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Tejon Ranch Conservation and Land Use Agreement, a.k.a. Ranch Wide Agreement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Overnight Financing Rate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Water Project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Petro Travel Plaza Holdings,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Tejon-Castac Water District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Tejon Ranch 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Tejon Ranch Commerce Center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Tejon Ranch Public Facilities Financing Authority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Wheeler Ridge Maricopa Water Storage District</w:t>
      </w:r>
    </w:p>
    <w:p>
      <w:pPr>
        <w:spacing w:after="0" w:line="200" w:lineRule="exact"/>
        <w:rPr>
          <w:sz w:val="20"/>
          <w:szCs w:val="20"/>
          <w:color w:val="auto"/>
        </w:rPr>
      </w:pPr>
    </w:p>
    <w:p>
      <w:pPr>
        <w:sectPr>
          <w:pgSz w:w="11900" w:h="16838" w:orient="portrait"/>
          <w:cols w:equalWidth="0" w:num="2">
            <w:col w:w="1600" w:space="720"/>
            <w:col w:w="7799"/>
          </w:cols>
          <w:pgMar w:left="340" w:top="8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87" w:right="1440"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19"/>
                <w:szCs w:val="19"/>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34"/>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(unaudited)</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26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39,267</w:t>
            </w:r>
          </w:p>
        </w:tc>
        <w:tc>
          <w:tcPr>
            <w:tcW w:w="0" w:type="dxa"/>
            <w:vAlign w:val="bottom"/>
          </w:tcPr>
          <w:p>
            <w:pPr>
              <w:spacing w:after="0"/>
              <w:rPr>
                <w:sz w:val="1"/>
                <w:szCs w:val="1"/>
                <w:color w:val="auto"/>
              </w:rPr>
            </w:pPr>
          </w:p>
        </w:tc>
      </w:tr>
      <w:tr>
        <w:trPr>
          <w:trHeight w:val="229"/>
        </w:trPr>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Marketable securities - available-for-sale</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14,441</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0" w:type="dxa"/>
            <w:vAlign w:val="bottom"/>
          </w:tcPr>
          <w:p>
            <w:pPr>
              <w:spacing w:after="0"/>
              <w:rPr>
                <w:sz w:val="1"/>
                <w:szCs w:val="1"/>
                <w:color w:val="auto"/>
              </w:rPr>
            </w:pPr>
          </w:p>
        </w:tc>
      </w:tr>
      <w:tr>
        <w:trPr>
          <w:trHeight w:val="229"/>
        </w:trPr>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69,402</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and improvements - held for lease, net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16,253</w:t>
            </w:r>
          </w:p>
        </w:tc>
        <w:tc>
          <w:tcPr>
            <w:tcW w:w="0" w:type="dxa"/>
            <w:vAlign w:val="bottom"/>
          </w:tcPr>
          <w:p>
            <w:pPr>
              <w:spacing w:after="0"/>
              <w:rPr>
                <w:sz w:val="1"/>
                <w:szCs w:val="1"/>
                <w:color w:val="auto"/>
              </w:rPr>
            </w:pPr>
          </w:p>
        </w:tc>
      </w:tr>
      <w:tr>
        <w:trPr>
          <w:trHeight w:val="184"/>
        </w:trPr>
        <w:tc>
          <w:tcPr>
            <w:tcW w:w="7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Real estate development (includes $127,120 at September 30, 2025 and $124,136 at December 31,</w:t>
            </w: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attributable to CFL (Note 14))</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377,905</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56,387</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28,980</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water assets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55,091</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607,998</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Trade 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16,796</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66,942</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deferred gains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119,042</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Tejon Ranch Co. stockholders’ equity</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Common stock, $0.50 par value per share: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Authorized shares - 50,000,000</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2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Issued and outstanding shares - 26,893,955 at September 30, 2025 and 26,822,768 at December 31,</w:t>
            </w:r>
          </w:p>
        </w:tc>
        <w:tc>
          <w:tcPr>
            <w:tcW w:w="1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348,497</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111,598</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Tejon Ranch Co. stockholders’ equity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473,594</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15,362</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488,956</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607,998</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 except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44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40" w:type="dxa"/>
            <w:vAlign w:val="bottom"/>
          </w:tcPr>
          <w:p>
            <w:pPr>
              <w:spacing w:after="0"/>
              <w:rPr>
                <w:sz w:val="20"/>
                <w:szCs w:val="20"/>
                <w:color w:val="auto"/>
              </w:rPr>
            </w:pPr>
          </w:p>
        </w:tc>
        <w:tc>
          <w:tcPr>
            <w:tcW w:w="30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0" w:type="dxa"/>
            <w:vAlign w:val="bottom"/>
          </w:tcPr>
          <w:p>
            <w:pPr>
              <w:spacing w:after="0"/>
              <w:rPr>
                <w:sz w:val="1"/>
                <w:szCs w:val="1"/>
                <w:color w:val="auto"/>
              </w:rPr>
            </w:pPr>
          </w:p>
        </w:tc>
      </w:tr>
      <w:tr>
        <w:trPr>
          <w:trHeight w:val="229"/>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Mineral resources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Farming</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Ranch operations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23,951</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 resort/residential</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Mineral resources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Farming</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Ranch operations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 expenses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(11,324)</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income</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loss, net</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 net</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156"/>
        </w:trPr>
        <w:tc>
          <w:tcPr>
            <w:tcW w:w="44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before equity in earnings of unconsolidated joint</w:t>
            </w:r>
          </w:p>
        </w:tc>
        <w:tc>
          <w:tcPr>
            <w:tcW w:w="10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ventures and income tax benefit</w:t>
            </w:r>
          </w:p>
        </w:tc>
        <w:tc>
          <w:tcPr>
            <w:tcW w:w="10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earnings of unconsolidated joint ventures, net</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benefit</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02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income (loss) per share attributable to common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80" w:type="dxa"/>
            <w:vAlign w:val="bottom"/>
            <w:vMerge w:val="continue"/>
          </w:tcPr>
          <w:p>
            <w:pPr>
              <w:spacing w:after="0"/>
              <w:rPr>
                <w:sz w:val="10"/>
                <w:szCs w:val="10"/>
                <w:color w:val="auto"/>
              </w:rPr>
            </w:pPr>
          </w:p>
        </w:tc>
        <w:tc>
          <w:tcPr>
            <w:tcW w:w="102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0"/>
                <w:szCs w:val="10"/>
                <w:color w:val="auto"/>
              </w:rPr>
            </w:pP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0"/>
                <w:szCs w:val="10"/>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21"/>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basic</w:t>
            </w:r>
          </w:p>
        </w:tc>
        <w:tc>
          <w:tcPr>
            <w:tcW w:w="10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(loss) per share attributable to common</w:t>
            </w:r>
          </w:p>
        </w:tc>
        <w:tc>
          <w:tcPr>
            <w:tcW w:w="1020" w:type="dxa"/>
            <w:vAlign w:val="bottom"/>
            <w:vMerge w:val="restart"/>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36"/>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diluted</w:t>
            </w: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324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20" w:type="dxa"/>
            <w:vAlign w:val="bottom"/>
          </w:tcPr>
          <w:p>
            <w:pPr>
              <w:spacing w:after="0"/>
              <w:rPr>
                <w:sz w:val="20"/>
                <w:szCs w:val="20"/>
                <w:color w:val="auto"/>
              </w:rPr>
            </w:pPr>
          </w:p>
        </w:tc>
        <w:tc>
          <w:tcPr>
            <w:tcW w:w="29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10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 loss related to other comprehensive loss items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Comprehensive income (loss) attributable to non-controlling</w:t>
            </w: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55"/>
        </w:trPr>
        <w:tc>
          <w:tcPr>
            <w:tcW w:w="48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Comprehensive income (loss) attributable to common</w:t>
            </w:r>
          </w:p>
        </w:tc>
        <w:tc>
          <w:tcPr>
            <w:tcW w:w="1000" w:type="dxa"/>
            <w:vAlign w:val="bottom"/>
            <w:tcBorders>
              <w:top w:val="single" w:sz="8" w:color="auto"/>
            </w:tcBorders>
            <w:vMerge w:val="restart"/>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36"/>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00" w:type="dxa"/>
            <w:vAlign w:val="bottom"/>
            <w:tcBorders>
              <w:bottom w:val="single" w:sz="8" w:color="auto"/>
            </w:tcBorders>
            <w:gridSpan w:val="7"/>
          </w:tcPr>
          <w:p>
            <w:pPr>
              <w:jc w:val="right"/>
              <w:ind w:right="39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7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774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30"/>
        </w:trPr>
        <w:tc>
          <w:tcPr>
            <w:tcW w:w="7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0" w:type="dxa"/>
            <w:vAlign w:val="bottom"/>
          </w:tcPr>
          <w:p>
            <w:pPr>
              <w:spacing w:after="0"/>
              <w:rPr>
                <w:sz w:val="1"/>
                <w:szCs w:val="1"/>
                <w:color w:val="auto"/>
              </w:rPr>
            </w:pPr>
          </w:p>
        </w:tc>
      </w:tr>
      <w:tr>
        <w:trPr>
          <w:trHeight w:val="230"/>
        </w:trPr>
        <w:tc>
          <w:tcPr>
            <w:tcW w:w="77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Amortization of discount of marketable securities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earnings of unconsolidated joint ventures, net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0" w:type="dxa"/>
            <w:vAlign w:val="bottom"/>
          </w:tcPr>
          <w:p>
            <w:pPr>
              <w:spacing w:after="0"/>
              <w:rPr>
                <w:sz w:val="1"/>
                <w:szCs w:val="1"/>
                <w:color w:val="auto"/>
              </w:rPr>
            </w:pPr>
          </w:p>
        </w:tc>
      </w:tr>
      <w:tr>
        <w:trPr>
          <w:trHeight w:val="229"/>
        </w:trPr>
        <w:tc>
          <w:tcPr>
            <w:tcW w:w="77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Non-cash retirement plan expense</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Gain on sale of property plant and equipment</w:t>
            </w:r>
          </w:p>
        </w:tc>
        <w:tc>
          <w:tcPr>
            <w:tcW w:w="10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77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0" w:type="dxa"/>
            <w:vAlign w:val="bottom"/>
          </w:tcPr>
          <w:p>
            <w:pPr>
              <w:spacing w:after="0"/>
              <w:rPr>
                <w:sz w:val="1"/>
                <w:szCs w:val="1"/>
                <w:color w:val="auto"/>
              </w:rPr>
            </w:pPr>
          </w:p>
        </w:tc>
      </w:tr>
      <w:tr>
        <w:trPr>
          <w:trHeight w:val="229"/>
        </w:trPr>
        <w:tc>
          <w:tcPr>
            <w:tcW w:w="77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Excess tax provision (benefit) from stock-based compensation</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of earnings from unconsolidated joint ventures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30"/>
        </w:trPr>
        <w:tc>
          <w:tcPr>
            <w:tcW w:w="7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Receivables, inventories, prepaids and other assets, net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Current liabilities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29"/>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Maturities and sales of marketable securities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85,769</w:t>
            </w:r>
          </w:p>
        </w:tc>
        <w:tc>
          <w:tcPr>
            <w:tcW w:w="0" w:type="dxa"/>
            <w:vAlign w:val="bottom"/>
          </w:tcPr>
          <w:p>
            <w:pPr>
              <w:spacing w:after="0"/>
              <w:rPr>
                <w:sz w:val="1"/>
                <w:szCs w:val="1"/>
                <w:color w:val="auto"/>
              </w:rPr>
            </w:pPr>
          </w:p>
        </w:tc>
      </w:tr>
      <w:tr>
        <w:trPr>
          <w:trHeight w:val="229"/>
        </w:trPr>
        <w:tc>
          <w:tcPr>
            <w:tcW w:w="7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Funds invested in marketable securities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(32,387)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(66,640)</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and equipment expenditures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(49,393)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(40,995)</w:t>
            </w:r>
          </w:p>
        </w:tc>
        <w:tc>
          <w:tcPr>
            <w:tcW w:w="0" w:type="dxa"/>
            <w:vAlign w:val="bottom"/>
          </w:tcPr>
          <w:p>
            <w:pPr>
              <w:spacing w:after="0"/>
              <w:rPr>
                <w:sz w:val="1"/>
                <w:szCs w:val="1"/>
                <w:color w:val="auto"/>
              </w:rPr>
            </w:pPr>
          </w:p>
        </w:tc>
      </w:tr>
      <w:tr>
        <w:trPr>
          <w:trHeight w:val="230"/>
        </w:trPr>
        <w:tc>
          <w:tcPr>
            <w:tcW w:w="7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Reimbursement proceeds from Community Facilities District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Investment in unconsolidated joint ventures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of equity from unconsolidated joint ventures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Investments in water assets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(56,100)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w:t>
            </w:r>
          </w:p>
        </w:tc>
        <w:tc>
          <w:tcPr>
            <w:tcW w:w="0" w:type="dxa"/>
            <w:vAlign w:val="bottom"/>
          </w:tcPr>
          <w:p>
            <w:pPr>
              <w:spacing w:after="0"/>
              <w:rPr>
                <w:sz w:val="1"/>
                <w:szCs w:val="1"/>
                <w:color w:val="auto"/>
              </w:rPr>
            </w:pPr>
          </w:p>
        </w:tc>
      </w:tr>
      <w:tr>
        <w:trPr>
          <w:trHeight w:val="230"/>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Taxes on vested stock grants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0" w:type="dxa"/>
            <w:vAlign w:val="bottom"/>
          </w:tcPr>
          <w:p>
            <w:pPr>
              <w:spacing w:after="0"/>
              <w:rPr>
                <w:sz w:val="1"/>
                <w:szCs w:val="1"/>
                <w:color w:val="auto"/>
              </w:rPr>
            </w:pPr>
          </w:p>
        </w:tc>
      </w:tr>
      <w:tr>
        <w:trPr>
          <w:trHeight w:val="230"/>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(35,696)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32,407</w:t>
            </w:r>
          </w:p>
        </w:tc>
        <w:tc>
          <w:tcPr>
            <w:tcW w:w="0" w:type="dxa"/>
            <w:vAlign w:val="bottom"/>
          </w:tcPr>
          <w:p>
            <w:pPr>
              <w:spacing w:after="0"/>
              <w:rPr>
                <w:sz w:val="1"/>
                <w:szCs w:val="1"/>
                <w:color w:val="auto"/>
              </w:rPr>
            </w:pPr>
          </w:p>
        </w:tc>
      </w:tr>
      <w:tr>
        <w:trPr>
          <w:trHeight w:val="22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04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27,869</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77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amounts on consolidated balance sheets: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27,369</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(Shown in prepaid expenses and other current assets)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04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27,869</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capital expenditures included in current liabilities</w:t>
            </w:r>
          </w:p>
        </w:tc>
        <w:tc>
          <w:tcPr>
            <w:tcW w:w="1040" w:type="dxa"/>
            <w:vAlign w:val="bottom"/>
          </w:tcPr>
          <w:p>
            <w:pPr>
              <w:jc w:val="right"/>
              <w:ind w:right="87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0" w:type="dxa"/>
            <w:vAlign w:val="bottom"/>
          </w:tcPr>
          <w:p>
            <w:pPr>
              <w:spacing w:after="0"/>
              <w:rPr>
                <w:sz w:val="19"/>
                <w:szCs w:val="19"/>
                <w:color w:val="auto"/>
              </w:rPr>
            </w:pPr>
          </w:p>
        </w:tc>
        <w:tc>
          <w:tcPr>
            <w:tcW w:w="4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2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Accrued long-term water assets included in current liabilities</w:t>
            </w:r>
          </w:p>
        </w:tc>
        <w:tc>
          <w:tcPr>
            <w:tcW w:w="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TEJON RANCH CO. AND SUBSIDIARIES UNAUDITED CONSOLIDATED STATEMENTS OF CHANGES IN EQUITY </w:t>
      </w:r>
      <w:r>
        <w:rPr>
          <w:rFonts w:ascii="Times New Roman" w:cs="Times New Roman" w:eastAsia="Times New Roman" w:hAnsi="Times New Roman"/>
          <w:sz w:val="18"/>
          <w:szCs w:val="18"/>
          <w:color w:val="auto"/>
        </w:rPr>
        <w:t>(In thousands, except shares outstanding)</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Common</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Additional</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c>
          <w:tcPr>
            <w:tcW w:w="140" w:type="dxa"/>
            <w:vAlign w:val="bottom"/>
          </w:tcPr>
          <w:p>
            <w:pPr>
              <w:spacing w:after="0"/>
              <w:rPr>
                <w:sz w:val="17"/>
                <w:szCs w:val="17"/>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Non-</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Common</w:t>
            </w:r>
          </w:p>
        </w:tc>
        <w:tc>
          <w:tcPr>
            <w:tcW w:w="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Retained</w:t>
            </w: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11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Stock Shares</w:t>
            </w: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8"/>
              </w:rPr>
              <w:t>Paid-In</w:t>
            </w:r>
          </w:p>
        </w:tc>
        <w:tc>
          <w:tcPr>
            <w:tcW w:w="13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900" w:type="dxa"/>
            <w:vAlign w:val="bottom"/>
            <w:gridSpan w:val="2"/>
            <w:vMerge w:val="continue"/>
          </w:tcPr>
          <w:p>
            <w:pPr>
              <w:spacing w:after="0"/>
              <w:rPr>
                <w:sz w:val="15"/>
                <w:szCs w:val="15"/>
                <w:color w:val="auto"/>
              </w:rPr>
            </w:pPr>
          </w:p>
        </w:tc>
        <w:tc>
          <w:tcPr>
            <w:tcW w:w="11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Stockholders'</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8"/>
              </w:rPr>
              <w:t>controlling</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Outstanding</w:t>
            </w:r>
          </w:p>
        </w:tc>
        <w:tc>
          <w:tcPr>
            <w:tcW w:w="140" w:type="dxa"/>
            <w:vAlign w:val="bottom"/>
          </w:tcPr>
          <w:p>
            <w:pPr>
              <w:spacing w:after="0"/>
              <w:rPr>
                <w:sz w:val="21"/>
                <w:szCs w:val="21"/>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1"/>
                <w:szCs w:val="21"/>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Capital</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Income (Loss)</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Pr>
          <w:p>
            <w:pPr>
              <w:spacing w:after="0"/>
              <w:rPr>
                <w:sz w:val="21"/>
                <w:szCs w:val="21"/>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Equity</w:t>
            </w:r>
          </w:p>
        </w:tc>
        <w:tc>
          <w:tcPr>
            <w:tcW w:w="14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Interest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Total Equity</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26,880,668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349,592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$ 108,422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471,532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486,891</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issuance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2025</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26,893,955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349,604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$ 110,092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473,230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488,590</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660" w:type="dxa"/>
            <w:vAlign w:val="bottom"/>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26,806,409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347,040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$ 108,951</w:t>
            </w:r>
          </w:p>
        </w:tc>
        <w:tc>
          <w:tcPr>
            <w:tcW w:w="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469,220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15,363</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484,583</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issuance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26,814,680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$ 107,115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483,683</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Common</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Additional</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c>
          <w:tcPr>
            <w:tcW w:w="140" w:type="dxa"/>
            <w:vAlign w:val="bottom"/>
          </w:tcPr>
          <w:p>
            <w:pPr>
              <w:spacing w:after="0"/>
              <w:rPr>
                <w:sz w:val="17"/>
                <w:szCs w:val="17"/>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Non-</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11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Stock Shares</w:t>
            </w:r>
          </w:p>
        </w:tc>
        <w:tc>
          <w:tcPr>
            <w:tcW w:w="88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8"/>
              </w:rPr>
              <w:t>Common</w:t>
            </w:r>
          </w:p>
        </w:tc>
        <w:tc>
          <w:tcPr>
            <w:tcW w:w="140" w:type="dxa"/>
            <w:vAlign w:val="bottom"/>
          </w:tcPr>
          <w:p>
            <w:pPr>
              <w:spacing w:after="0"/>
              <w:rPr>
                <w:sz w:val="16"/>
                <w:szCs w:val="16"/>
                <w:color w:val="auto"/>
              </w:rPr>
            </w:pPr>
          </w:p>
        </w:tc>
        <w:tc>
          <w:tcPr>
            <w:tcW w:w="82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8"/>
              </w:rPr>
              <w:t>Paid-In</w:t>
            </w:r>
          </w:p>
        </w:tc>
        <w:tc>
          <w:tcPr>
            <w:tcW w:w="130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90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112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Stockholders'</w:t>
            </w:r>
          </w:p>
        </w:tc>
        <w:tc>
          <w:tcPr>
            <w:tcW w:w="140" w:type="dxa"/>
            <w:vAlign w:val="bottom"/>
          </w:tcPr>
          <w:p>
            <w:pPr>
              <w:spacing w:after="0"/>
              <w:rPr>
                <w:sz w:val="16"/>
                <w:szCs w:val="16"/>
                <w:color w:val="auto"/>
              </w:rPr>
            </w:pPr>
          </w:p>
        </w:tc>
        <w:tc>
          <w:tcPr>
            <w:tcW w:w="112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8"/>
              </w:rPr>
              <w:t>controlling</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Total Equity</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Outstanding</w:t>
            </w:r>
          </w:p>
        </w:tc>
        <w:tc>
          <w:tcPr>
            <w:tcW w:w="140" w:type="dxa"/>
            <w:vAlign w:val="bottom"/>
          </w:tcPr>
          <w:p>
            <w:pPr>
              <w:spacing w:after="0"/>
              <w:rPr>
                <w:sz w:val="19"/>
                <w:szCs w:val="19"/>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19"/>
                <w:szCs w:val="19"/>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Capital</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Income (Loss)</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Pr>
          <w:p>
            <w:pPr>
              <w:spacing w:after="0"/>
              <w:rPr>
                <w:sz w:val="19"/>
                <w:szCs w:val="19"/>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Equity</w:t>
            </w:r>
          </w:p>
        </w:tc>
        <w:tc>
          <w:tcPr>
            <w:tcW w:w="14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Interest</w:t>
            </w: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26,822,768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348,497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$ 111,598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473,594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488,956</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issuance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176"/>
        </w:trPr>
        <w:tc>
          <w:tcPr>
            <w:tcW w:w="2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Shares withheld for taxes and tax</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benefit of vested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26,893,955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$ 110,092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488,590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66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26,770,545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$ 108,908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483,096</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issuance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0" w:type="dxa"/>
            <w:vAlign w:val="bottom"/>
          </w:tcPr>
          <w:p>
            <w:pPr>
              <w:spacing w:after="0"/>
              <w:rPr>
                <w:sz w:val="1"/>
                <w:szCs w:val="1"/>
                <w:color w:val="auto"/>
              </w:rPr>
            </w:pPr>
          </w:p>
        </w:tc>
      </w:tr>
      <w:tr>
        <w:trPr>
          <w:trHeight w:val="176"/>
        </w:trPr>
        <w:tc>
          <w:tcPr>
            <w:tcW w:w="2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Shares withheld for taxes and tax</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benefit of vested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26,814,680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$ 107,115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483,683</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45"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summarized information of Tejon Ranch Co. and its subsidiaries (the Company, TRC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its consolidated financial statements.</w:t>
      </w:r>
    </w:p>
    <w:p>
      <w:pPr>
        <w:spacing w:after="0" w:line="4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periods ended September 30, 2025 and 2024 include the consolidation of CFL’s statements of operations within the resort/residential real estate development segment, statements of changes in equity, and statements of cash flows. The Company’s September 30, 2025 and December 31, 2024 balance sheets are presented on a consolidated basis, including the consolidation of CFL.</w:t>
      </w:r>
    </w:p>
    <w:p>
      <w:pPr>
        <w:spacing w:after="0" w:line="54"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The Company has identified five reportable segments: commercial/industrial real estate development, resort/residential real estate development, mineral resources, farming, and ranch operations. Information for the Company’s reportable segments is presented in its Consolidated Statements of Operations. The Company’s reportable segments follow the same accounting policies used for the Company’s consolidated financial statements. The Company uses segment profit or loss and equity in earnings of unconsolidated joint ventures as the primary measures of profitability to evaluate operating performance and to allocate capital resources.</w:t>
      </w:r>
    </w:p>
    <w:p>
      <w:pPr>
        <w:spacing w:after="0" w:line="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results of the period reported herein are not indicative of the results to be expected for the full year due to the seasonal nature of the Company’s agricultural activities, water activities, and timing of real estate sales and leasing activities. Historically, the Company’s largest percentages of farming revenues are recognized during the third and fourth quarters of the fiscal year.</w:t>
      </w:r>
    </w:p>
    <w:p>
      <w:pPr>
        <w:spacing w:after="0" w:line="4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further information and a summary of significant accounting policies, refer to the Consolidated Financial Statements and notes thereto included in the Company’s Annual Report on Form 10-K for the year ended December 31, 2024.</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financial instruments are carried on the consolidated balance sheets at cost or amortized cost basis, which approximates fair value due to their short-term and highly liquid nature. These instruments include cash and cash equivalents, restricted cash, time deposits, accounts receivable, security deposits held for customers, accounts payable, and other accrued liabilities. The fair value of the revolving line of credit also approximates its carrying value, as the interest rate is variable and approximates prevailing market interest rates for similar debt arrangements.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0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Restricted cash is included in Prepaid expenses and other current assets within the Consolidated Balance Sheets and primarily relates to funds held in escrow. The Company had $500,000 of restricted cash as of September 30, 2025 and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Adopted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 - Joint Venture Formations</w:t>
      </w:r>
    </w:p>
    <w:p>
      <w:pPr>
        <w:spacing w:after="0" w:line="14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In August 2023, FASB issued ASU No. 2023-05, "Business Combinations - Joint Venture Formations." This ASU addresses the accounting for contributions made to a joint venture, upon formation, in a joint venture's separate financial statements. The pronouncement requires a joint venture to initially measure contributions at fair value upon formation, which is more relevant than the carrying amounts of the contributed net assets and would reduce equity method basis differences. The ASU is effective prospectively for all joint venture formations with a formation date on or after January 1, 2025. This pronouncement did not have a material effect on our consolidated financial statements.</w:t>
      </w:r>
    </w:p>
    <w:p>
      <w:pPr>
        <w:spacing w:after="0" w:line="125" w:lineRule="exact"/>
        <w:rPr>
          <w:sz w:val="20"/>
          <w:szCs w:val="20"/>
          <w:color w:val="auto"/>
        </w:rPr>
      </w:pPr>
    </w:p>
    <w:p>
      <w:pPr>
        <w:ind w:right="3020"/>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New Accounting Pronouncements and Climate Change Related Update by SEC Effective in Future Periods </w:t>
      </w:r>
      <w:r>
        <w:rPr>
          <w:rFonts w:ascii="Times New Roman" w:cs="Times New Roman" w:eastAsia="Times New Roman" w:hAnsi="Times New Roman"/>
          <w:sz w:val="18"/>
          <w:szCs w:val="18"/>
          <w:i w:val="1"/>
          <w:iCs w:val="1"/>
          <w:color w:val="auto"/>
        </w:rPr>
        <w:t>Income Taxes</w:t>
      </w:r>
    </w:p>
    <w:p>
      <w:pPr>
        <w:spacing w:after="0" w:line="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(Topic740) - Improvements to Income Tax Disclosures". This ASU requires public business entities to disclose a tabular rate reconciliation of both percentages and reporting currency amounts on an annual basis. The ASU also requires disclosure of information on the amount of income taxes paid disaggregated by federal, state and foreign taxes. This ASU is effective for annual periods beginning after December 15, 2024. The pronouncement is not expected to have a material effect on our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Rules to Enhance and Standardize Climate-related Disclosures for Investors</w:t>
      </w:r>
    </w:p>
    <w:p>
      <w:pPr>
        <w:spacing w:after="0" w:line="16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March 6, 2024, the SEC adopted final rules to require registrants to disclose certain climate-related information in registration statements and annual reports. On April 4, 2024, the SEC issued an order staying the final rules pending completion of judicial review of the petitions challenging the final rules. The order does not amend the compliance dates contemplated by the final rules, which are applicable to the Company for fiscal years beginning with the Company’s annual report on Form 10-K for the fiscal year ending December 31, 2027; however, the SEC disclosed in its litigation filings that it would publish a new effective date for the rules at the conclusion of its stay. On February 11, 2025, the SEC also indicated it would ask the court to hold on scheduling further arguments while the SEC reassessed its position in the litigation. Subsequently, on March 27, 2025, the SEC voted to cease defending the rule in court. Despite withdrawing its defense, the SEC has not formally rescinded the rule. We are continuing to evaluate the implications of the pending adoption of these requirements in light of this development, including potential impacts on our financial statement disclosures.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Disaggregation Disclosures</w:t>
      </w:r>
    </w:p>
    <w:p>
      <w:pPr>
        <w:spacing w:after="0" w:line="14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This ASU requires public business entities to disclose specified information about certain costs and expenses, including the amounts of purchases of inventory, employee compensation, depreciation, intangible asset amortization and depreciation, depletion and amortization recognized as part of oil- and gas-producing activities included in each relevant expense caption. The ASU also requires disclosure of a qualitative description of the amounts remaining in relevant expense captions that are not separately disaggregated quantitatively. This ASU is effective for annual reporting periods beginning after December 15, 2026. We are currently evaluating the impact of these requirements on our financial statement disclosures.</w:t>
      </w:r>
    </w:p>
    <w:p>
      <w:pPr>
        <w:spacing w:after="0" w:line="1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EQUITY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 (EPS)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based upon the weighted-average number of shares of common stock outstanding during reporting periods. Diluted net income (loss) per share attributable to common stockholders is based upon the weighted-average number of shares of common stock outstanding and the weighted-average number of shares outstanding assuming the issuance of common stock upon exercise of stock options, warrants to purchase common stock, and the vesting of restricted stock grants per ASC Topic 260, “Earnings Per Share.”</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34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32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26,890,979</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26,814,051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26,874,211</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26,801,044</w:t>
            </w:r>
          </w:p>
        </w:tc>
        <w:tc>
          <w:tcPr>
            <w:tcW w:w="0" w:type="dxa"/>
            <w:vAlign w:val="bottom"/>
          </w:tcPr>
          <w:p>
            <w:pPr>
              <w:spacing w:after="0"/>
              <w:rPr>
                <w:sz w:val="1"/>
                <w:szCs w:val="1"/>
                <w:color w:val="auto"/>
              </w:rPr>
            </w:pPr>
          </w:p>
        </w:tc>
      </w:tr>
      <w:tr>
        <w:trPr>
          <w:trHeight w:val="230"/>
        </w:trPr>
        <w:tc>
          <w:tcPr>
            <w:tcW w:w="440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Common stock equivalents</w:t>
            </w:r>
            <w:r>
              <w:rPr>
                <w:rFonts w:ascii="Times New Roman" w:cs="Times New Roman" w:eastAsia="Times New Roman" w:hAnsi="Times New Roman"/>
                <w:sz w:val="23"/>
                <w:szCs w:val="23"/>
                <w:color w:val="auto"/>
                <w:vertAlign w:val="superscript"/>
              </w:rPr>
              <w:t>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48,881</w:t>
            </w:r>
          </w:p>
        </w:tc>
        <w:tc>
          <w:tcPr>
            <w:tcW w:w="18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26,939,860</w:t>
            </w:r>
          </w:p>
        </w:tc>
        <w:tc>
          <w:tcPr>
            <w:tcW w:w="18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26,814,051</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26,874,211</w:t>
            </w:r>
          </w:p>
        </w:tc>
        <w:tc>
          <w:tcPr>
            <w:tcW w:w="14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26,801,044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-156845</wp:posOffset>
            </wp:positionV>
            <wp:extent cx="70891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ind w:left="60" w:right="160"/>
        <w:spacing w:after="0" w:line="212" w:lineRule="auto"/>
        <w:tabs>
          <w:tab w:leader="none" w:pos="143"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nine months ended September 30, 2025, 75,335 shares of restricted stock were excluded from the calculation of diluted net loss per share as the shares were antidilutive. For the three and nine months ended September 30, 2024, 83,668 and 101,754 shares of restricted stock were excluded from the calculation of diluted net loss per share as the shares were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-197485</wp:posOffset>
            </wp:positionV>
            <wp:extent cx="43033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11" w:name="page12"/>
    <w:bookmarkEnd w:id="11"/>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ASC Topic 320, “Investments – Debt and Equity Securities,” requires that an enterprise classify all debt securities as either held-to-maturity, trading or available-for-sale. The Company has elected to classify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ectPr>
          <w:pgSz w:w="11900" w:h="16838" w:orient="portrait"/>
          <w:cols w:equalWidth="0" w:num="1">
            <w:col w:w="11180"/>
          </w:cols>
          <w:pgMar w:left="320" w:top="1049" w:right="399" w:bottom="1440" w:gutter="0" w:footer="0" w:header="0"/>
        </w:sectPr>
      </w:pP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thousands)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Marketable Securities:</w:t>
      </w:r>
    </w:p>
    <w:p>
      <w:pPr>
        <w:spacing w:after="0" w:line="27" w:lineRule="exact"/>
        <w:rPr>
          <w:sz w:val="20"/>
          <w:szCs w:val="20"/>
          <w:color w:val="auto"/>
        </w:rPr>
      </w:pPr>
    </w:p>
    <w:p>
      <w:pPr>
        <w:jc w:val="right"/>
        <w:ind w:right="2940"/>
        <w:spacing w:after="0"/>
        <w:rPr>
          <w:sz w:val="20"/>
          <w:szCs w:val="20"/>
          <w:color w:val="auto"/>
        </w:rPr>
      </w:pPr>
      <w:r>
        <w:rPr>
          <w:rFonts w:ascii="Times New Roman" w:cs="Times New Roman" w:eastAsia="Times New Roman" w:hAnsi="Times New Roman"/>
          <w:sz w:val="17"/>
          <w:szCs w:val="17"/>
          <w:b w:val="1"/>
          <w:bCs w:val="1"/>
          <w:color w:val="auto"/>
        </w:rPr>
        <w:t>Certificates of deposit</w:t>
      </w:r>
    </w:p>
    <w:p>
      <w:pPr>
        <w:spacing w:after="0" w:line="34" w:lineRule="exact"/>
        <w:rPr>
          <w:sz w:val="20"/>
          <w:szCs w:val="20"/>
          <w:color w:val="auto"/>
        </w:rPr>
      </w:pPr>
    </w:p>
    <w:p>
      <w:pPr>
        <w:jc w:val="right"/>
        <w:ind w:right="2960"/>
        <w:spacing w:after="0"/>
        <w:rPr>
          <w:sz w:val="20"/>
          <w:szCs w:val="20"/>
          <w:color w:val="auto"/>
        </w:rPr>
      </w:pPr>
      <w:r>
        <w:rPr>
          <w:rFonts w:ascii="Times New Roman" w:cs="Times New Roman" w:eastAsia="Times New Roman" w:hAnsi="Times New Roman"/>
          <w:sz w:val="18"/>
          <w:szCs w:val="18"/>
          <w:color w:val="auto"/>
        </w:rPr>
        <w:t>with unrealized gains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Certificates of deposit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 Treasury and agency notes</w:t>
      </w:r>
    </w:p>
    <w:p>
      <w:pPr>
        <w:spacing w:after="0" w:line="31" w:lineRule="exact"/>
        <w:rPr>
          <w:sz w:val="20"/>
          <w:szCs w:val="20"/>
          <w:color w:val="auto"/>
        </w:rPr>
      </w:pPr>
    </w:p>
    <w:p>
      <w:pPr>
        <w:ind w:left="140" w:right="1180"/>
        <w:spacing w:after="0" w:line="277" w:lineRule="auto"/>
        <w:rPr>
          <w:sz w:val="20"/>
          <w:szCs w:val="20"/>
          <w:color w:val="auto"/>
        </w:rPr>
      </w:pPr>
      <w:r>
        <w:rPr>
          <w:rFonts w:ascii="Times New Roman" w:cs="Times New Roman" w:eastAsia="Times New Roman" w:hAnsi="Times New Roman"/>
          <w:sz w:val="18"/>
          <w:szCs w:val="18"/>
          <w:color w:val="auto"/>
        </w:rPr>
        <w:t>with unrealized losses for less than 12 months with unrealized gains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Fair Value</w:t>
            </w:r>
          </w:p>
        </w:tc>
        <w:tc>
          <w:tcPr>
            <w:tcW w:w="248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September 30, 2025</w:t>
            </w:r>
          </w:p>
        </w:tc>
        <w:tc>
          <w:tcPr>
            <w:tcW w:w="23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55"/>
        </w:trPr>
        <w:tc>
          <w:tcPr>
            <w:tcW w:w="960" w:type="dxa"/>
            <w:vAlign w:val="bottom"/>
            <w:vMerge w:val="continue"/>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Hierarchy</w:t>
            </w: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Cost</w:t>
            </w: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Fair Value</w:t>
            </w: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Cost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439"/>
        </w:trPr>
        <w:tc>
          <w:tcPr>
            <w:tcW w:w="960" w:type="dxa"/>
            <w:vAlign w:val="bottom"/>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3"/>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Level 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434"/>
        </w:trPr>
        <w:tc>
          <w:tcPr>
            <w:tcW w:w="9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-736600</wp:posOffset>
            </wp:positionV>
            <wp:extent cx="709803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-436245</wp:posOffset>
            </wp:positionV>
            <wp:extent cx="709803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-144780</wp:posOffset>
            </wp:positionV>
            <wp:extent cx="709803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640" w:space="720"/>
            <w:col w:w="5820"/>
          </w:cols>
          <w:pgMar w:left="320" w:top="1049" w:right="39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4460" w:type="dxa"/>
            <w:vAlign w:val="bottom"/>
            <w:tcBorders>
              <w:bottom w:val="single" w:sz="8" w:color="CCEEFF"/>
            </w:tcBorders>
          </w:tcPr>
          <w:p>
            <w:pPr>
              <w:ind w:left="360"/>
              <w:spacing w:after="0" w:line="204" w:lineRule="exact"/>
              <w:rPr>
                <w:sz w:val="20"/>
                <w:szCs w:val="20"/>
                <w:color w:val="auto"/>
              </w:rPr>
            </w:pPr>
            <w:r>
              <w:rPr>
                <w:rFonts w:ascii="Times New Roman" w:cs="Times New Roman" w:eastAsia="Times New Roman" w:hAnsi="Times New Roman"/>
                <w:sz w:val="18"/>
                <w:szCs w:val="18"/>
                <w:color w:val="auto"/>
              </w:rPr>
              <w:t>Total U.S. Treasury and agency notes</w:t>
            </w:r>
          </w:p>
        </w:tc>
        <w:tc>
          <w:tcPr>
            <w:tcW w:w="1860" w:type="dxa"/>
            <w:vAlign w:val="bottom"/>
            <w:tcBorders>
              <w:bottom w:val="single" w:sz="8" w:color="CCEEFF"/>
            </w:tcBorders>
          </w:tcPr>
          <w:p>
            <w:pPr>
              <w:ind w:left="1000"/>
              <w:spacing w:after="0" w:line="204" w:lineRule="exact"/>
              <w:rPr>
                <w:sz w:val="20"/>
                <w:szCs w:val="20"/>
                <w:color w:val="auto"/>
              </w:rPr>
            </w:pPr>
            <w:r>
              <w:rPr>
                <w:rFonts w:ascii="Times New Roman" w:cs="Times New Roman" w:eastAsia="Times New Roman" w:hAnsi="Times New Roman"/>
                <w:sz w:val="18"/>
                <w:szCs w:val="18"/>
                <w:color w:val="auto"/>
              </w:rPr>
              <w:t>Level 2</w:t>
            </w:r>
          </w:p>
        </w:tc>
        <w:tc>
          <w:tcPr>
            <w:tcW w:w="3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15,455</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15,455</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13,688</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13,692</w:t>
            </w:r>
          </w:p>
        </w:tc>
      </w:tr>
      <w:tr>
        <w:trPr>
          <w:trHeight w:val="20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notes</w:t>
            </w:r>
          </w:p>
        </w:tc>
        <w:tc>
          <w:tcPr>
            <w:tcW w:w="1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unrealized gains</w:t>
            </w: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Corporate notes</w:t>
            </w:r>
          </w:p>
        </w:tc>
        <w:tc>
          <w:tcPr>
            <w:tcW w:w="1860" w:type="dxa"/>
            <w:vAlign w:val="bottom"/>
            <w:tcBorders>
              <w:top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Level 2</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Municipal notes</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 unrealized losses for less than 12 months</w:t>
            </w:r>
          </w:p>
        </w:tc>
        <w:tc>
          <w:tcPr>
            <w:tcW w:w="1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unrealized gains</w:t>
            </w: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Municipal notes</w:t>
            </w:r>
          </w:p>
        </w:tc>
        <w:tc>
          <w:tcPr>
            <w:tcW w:w="1860" w:type="dxa"/>
            <w:vAlign w:val="bottom"/>
            <w:tcBorders>
              <w:top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Level 2</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50"/>
        </w:trPr>
        <w:tc>
          <w:tcPr>
            <w:tcW w:w="44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0"/>
        </w:trPr>
        <w:tc>
          <w:tcPr>
            <w:tcW w:w="446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14,441</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Company uses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September 30, 2025, the Company has not recorded any credit losses.</w:t>
      </w:r>
    </w:p>
    <w:p>
      <w:pPr>
        <w:spacing w:after="0" w:line="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September 30, 2025, the fair market value of investment securities was $4,000 above their cost basis. The Company’s gross unrealized holding gains equaled $11,000 and gross unrealized holding losses equaled $7,000. For the three months ended September 30, 2025, the adjustment to accumulated other comprehensive loss reflected an increase in market value of $14,000, before the impact of a tax provision of $4,000. For the nine months ended September 30, 2025, there was no change in value.</w:t>
      </w:r>
    </w:p>
    <w:p>
      <w:pPr>
        <w:spacing w:after="0" w:line="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elected to exclude applicable accrued interest from both the fair value and the amortized cost basis of the available-for-sale debt securities, and separately present the accrued interest receivable balance. The accrued interest receivables balance totaled $133,000 as of September 30, 2025 and was included within the Prepaid expenses and other current assets line item of the Consolidated Balance Sheets. The Company elected not to measure an allowance for credit losses on accrued interest receivable, as an allowance on possible uncollectible accrued interest is not warranted.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 Treasury and agency notes</w:t>
      </w:r>
    </w:p>
    <w:p>
      <w:pPr>
        <w:spacing w:after="0" w:line="1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unrealized losses on the Company's investments in U.S. Treasury and agency notes at September 30, 2025 and December 31, 2024 were caused by relative changes in interest rates since the time of purchase and not changes in credit quality. The contractual cash flows for these securities are guaranteed by U.S. government agencies. As of September 30, 2025 and December 31, 2024, the Company did not intend to sell these securities and it is not more-likely-than-not that the Company would be required to sell these securities before recovery of their cost basis. Therefore, these investments did not require an ACL as of September 30, 2025 and December 31, 2024.</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9" w:right="3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Corporate notes</w:t>
      </w:r>
    </w:p>
    <w:p>
      <w:pPr>
        <w:spacing w:after="0" w:line="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unrealized losses on corporate notes are a function of changes in investment spreads and interest rate movements and not changes in credit quality. The Company expects to recover the entire amortized cost basis of these securities. As of September 30, 2025 and December 31, 2024, the Company did not intend to sell these securities and it is not more-likely-than-not the Company would be required to sell these securities before recovery of their cost basis. Therefore, these investments did not require an ACL as of September 30, 2025 and December 31, 2024.</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summarize the maturities, at par, of marketable securities as of:</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1"/>
        </w:trPr>
        <w:tc>
          <w:tcPr>
            <w:tcW w:w="6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8"/>
                <w:szCs w:val="18"/>
                <w:color w:val="auto"/>
              </w:rPr>
              <w:t>September 30, 2025</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and agency notes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15,487</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notes</w:t>
            </w:r>
          </w:p>
        </w:tc>
        <w:tc>
          <w:tcPr>
            <w:tcW w:w="220" w:type="dxa"/>
            <w:vAlign w:val="bottom"/>
          </w:tcPr>
          <w:p>
            <w:pPr>
              <w:spacing w:after="0"/>
              <w:rPr>
                <w:sz w:val="19"/>
                <w:szCs w:val="19"/>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622"/>
        </w:trPr>
        <w:tc>
          <w:tcPr>
            <w:tcW w:w="6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8"/>
                <w:szCs w:val="18"/>
                <w:color w:val="auto"/>
              </w:rPr>
              <w:t>December 31, 2024</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and agency notes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notes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67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14,500</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investments in corporate notes are with companies that have an investment grade rating from Standard &amp; Poor’s as of September 30, 2025 and December 31, 2024.</w:t>
      </w:r>
    </w:p>
    <w:p>
      <w:pPr>
        <w:spacing w:after="0" w:line="36"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REAL ESTATE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accumulated real estate development costs by project consisted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September 30, 2025</w:t>
            </w:r>
          </w:p>
        </w:tc>
        <w:tc>
          <w:tcPr>
            <w:tcW w:w="26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development</w:t>
            </w:r>
          </w:p>
        </w:tc>
        <w:tc>
          <w:tcPr>
            <w:tcW w:w="20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Mountain Village</w:t>
            </w:r>
          </w:p>
        </w:tc>
        <w:tc>
          <w:tcPr>
            <w:tcW w:w="2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158,348</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Centennial</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124,136</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Grapevine</w:t>
            </w:r>
          </w:p>
        </w:tc>
        <w:tc>
          <w:tcPr>
            <w:tcW w:w="2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42,456</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Tejon Ranch Commerce Center</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Commercial</w:t>
            </w:r>
          </w:p>
        </w:tc>
        <w:tc>
          <w:tcPr>
            <w:tcW w:w="2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 Residential</w:t>
            </w:r>
          </w:p>
        </w:tc>
        <w:tc>
          <w:tcPr>
            <w:tcW w:w="20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29,241</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Tejon Ranch Commerce Center</w:t>
            </w:r>
          </w:p>
        </w:tc>
        <w:tc>
          <w:tcPr>
            <w:tcW w:w="20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52,965</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development</w:t>
            </w:r>
          </w:p>
        </w:tc>
        <w:tc>
          <w:tcPr>
            <w:tcW w:w="20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370,514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377,905</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and improvements - held for lease</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Tejon Ranch Commerce Center</w:t>
            </w:r>
          </w:p>
        </w:tc>
        <w:tc>
          <w:tcPr>
            <w:tcW w:w="2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Commercial</w:t>
            </w:r>
          </w:p>
        </w:tc>
        <w:tc>
          <w:tcPr>
            <w:tcW w:w="2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20,596</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Residential</w:t>
            </w:r>
          </w:p>
        </w:tc>
        <w:tc>
          <w:tcPr>
            <w:tcW w:w="20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Tejon Ranch Commerce Center</w:t>
            </w:r>
          </w:p>
        </w:tc>
        <w:tc>
          <w:tcPr>
            <w:tcW w:w="20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20,596</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and improvements - held for lease, net</w:t>
            </w:r>
          </w:p>
        </w:tc>
        <w:tc>
          <w:tcPr>
            <w:tcW w:w="20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59,679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16,253</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204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5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WATER ASSETS</w:t>
      </w:r>
    </w:p>
    <w:p>
      <w:pPr>
        <w:spacing w:after="0" w:line="10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Long-term water assets consist of water and water purchase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TCWD in Kern County Water Banks.</w:t>
      </w:r>
    </w:p>
    <w:p>
      <w:pPr>
        <w:spacing w:after="0" w:line="4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secured SWP water purchase contracts from the Tulare Lake Basin Water Storage District and the Dudley-Ridge Water District, totaling 3,444 acre-feet of SWP water annually, subject to SWP allocations. These contracts extend through 2085 and have been transferred to AVEK for the Company's use in the Antelope Valley. In 2013, the Company acquired a contract to purchase water that obligates the Company to purchase 6,693 acre-feet of water each year from the Nickel Family, LLC, or Nickel, a California limited liability company that is located in Kern County.</w:t>
      </w:r>
    </w:p>
    <w:p>
      <w:pPr>
        <w:spacing w:after="0" w:line="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initial term of the water purchase agreement with Nickel runs to 2044 and includes a Company option to extend the contract for an additional 35 years. The purchase cost of water in 2025 is $986 per acre-foot. The purchase cost is subject to annual cost increases based on the greater of the Consumer Price Index or 3%.</w:t>
      </w:r>
    </w:p>
    <w:p>
      <w:pPr>
        <w:spacing w:after="0" w:line="41"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18"/>
          <w:szCs w:val="18"/>
          <w:color w:val="auto"/>
        </w:rPr>
        <w:t>The water purchased above will ultimately be used in the development of the Company’s land for commercial/industrial real estate development, resort/residential real estate development, and farming. Interim uses may include the sale of portions of this water to third-party users on an annual basis until this water is fully allocated to Company uses, as just described.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Water revenues and cost of sales were as follows for the nine months ended ($ in thousands):</w:t>
            </w: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 2025</w:t>
            </w:r>
          </w:p>
        </w:tc>
        <w:tc>
          <w:tcPr>
            <w:tcW w:w="260" w:type="dxa"/>
            <w:vAlign w:val="bottom"/>
          </w:tcPr>
          <w:p>
            <w:pPr>
              <w:spacing w:after="0"/>
              <w:rPr>
                <w:sz w:val="24"/>
                <w:szCs w:val="24"/>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September 30, 2024</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Acre-Feet Sold</w:t>
            </w:r>
          </w:p>
        </w:tc>
        <w:tc>
          <w:tcPr>
            <w:tcW w:w="3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6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Costs assigned to water assets held for future use were as follows ($ in thousands):</w:t>
            </w: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65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 2025</w:t>
            </w:r>
          </w:p>
        </w:tc>
        <w:tc>
          <w:tcPr>
            <w:tcW w:w="260" w:type="dxa"/>
            <w:vAlign w:val="bottom"/>
          </w:tcPr>
          <w:p>
            <w:pPr>
              <w:spacing w:after="0"/>
              <w:rPr>
                <w:sz w:val="24"/>
                <w:szCs w:val="24"/>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Banked water and water for future delivery</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Transferable water</w:t>
            </w: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water held for future use at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Water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carrying amounts of its purchased water contracts were as follows ($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September 30, 2025</w:t>
            </w:r>
          </w:p>
        </w:tc>
        <w:tc>
          <w:tcPr>
            <w:tcW w:w="360" w:type="dxa"/>
            <w:vAlign w:val="bottom"/>
          </w:tcPr>
          <w:p>
            <w:pPr>
              <w:spacing w:after="0"/>
              <w:rPr>
                <w:sz w:val="20"/>
                <w:szCs w:val="20"/>
                <w:color w:val="auto"/>
              </w:rPr>
            </w:pPr>
          </w:p>
        </w:tc>
        <w:tc>
          <w:tcPr>
            <w:tcW w:w="302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69"/>
        </w:trPr>
        <w:tc>
          <w:tcPr>
            <w:tcW w:w="4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ind w:left="200"/>
              <w:spacing w:after="0" w:line="169" w:lineRule="exact"/>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Accumulated</w:t>
            </w:r>
          </w:p>
        </w:tc>
      </w:tr>
      <w:tr>
        <w:trPr>
          <w:trHeight w:val="243"/>
        </w:trPr>
        <w:tc>
          <w:tcPr>
            <w:tcW w:w="4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1"/>
                <w:szCs w:val="21"/>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Costs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Depreciation</w:t>
            </w:r>
          </w:p>
        </w:tc>
      </w:tr>
      <w:tr>
        <w:trPr>
          <w:trHeight w:val="223"/>
        </w:trPr>
        <w:tc>
          <w:tcPr>
            <w:tcW w:w="420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Dudley-Ridge water purchase contract </w:t>
            </w:r>
            <w:r>
              <w:rPr>
                <w:rFonts w:ascii="Times New Roman" w:cs="Times New Roman" w:eastAsia="Times New Roman" w:hAnsi="Times New Roman"/>
                <w:sz w:val="23"/>
                <w:szCs w:val="23"/>
                <w:color w:val="auto"/>
                <w:vertAlign w:val="superscript"/>
              </w:rPr>
              <w: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w:t>
            </w:r>
          </w:p>
        </w:tc>
      </w:tr>
      <w:tr>
        <w:trPr>
          <w:trHeight w:val="230"/>
        </w:trPr>
        <w:tc>
          <w:tcPr>
            <w:tcW w:w="42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Nickel water purchase contract </w:t>
            </w:r>
            <w:r>
              <w:rPr>
                <w:rFonts w:ascii="Times New Roman" w:cs="Times New Roman" w:eastAsia="Times New Roman" w:hAnsi="Times New Roman"/>
                <w:sz w:val="23"/>
                <w:szCs w:val="23"/>
                <w:color w:val="auto"/>
                <w:vertAlign w:val="superscript"/>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w:t>
            </w:r>
          </w:p>
        </w:tc>
      </w:tr>
      <w:tr>
        <w:trPr>
          <w:trHeight w:val="229"/>
        </w:trPr>
        <w:tc>
          <w:tcPr>
            <w:tcW w:w="42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Tulare Lake Basin water purchase contract </w:t>
            </w:r>
            <w:r>
              <w:rPr>
                <w:rFonts w:ascii="Times New Roman" w:cs="Times New Roman" w:eastAsia="Times New Roman" w:hAnsi="Times New Roman"/>
                <w:sz w:val="23"/>
                <w:szCs w:val="23"/>
                <w:color w:val="auto"/>
                <w:vertAlign w:val="superscript"/>
              </w:rPr>
              <w: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r>
      <w:tr>
        <w:trPr>
          <w:trHeight w:val="223"/>
        </w:trPr>
        <w:tc>
          <w:tcPr>
            <w:tcW w:w="4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(17,792)</w:t>
            </w:r>
          </w:p>
        </w:tc>
      </w:tr>
      <w:tr>
        <w:trPr>
          <w:trHeight w:val="223"/>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cost of purchased water contracts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 of water held for future use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8"/>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investments in water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-169545</wp:posOffset>
            </wp:positionV>
            <wp:extent cx="710628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All water purchase contracts were acquired from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-120650</wp:posOffset>
            </wp:positionV>
            <wp:extent cx="1028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-120650</wp:posOffset>
            </wp:positionV>
            <wp:extent cx="9086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2" w:right="359" w:bottom="1440" w:gutter="0" w:footer="0" w:header="0"/>
        </w:sectPr>
      </w:pPr>
    </w:p>
    <w:bookmarkStart w:id="14" w:name="page15"/>
    <w:bookmarkEnd w:id="14"/>
    <w:p>
      <w:pPr>
        <w:ind w:right="180"/>
        <w:spacing w:after="0" w:line="250" w:lineRule="auto"/>
        <w:rPr>
          <w:sz w:val="20"/>
          <w:szCs w:val="20"/>
          <w:color w:val="auto"/>
        </w:rPr>
      </w:pPr>
      <w:r>
        <w:rPr>
          <w:rFonts w:ascii="Times New Roman" w:cs="Times New Roman" w:eastAsia="Times New Roman" w:hAnsi="Times New Roman"/>
          <w:sz w:val="18"/>
          <w:szCs w:val="18"/>
          <w:color w:val="auto"/>
        </w:rPr>
        <w:t>Water contracts with WRMWSD and TCWD are also in place, but were entered into with each district at inception of the contract and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acre-feet, unaudited)</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September 30, 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0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Water held for future use</w:t>
            </w: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TCWD - Banked water owned by the Company</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water bank</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Transferable water</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Recharged water</w:t>
            </w: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water held for future use</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125,864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Purchased water contracts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Water Contracts (Dudley-Ridge, Nickel and Tulare)</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WRMWSD - Contracts with the Company</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TCWD - Contracts with the Company</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purchased water contracts</w:t>
            </w: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water held for future use and purchased water contracts</w:t>
            </w:r>
          </w:p>
        </w:tc>
        <w:tc>
          <w:tcPr>
            <w:tcW w:w="3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157,297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LIABILITIES AND OTHER CURRENT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2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 consisted of the following:</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September 30, 2025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paid personal leave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1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Property tax payable</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1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Accrued stock compensation expense</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-152400</wp:posOffset>
            </wp:positionV>
            <wp:extent cx="710628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ind w:left="120" w:hanging="74"/>
        <w:spacing w:after="0" w:line="188" w:lineRule="auto"/>
        <w:tabs>
          <w:tab w:leader="none" w:pos="12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California property taxes are accrued throughout the year and are paid every April and December.</w:t>
      </w:r>
    </w:p>
    <w:p>
      <w:pPr>
        <w:ind w:left="40"/>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14"/>
          <w:szCs w:val="14"/>
          <w:color w:val="auto"/>
        </w:rPr>
        <w:t>Cash settled awards classified as liabilities.</w:t>
      </w:r>
    </w:p>
    <w:p>
      <w:pPr>
        <w:spacing w:after="0" w:line="255" w:lineRule="exact"/>
        <w:rPr>
          <w:sz w:val="20"/>
          <w:szCs w:val="20"/>
          <w:color w:val="auto"/>
        </w:rPr>
      </w:pPr>
    </w:p>
    <w:p>
      <w:pPr>
        <w:ind w:right="7240" w:firstLine="8"/>
        <w:spacing w:after="0" w:line="385" w:lineRule="auto"/>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LINE OF CREDIT AND LONG-TERM DEBT </w:t>
      </w:r>
      <w:r>
        <w:rPr>
          <w:rFonts w:ascii="Times New Roman" w:cs="Times New Roman" w:eastAsia="Times New Roman" w:hAnsi="Times New Roman"/>
          <w:sz w:val="18"/>
          <w:szCs w:val="18"/>
          <w:color w:val="auto"/>
        </w:rPr>
        <w:t>Debt consisted of the following:</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September 30, 2025</w:t>
            </w:r>
          </w:p>
        </w:tc>
        <w:tc>
          <w:tcPr>
            <w:tcW w:w="280" w:type="dxa"/>
            <w:vAlign w:val="bottom"/>
          </w:tcPr>
          <w:p>
            <w:pPr>
              <w:spacing w:after="0"/>
              <w:rPr>
                <w:sz w:val="20"/>
                <w:szCs w:val="20"/>
                <w:color w:val="auto"/>
              </w:rPr>
            </w:pPr>
          </w:p>
        </w:tc>
        <w:tc>
          <w:tcPr>
            <w:tcW w:w="20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1"/>
        </w:trPr>
        <w:tc>
          <w:tcPr>
            <w:tcW w:w="644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Revolving line-of-credit</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91,942</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-152400</wp:posOffset>
            </wp:positionV>
            <wp:extent cx="710628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ind w:left="120" w:hanging="74"/>
        <w:spacing w:after="0" w:line="199" w:lineRule="auto"/>
        <w:tabs>
          <w:tab w:leader="none" w:pos="12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Deferred loan costs for the revolving line-of-credit as of September 30, 2025 and December 31, 2024 were recorded under the caption "Other Assets" on the Consolidated Balance Sheets.</w:t>
      </w:r>
    </w:p>
    <w:p>
      <w:pPr>
        <w:spacing w:after="0" w:line="23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On November 17, 2023, the Company entered into a Credit Agreement with AgWest Farm Credit, PCA and certain other lenders (the Revolving Credit Facility). The Revolving Credit Facility provides TRC a RCL in the amount of $160,000,000. The RCL requires interest only payments and has a maturity date of January 1, 2029. As of September 30, 2025, the outstanding balance under the RCL was $91,942,000, and the interest rate was one-month term SOFR plus a margin of 2.25% for an effective rate of 6.55% before patronage, which for 2024 was 125 basis points, or bps, from AgWest and 100 bps from other participant lenders, for a net all-in rate of 5.44%.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consisted of the following:</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September 30, 2025</w:t>
            </w:r>
          </w:p>
        </w:tc>
        <w:tc>
          <w:tcPr>
            <w:tcW w:w="260" w:type="dxa"/>
            <w:vAlign w:val="bottom"/>
          </w:tcPr>
          <w:p>
            <w:pPr>
              <w:spacing w:after="0"/>
              <w:rPr>
                <w:sz w:val="20"/>
                <w:szCs w:val="20"/>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executive retirement plan liability (See Note 12)</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r>
      <w:tr>
        <w:trPr>
          <w:trHeight w:val="229"/>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Excess joint venture distributions and other (See Note 14)</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9,078</w:t>
            </w:r>
          </w:p>
        </w:tc>
      </w:tr>
      <w:tr>
        <w:trPr>
          <w:trHeight w:val="248"/>
        </w:trPr>
        <w:tc>
          <w:tcPr>
            <w:tcW w:w="6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 RESTRICTED STOCK AND PERFORMANCE SHARE GRANTS</w:t>
      </w:r>
    </w:p>
    <w:p>
      <w:pPr>
        <w:spacing w:after="0" w:line="9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share price, or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the grant date fair value for market-based awards is determined using a </w:t>
      </w:r>
      <w:r>
        <w:rPr>
          <w:rFonts w:ascii="Times New Roman" w:cs="Times New Roman" w:eastAsia="Times New Roman" w:hAnsi="Times New Roman"/>
          <w:sz w:val="18"/>
          <w:szCs w:val="18"/>
          <w:i w:val="1"/>
          <w:iCs w:val="1"/>
          <w:color w:val="auto"/>
        </w:rPr>
        <w:t>Monte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Carlo </w:t>
      </w:r>
      <w:r>
        <w:rPr>
          <w:rFonts w:ascii="Times New Roman" w:cs="Times New Roman" w:eastAsia="Times New Roman" w:hAnsi="Times New Roman"/>
          <w:sz w:val="18"/>
          <w:szCs w:val="18"/>
          <w:color w:val="auto"/>
        </w:rPr>
        <w:t>simulation. Failure to achieve the target share price will result in the forfeiture of shares. Forfeiture of share awards with service conditions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performance-based restrictions will result in a reversal of previously recognized share-based compensation expense. Forfeiture of share awards with market-based restrictions does not result in a reversal of previously recognized share-based compensation expense.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Performance Condition Grants outstanding as of September 30, 2025:</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tcPr>
          <w:p>
            <w:pPr>
              <w:jc w:val="right"/>
              <w:ind w:right="4410"/>
              <w:spacing w:after="0"/>
              <w:rPr>
                <w:sz w:val="20"/>
                <w:szCs w:val="20"/>
                <w:color w:val="auto"/>
              </w:rPr>
            </w:pPr>
            <w:r>
              <w:rPr>
                <w:rFonts w:ascii="Times New Roman" w:cs="Times New Roman" w:eastAsia="Times New Roman" w:hAnsi="Times New Roman"/>
                <w:sz w:val="18"/>
                <w:szCs w:val="18"/>
                <w:color w:val="auto"/>
              </w:rPr>
              <w:t>Performance Condition Grants</w:t>
            </w:r>
          </w:p>
        </w:tc>
      </w:tr>
      <w:tr>
        <w:trPr>
          <w:trHeight w:val="22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Target performance</w:t>
            </w:r>
          </w:p>
        </w:tc>
        <w:tc>
          <w:tcPr>
            <w:tcW w:w="8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237,445</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Maximum performance</w:t>
            </w:r>
          </w:p>
        </w:tc>
        <w:tc>
          <w:tcPr>
            <w:tcW w:w="8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298,159</w:t>
            </w:r>
          </w:p>
        </w:tc>
      </w:tr>
    </w:tbl>
    <w:p>
      <w:pPr>
        <w:spacing w:after="0" w:line="13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stock grant activity, both time and performance unit grants, assuming target achievement for outstanding performance grants for the nine months ended September 30, 2025:</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3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September 30, 2025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grants outstanding beginning of period at target achievement</w:t>
            </w:r>
          </w:p>
        </w:tc>
        <w:tc>
          <w:tcPr>
            <w:tcW w:w="342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312,564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stock grants/additional shares due to achievement in excess of target</w:t>
            </w:r>
          </w:p>
        </w:tc>
        <w:tc>
          <w:tcPr>
            <w:tcW w:w="5780" w:type="dxa"/>
            <w:vAlign w:val="bottom"/>
            <w:gridSpan w:val="2"/>
          </w:tcPr>
          <w:p>
            <w:pPr>
              <w:ind w:left="5120"/>
              <w:spacing w:after="0"/>
              <w:rPr>
                <w:sz w:val="20"/>
                <w:szCs w:val="20"/>
                <w:color w:val="auto"/>
              </w:rPr>
            </w:pPr>
            <w:r>
              <w:rPr>
                <w:rFonts w:ascii="Times New Roman" w:cs="Times New Roman" w:eastAsia="Times New Roman" w:hAnsi="Times New Roman"/>
                <w:sz w:val="18"/>
                <w:szCs w:val="18"/>
                <w:color w:val="auto"/>
              </w:rPr>
              <w:t>170,925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grants</w:t>
            </w:r>
          </w:p>
        </w:tc>
        <w:tc>
          <w:tcPr>
            <w:tcW w:w="5780" w:type="dxa"/>
            <w:vAlign w:val="bottom"/>
            <w:gridSpan w:val="2"/>
            <w:shd w:val="clear" w:color="auto" w:fill="CCEEFF"/>
          </w:tcPr>
          <w:p>
            <w:pPr>
              <w:ind w:left="5140"/>
              <w:spacing w:after="0"/>
              <w:rPr>
                <w:sz w:val="20"/>
                <w:szCs w:val="20"/>
                <w:color w:val="auto"/>
              </w:rPr>
            </w:pPr>
            <w:r>
              <w:rPr>
                <w:rFonts w:ascii="Times New Roman" w:cs="Times New Roman" w:eastAsia="Times New Roman" w:hAnsi="Times New Roman"/>
                <w:sz w:val="18"/>
                <w:szCs w:val="18"/>
                <w:color w:val="auto"/>
              </w:rPr>
              <w:t>(25,012)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Expired/forfeited grants</w:t>
            </w:r>
          </w:p>
        </w:tc>
        <w:tc>
          <w:tcPr>
            <w:tcW w:w="5780" w:type="dxa"/>
            <w:vAlign w:val="bottom"/>
            <w:gridSpan w:val="2"/>
          </w:tcPr>
          <w:p>
            <w:pPr>
              <w:ind w:left="5140"/>
              <w:spacing w:after="0"/>
              <w:rPr>
                <w:sz w:val="20"/>
                <w:szCs w:val="20"/>
                <w:color w:val="auto"/>
              </w:rPr>
            </w:pPr>
            <w:r>
              <w:rPr>
                <w:rFonts w:ascii="Times New Roman" w:cs="Times New Roman" w:eastAsia="Times New Roman" w:hAnsi="Times New Roman"/>
                <w:sz w:val="18"/>
                <w:szCs w:val="18"/>
                <w:color w:val="auto"/>
              </w:rPr>
              <w:t>(93,679)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grants outstanding end of period at target achievement</w:t>
            </w:r>
          </w:p>
        </w:tc>
        <w:tc>
          <w:tcPr>
            <w:tcW w:w="342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364,798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3050"/>
              <w:spacing w:after="0"/>
              <w:rPr>
                <w:sz w:val="20"/>
                <w:szCs w:val="20"/>
                <w:color w:val="auto"/>
              </w:rPr>
            </w:pPr>
            <w:r>
              <w:rPr>
                <w:rFonts w:ascii="Times New Roman" w:cs="Times New Roman" w:eastAsia="Times New Roman" w:hAnsi="Times New Roman"/>
                <w:sz w:val="18"/>
                <w:szCs w:val="18"/>
                <w:color w:val="auto"/>
              </w:rPr>
              <w:t>16</w:t>
            </w: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6" w:name="page17"/>
    <w:bookmarkEnd w:id="16"/>
    <w:p>
      <w:pPr>
        <w:ind w:right="48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assumptions used to determine the fair value for the Company’s outstanding market-based Performance Condition Grants as of September 30,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 except for share prices)</w:t>
            </w: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12/14/2022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06/16/2023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08/21/2023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12/16/2023</w:t>
            </w:r>
          </w:p>
        </w:tc>
        <w:tc>
          <w:tcPr>
            <w:tcW w:w="100" w:type="dxa"/>
            <w:vAlign w:val="bottom"/>
            <w:shd w:val="clear" w:color="auto" w:fill="CCEEFF"/>
          </w:tcPr>
          <w:p>
            <w:pPr>
              <w:spacing w:after="0"/>
              <w:rPr>
                <w:sz w:val="19"/>
                <w:szCs w:val="19"/>
                <w:color w:val="auto"/>
              </w:rPr>
            </w:pPr>
          </w:p>
        </w:tc>
      </w:tr>
      <w:tr>
        <w:trPr>
          <w:trHeight w:val="23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Vesting end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12/14/2025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12/31/2026</w:t>
            </w:r>
          </w:p>
        </w:tc>
        <w:tc>
          <w:tcPr>
            <w:tcW w:w="100" w:type="dxa"/>
            <w:vAlign w:val="bottom"/>
          </w:tcPr>
          <w:p>
            <w:pPr>
              <w:spacing w:after="0"/>
              <w:rPr>
                <w:sz w:val="19"/>
                <w:szCs w:val="19"/>
                <w:color w:val="auto"/>
              </w:rPr>
            </w:pPr>
          </w:p>
        </w:tc>
      </w:tr>
      <w:tr>
        <w:trPr>
          <w:trHeight w:val="229"/>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Target share price to achieve award</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$21.99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$20.72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$19.65</w:t>
            </w:r>
          </w:p>
        </w:tc>
        <w:tc>
          <w:tcPr>
            <w:tcW w:w="100" w:type="dxa"/>
            <w:vAlign w:val="bottom"/>
            <w:shd w:val="clear" w:color="auto" w:fill="CCEEFF"/>
          </w:tcPr>
          <w:p>
            <w:pPr>
              <w:spacing w:after="0"/>
              <w:rPr>
                <w:sz w:val="19"/>
                <w:szCs w:val="19"/>
                <w:color w:val="auto"/>
              </w:rPr>
            </w:pPr>
          </w:p>
        </w:tc>
      </w:tr>
      <w:tr>
        <w:trPr>
          <w:trHeight w:val="270"/>
        </w:trPr>
        <w:tc>
          <w:tcPr>
            <w:tcW w:w="3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9"/>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32.14%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26.58%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shd w:val="clear" w:color="auto" w:fill="CCEEFF"/>
          </w:tcPr>
          <w:p>
            <w:pPr>
              <w:spacing w:after="0"/>
              <w:rPr>
                <w:sz w:val="19"/>
                <w:szCs w:val="19"/>
                <w:color w:val="auto"/>
              </w:rPr>
            </w:pPr>
          </w:p>
        </w:tc>
      </w:tr>
      <w:tr>
        <w:trPr>
          <w:trHeight w:val="23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4.02%</w:t>
            </w:r>
          </w:p>
        </w:tc>
        <w:tc>
          <w:tcPr>
            <w:tcW w:w="100" w:type="dxa"/>
            <w:vAlign w:val="bottom"/>
          </w:tcPr>
          <w:p>
            <w:pPr>
              <w:spacing w:after="0"/>
              <w:rPr>
                <w:sz w:val="19"/>
                <w:szCs w:val="19"/>
                <w:color w:val="auto"/>
              </w:rPr>
            </w:pPr>
          </w:p>
        </w:tc>
      </w:tr>
      <w:tr>
        <w:trPr>
          <w:trHeight w:val="270"/>
        </w:trPr>
        <w:tc>
          <w:tcPr>
            <w:tcW w:w="3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29"/>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Simulated Monte Carlo share price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$19.74</w:t>
            </w:r>
          </w:p>
        </w:tc>
        <w:tc>
          <w:tcPr>
            <w:tcW w:w="100" w:type="dxa"/>
            <w:vAlign w:val="bottom"/>
          </w:tcPr>
          <w:p>
            <w:pPr>
              <w:spacing w:after="0"/>
              <w:rPr>
                <w:sz w:val="19"/>
                <w:szCs w:val="19"/>
                <w:color w:val="auto"/>
              </w:rPr>
            </w:pPr>
          </w:p>
        </w:tc>
      </w:tr>
      <w:tr>
        <w:trPr>
          <w:trHeight w:val="230"/>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granted</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4,613</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9,515</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1,650</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4,828</w:t>
            </w:r>
          </w:p>
        </w:tc>
        <w:tc>
          <w:tcPr>
            <w:tcW w:w="100" w:type="dxa"/>
            <w:vAlign w:val="bottom"/>
            <w:tcBorders>
              <w:bottom w:val="single" w:sz="8" w:color="auto"/>
            </w:tcBorders>
            <w:shd w:val="clear" w:color="auto" w:fill="CCEEFF"/>
          </w:tcPr>
          <w:p>
            <w:pPr>
              <w:spacing w:after="0"/>
              <w:rPr>
                <w:sz w:val="19"/>
                <w:szCs w:val="19"/>
                <w:color w:val="auto"/>
              </w:rPr>
            </w:pPr>
          </w:p>
        </w:tc>
      </w:tr>
      <w:tr>
        <w:trPr>
          <w:trHeight w:val="228"/>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fair value of award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r>
      <w:tr>
        <w:trPr>
          <w:trHeight w:val="589"/>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 except for share prices)</w:t>
            </w: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03/13/2024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12/11/2024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03/06/2025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06/20/2025</w:t>
            </w:r>
          </w:p>
        </w:tc>
        <w:tc>
          <w:tcPr>
            <w:tcW w:w="100" w:type="dxa"/>
            <w:vAlign w:val="bottom"/>
            <w:shd w:val="clear" w:color="auto" w:fill="CCEEFF"/>
          </w:tcPr>
          <w:p>
            <w:pPr>
              <w:spacing w:after="0"/>
              <w:rPr>
                <w:sz w:val="19"/>
                <w:szCs w:val="19"/>
                <w:color w:val="auto"/>
              </w:rPr>
            </w:pPr>
          </w:p>
        </w:tc>
      </w:tr>
      <w:tr>
        <w:trPr>
          <w:trHeight w:val="23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Vesting end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03/22/2027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12/10/2027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03/06/2028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06/20/2028</w:t>
            </w:r>
          </w:p>
        </w:tc>
        <w:tc>
          <w:tcPr>
            <w:tcW w:w="100" w:type="dxa"/>
            <w:vAlign w:val="bottom"/>
          </w:tcPr>
          <w:p>
            <w:pPr>
              <w:spacing w:after="0"/>
              <w:rPr>
                <w:sz w:val="19"/>
                <w:szCs w:val="19"/>
                <w:color w:val="auto"/>
              </w:rPr>
            </w:pPr>
          </w:p>
        </w:tc>
      </w:tr>
      <w:tr>
        <w:trPr>
          <w:trHeight w:val="229"/>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 at target achievement</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$18.93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$18.56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$19.01</w:t>
            </w:r>
          </w:p>
        </w:tc>
        <w:tc>
          <w:tcPr>
            <w:tcW w:w="100" w:type="dxa"/>
            <w:vAlign w:val="bottom"/>
            <w:shd w:val="clear" w:color="auto" w:fill="CCEEFF"/>
          </w:tcPr>
          <w:p>
            <w:pPr>
              <w:spacing w:after="0"/>
              <w:rPr>
                <w:sz w:val="19"/>
                <w:szCs w:val="19"/>
                <w:color w:val="auto"/>
              </w:rPr>
            </w:pPr>
          </w:p>
        </w:tc>
      </w:tr>
      <w:tr>
        <w:trPr>
          <w:trHeight w:val="270"/>
        </w:trPr>
        <w:tc>
          <w:tcPr>
            <w:tcW w:w="3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9"/>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25.56%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26.90%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shd w:val="clear" w:color="auto" w:fill="CCEEFF"/>
          </w:tcPr>
          <w:p>
            <w:pPr>
              <w:spacing w:after="0"/>
              <w:rPr>
                <w:sz w:val="19"/>
                <w:szCs w:val="19"/>
                <w:color w:val="auto"/>
              </w:rPr>
            </w:pPr>
          </w:p>
        </w:tc>
      </w:tr>
      <w:tr>
        <w:trPr>
          <w:trHeight w:val="23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r>
      <w:tr>
        <w:trPr>
          <w:trHeight w:val="270"/>
        </w:trPr>
        <w:tc>
          <w:tcPr>
            <w:tcW w:w="3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29"/>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Simulated Monte Carlo share price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$18.36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$18.53</w:t>
            </w:r>
          </w:p>
        </w:tc>
        <w:tc>
          <w:tcPr>
            <w:tcW w:w="100" w:type="dxa"/>
            <w:vAlign w:val="bottom"/>
          </w:tcPr>
          <w:p>
            <w:pPr>
              <w:spacing w:after="0"/>
              <w:rPr>
                <w:sz w:val="19"/>
                <w:szCs w:val="19"/>
                <w:color w:val="auto"/>
              </w:rPr>
            </w:pPr>
          </w:p>
        </w:tc>
      </w:tr>
      <w:tr>
        <w:trPr>
          <w:trHeight w:val="230"/>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granted</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15,225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2,315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13,046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18,351</w:t>
            </w:r>
          </w:p>
        </w:tc>
        <w:tc>
          <w:tcPr>
            <w:tcW w:w="100" w:type="dxa"/>
            <w:vAlign w:val="bottom"/>
            <w:shd w:val="clear" w:color="auto" w:fill="CCEEFF"/>
          </w:tcPr>
          <w:p>
            <w:pPr>
              <w:spacing w:after="0"/>
              <w:rPr>
                <w:sz w:val="19"/>
                <w:szCs w:val="19"/>
                <w:color w:val="auto"/>
              </w:rPr>
            </w:pP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award</w:t>
            </w:r>
          </w:p>
        </w:tc>
        <w:tc>
          <w:tcPr>
            <w:tcW w:w="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$340</w:t>
            </w:r>
          </w:p>
        </w:tc>
        <w:tc>
          <w:tcPr>
            <w:tcW w:w="100" w:type="dxa"/>
            <w:vAlign w:val="bottom"/>
          </w:tcPr>
          <w:p>
            <w:pPr>
              <w:spacing w:after="0"/>
              <w:rPr>
                <w:sz w:val="19"/>
                <w:szCs w:val="19"/>
                <w:color w:val="auto"/>
              </w:rPr>
            </w:pPr>
          </w:p>
        </w:tc>
      </w:tr>
    </w:tbl>
    <w:p>
      <w:pPr>
        <w:spacing w:after="0" w:line="28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The unamortized cost associated with unvested stock grants and the weighted average period over which it is expected to be recognized as of September 30, 2025 were $2,101,000 and 17 months, respectively. The fair value of restricted stock with time-based vesting features is based upon the Company’s share price on the date of grant and is expensed over the service period. Fair value of performance grants that cliff vest based on the achievement of performance conditions is based on the share price of the Company’s stock on the day of grant and is expensed over the performance period if it is probable that the award will vest. This fair value is expensed over the service period applicable to these grants. For performance grants that contain a range of shares from zero to maximum, the Company determines, based on historic and projected results, the probability of (1) achieving the performance objective, and (2) the level of achievement. Based on this information, the Company determines the number of awards probable of vesting and expenses the grant date fair value of such awards over the service period related to these grants. Because the ultimate vesting of all performance grants is tied to the achievement of a performance condition, the Company estimates whether the performance condition will be met and over what period of time. Ultimately, the Company adjusts compensation cost according to the actual outcome of the performance condition.</w:t>
      </w:r>
    </w:p>
    <w:p>
      <w:pPr>
        <w:spacing w:after="0" w:line="21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the 2023 Stock Incentive Plan, each non-employee director, during the years presented, received all or a portion of his or her annual compensation in stock.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table summarizes stock compensation costs for the Company's 2023 Stock Incentive Plan, 1998 Stock Incentive Plan, and the prior Non-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Director Stock Incentive Plan for the following periods: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Expensed</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r>
      <w:tr>
        <w:trPr>
          <w:trHeight w:val="229"/>
        </w:trPr>
        <w:tc>
          <w:tcPr>
            <w:tcW w:w="7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Capitalized</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23"/>
        </w:trPr>
        <w:tc>
          <w:tcPr>
            <w:tcW w:w="7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compensation costs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Company’s provision for income taxes has been calculated by applying an estimate of the annual effective tax rate for the full year to “ordinary” income or loss (pre-tax income or loss excluding unusual or infrequently occurring discrete items). For the nine months ended September 30, 2025, the Company’s income tax benefit was $1,809,000 compared to income tax benefit of $286,000 for the nine months ended September 30, 2024. Effective tax rates were 55% and 14% for the nine months ended September 30, 2025 and 2024, respectively. As of September 30, 2025, the Company had income tax receivables of $3,458,000. The Company classifies interest and penalties incurred on tax payments as income tax expense.</w:t>
      </w:r>
    </w:p>
    <w:p>
      <w:pPr>
        <w:spacing w:after="0" w:line="2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the Company’s effective tax rate was above statutory tax rates as a result of permanent differences related to Internal Revenue Code Section 162(m) limitations. Internal Revenue Code Section 162(m) compensation deduction limitations occurred as a result of changes in tax law arising from the 2017 Tax Cuts and Jobs Act.</w:t>
      </w:r>
    </w:p>
    <w:p>
      <w:pPr>
        <w:spacing w:after="0" w:line="2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in the U.S., which contains a broad range of tax reform provisions affecting businesses. We are evaluating the full effects of the legislation on our annual effective tax rate and cash tax position, but we expect that the legislation will likely not have a material impact on our financial statements.</w:t>
      </w:r>
    </w:p>
    <w:p>
      <w:pPr>
        <w:spacing w:after="0" w:line="118" w:lineRule="exact"/>
        <w:rPr>
          <w:sz w:val="20"/>
          <w:szCs w:val="20"/>
          <w:color w:val="auto"/>
        </w:rPr>
      </w:pPr>
    </w:p>
    <w:p>
      <w:pPr>
        <w:ind w:right="7320" w:firstLine="8"/>
        <w:spacing w:after="0" w:line="362" w:lineRule="auto"/>
        <w:tabs>
          <w:tab w:leader="none" w:pos="4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Water Contracts</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secured water contracts that are encumbered by the Company's land. These water contracts require minimum annual payments, for which $12,366,000 was paid during the nine months ended September 30, 2025. These water contract payments consist of SWP contracts with WRMWSD, TCWD, Tulare Lake Basin, Dudley-Ridge, and the Nickel water contract. The SWP contracts run through 2085, and the Nickel water contract runs through 2044, with an option to extend an additional 35 years. The Company's contractual obligation for future water payments was $1,458,839,000 as of September 30, 2025.</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w:t>
      </w:r>
    </w:p>
    <w:p>
      <w:pPr>
        <w:spacing w:after="0" w:line="9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Company terminated a consulting arrangement in 2014 related to the Grapevine at Tejon Ranch development (Grapevine) and remains obligated to pay an incentive fee upon obtaining certain regulatory approvals (Regulatory Approvals). The fee is based on the increase in the property’s fair market value over a base value, to be determined at the time Regulatory Approvals are obtained, with an additional fee measured from the property’s value five years thereafter. The final amount will be determined at those future valuation dates, and, at this time, the fees cannot be reasonably estimated.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Facilities Districts</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TRPFFA is a joint powers authority formed by Kern County and TCWD to finance public infrastructure within the Company’s Kern County developments. For the development of TRCC, TRPFFA has created two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$95,660,000 of outstanding bond debt sold by TRPFFA for TRCC-East. At TRCC-West, the West CFD has no additional bond debt approved for issuance. At TRCC-East, the East CFD has approximately $18,605,000 of additional bond debt authorized by TRPFFA that can be sold in the future.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8" w:name="page19"/>
    <w:bookmarkEnd w:id="18"/>
    <w:p>
      <w:pPr>
        <w:ind w:right="40"/>
        <w:spacing w:after="0" w:line="253" w:lineRule="auto"/>
        <w:rPr>
          <w:sz w:val="20"/>
          <w:szCs w:val="20"/>
          <w:color w:val="auto"/>
        </w:rPr>
      </w:pPr>
      <w:r>
        <w:rPr>
          <w:rFonts w:ascii="Times New Roman" w:cs="Times New Roman" w:eastAsia="Times New Roman" w:hAnsi="Times New Roman"/>
          <w:sz w:val="18"/>
          <w:szCs w:val="18"/>
          <w:color w:val="auto"/>
        </w:rPr>
        <w:t>As a landowner in each CFD, the Company is obligated to pay its share of the special taxes assessed each year. The secured lands include both the TRCC-West and TRCC-East developments. Proceeds from the sale of West CFD bonds went to reimburse the Company for public infrastructure costs related to the TRCC-West development. As of September 30, 2025, there were no additional improvement funds remaining from the West CFD bonds. On July 25, 2024, TRPFFA sold bonds that provide approximately $25,000,000 of improvement funds for the reimbursement of public infrastructure costs at TRCC-East. As of September 30, 2025, there are $14,290,000 of additional improvement funds remaining within the East CFD bonds for reimbursement of public infrastructure costs during future years. During fiscal year 2025, the Company expects to pay approximately $3,642,000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assessed value of the property at the time of sale or on its assessed value at the time it is leased to a third-party. Accordingly, the Company was not required to recognize an obligation on September 30, 2025.</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Centennial</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LA County’s granting of approvals for the Centennial project, including certification of the final EIR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the CBD and the CNPS filed an action in Los Angeles County Superior Court (the CBD/CNPS Action) against LA County; like the Climate Resolve Action, the CBD/CNPS Action also challenges the Centennial Approvals. The Company, its wholly owned subsidiary Tejon Ranchcorp, and CFL were named as real parties-in-interest in both the Climate Resolve Action and the CBD/CNPS Action.</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Climate Resolve Action and the CBD/CNPS Action collectively alleged that LA County failed to properly follow the procedures and requirements of CEQA and the California Planning and Zoning Law. The Climate Resolve Action and the CBD/CNPS Action were deemed “related” and, while not consolidated under court rules or the rules of civil procedure, the Los Angeles Superior Court judge (Superior Court or Court) trying both cases determined during early trial management conferences to hold one set of hearings and issue one ruling on the matters as part of the adjudication. The Climate Resolve Action and CBD/CNPS Action sought to invalidate the Centennial Approvals and require LA County to revise the environmental documentation related to the Centennial project.</w:t>
      </w:r>
    </w:p>
    <w:p>
      <w:pPr>
        <w:spacing w:after="0" w:line="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April 5, 2021, the Court issued its decision denying the petition for writ of mandate by CBD/CNPS and granting the petition for writ of mandate filed by Climate Resolve. In granting Climate Resolve’s petition, the Court found three specific areas where the EIR for the project was lacking. The Court ruled that California’s Cap-and-Trade Program cannot be used as a compliance pathway for mitigating GHG impacts for the project and therefore further ruled that additional analysis will be required related to all feasible mitigation of GHG impacts. The Court also found that the EIR must provide additional analysis and explanation of how wildland fire risk on lands outside of the project site, posed by on-site ignition sources, is mitigated to less than significant. On April 19, 2021, CBD filed a motion for reconsideration with the Court on the denial of their petition for writ of mandate to be granted prevailing party status in its case based on the Court's conclusions in the Climate Resolve Action (“Motion for Reconsideration”).</w:t>
      </w:r>
    </w:p>
    <w:p>
      <w:pPr>
        <w:spacing w:after="0" w:line="5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November 30, 2021, the Company, together with Ranchcorp and CFL, entered into a Settlement Agreement with Climate Resolve. Pursuant to the Settlement Agreement, the Company has agreed as stated and obligated in the Settlement Agreement: (1) to make Centennial a net zero GHG emissions project through various on-site and off-site measures including, but not limited to, installing electric vehicle chargers and establishing and funding incentive programs for the purchase of electric vehicles; (2) to fund certain on-site and off-site fire protection and prevention measures; and (3) to provide annual public reports and create an organization to monitor progress towards these commitments. The foregoing is only a summary of the material terms of the Settlement Agreement and does not purport to be a complete description of the rights and obligations of the parties thereunder and is qualified in its entirety by reference to the Settlement Agreement. In exchange, Climate Resolve filed a request for dismissal of the Climate Resolve Action with prejudice from the Court. On January 14, 2022, the Court heard CBD/CNPS' Motion for Reconsideration and issued its decision granting CBD/CNPS prevailing party status based on the Court’s conclusions in the Climate Resolve Action, which status as prevailing parties could require the Company to pay CBD/CNPS’s attorneys’ fees and other costs, which amounts could be significant.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ind w:right="100"/>
        <w:spacing w:after="0" w:line="261" w:lineRule="auto"/>
        <w:rPr>
          <w:sz w:val="20"/>
          <w:szCs w:val="20"/>
          <w:color w:val="auto"/>
        </w:rPr>
      </w:pPr>
      <w:r>
        <w:rPr>
          <w:rFonts w:ascii="Times New Roman" w:cs="Times New Roman" w:eastAsia="Times New Roman" w:hAnsi="Times New Roman"/>
          <w:sz w:val="18"/>
          <w:szCs w:val="18"/>
          <w:color w:val="auto"/>
        </w:rPr>
        <w:t>On October 26, 2022, the Court held a hearing concerning the entry of final judgment and awarding of appropriate remedies, at which time the Court agreed to: (a) hear the Company’s Motion for Reconsideration as to the successful challenges Climate Resolve prevailed upon within the Climate Resolve Action and ordered the Parties to appear on December 14, 2022 to hear the Company’s Motion for Reconsideration and (b) rule on the entry of final judgment and setting of remedies at a February 17, 2023 hearing date.</w:t>
      </w:r>
    </w:p>
    <w:p>
      <w:pPr>
        <w:spacing w:after="0" w:line="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the December 14, 2022 hearing, the Court denied the Company’s Motion for Reconsideration. At the February 17, 2023 hearing, the Court took into submission the Parties’ legal briefs and oral arguments. On March 22, 2023, the Court decided in favor of CBD/CNPS and signed CBD/CNPS’s proposed form of judgment, which included a full rescission of the Centennial project approvals previously issued by Los Angeles County and which also concluded that CBD/CNPS were prevailing parties ("Judgment").</w:t>
      </w:r>
    </w:p>
    <w:p>
      <w:pPr>
        <w:spacing w:after="0" w:line="5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May 26, 2023, the Company filed a Notice of Appeal with the Superior Court, thereby appealing the Judgment to the Second District of the California Court of Appeal (Court of Appeal). On June 27, 2023, CBD/CNPS cross-appealed the Judgment. The Court of Appeal held a hearing on April 3, 2025 for this matter. On June 26, 2025, the Court of Appeal issued a written decision affirming the Superior Court’s Judgment. In doing so, the Court of Appeal upheld the Superior Court determinations that (i) the CBD/CNPS Action claims related to wildlife connectivity, perennial grassland and wildflower impacts, and project alternatives were without merit, (ii) California’s Cap-and-Trade Program cannot be used as a compliance pathway for mitigating GHG impacts for the Centennial project and, therefore, further ruled that additional analysis is required related to all feasible mitigation of GHG impacts, (iii) additional analysis and explanation are required of how wildland fire risk on lands outside of the Centennial project site, posed by on-site ignition sources, is mitigated to less than significant, (iv) the Centennial Approvals be rescinded and Centennial EIR decertified pending correction of the EIR for the issues described above, and (v) CBD/CNPS were prevailing parties. The Court of Appeal also indicated that the EIR should discuss wildfire risks associated with the Project’s offsite improvements (such as offsite utility and natural gas lines).</w:t>
      </w:r>
    </w:p>
    <w:p>
      <w:pPr>
        <w:spacing w:after="0" w:line="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September 5, 2025, the Court of Appeal transferred jurisdiction of CBD/CNPS Action back to the Superior Court, which thereafter entered a writ of mandate on September 22, 2025 ordering LA County to set aside the Centennial Approvals (the “Writ”), something that was expected in light of the Court of Appeal decision summarized above. LA County has ninety days from the issuance of the Writ (i.e., by December 21, 2025) to return to the Superior Court confirming that it has complied with the Writ by rescinding the Centennial Approvals. We anticipate LA County will rescind the Centennial Approvals in the fourth quarter of 2025 before the December 21st deadline. On October 15, 2025, CBD/CNPS filed a motion for attorney's fees, the award of which is in the discretion of the trial court.</w:t>
      </w:r>
    </w:p>
    <w:p>
      <w:pPr>
        <w:spacing w:after="0" w:line="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is in the process of working with LA County to advance the Centennial project. Following LA County’s anticipated rescission of the Centennial Approvals later this year, the Company will seek re-entitlement of the Centennial project (“re-entitlement”). We expect that re-entitlement will involve processing project and use entitlements that are substantively similar to the Centennial Approvals that were approved by the LA County Board of Supervisors in April of 2019. As part of the re-entitlement, supplemental environmental analysis will be prepared and limited to addressing the deficiencies raised in the Judgment and Court of Appeal decision, and any new information legally required to be addressed. Following a public comment and review period, the LA County Regional Planning Commission would hold a hearing to make a recommendation to the LA County Board of Supervisors on the re-entitlement of the Centennial project. Thereafter, the LA County Board of Supervisors would hold a hearing to consider the supplemental environmental analysis and whether to take action to approve the re-entitlement of the Centennial project, with possible LA County Board of Supervisors action anticipated to occur by the end of 2026. Following the LA County Board of Supervisors’ action, the Company and LA County would return to the Superior Court to demonstrate compliance with and seek discharge of the Writ, and further litigation could challenge the re-entitlement.</w:t>
      </w:r>
    </w:p>
    <w:p>
      <w:pPr>
        <w:spacing w:after="0" w:line="7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the Company’s process to reinstate the project approvals remain pending, the monetary value of any adverse decision, if any, cannot be reasonably estimated at this time.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Incidental to Business</w:t>
      </w:r>
    </w:p>
    <w:p>
      <w:pPr>
        <w:spacing w:after="0" w:line="9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4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outcome of these other proceedings is not predictable. However, based on current circumstances, the Company believes that the ultimate resolution of these other proceedings will not have a material adverse effect on the Company’s financial position, results of operations or cash flows, either individually or in the aggregate.</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0" w:name="page21"/>
    <w:bookmarkEnd w:id="20"/>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RETIREMENT PLANS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does not expect to make contributions to the Benefit Plan in 2025.</w:t>
      </w:r>
    </w:p>
    <w:p>
      <w:pPr>
        <w:spacing w:after="0" w:line="4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Benefit Plan assets consist of equity, debt and short-term money market investment funds. The Benefit Plan’s current investment policy changed during the third quarter of 2018. The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both September 30, 2025 and December 31, 2024, the investment mixes were approximately at 99% debt and 1% money market funds. The weighted-average discount rate used in determining the periodic pension cost is 5.60% in 2025 and 4.85% in 2024. The expected long-term rate of return on plan assets is 5.00% for both fiscal 2025 and 2024. The long-term rate of return on Benefit Plan assets is based on the historical returns within the plan and expectations for future returns.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 pension and retirement expense for the Benefit Plan was as follows:</w:t>
            </w: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51"/>
        </w:trPr>
        <w:tc>
          <w:tcPr>
            <w:tcW w:w="73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7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(Cost)/earnings components:</w:t>
            </w: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periodic pension cost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
        </w:trPr>
        <w:tc>
          <w:tcPr>
            <w:tcW w:w="7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In April 2017, the Company froze the SERP plan as it relates to the accrual of additional benefits.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The pension and retirement expense for the SERP was as follows:</w:t>
            </w:r>
          </w:p>
        </w:tc>
        <w:tc>
          <w:tcPr>
            <w:tcW w:w="2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components:</w:t>
            </w:r>
          </w:p>
        </w:tc>
        <w:tc>
          <w:tcPr>
            <w:tcW w:w="2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25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amortization and other</w:t>
            </w:r>
          </w:p>
        </w:tc>
        <w:tc>
          <w:tcPr>
            <w:tcW w:w="2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periodic pension cost</w:t>
            </w:r>
          </w:p>
        </w:tc>
        <w:tc>
          <w:tcPr>
            <w:tcW w:w="2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51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1" w:name="page22"/>
    <w:bookmarkEnd w:id="21"/>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REPORTING SEGMENTS AND RELATED INFORMATION</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currently operates five reporting segments: commercial/industrial real estate development, resort/residential real estate development, mineral resources, farming, and ranch operations. The financial results of these segments are utilized by the chief operating decision maker, or CODM, who is our Chief Executive Officer, for evaluating segment performance and allocating resources. The CODM uses GAAP operating results predominantly in the annual budgeting and forecasting process. The CODM considers budget-to-actual variances on a monthly basis for GAAP operating results when making decisions about allocating capital and personnel to the segments.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Information pertaining to operating results of the Company's reporting segments are as follows for each of the period end:</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40" w:type="dxa"/>
            <w:vAlign w:val="bottom"/>
          </w:tcPr>
          <w:p>
            <w:pPr>
              <w:spacing w:after="0"/>
              <w:rPr>
                <w:sz w:val="22"/>
                <w:szCs w:val="22"/>
                <w:color w:val="auto"/>
              </w:rPr>
            </w:pPr>
          </w:p>
        </w:tc>
        <w:tc>
          <w:tcPr>
            <w:tcW w:w="30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6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Mineral resources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Farming</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Ranch operations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4260" w:type="dxa"/>
            <w:vAlign w:val="bottom"/>
            <w:tcBorders>
              <w:bottom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Segment revenues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11,969</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10,856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28,485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23,951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6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Segment Operating Results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42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 resort/residential</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 resources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Farming</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Ranch operations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3"/>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Segment operating results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Investment income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loss, net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Corporate expenses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20" w:right="500" w:firstLine="6"/>
        <w:spacing w:after="0" w:line="212" w:lineRule="auto"/>
        <w:tabs>
          <w:tab w:leader="none" w:pos="9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Segment operating results are comprised of revenues and equity in earnings of unconsolidated joint ventures, less segment expenses, excluding investment income, other income (loss), corporate expenses, and income taxes.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 Commercial/Industrial Development</w:t>
      </w:r>
    </w:p>
    <w:p>
      <w:pPr>
        <w:spacing w:after="0" w:line="14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Revenues from the Commercial/Industrial Real Estate Development segment primarily consist of rental income derived from land and/or building leases to commercial and industrial tenants, including multifamily units at Terra Vista. This segment also includes variable income such as percentage rents from the PEF power plant lease, rents from communication tower leases, land sales, and payments received from easement agreements. Refer to Note 14 (Investment in Unconsolidated and Consolidated Joint Ventures) for discussion of unconsolidated joint ventures.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table summarizes revenues, expenses and operating income from this segment for the periods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40" w:type="dxa"/>
            <w:vAlign w:val="bottom"/>
          </w:tcPr>
          <w:p>
            <w:pPr>
              <w:spacing w:after="0"/>
              <w:rPr>
                <w:sz w:val="20"/>
                <w:szCs w:val="20"/>
                <w:color w:val="auto"/>
              </w:rPr>
            </w:pPr>
          </w:p>
        </w:tc>
        <w:tc>
          <w:tcPr>
            <w:tcW w:w="30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Commercial/industrial 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Equity in earnings of unconsolidated joint ventures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0" w:type="dxa"/>
            <w:vAlign w:val="bottom"/>
          </w:tcPr>
          <w:p>
            <w:pPr>
              <w:spacing w:after="0"/>
              <w:rPr>
                <w:sz w:val="1"/>
                <w:szCs w:val="1"/>
                <w:color w:val="auto"/>
              </w:rPr>
            </w:pPr>
          </w:p>
        </w:tc>
      </w:tr>
      <w:tr>
        <w:trPr>
          <w:trHeight w:val="155"/>
        </w:trPr>
        <w:tc>
          <w:tcPr>
            <w:tcW w:w="45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Commercial/industrial revenues and equity in earnings of</w:t>
            </w: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unconsolidated joint ventures</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w:t>
            </w:r>
          </w:p>
        </w:tc>
        <w:tc>
          <w:tcPr>
            <w:tcW w:w="0" w:type="dxa"/>
            <w:vAlign w:val="bottom"/>
          </w:tcPr>
          <w:p>
            <w:pPr>
              <w:spacing w:after="0"/>
              <w:rPr>
                <w:sz w:val="1"/>
                <w:szCs w:val="1"/>
                <w:color w:val="auto"/>
              </w:rPr>
            </w:pPr>
          </w:p>
        </w:tc>
      </w:tr>
      <w:tr>
        <w:trPr>
          <w:trHeight w:val="229"/>
        </w:trPr>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sales of land</w:t>
            </w:r>
          </w:p>
        </w:tc>
        <w:tc>
          <w:tcPr>
            <w:tcW w:w="2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29"/>
        </w:trPr>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Commercial/industrial expenses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0" w:type="dxa"/>
            <w:vAlign w:val="bottom"/>
          </w:tcPr>
          <w:p>
            <w:pPr>
              <w:spacing w:after="0"/>
              <w:rPr>
                <w:sz w:val="1"/>
                <w:szCs w:val="1"/>
                <w:color w:val="auto"/>
              </w:rPr>
            </w:pPr>
          </w:p>
        </w:tc>
      </w:tr>
      <w:tr>
        <w:trPr>
          <w:trHeight w:val="156"/>
        </w:trPr>
        <w:tc>
          <w:tcPr>
            <w:tcW w:w="45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Operating results from commercial/industrial and</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0" w:type="dxa"/>
            <w:vAlign w:val="bottom"/>
          </w:tcPr>
          <w:p>
            <w:pPr>
              <w:spacing w:after="0"/>
              <w:rPr>
                <w:sz w:val="1"/>
                <w:szCs w:val="1"/>
                <w:color w:val="auto"/>
              </w:rPr>
            </w:pPr>
          </w:p>
        </w:tc>
      </w:tr>
      <w:tr>
        <w:trPr>
          <w:trHeight w:val="236"/>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unconsolidated joint ventures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 Resort/Residential Development</w:t>
      </w:r>
    </w:p>
    <w:p>
      <w:pPr>
        <w:spacing w:after="0" w:line="16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The Resort/Residential real estate development segment is actively involved in pursuing land entitlement and development processes both internally and through joint ventures. The segment incurs costs and expenses related to land management activities on land held for future development, but currently generates no revenue. The segment generated losses of $318,000 and $328,000 for the three months ended September 30, 2025 and 2024, respectively. The expenses consisted of operating expenses of $192,000, selling, general and administrative expenses of $118,000, and depreciation of $8,000 for the three months ended September 30, 2025. The prior period expenses consisted of operating expenses of $98,000, selling, general and administrative expenses of $219,000, and depreciation of $11,000 for the three months ended September 30, 2024.</w:t>
      </w:r>
    </w:p>
    <w:p>
      <w:pPr>
        <w:spacing w:after="0" w:line="20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The segment generated losses of $1,008,000 and $2,316,000 for the nine months ended September 30, 2025 and 2024, respectively. The expenses consisted of operating expenses of $475,000, selling, general and administrative expenses of $504,000, and depreciation of $28,000 for the nine months ended September 30, 2025. The prior period expenses consisted of operating expenses of $1,628,000, selling, general and administrative expenses of $658,000, and depreciation of $29,000 for the nine months ended September 30,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Mineral Resources</w:t>
      </w:r>
    </w:p>
    <w:p>
      <w:pPr>
        <w:spacing w:after="0" w:line="16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Mineral Resources segment revenues include water sales and oil and mineral royalties from exploration and development companies that extract or mine natural resources from the Company's land. The following table summarizes revenues, expenses and operating results from this segment for the periods ended: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40" w:type="dxa"/>
            <w:vAlign w:val="bottom"/>
          </w:tcPr>
          <w:p>
            <w:pPr>
              <w:spacing w:after="0"/>
              <w:rPr>
                <w:sz w:val="20"/>
                <w:szCs w:val="20"/>
                <w:color w:val="auto"/>
              </w:rPr>
            </w:pPr>
          </w:p>
        </w:tc>
        <w:tc>
          <w:tcPr>
            <w:tcW w:w="30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9"/>
                <w:szCs w:val="19"/>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Mineral resources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20" w:type="dxa"/>
            <w:vAlign w:val="bottom"/>
          </w:tcPr>
          <w:p>
            <w:pPr>
              <w:spacing w:after="0"/>
              <w:rPr>
                <w:sz w:val="19"/>
                <w:szCs w:val="19"/>
                <w:color w:val="auto"/>
              </w:rPr>
            </w:pPr>
          </w:p>
        </w:tc>
      </w:tr>
      <w:tr>
        <w:trPr>
          <w:trHeight w:val="223"/>
        </w:trPr>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sales of water</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20" w:type="dxa"/>
            <w:vAlign w:val="bottom"/>
          </w:tcPr>
          <w:p>
            <w:pPr>
              <w:spacing w:after="0"/>
              <w:rPr>
                <w:sz w:val="19"/>
                <w:szCs w:val="19"/>
                <w:color w:val="auto"/>
              </w:rPr>
            </w:pPr>
          </w:p>
        </w:tc>
      </w:tr>
      <w:tr>
        <w:trPr>
          <w:trHeight w:val="230"/>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tcPr>
          <w:p>
            <w:pPr>
              <w:spacing w:after="0"/>
              <w:rPr>
                <w:sz w:val="19"/>
                <w:szCs w:val="19"/>
                <w:color w:val="auto"/>
              </w:rPr>
            </w:pPr>
          </w:p>
        </w:tc>
      </w:tr>
      <w:tr>
        <w:trPr>
          <w:trHeight w:val="230"/>
        </w:trPr>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0" w:type="dxa"/>
            <w:vAlign w:val="bottom"/>
          </w:tcPr>
          <w:p>
            <w:pPr>
              <w:spacing w:after="0"/>
              <w:rPr>
                <w:sz w:val="19"/>
                <w:szCs w:val="19"/>
                <w:color w:val="auto"/>
              </w:rPr>
            </w:pPr>
          </w:p>
        </w:tc>
      </w:tr>
      <w:tr>
        <w:trPr>
          <w:trHeight w:val="230"/>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0" w:type="dxa"/>
            <w:vAlign w:val="bottom"/>
          </w:tcPr>
          <w:p>
            <w:pPr>
              <w:spacing w:after="0"/>
              <w:rPr>
                <w:sz w:val="19"/>
                <w:szCs w:val="19"/>
                <w:color w:val="auto"/>
              </w:rPr>
            </w:pPr>
          </w:p>
        </w:tc>
      </w:tr>
      <w:tr>
        <w:trPr>
          <w:trHeight w:val="223"/>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Mineral resources expenses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20" w:type="dxa"/>
            <w:vAlign w:val="bottom"/>
          </w:tcPr>
          <w:p>
            <w:pPr>
              <w:spacing w:after="0"/>
              <w:rPr>
                <w:sz w:val="19"/>
                <w:szCs w:val="19"/>
                <w:color w:val="auto"/>
              </w:rPr>
            </w:pP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results from mineral resources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20" w:type="dxa"/>
            <w:vAlign w:val="bottom"/>
          </w:tcPr>
          <w:p>
            <w:pPr>
              <w:spacing w:after="0"/>
              <w:rPr>
                <w:sz w:val="21"/>
                <w:szCs w:val="2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1"/>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Farming</w:t>
      </w:r>
    </w:p>
    <w:p>
      <w:pPr>
        <w:spacing w:after="0" w:line="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Farming segment revenues include the sale of almonds, pistachios, wine grapes, and hay. The following table summarizes revenues, expenses and operating results from this segment for the periods ended: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260" w:type="dxa"/>
            <w:vAlign w:val="bottom"/>
          </w:tcPr>
          <w:p>
            <w:pPr>
              <w:spacing w:after="0"/>
              <w:rPr>
                <w:sz w:val="20"/>
                <w:szCs w:val="20"/>
                <w:color w:val="auto"/>
              </w:rPr>
            </w:pPr>
          </w:p>
        </w:tc>
        <w:tc>
          <w:tcPr>
            <w:tcW w:w="30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Farming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r>
      <w:tr>
        <w:trPr>
          <w:trHeight w:val="223"/>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w:t>
            </w:r>
          </w:p>
        </w:tc>
      </w:tr>
      <w:tr>
        <w:trPr>
          <w:trHeight w:val="230"/>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water obligations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r>
      <w:tr>
        <w:trPr>
          <w:trHeight w:val="229"/>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2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Farming expenses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9,406</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results from farming</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Ranch Operations</w:t>
      </w:r>
    </w:p>
    <w:p>
      <w:pPr>
        <w:spacing w:after="0" w:line="106"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8"/>
          <w:szCs w:val="18"/>
          <w:color w:val="auto"/>
        </w:rPr>
        <w:t>The Ranch Operations segment consists of game management revenues and ancillary land uses, such as grazing leases and on-location filming. The following table summarizes revenues, expenses and operating results from this segment for the periods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2760" w:type="dxa"/>
            <w:vAlign w:val="bottom"/>
            <w:gridSpan w:val="4"/>
          </w:tcPr>
          <w:p>
            <w:pPr>
              <w:jc w:val="center"/>
              <w:ind w:left="475"/>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23"/>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vMerge w:val="continue"/>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Ranch operations revenues</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23"/>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Ranch operations expenses</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results from ranch operations</w:t>
            </w:r>
          </w:p>
        </w:tc>
        <w:tc>
          <w:tcPr>
            <w:tcW w:w="98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center"/>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pertaining to identifiable assets of the Company’s reporting segments is as follows for the periods ended: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Identifiable Assets</w:t>
            </w:r>
          </w:p>
        </w:tc>
        <w:tc>
          <w:tcPr>
            <w:tcW w:w="160" w:type="dxa"/>
            <w:vAlign w:val="bottom"/>
          </w:tcPr>
          <w:p>
            <w:pPr>
              <w:spacing w:after="0"/>
              <w:rPr>
                <w:sz w:val="18"/>
                <w:szCs w:val="18"/>
                <w:color w:val="auto"/>
              </w:rPr>
            </w:pPr>
          </w:p>
        </w:tc>
        <w:tc>
          <w:tcPr>
            <w:tcW w:w="1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18"/>
                <w:szCs w:val="18"/>
                <w:color w:val="auto"/>
              </w:rPr>
            </w:pPr>
          </w:p>
        </w:tc>
        <w:tc>
          <w:tcPr>
            <w:tcW w:w="1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72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 resort/residential</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330,513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 resources</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Farming</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Ranch operations</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Identifiable assets by segment include both assets directly identified with those operations and an allocable share of jointly used assets. Corporate assets consist primarily of cash and cash equivalents, marketable securities, deferred income taxes, and land and buildings. Land is valued at cost for acquisitions since 1936. Land acquired in 1936, upon organization of the Company, is stated on the basis carried by the Company’s predecessor.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Information pertaining to depreciation and amortization of the Company’s reporting segments is as follows for the periods ended: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280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gridSpan w:val="4"/>
          </w:tcPr>
          <w:p>
            <w:pPr>
              <w:jc w:val="center"/>
              <w:ind w:right="210"/>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22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vMerge w:val="continue"/>
          </w:tcPr>
          <w:p>
            <w:pPr>
              <w:spacing w:after="0"/>
              <w:rPr>
                <w:sz w:val="19"/>
                <w:szCs w:val="19"/>
                <w:color w:val="auto"/>
              </w:rPr>
            </w:pPr>
          </w:p>
        </w:tc>
        <w:tc>
          <w:tcPr>
            <w:tcW w:w="2220" w:type="dxa"/>
            <w:vAlign w:val="bottom"/>
            <w:tcBorders>
              <w:bottom w:val="single" w:sz="8" w:color="CCEEFF"/>
            </w:tcBorders>
            <w:vMerge w:val="continue"/>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 resort/residential</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 resources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Farming</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Ranch operations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pertaining to capital expenditures of the Company’s reporting segments is as follows for the periods ended: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8"/>
              </w:rPr>
              <w:t>Capital Expenditures</w:t>
            </w:r>
          </w:p>
        </w:tc>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320" w:type="dxa"/>
            <w:vAlign w:val="bottom"/>
          </w:tcPr>
          <w:p>
            <w:pPr>
              <w:spacing w:after="0"/>
              <w:rPr>
                <w:sz w:val="17"/>
                <w:szCs w:val="17"/>
                <w:color w:val="auto"/>
              </w:rPr>
            </w:pPr>
          </w:p>
        </w:tc>
        <w:tc>
          <w:tcPr>
            <w:tcW w:w="3020" w:type="dxa"/>
            <w:vAlign w:val="bottom"/>
            <w:gridSpan w:val="4"/>
          </w:tcPr>
          <w:p>
            <w:pPr>
              <w:jc w:val="right"/>
              <w:ind w:right="430"/>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460" w:type="dxa"/>
            <w:vAlign w:val="bottom"/>
            <w:tcBorders>
              <w:bottom w:val="single" w:sz="8" w:color="CCEEFF"/>
            </w:tcBorders>
            <w:gridSpan w:val="2"/>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 resort/residential</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 resources</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Farming</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Ranch operations</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INVESTMENT IN UNCONSOLIDATED AND CONSOLIDATED JOINT VENTURES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September 30, 2025 was $33,754,000. The equity in the income of unconsolidated joint ventures was $6,268,000 for the nine months ended September 30, 2025. The unconsolidated joint ventures have not been consolidated as of September 30, 2025, because the Company does not control the investments. The Company’s current joint ventures are as follows:</w:t>
      </w:r>
    </w:p>
    <w:p>
      <w:pPr>
        <w:spacing w:after="0" w:line="129" w:lineRule="exact"/>
        <w:rPr>
          <w:sz w:val="20"/>
          <w:szCs w:val="20"/>
          <w:color w:val="auto"/>
        </w:rPr>
      </w:pPr>
    </w:p>
    <w:p>
      <w:pPr>
        <w:ind w:left="460" w:right="40" w:hanging="331"/>
        <w:spacing w:after="0" w:line="256" w:lineRule="auto"/>
        <w:tabs>
          <w:tab w:leader="none" w:pos="4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Petro Travel Plaza Holdings, LLC – TA/Petro is an unconsolidated joint venture with TravelCenters of America Inc. for the development and management of travel plazas and convenience stores. The Company has 50% voting rights and shares 60% of profit and losses in this joint venture. It houses multiple commercial eating establishments, as well as diesel and gasoline operations in TRCC. The Company does not control the investment due to it having only 50% voting rights, and because the partner in the joint venture is the managing partner and performs all of the day-to-day operations and has significant decision-making authority regarding key business components, such as fuel inventory and pricing at the facility. The Company's investment in this joint venture was $24,380,000 as of September 30, 2025.</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ind w:left="452" w:hanging="331"/>
        <w:spacing w:after="0" w:line="254" w:lineRule="auto"/>
        <w:tabs>
          <w:tab w:leader="none" w:pos="44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Majestic Realty Co. – Majestic Realty Co., or Majestic, is a privately-held developer and owner of master planned business parks the United States. The Company partnered with Majestic to form five active 50/50 joint ventures to acquire, develop, manage, and operate industrial real estate at TRCC. The partners have equal voting rights and equally share in the profit and loss of each joint venture. All outstanding debt attributed to our joint ventures with Majestic have met their respective debt covenants, and hence were not subject to an effective guarantee at September 30, 2025. For those investments in a deficit position,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70" w:lineRule="exact"/>
        <w:rPr>
          <w:rFonts w:ascii="Times New Roman" w:cs="Times New Roman" w:eastAsia="Times New Roman" w:hAnsi="Times New Roman"/>
          <w:sz w:val="18"/>
          <w:szCs w:val="18"/>
          <w:color w:val="auto"/>
        </w:rPr>
      </w:pPr>
    </w:p>
    <w:p>
      <w:pPr>
        <w:ind w:left="972" w:right="60" w:hanging="324"/>
        <w:spacing w:after="0" w:line="277" w:lineRule="auto"/>
        <w:tabs>
          <w:tab w:leader="none" w:pos="967" w:val="left"/>
        </w:tabs>
        <w:numPr>
          <w:ilvl w:val="2"/>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29, 2022, TRC-MRC 5, LLC was formed to pursue the development, construction, lease-up, and management of an approximately 446,400 square foot industrial building located within TRCC-East. The construction of the building was completed in the fourth quarter of 2023, and the joint venture has leased 100% of the rentable space. The joint venture refinanced the construction loan in February 2024 with a promissory note. The note matures on February 3, 2035, and had an outstanding balance of $52,222,000 as of September 30, 2025. Since its inception, the Company has received excess distributions resulting in a deficit balance in its investment of $1,918,000.</w:t>
      </w:r>
    </w:p>
    <w:p>
      <w:pPr>
        <w:spacing w:after="0" w:line="59" w:lineRule="exact"/>
        <w:rPr>
          <w:rFonts w:ascii="Times New Roman" w:cs="Times New Roman" w:eastAsia="Times New Roman" w:hAnsi="Times New Roman"/>
          <w:sz w:val="17"/>
          <w:szCs w:val="17"/>
          <w:color w:val="auto"/>
        </w:rPr>
      </w:pPr>
    </w:p>
    <w:p>
      <w:pPr>
        <w:ind w:left="972" w:right="20" w:hanging="324"/>
        <w:spacing w:after="0" w:line="258" w:lineRule="auto"/>
        <w:tabs>
          <w:tab w:leader="none" w:pos="967"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25, 2021, TRC-MRC 4, LLC was formed to pursue the development, construction, lease-up, and management of a 629,274 square foot industrial building located within TRCC-East. The construction of the building was completed in the fourth quarter of 2022, and the joint venture has leased 100% of the rentable space. The joint venture refinanced its construction loan in March 2023 with a promissory note. The note matures on March 1, 2033, and had an outstanding balance of $60,211,000 as of September 30, 2025. Since its inception, the Company has received excess distributions resulting in a deficit balance in its investment of $6,852,000.</w:t>
      </w:r>
    </w:p>
    <w:p>
      <w:pPr>
        <w:spacing w:after="0" w:line="75" w:lineRule="exact"/>
        <w:rPr>
          <w:rFonts w:ascii="Times New Roman" w:cs="Times New Roman" w:eastAsia="Times New Roman" w:hAnsi="Times New Roman"/>
          <w:sz w:val="18"/>
          <w:szCs w:val="18"/>
          <w:color w:val="auto"/>
        </w:rPr>
      </w:pPr>
    </w:p>
    <w:p>
      <w:pPr>
        <w:ind w:left="972" w:right="20" w:hanging="324"/>
        <w:spacing w:after="0" w:line="274" w:lineRule="auto"/>
        <w:tabs>
          <w:tab w:leader="none" w:pos="967" w:val="left"/>
        </w:tabs>
        <w:numPr>
          <w:ilvl w:val="2"/>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2018, TRC-MRC 3, LLC was formed to pursue the development, construction, leasing, and management of a 579,040 square foot industrial building located within TRCC-East. TRC-MRC 3, LLC qualified as a VIE from inception, but the Company is not the primary beneficiary therefore it does not consolidate TRC-MRC 3, LLC in its financial statements. The construction of the building was completed in 2019, and the joint venture has leased 100% of the rentable space to two tenants. In March 2019, the joint venture entered into a promissory note with a financial institution to finance the construction of the building. The note matures on May 1, 2030 and had an outstanding principal balance of $32,017,000 as of September 30, 2025. The Company's investment in this joint venture was $38,000 as of September 30, 2025.</w:t>
      </w:r>
    </w:p>
    <w:p>
      <w:pPr>
        <w:spacing w:after="0" w:line="64" w:lineRule="exact"/>
        <w:rPr>
          <w:rFonts w:ascii="Times New Roman" w:cs="Times New Roman" w:eastAsia="Times New Roman" w:hAnsi="Times New Roman"/>
          <w:sz w:val="17"/>
          <w:szCs w:val="17"/>
          <w:color w:val="auto"/>
        </w:rPr>
      </w:pPr>
    </w:p>
    <w:p>
      <w:pPr>
        <w:ind w:left="972" w:right="60" w:hanging="324"/>
        <w:spacing w:after="0" w:line="258" w:lineRule="auto"/>
        <w:tabs>
          <w:tab w:leader="none" w:pos="967"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2016, the Company partnered with Majestic to form TRC-MRC 2, LLC to acquire, lease, and maintain a fully occupied warehouse at TRCC-West. The partnership acquired the 651,909 square foot building for $24,773,000, and was largely financed through a promissory note. The promissory note was refinanced on June 1, 2018 with a $25,240,000 promissory note. The note matures on July 3, 2028 and had an outstanding principal balance of $20,684,000 as of September 30, 2025. The building was 100% leased as of September 30, 2025. The Company's investment in this joint venture was $312,000 as of September 30, 2025.</w:t>
      </w:r>
    </w:p>
    <w:p>
      <w:pPr>
        <w:spacing w:after="0" w:line="75" w:lineRule="exact"/>
        <w:rPr>
          <w:rFonts w:ascii="Times New Roman" w:cs="Times New Roman" w:eastAsia="Times New Roman" w:hAnsi="Times New Roman"/>
          <w:sz w:val="18"/>
          <w:szCs w:val="18"/>
          <w:color w:val="auto"/>
        </w:rPr>
      </w:pPr>
    </w:p>
    <w:p>
      <w:pPr>
        <w:ind w:left="972" w:right="20" w:hanging="324"/>
        <w:spacing w:after="0" w:line="258" w:lineRule="auto"/>
        <w:tabs>
          <w:tab w:leader="none" w:pos="967"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2016, TRC-MRC 1, LLC was formed to develop and operate an approximately 480,480 square foot industrial building at TRCC-East. The joint venture completed construction in 2017. The joint venture refinanced its construction loan in December 2018 with a mortgage loan. The original balance of the mortgage loan was $25,030,000, of which $20,943,000 was outstanding as of September 30, 2025. Since inception of the joint venture, the Company has received excess distributions resulting in a deficit balance in its investment of $1,123,000.</w:t>
      </w:r>
    </w:p>
    <w:p>
      <w:pPr>
        <w:spacing w:after="0" w:line="75" w:lineRule="exact"/>
        <w:rPr>
          <w:rFonts w:ascii="Times New Roman" w:cs="Times New Roman" w:eastAsia="Times New Roman" w:hAnsi="Times New Roman"/>
          <w:sz w:val="18"/>
          <w:szCs w:val="18"/>
          <w:color w:val="auto"/>
        </w:rPr>
      </w:pPr>
    </w:p>
    <w:p>
      <w:pPr>
        <w:ind w:left="332" w:right="120" w:hanging="332"/>
        <w:spacing w:after="0" w:line="266" w:lineRule="auto"/>
        <w:tabs>
          <w:tab w:leader="none" w:pos="3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TRC-DP 1, LLC - This joint venture was formed on October 4, 2024 with Dedeaux Properties to develop, manage, and operate an approximately 510,385 square foot industrial building at TRCC-East on land to be contributed by the Company in a future period. The Company's investment in this joint venture was $624,000 as of September 30,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53" w:right="359" w:bottom="1440" w:gutter="0" w:footer="0" w:header="0"/>
        </w:sectPr>
      </w:pPr>
    </w:p>
    <w:bookmarkStart w:id="26" w:name="page27"/>
    <w:bookmarkEnd w:id="26"/>
    <w:p>
      <w:pPr>
        <w:ind w:left="340" w:right="20" w:hanging="332"/>
        <w:spacing w:after="0" w:line="269" w:lineRule="auto"/>
        <w:tabs>
          <w:tab w:leader="none" w:pos="3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TRCC/Rock Outlet Center LLC – This joint venture was formed in 2013 with Rockefeller Group Development Corporation, or Rockefeller to develop, own, and manage a net leasable 326,000 square foot outlet center on land at TRCC-East. At September 30, 2025, the Company’s equity investment balance in this joint venture was $8,400,000.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On November 5, 2025, the TRCC/Rock Outlet Center LLC joint venture extended the maturity date of its term note with a financial institution from September 30, 2025 to December 31, 2025. As of September 30, 2025, the outstanding balance of the term note was $20,271,000. The Company and Rockefeller guarantee the performance of the debt.</w:t>
      </w:r>
    </w:p>
    <w:p>
      <w:pPr>
        <w:spacing w:after="0" w:line="60" w:lineRule="exact"/>
        <w:rPr>
          <w:rFonts w:ascii="Times New Roman" w:cs="Times New Roman" w:eastAsia="Times New Roman" w:hAnsi="Times New Roman"/>
          <w:sz w:val="17"/>
          <w:szCs w:val="17"/>
          <w:color w:val="auto"/>
        </w:rPr>
      </w:pPr>
    </w:p>
    <w:p>
      <w:pPr>
        <w:ind w:left="340" w:right="6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Centennial Founders, LLC – CFL is a joint venture with TRI Pointe Homes to pursue the entitlement and development of land that the Company owns in Los Angeles County. As of September 30, 2025, the Company owned 93.78% of CFL.</w:t>
      </w:r>
    </w:p>
    <w:p>
      <w:pPr>
        <w:spacing w:after="0" w:line="12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Company’s investment balance in each of its unconsolidated joint ventures differs from its capital accounts in the respective joint ventures. The variance represents the difference between the cost basis of assets contributed by the Company and the agreed upon fair value of those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condensed statements of operations for the nine months ended September 30, 2025 and 2024 and condensed balance sheet information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unconsolidated joint ventures as of September 30, 2025 and December 31, 2024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Joint Venture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TRC</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340" w:type="dxa"/>
            <w:vAlign w:val="bottom"/>
          </w:tcPr>
          <w:p>
            <w:pPr>
              <w:spacing w:after="0"/>
              <w:rPr>
                <w:sz w:val="20"/>
                <w:szCs w:val="20"/>
                <w:color w:val="auto"/>
              </w:rPr>
            </w:pPr>
          </w:p>
        </w:tc>
        <w:tc>
          <w:tcPr>
            <w:tcW w:w="252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Equity in Earnings (Loss)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 Travel Plaza Holdings, LLC</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36,820</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TRCC/Rock Outlet Center LLC</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TRC-MRC 1,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TRC-MRC 2,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TRC-MRC 3,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TRC-MRC 4,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TRC-MRC 5, LLC</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49,820</w:t>
            </w:r>
          </w:p>
        </w:tc>
        <w:tc>
          <w:tcPr>
            <w:tcW w:w="12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Centennial Founders, LLC</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24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8"/>
              </w:rPr>
              <w:t>Consolidated</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0" w:right="100" w:firstLine="6"/>
        <w:spacing w:after="0" w:line="204" w:lineRule="auto"/>
        <w:tabs>
          <w:tab w:leader="none" w:pos="103"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Revenues for TRCC/Rock Outlet Center LLC are presented net of non-cash tenant allowance amortization of $0.3 million and $0.3 million for the three months ended September 30, 2025 and September 30, 2024,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Joint Venture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TRC</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320" w:type="dxa"/>
            <w:vAlign w:val="bottom"/>
          </w:tcPr>
          <w:p>
            <w:pPr>
              <w:spacing w:after="0"/>
              <w:rPr>
                <w:sz w:val="20"/>
                <w:szCs w:val="20"/>
                <w:color w:val="auto"/>
              </w:rPr>
            </w:pPr>
          </w:p>
        </w:tc>
        <w:tc>
          <w:tcPr>
            <w:tcW w:w="254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Equity in Earnings (Loss)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 Travel Plaza Holdings, LLC</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105,718</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TRCC/Rock Outlet Center LLC</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TRC-MRC 1,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TRC-MRC 2,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TRC-MRC 3,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9"/>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TRC-MRC 4,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TRC-MRC 5, LLC</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134,066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143,392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0" w:type="dxa"/>
            <w:vAlign w:val="bottom"/>
          </w:tcPr>
          <w:p>
            <w:pPr>
              <w:spacing w:after="0"/>
              <w:rPr>
                <w:sz w:val="1"/>
                <w:szCs w:val="1"/>
                <w:color w:val="auto"/>
              </w:rPr>
            </w:pPr>
          </w:p>
        </w:tc>
      </w:tr>
      <w:tr>
        <w:trPr>
          <w:trHeight w:val="21"/>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Centennial Founders, LLC</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24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8"/>
              </w:rPr>
              <w:t>Consolidated</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0" w:right="140" w:firstLine="6"/>
        <w:spacing w:after="0" w:line="204" w:lineRule="auto"/>
        <w:tabs>
          <w:tab w:leader="none" w:pos="103"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Revenues for TRCC/Rock Outlet Center LLC are presented net of non-cash tenant allowance amortization of $0.5 million and $1.0 million for the nine months ended September 30, 2025 and September 30, 2024, respectively.</w:t>
      </w:r>
    </w:p>
    <w:p>
      <w:pPr>
        <w:sectPr>
          <w:pgSz w:w="11900" w:h="16838" w:orient="portrait"/>
          <w:cols w:equalWidth="0" w:num="1">
            <w:col w:w="11240"/>
          </w:cols>
          <w:pgMar w:left="320" w:top="1022" w:right="339" w:bottom="1440" w:gutter="0" w:footer="0" w:header="0"/>
        </w:sect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Joint Venture</w:t>
            </w:r>
          </w:p>
        </w:tc>
        <w:tc>
          <w:tcPr>
            <w:tcW w:w="160" w:type="dxa"/>
            <w:vAlign w:val="bottom"/>
          </w:tcPr>
          <w:p>
            <w:pPr>
              <w:spacing w:after="0"/>
              <w:rPr>
                <w:sz w:val="20"/>
                <w:szCs w:val="20"/>
                <w:color w:val="auto"/>
              </w:rPr>
            </w:pPr>
          </w:p>
        </w:tc>
        <w:tc>
          <w:tcPr>
            <w:tcW w:w="8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TRC</w:t>
            </w: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4"/>
                <w:szCs w:val="14"/>
                <w:color w:val="auto"/>
              </w:rPr>
            </w:pPr>
          </w:p>
        </w:tc>
        <w:tc>
          <w:tcPr>
            <w:tcW w:w="9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in thousands)</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Petro Travel Plaza Holdings, LLC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78,374</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24,380</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TRCC/Rock Outlet Center LLC</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53,823</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(20,271)</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32,449</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TRC-MRC 1, LLC</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23,979</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TRC-MRC 2, LLC</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22,107</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(20,684)</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TRC-MRC 3, LLC</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33,774</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(32,017)</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TRC-MRC 4, LLC</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47,688</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(60,211)</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TRC-MRC 5, LLC</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49,098</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(52,222)</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TRC-DP1, LLC</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308,843</w:t>
            </w: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(217,569)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Centennial Founders, LLC</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980" w:type="dxa"/>
            <w:vAlign w:val="bottom"/>
            <w:tcBorders>
              <w:bottom w:val="single" w:sz="8" w:color="CCEEFF"/>
            </w:tcBorders>
            <w:vMerge w:val="continue"/>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980" w:type="dxa"/>
            <w:vAlign w:val="bottom"/>
            <w:vMerge w:val="continue"/>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108,524</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108,228</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Centennial Founders, LLC, is consolidated within the Company's financial statements.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Joint Venture</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TRC</w:t>
            </w: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8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3"/>
                <w:szCs w:val="13"/>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43"/>
        </w:trPr>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73,558</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19,823</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(20,545)</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32,832</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0" w:type="dxa"/>
            <w:vAlign w:val="bottom"/>
          </w:tcPr>
          <w:p>
            <w:pPr>
              <w:spacing w:after="0"/>
              <w:rPr>
                <w:sz w:val="1"/>
                <w:szCs w:val="1"/>
                <w:color w:val="auto"/>
              </w:rPr>
            </w:pPr>
          </w:p>
        </w:tc>
      </w:tr>
      <w:tr>
        <w:trPr>
          <w:trHeight w:val="229"/>
        </w:trPr>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24,539</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21,552</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(21,234)</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34,436</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(32,722)</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49,118</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(60,906)</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49,556</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(52,795)</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8"/>
        </w:trPr>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307,292</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(221,465)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28,980</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107,015</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106,766</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19" w:lineRule="exact"/>
        <w:rPr>
          <w:sz w:val="20"/>
          <w:szCs w:val="20"/>
          <w:color w:val="auto"/>
        </w:rPr>
      </w:pPr>
    </w:p>
    <w:p>
      <w:pPr>
        <w:sectPr>
          <w:pgSz w:w="11900" w:h="16838" w:orient="portrait"/>
          <w:cols w:equalWidth="0" w:num="2">
            <w:col w:w="6980" w:space="100"/>
            <w:col w:w="4160"/>
          </w:cols>
          <w:pgMar w:left="320" w:top="1022" w:right="3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28" w:name="page29"/>
    <w:bookmarkEnd w:id="28"/>
    <w:p>
      <w:pPr>
        <w:spacing w:after="0" w:line="25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The Company has a water purchase service contract with TCWD that entitles it to receive all of TCWD’s State Water Project contract water and TCWD holds the Company's banked water in the Kern Water Bank. TCWD is also entitled to make assessments of all taxpayers within the district, to the extent funds are required to cover expenses and to charge water users within the district for the use of water. From time to time, the Company transacts with TCWD in the ordinary course of business. The Company's Senior Vice President and Chief Accounting Officer, Robert Velasquez, was appointed the treasurer of TCWD in February 2025.</w:t>
      </w:r>
    </w:p>
    <w:p>
      <w:pPr>
        <w:spacing w:after="0" w:line="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water contracts with WRMWSD for SWP water deliveries to its agricultural and municipal/industrial operations in the San Joaquin Valley. The terms of these contracts extend to 2085. Under the contracts, the Company is entitled to annual water for 5,487 acres of land, or 15,547 acre-feet of water, subject to SWP allocations. The Company's former Executive Vice President and Chief Operating Officer, Allen Lyda, is one of nine directors at WRMWSD. Mr. Lyda retired from the Company on March 1, 2025. During the nine months ended September 30, 2025, the Company paid $5,121,000 for these water contracts and related costs, of which $1,695,000 related to the period Mr. Lyda was an affiliate of the Company.</w:t>
      </w:r>
    </w:p>
    <w:p>
      <w:pPr>
        <w:spacing w:after="0" w:line="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2024 the Company entered into a consulting services agreement with Mr. Bielli for the provision of strategic counsel to the Board and the current CEO upon Mr. Bielli’s retirement. The consulting agreement is for a term of one year, commencing April 1, 2025 and ending March 31, 2026. Compensation for Mr. Bielli’s consulting services is $85,000 per month. Mr. Bielli will also be reimbursed for normal and customary expenses incurred in connection with providing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2. 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0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including without limitation statements regarding strategic alliances, the almond, pistachio, olives and grape industries, the future plantings of permanent crops, future yields, prices and water availability for the Company's crops and real estate operations, future prices, production and demand for oil and other minerals, future development of the Company's property, future revenue and income of its jointly-owned travel plaza and other joint venture operations, the adequacy of future cash flows to fund our operations, future revenue and income residential leasing, the adequacy of current assets and contracts to meet our water and other commitments, market value risks associated with investment and risk management activities and with respect to inventory and accounts receivable, our outstanding indebtedness, ongoing negotiations and other future events and conditions. In some cases, these statements are identifiable through use of words such as “anticipate,” “believe,” “estimate,” “expect,” “intend,” “plan,” “project,” “target,” “can,” “could,” “may,” “will,” “should,” “would,” “likely,” and similar expressions such as “in the process” and “well-positioned.”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weather, market, geopolitical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several reasons, including those described above and in the section entitled “Risk Factors” in our most recent Annual Report on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OVERVIEW</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a diversified real estate development and agribusiness company committed to creating value for our shareholders by responsibly using our land and resources to meet the housing, employment, and lifestyle needs of Californians. In support of these objectives, we have been investing in land planning and entitlement activities for new commercial/industrial and resort/residential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Business Objectives and Strategies</w:t>
      </w:r>
    </w:p>
    <w:p>
      <w:pPr>
        <w:spacing w:after="0" w:line="2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Our primary business objective is to maximize long-term shareholder value through the strategic improvement and monetization of our land-based assets. A key element of our strategy is the entitlement and development of large-scale mixed-use master planned residential and commercial/industrial real estate projects that address the evolving housing and infrastructure needs of Southern and Central California. Our long-term development track record, combined with deliberate capital allocation and stakeholder engagement, positions us to unlock the full potential of these unique assets. An active example of this strategy is the TRCC master planned community, which was entitled and prevailed in litigation in 2007, and has been under continuous development since, with ongoing efforts to enhance its role as a long-term driver of operating income.</w:t>
      </w:r>
    </w:p>
    <w:p>
      <w:pPr>
        <w:spacing w:after="0" w:line="19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Our future master planned communities include up to 35,278 housing units, and more than 35 million square feet of commercial space in aggregate. Two of our master planned communities have already obtained their entitlements and have successfully defended litigation. First, we have obtained entitlements on MV and prevailed in litigation in 2012, and subsequently received the first approved final map for the project consisting of 401 residential lots and parcels for hospitality, amenities, and public uses. Second, Grapevine at Tejon Ranch, or Grapevine, was reapproved unanimously by the Kern County Board of Supervisors in 2019 and prevailed in litigation in 2021.</w:t>
      </w:r>
    </w:p>
    <w:p>
      <w:pPr>
        <w:spacing w:after="0" w:line="6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Centennial at Tejon Ranch, or Centennial, had entitlements approved in 2019 by the Los Angeles County Board of Supervisors. These approvals were litigated in two lawsuits filed in Los Angeles County Superior Court in May 2019 and we have since worked on defending and addressing the ongoing litigation, including considering all options to address the Superior Court’s January 2022 decision and the Superior Court’s March 22, 2023 final judgment. On May 26, 2023, we filed a Notice of Appeal, thereby appealing the Superior Court’s decision to the Second District of the California Court of Appeal. On June 27, 2023, CBD/CNPS cross-appealed the Superior Court’s ruling. The Court of Appeal held a hearing on April 3, 2025 for this matter. On June 26, 2025, the Court of Appeal issued a written decision affirming the Superior Court’s decision in full. In doing so, the Court of Appeal upheld the Superior Court determinations that the Centennial Approvals be rescinded and Centennial EIR decertified pending correction of the EIR for the issues described above.</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0" w:name="page31"/>
    <w:bookmarkEnd w:id="30"/>
    <w:p>
      <w:pPr>
        <w:ind w:right="40"/>
        <w:spacing w:after="0"/>
        <w:rPr>
          <w:sz w:val="20"/>
          <w:szCs w:val="20"/>
          <w:color w:val="auto"/>
        </w:rPr>
      </w:pPr>
      <w:r>
        <w:rPr>
          <w:rFonts w:ascii="Times New Roman" w:cs="Times New Roman" w:eastAsia="Times New Roman" w:hAnsi="Times New Roman"/>
          <w:sz w:val="18"/>
          <w:szCs w:val="18"/>
          <w:color w:val="auto"/>
        </w:rPr>
        <w:t>The Company is in the process of working with LA County to advance the Centennial project, which will include preparing supplemental environmental documentation and analysis for the Centennial project to address the Superior Court’s final judgment and the Court of Appeals decision, and do so in a way that benefits the housing and economic development needs of the region and delivers value for our shareholders. See Note 11 (Commitments and Contingencies) of the Notes to Unaudited Consolidated Financial Statements for additional information regarding the Centennial litigation.</w:t>
      </w:r>
    </w:p>
    <w:p>
      <w:pPr>
        <w:spacing w:after="0" w:line="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our fully operational mixed-use master planned community, TRCC, we are currently executing on value creation as we are actively engaged in construction, commercial sales, and leasing. In the second quarter of 2025, our real estate operations expanded to include residential leasing with the launch of Terra Vista at Tejon, our multi-family project that began development in 2024. Leasing commenced in May and welcomed its first residents, marking a key milestone in diversifying our portfolio and enhancing long-term recurring revenue streams.</w:t>
      </w:r>
    </w:p>
    <w:p>
      <w:pPr>
        <w:spacing w:after="0" w:line="5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All of these efforts are supported by diverse revenue streams generated from other operations, including: farming, mineral resources, ranch operations, and our various joint ventures.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Our Business</w:t>
      </w:r>
    </w:p>
    <w:p>
      <w:pPr>
        <w:spacing w:after="0" w:line="10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currently operate in five reporting segments: commercial/industrial real estate development; resort/residential real estate development; mineral resources; farming; and ranch operations.</w:t>
      </w:r>
    </w:p>
    <w:p>
      <w:pPr>
        <w:spacing w:after="0" w:line="40"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Activities within the commercial/industrial real estate development segment include planning and permitting of land for development; construction of infrastructure; construction of pre-leased buildings; construction of buildings to be leased or sold; and the sale of land to third-parties for their own development. The commercial/industrial real estate development segment also includes activities related to the power plant lease and communications leases.</w:t>
      </w:r>
    </w:p>
    <w:p>
      <w:pPr>
        <w:spacing w:after="0" w:line="4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At the heart of the commercial/industrial real estate development segment is TRCC, a 20 million square foot mixed-use development on Interstate 5 just north of the Los Angeles basin. TRCC continues to serve as a model for long-term value creation, having generated more than $110 million in cumulative cash flow from commercial and industrial development since 2000. With the launch of Terra Vista at Tejon, TRCC is now evolving into a vibrant residential and employment hub, enhancing the interconnectivity of our mixed-use master planned community strategy. Over eight million square feet of industrial, commercial and retail space has already been developed or is under development, including distribution centers for IKEA, Caterpillar, Nestlé, Famous Footwear, L'Oreal, Camping World, Sunrise Brands, Dollar General and RectorSeal. TRCC sits on both sides of Interstate 5, giving distributors immediate access to the West Coast’s principal north-south goods movement corridor.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involved in multiple joint ventures within TRCC with several partners that help us expand our commercial/industrial business activities:</w:t>
      </w:r>
    </w:p>
    <w:p>
      <w:pPr>
        <w:spacing w:after="0" w:line="104" w:lineRule="exact"/>
        <w:rPr>
          <w:sz w:val="20"/>
          <w:szCs w:val="20"/>
          <w:color w:val="auto"/>
        </w:rPr>
      </w:pPr>
    </w:p>
    <w:p>
      <w:pPr>
        <w:ind w:left="660" w:right="1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venture with TravelCenters of America that owns and operates two travel and truck stop facilities, comprised of five separate gas stations with convenience stores and fast-food restaurants within TRCC-West and TRCC-East.</w:t>
      </w:r>
    </w:p>
    <w:p>
      <w:pPr>
        <w:spacing w:after="0" w:line="26"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venture, TRCC/Rock Outlet Center LLC, with Rockefeller Group Development Corporation, or Rockefeller which operates the Outlets at Tejon, a net leasable 326,000 square foot shopping experience in TRCC-East.</w:t>
      </w:r>
    </w:p>
    <w:p>
      <w:pPr>
        <w:spacing w:after="0" w:line="4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joint ventures with Majestic Realty Co., or Majestic, to develop, manage, and operate five industrial buildings comprising of 2.8 million square feet of industrial space all within TRCC and all fully leased.</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4, 2024, we entered into a joint venture with Dedeaux Properties to develop, manage, and operate an industrial building of 510,385 square feet of space.</w:t>
      </w:r>
    </w:p>
    <w:p>
      <w:pPr>
        <w:spacing w:after="0" w:line="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resort/residential real estate development segment is actively involved in the land entitlement and development process internally and through a joint venture. Our active developments within this segment are MV, Centennial, and Grapevine, with Grapevine North representing a fourth opportunity in this segment. Our master planned communities represent long-term value drivers for the Company. By leveraging a strong track record of obtaining and defending entitlements in California’s complex regulatory environment, we are building the foundation for future recurring revenue generation while preserving optionality across our land portfolio.</w:t>
      </w:r>
    </w:p>
    <w:p>
      <w:pPr>
        <w:spacing w:after="0" w:line="62" w:lineRule="exact"/>
        <w:rPr>
          <w:sz w:val="20"/>
          <w:szCs w:val="20"/>
          <w:color w:val="auto"/>
        </w:rPr>
      </w:pPr>
    </w:p>
    <w:p>
      <w:pPr>
        <w:ind w:left="660" w:right="14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MV encompasses a total of 26,417 acres, of which 5,082 acres are approved to be used for a master planned community development that will include housing, retail, and commercial components. MV is entitled for 3,450 homes, 160,000 square feet of commercial development, 750 hotel keys, and more than 21,335 acres of open space;</w:t>
      </w:r>
    </w:p>
    <w:p>
      <w:pPr>
        <w:spacing w:after="0" w:line="40" w:lineRule="exact"/>
        <w:rPr>
          <w:rFonts w:ascii="Times New Roman" w:cs="Times New Roman" w:eastAsia="Times New Roman" w:hAnsi="Times New Roman"/>
          <w:sz w:val="18"/>
          <w:szCs w:val="18"/>
          <w:color w:val="auto"/>
        </w:rPr>
      </w:pPr>
    </w:p>
    <w:p>
      <w:pPr>
        <w:ind w:left="660" w:right="320" w:hanging="328"/>
        <w:spacing w:after="0"/>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Centennial development is a master planned community development encompassing 12,323 acres of our land within Los Angeles County. Upon completion of Centennial, it is estimated that the community will include approximately 19,333 homes and 10.1 million square feet of commercial development, including nearly 3,500 affordable units. See Note 11 (Commitments and Contingencies) of the Notes to Unaudited Consolidated Financial Statements for additional information related to current litigation;</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1" w:name="page32"/>
    <w:bookmarkEnd w:id="31"/>
    <w:p>
      <w:pPr>
        <w:jc w:val="both"/>
        <w:ind w:left="660" w:right="2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Grapevine is an 8,010-acre development area located on the San Joaquin Valley floor area of our lands, adjacent to TRCC. Upon completion of Grapevine, this master planned community is expected to include 12,000 homes, 5.1 million square feet of commercial development, and more than 3,367 acres of open space and parks; and</w:t>
      </w:r>
    </w:p>
    <w:p>
      <w:pPr>
        <w:spacing w:after="0" w:line="41" w:lineRule="exact"/>
        <w:rPr>
          <w:rFonts w:ascii="Times New Roman" w:cs="Times New Roman" w:eastAsia="Times New Roman" w:hAnsi="Times New Roman"/>
          <w:sz w:val="18"/>
          <w:szCs w:val="18"/>
          <w:color w:val="auto"/>
        </w:rPr>
      </w:pPr>
    </w:p>
    <w:p>
      <w:pPr>
        <w:ind w:left="660" w:right="220" w:hanging="328"/>
        <w:spacing w:after="0" w:line="245"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northeast of Grapevine is Grapevine North, a 7,655-acre development area, which is currently used for agricultural purposes. Identified as a development area in the RWA, Grapevine North presents a significant opportunity for future development. Grapevine North may feature mixed-use community development similar to Grapevine at Tejon Ranch, or other development uses as appropriate based upon market conditions at the time. The Company is not currently pursuing entitlements for Grapevine North.</w:t>
      </w:r>
    </w:p>
    <w:p>
      <w:pPr>
        <w:spacing w:after="0" w:line="5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Please refer to our Annual Report on Form 10-K for the year ended December 31, 2024, for a more detailed description of our active developments within the resort/residential real estate development segment.</w:t>
      </w:r>
    </w:p>
    <w:p>
      <w:pPr>
        <w:spacing w:after="0" w:line="4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mineral resources segment generates revenues from oil and gas royalty leases, rock and aggregate mining leases, a lease with National Cement Company of California Inc., and water sales.</w:t>
      </w:r>
    </w:p>
    <w:p>
      <w:pPr>
        <w:spacing w:after="0" w:line="4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farming segment produces revenues from the sale of wine grapes, almonds, and pistachios. As part of our crop segmentation strategy within the farming division, we have initiated the planting of an olive orchard to diversify our commodity portfolio and better position the Company for shifts in market conditions.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Lastly, the ranch operations segment consists of game management revenues and ancillary land uses such as grazing leases and filming.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Summary of Third Quarter and YTD 2025 Performance</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we had a net income attributable to common stockholders of $1,670,000 compared to a net loss attributable to common stockholders of $1,836,000 for the three months ended September 30, 2024. The primary drivers of this $3,506,000 increase in net income were higher farming revenues of $1,093,000, lower farming expenses of $890,000, and an income tax benefit of $972,000 compared to a tax provision of $1,832,000 in the prior period, partially offset by a $774,000 decrease in equity in earnings of unconsolidated joint ventures.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2025, we had a net loss attributable to common stockholders of $1,506,000 compared to a net loss attributable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stockholders of $1,793,000 for the same period in 2024. The $287,000 improvement in net loss was primarily driven by the recognition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$595,000 of additional gross margin following the fulfillment of the performance obligation associated with Nestlé land sale that occurred in 2022.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our agricultural operations also contributed to this improvement, with almond and wine grape revenues increasing by $1,169,000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$1,147,000, respectively. Additionally, expenses in the Real Estate – Resort/Residential segment decreased by $1,308,000, which was primarily attributable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additional expenses of $1,250,000 in 2024 related to professional service fees and planning costs related to capital efforts tied to the Company's master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planned communities. These positive effects were partially offset by decreased revenues from the mineral resources segment totaling $410,000, as well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$3,399,000 of additional expenses related to contested board election and proxy defense efforts during the nine months ended September 30, 2025.</w:t>
      </w:r>
    </w:p>
    <w:p>
      <w:pPr>
        <w:spacing w:after="0" w:line="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13 (Reporting Segments and Related Information) of the Notes to Unaudited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Critical Accounting Estimates</w:t>
      </w:r>
    </w:p>
    <w:p>
      <w:pPr>
        <w:spacing w:after="0" w:line="10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The preparation of our interim financial statements in accordance with GAAP requires us to make estimates and judgments that affect the reported amounts for assets, liabilities, revenues and expenses, and related disclosure of contingent assets and liabilities. We consider an accounting estimate to be critical if:</w:t>
      </w:r>
    </w:p>
    <w:p>
      <w:pPr>
        <w:spacing w:after="0" w:line="1"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estimate requires us to make assumptions about matters that were highly uncertain at the time the accounting estimate was made, and</w:t>
      </w:r>
    </w:p>
    <w:p>
      <w:pPr>
        <w:spacing w:after="0" w:line="9" w:lineRule="exact"/>
        <w:rPr>
          <w:rFonts w:ascii="Times New Roman" w:cs="Times New Roman" w:eastAsia="Times New Roman" w:hAnsi="Times New Roman"/>
          <w:sz w:val="18"/>
          <w:szCs w:val="18"/>
          <w:color w:val="auto"/>
        </w:rPr>
      </w:pPr>
    </w:p>
    <w:p>
      <w:pPr>
        <w:ind w:right="20" w:firstLine="8"/>
        <w:spacing w:after="0" w:line="252"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estimates that are likely to occur from period to period, use of different estimates that we reasonably could have used in the current period, or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and our future ability to utilize deferred tax assets.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5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our critical accounting policies have not changed since the filing of our Annual Report on Form 10-K for the year ended December 31, 2024. Please refer to that filing for a description of our critical accounting policies. Please also refer to Note 1 (Basis of Presentation) in the Notes to Unaudited Consolidated Financial Statements in this report for a discussion regarding newly adopted accounting principles.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006EBF"/>
        </w:rPr>
        <w:t>Results of Operations by Segment</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6EBF"/>
              </w:rPr>
              <w:t>Real Estate – Commercial/Industrial:</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53"/>
        </w:trPr>
        <w:tc>
          <w:tcPr>
            <w:tcW w:w="20" w:type="dxa"/>
            <w:vAlign w:val="bottom"/>
            <w:tcBorders>
              <w:top w:val="single" w:sz="8" w:color="006EBF"/>
            </w:tcBorders>
          </w:tcPr>
          <w:p>
            <w:pPr>
              <w:spacing w:after="0"/>
              <w:rPr>
                <w:sz w:val="24"/>
                <w:szCs w:val="24"/>
                <w:color w:val="auto"/>
              </w:rPr>
            </w:pPr>
          </w:p>
        </w:tc>
        <w:tc>
          <w:tcPr>
            <w:tcW w:w="2860" w:type="dxa"/>
            <w:vAlign w:val="bottom"/>
            <w:tcBorders>
              <w:top w:val="single" w:sz="8" w:color="006EBF"/>
            </w:tcBorders>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420" w:type="dxa"/>
            <w:vAlign w:val="bottom"/>
          </w:tcPr>
          <w:p>
            <w:pPr>
              <w:spacing w:after="0"/>
              <w:rPr>
                <w:sz w:val="24"/>
                <w:szCs w:val="24"/>
                <w:color w:val="auto"/>
              </w:rPr>
            </w:pPr>
          </w:p>
        </w:tc>
        <w:tc>
          <w:tcPr>
            <w:tcW w:w="18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Change</w:t>
            </w:r>
          </w:p>
        </w:tc>
        <w:tc>
          <w:tcPr>
            <w:tcW w:w="11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Commercial/industrial revenues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Pastoria Energy Facility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20" w:type="dxa"/>
            <w:vAlign w:val="bottom"/>
          </w:tcPr>
          <w:p>
            <w:pPr>
              <w:spacing w:after="0"/>
              <w:rPr>
                <w:sz w:val="19"/>
                <w:szCs w:val="19"/>
                <w:color w:val="auto"/>
              </w:rPr>
            </w:pPr>
          </w:p>
        </w:tc>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TRCC Leasing</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20" w:type="dxa"/>
            <w:vAlign w:val="bottom"/>
          </w:tcPr>
          <w:p>
            <w:pPr>
              <w:spacing w:after="0"/>
              <w:rPr>
                <w:sz w:val="19"/>
                <w:szCs w:val="19"/>
                <w:color w:val="auto"/>
              </w:rPr>
            </w:pPr>
          </w:p>
        </w:tc>
        <w:tc>
          <w:tcPr>
            <w:tcW w:w="4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TRCC management fees and reimbursements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20" w:type="dxa"/>
            <w:vAlign w:val="bottom"/>
          </w:tcPr>
          <w:p>
            <w:pPr>
              <w:spacing w:after="0"/>
              <w:rPr>
                <w:sz w:val="19"/>
                <w:szCs w:val="19"/>
                <w:color w:val="auto"/>
              </w:rPr>
            </w:pPr>
          </w:p>
        </w:tc>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leases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0" w:type="dxa"/>
            <w:vAlign w:val="bottom"/>
          </w:tcPr>
          <w:p>
            <w:pPr>
              <w:spacing w:after="0"/>
              <w:rPr>
                <w:sz w:val="19"/>
                <w:szCs w:val="19"/>
                <w:color w:val="auto"/>
              </w:rPr>
            </w:pPr>
          </w:p>
        </w:tc>
        <w:tc>
          <w:tcPr>
            <w:tcW w:w="4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Communication leases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20" w:type="dxa"/>
            <w:vAlign w:val="bottom"/>
          </w:tcPr>
          <w:p>
            <w:pPr>
              <w:spacing w:after="0"/>
              <w:rPr>
                <w:sz w:val="19"/>
                <w:szCs w:val="19"/>
                <w:color w:val="auto"/>
              </w:rPr>
            </w:pPr>
          </w:p>
        </w:tc>
        <w:tc>
          <w:tcPr>
            <w:tcW w:w="44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Landscaping and other services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20" w:type="dxa"/>
            <w:vAlign w:val="bottom"/>
          </w:tcPr>
          <w:p>
            <w:pPr>
              <w:spacing w:after="0"/>
              <w:rPr>
                <w:sz w:val="19"/>
                <w:szCs w:val="19"/>
                <w:color w:val="auto"/>
              </w:rPr>
            </w:pP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commercial/industrial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3"/>
        </w:trPr>
        <w:tc>
          <w:tcPr>
            <w:tcW w:w="20" w:type="dxa"/>
            <w:vAlign w:val="bottom"/>
          </w:tcPr>
          <w:p>
            <w:pPr>
              <w:spacing w:after="0"/>
              <w:rPr>
                <w:sz w:val="19"/>
                <w:szCs w:val="19"/>
                <w:color w:val="auto"/>
              </w:rPr>
            </w:pPr>
          </w:p>
        </w:tc>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20" w:type="dxa"/>
            <w:vAlign w:val="bottom"/>
          </w:tcPr>
          <w:p>
            <w:pPr>
              <w:spacing w:after="0"/>
              <w:rPr>
                <w:sz w:val="19"/>
                <w:szCs w:val="19"/>
                <w:color w:val="auto"/>
              </w:rPr>
            </w:pPr>
          </w:p>
        </w:tc>
        <w:tc>
          <w:tcPr>
            <w:tcW w:w="4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20" w:type="dxa"/>
            <w:vAlign w:val="bottom"/>
          </w:tcPr>
          <w:p>
            <w:pPr>
              <w:spacing w:after="0"/>
              <w:rPr>
                <w:sz w:val="19"/>
                <w:szCs w:val="19"/>
                <w:color w:val="auto"/>
              </w:rPr>
            </w:pPr>
          </w:p>
        </w:tc>
        <w:tc>
          <w:tcPr>
            <w:tcW w:w="44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270 %</w:t>
            </w:r>
          </w:p>
        </w:tc>
      </w:tr>
      <w:tr>
        <w:trPr>
          <w:trHeight w:val="223"/>
        </w:trPr>
        <w:tc>
          <w:tcPr>
            <w:tcW w:w="20" w:type="dxa"/>
            <w:vAlign w:val="bottom"/>
          </w:tcPr>
          <w:p>
            <w:pPr>
              <w:spacing w:after="0"/>
              <w:rPr>
                <w:sz w:val="19"/>
                <w:szCs w:val="19"/>
                <w:color w:val="auto"/>
              </w:rPr>
            </w:pP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commercial/industrial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3"/>
        </w:trPr>
        <w:tc>
          <w:tcPr>
            <w:tcW w:w="20" w:type="dxa"/>
            <w:vAlign w:val="bottom"/>
          </w:tcPr>
          <w:p>
            <w:pPr>
              <w:spacing w:after="0"/>
              <w:rPr>
                <w:sz w:val="19"/>
                <w:szCs w:val="19"/>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from commercial/industrial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1"/>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340" w:right="240" w:hanging="332"/>
        <w:spacing w:after="0" w:line="261"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Commercial/industrial real estate development segment revenues were $3,124,000 for the three months ended September 30, 2025, an increase of $122,000, or 4%, from $3,002,000 for the three months ended September 30, 2024. The increase was primarily attributable to higher lease revenues from the Terra Vista properties and additional communication leases primarily related to easements, partially offset by lower revenues from the Pastoria Energy Facility due to cooler summer temperatures in 2025 compared to 2024.</w:t>
      </w:r>
    </w:p>
    <w:p>
      <w:pPr>
        <w:spacing w:after="0" w:line="58" w:lineRule="exact"/>
        <w:rPr>
          <w:rFonts w:ascii="Times New Roman" w:cs="Times New Roman" w:eastAsia="Times New Roman" w:hAnsi="Times New Roman"/>
          <w:sz w:val="18"/>
          <w:szCs w:val="18"/>
          <w:color w:val="auto"/>
        </w:rPr>
      </w:pPr>
    </w:p>
    <w:p>
      <w:pPr>
        <w:ind w:left="340" w:right="100" w:hanging="332"/>
        <w:spacing w:after="0" w:line="289" w:lineRule="auto"/>
        <w:tabs>
          <w:tab w:leader="none" w:pos="3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Commercial/industrial real estate development segment expenses were $2,148,000 for the three months ended September 30, 2025, an increase of $60,000, or 3%, from $2,088,000 for the three months ended September 30, 2024. The increase was primarily attributable to depreciation from buildings being placed into service at Terra Vista and related operating expenses, offset by a reduction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color w:val="auto"/>
              </w:rPr>
              <w:t>Change</w:t>
            </w:r>
          </w:p>
        </w:tc>
        <w:tc>
          <w:tcPr>
            <w:tcW w:w="1000" w:type="dxa"/>
            <w:vAlign w:val="bottom"/>
            <w:tcBorders>
              <w:bottom w:val="single" w:sz="8" w:color="auto"/>
            </w:tcBorders>
          </w:tcPr>
          <w:p>
            <w:pPr>
              <w:spacing w:after="0"/>
              <w:rPr>
                <w:sz w:val="20"/>
                <w:szCs w:val="20"/>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Commercial/industrial revenues</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Pastoria Energy Facility</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TRCC Leasing</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TRCC management fees and reimbursements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leases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Communication leases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Landscaping and other services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 sale</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commercial/industrial revenues</w:t>
            </w: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1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3"/>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 of land</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expenses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commercial/industrial expenses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from commercial/industrial</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0"/>
        </w:trPr>
        <w:tc>
          <w:tcPr>
            <w:tcW w:w="4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340" w:right="20" w:hanging="332"/>
        <w:spacing w:after="0" w:line="289" w:lineRule="auto"/>
        <w:tabs>
          <w:tab w:leader="none" w:pos="3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Commercial/industrial real estate development segment revenues were $10,985,000 for the nine months ended September 30, 2025, an increase of $2,488,000, or 29%, from $8,497,000 for the nine months ended September 30, 2024. The primary driver of this increase was the recognition of $2,373,000 in land sales revenue, following the Company's fulfillment of the performance obligation associated with a land sale that occurred in 2022.</w:t>
      </w:r>
    </w:p>
    <w:p>
      <w:pPr>
        <w:spacing w:after="0" w:line="36" w:lineRule="exact"/>
        <w:rPr>
          <w:rFonts w:ascii="Times New Roman" w:cs="Times New Roman" w:eastAsia="Times New Roman" w:hAnsi="Times New Roman"/>
          <w:sz w:val="17"/>
          <w:szCs w:val="17"/>
          <w:color w:val="auto"/>
        </w:rPr>
      </w:pPr>
    </w:p>
    <w:p>
      <w:pPr>
        <w:ind w:left="340" w:hanging="332"/>
        <w:spacing w:after="0" w:line="258"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Commercial/industrial real estate development segment expenses were $7,531,000 for the nine months ended September 30, 2025, an increase of $1,526,000, or 25%, from $6,005,000 for the nine months ended September 30, 2024. The increase was primarily attributable to the recognition of $1,778,000 in cost of land sales, incurred to satisfy the performance obligation associated with Nestlé land sale transaction executed in 2022. Additionally, this segment incurred lower selling, general and administrative costs of $488,000, partially offset by an increase in depreciation expenses of $421,000 driven by Terra Vista assets being placed in service starting in the second quarter.</w:t>
      </w:r>
    </w:p>
    <w:p>
      <w:pPr>
        <w:spacing w:after="0" w:line="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logistics operators currently located at TRCC have proven effective in serving customers throughout California and the broader western United States, and their success is prominently featured in our marketing efforts. We plan to continue focusing our marketing strategy for TRCC on the site's strategic labor and logistics advantages, the pro-business environment of Kern County, and the demonstrated success of existing tenants and property owners within the development. Our location fits within the logistics model that many companies are using, which favors large, centralized distribution facilities which have been strategically located to maximize the balance of inbound and outbound efficiencies, rather than many decentralized smaller distribution centers. The world-class logistics operators located within TRCC have demonstrated success through utilization of this model. With access to markets of over 40 million people for next-day delivery service, they are also demonstrating success with e-commerce fulfillment.</w:t>
      </w:r>
    </w:p>
    <w:p>
      <w:pPr>
        <w:spacing w:after="0" w:line="6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FTZ designation allows businesses to secure the many benefits and cost reductions associated with streamlined movement of goods in and out of the trade zone. This FTZ designation is further supplemented by the AKIP adopted by the Kern County Board of Supervisors. AKIP aims to expand and enhance Kern County's competitiveness by taking affirmative steps to attract new businesses and to encourage the growth and resilience of existing businesses. AKIP provides incentives, such as assistance in obtaining tax incentives, building supporting infrastructure, and workforce development.</w:t>
      </w:r>
    </w:p>
    <w:p>
      <w:pPr>
        <w:spacing w:after="0" w:line="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the FTZ and AKIP, along with our ability to provide fully entitled, shovel-ready land parcels to support buildings of any size, including buildings one million square feet or larger, provide us with a marketing advantage. Our marketing efforts target the Inland Empire region of Southern California, the Santa Clarita Valley of northern Los Angeles County, the northern part of the San Fernando Valley (due to the limited availability of new product and high real estate costs in these locations), and the San Joaquin Valley of California. We continue to analyze the market and evaluate expansions of industrial buildings for lease either on our own or in partnerships, as we have done with the buildings developed within our joint ventures.</w:t>
      </w:r>
    </w:p>
    <w:p>
      <w:pPr>
        <w:spacing w:after="0" w:line="4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the potential disadvantage of our distance from the ports is being mitigated.</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34" w:name="page35"/>
    <w:bookmarkEnd w:id="34"/>
    <w:p>
      <w:pPr>
        <w:spacing w:after="0" w:line="258" w:lineRule="auto"/>
        <w:rPr>
          <w:sz w:val="20"/>
          <w:szCs w:val="20"/>
          <w:color w:val="auto"/>
        </w:rPr>
      </w:pPr>
      <w:r>
        <w:rPr>
          <w:rFonts w:ascii="Times New Roman" w:cs="Times New Roman" w:eastAsia="Times New Roman" w:hAnsi="Times New Roman"/>
          <w:sz w:val="18"/>
          <w:szCs w:val="18"/>
          <w:color w:val="auto"/>
        </w:rPr>
        <w:t>During the quarter ended September 30, 2025, vacancy rates in the Inland Empire climbed by 70 basis points to 7.5% as net absorption remains in the negative at approximately 22,000 square feet. Average monthly asking rents continued to decline to $1.05. The San Fernando Valley and Ventura County industrial markets continued to experience tight conditions as demand remained positive. Vacancy rose 130 basis points to 3.5% in San Fernando Valley and rose 60 basis points to 3.1% in Ventura County. Average asking rent edged up in the third quarter in the San Fernando Valley, increasing $0.01 to $1.48, while Ventura posted an increase to $1.32.</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the vacancy rates and average asking rent of Inland Empire, San Fernando Valley and Ventura County.</w:t>
      </w:r>
    </w:p>
    <w:p>
      <w:pPr>
        <w:spacing w:after="0" w:line="235" w:lineRule="exact"/>
        <w:rPr>
          <w:sz w:val="20"/>
          <w:szCs w:val="20"/>
          <w:color w:val="auto"/>
        </w:rPr>
      </w:pPr>
    </w:p>
    <w:p>
      <w:pPr>
        <w:ind w:left="3940"/>
        <w:spacing w:after="0"/>
        <w:tabs>
          <w:tab w:leader="none" w:pos="7840" w:val="left"/>
        </w:tabs>
        <w:rPr>
          <w:sz w:val="20"/>
          <w:szCs w:val="20"/>
          <w:color w:val="auto"/>
        </w:rPr>
      </w:pPr>
      <w:r>
        <w:rPr>
          <w:rFonts w:ascii="Times New Roman" w:cs="Times New Roman" w:eastAsia="Times New Roman" w:hAnsi="Times New Roman"/>
          <w:sz w:val="18"/>
          <w:szCs w:val="18"/>
          <w:b w:val="1"/>
          <w:bCs w:val="1"/>
          <w:color w:val="auto"/>
        </w:rPr>
        <w:t>Vacancy Rates</w:t>
      </w:r>
      <w:r>
        <w:rPr>
          <w:sz w:val="20"/>
          <w:szCs w:val="20"/>
          <w:color w:val="auto"/>
        </w:rPr>
        <w:tab/>
      </w:r>
      <w:r>
        <w:rPr>
          <w:rFonts w:ascii="Times New Roman" w:cs="Times New Roman" w:eastAsia="Times New Roman" w:hAnsi="Times New Roman"/>
          <w:sz w:val="17"/>
          <w:szCs w:val="17"/>
          <w:b w:val="1"/>
          <w:bCs w:val="1"/>
          <w:color w:val="auto"/>
        </w:rPr>
        <w:t>Average Monthly Asking Rent</w:t>
      </w:r>
    </w:p>
    <w:p>
      <w:pPr>
        <w:sectPr>
          <w:pgSz w:w="11900" w:h="16838" w:orient="portrait"/>
          <w:cols w:equalWidth="0" w:num="1">
            <w:col w:w="11240"/>
          </w:cols>
          <w:pgMar w:left="320" w:top="985" w:right="339" w:bottom="1440" w:gutter="0" w:footer="0" w:header="0"/>
        </w:sectPr>
      </w:pPr>
    </w:p>
    <w:p>
      <w:pPr>
        <w:spacing w:after="0" w:line="31" w:lineRule="exact"/>
        <w:rPr>
          <w:sz w:val="20"/>
          <w:szCs w:val="20"/>
          <w:color w:val="auto"/>
        </w:rPr>
      </w:pPr>
    </w:p>
    <w:tbl>
      <w:tblPr>
        <w:tblLayout w:type="fixed"/>
        <w:tblInd w:w="2280" w:type="dxa"/>
        <w:tblCellMar>
          <w:top w:w="0" w:type="dxa"/>
          <w:left w:w="0" w:type="dxa"/>
          <w:bottom w:w="0" w:type="dxa"/>
          <w:right w:w="0" w:type="dxa"/>
        </w:tblCellMar>
      </w:tblPr>
      <w:tr>
        <w:trPr>
          <w:trHeight w:val="169"/>
        </w:trPr>
        <w:tc>
          <w:tcPr>
            <w:tcW w:w="1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September 30,</w:t>
            </w:r>
          </w:p>
        </w:tc>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December 31,</w:t>
            </w:r>
          </w:p>
        </w:tc>
        <w:tc>
          <w:tcPr>
            <w:tcW w:w="14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September 30,</w:t>
            </w:r>
          </w:p>
        </w:tc>
      </w:tr>
      <w:tr>
        <w:trPr>
          <w:trHeight w:val="239"/>
        </w:trPr>
        <w:tc>
          <w:tcPr>
            <w:tcW w:w="14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4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14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September 30,</w:t>
            </w:r>
          </w:p>
        </w:tc>
        <w:tc>
          <w:tcPr>
            <w:tcW w:w="1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1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September 30,</w:t>
            </w:r>
          </w:p>
        </w:tc>
      </w:tr>
      <w:tr>
        <w:trPr>
          <w:trHeight w:val="239"/>
        </w:trPr>
        <w:tc>
          <w:tcPr>
            <w:tcW w:w="14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4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bl>
    <w:p>
      <w:pPr>
        <w:spacing w:after="0" w:line="41" w:lineRule="exact"/>
        <w:rPr>
          <w:sz w:val="20"/>
          <w:szCs w:val="20"/>
          <w:color w:val="auto"/>
        </w:rPr>
      </w:pPr>
    </w:p>
    <w:p>
      <w:pPr>
        <w:sectPr>
          <w:pgSz w:w="11900" w:h="16838" w:orient="portrait"/>
          <w:cols w:equalWidth="0" w:num="2">
            <w:col w:w="6720" w:space="100"/>
            <w:col w:w="4420"/>
          </w:cols>
          <w:pgMar w:left="320" w:top="985"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Inland Empire</w:t>
            </w:r>
          </w:p>
        </w:tc>
        <w:tc>
          <w:tcPr>
            <w:tcW w:w="14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7.5%</w:t>
            </w:r>
          </w:p>
        </w:tc>
        <w:tc>
          <w:tcPr>
            <w:tcW w:w="15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6.8%</w:t>
            </w:r>
          </w:p>
        </w:tc>
        <w:tc>
          <w:tcPr>
            <w:tcW w:w="15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6.7%</w:t>
            </w:r>
          </w:p>
        </w:tc>
        <w:tc>
          <w:tcPr>
            <w:tcW w:w="15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$1.05</w:t>
            </w:r>
          </w:p>
        </w:tc>
        <w:tc>
          <w:tcPr>
            <w:tcW w:w="15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$1.15</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$1.22</w:t>
            </w:r>
          </w:p>
        </w:tc>
      </w:tr>
      <w:tr>
        <w:trPr>
          <w:trHeight w:val="176"/>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San Fernando Valley and</w:t>
            </w:r>
          </w:p>
        </w:tc>
        <w:tc>
          <w:tcPr>
            <w:tcW w:w="1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Ventura County</w:t>
            </w: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3.3%</w:t>
            </w: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2.4%</w:t>
            </w: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w:t>
            </w:r>
          </w:p>
        </w:tc>
        <w:tc>
          <w:tcPr>
            <w:tcW w:w="15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$1.43</w:t>
            </w:r>
          </w:p>
        </w:tc>
        <w:tc>
          <w:tcPr>
            <w:tcW w:w="15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$1.42</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$1.45</w:t>
            </w:r>
          </w:p>
        </w:tc>
      </w:tr>
    </w:tbl>
    <w:p>
      <w:pPr>
        <w:spacing w:after="0" w:line="15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Industrial users seeking larger spaces are continuing to go further north into neighboring Kern County, and particularly, TRCC, which has attracted increased attention as market conditions continue to tighten. Additionally, TRCC is in a position to capture tenant awareness due to our ability to provide a competitive alternative for users in the Inland Empire and the Santa Clarita Valley.</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expect our commercial/industrial real estate development segment to continue to experience costs, net of amounts capitalized, primarily related to professional service fees, marketing costs, planning costs, and staffing costs, as we continue to pursue development opportunities. From a macroeconomic perspective, the tightening of capital markets may cause a near-term slowdown in new commercial real estate developments.</w:t>
      </w:r>
    </w:p>
    <w:p>
      <w:pPr>
        <w:spacing w:after="0" w:line="5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actual timing and completion of development is difficult to predict, due to the uncertainties of the market. Infrastructure development and marketing activities and costs could continue to increase over several years, as we develop our land holdings. We will also continue to evaluate land resources to determine the highest and best uses for our land holdings. Future land sales are dependent on market circumstances and specific opportunities. Our goal in the future is to increase land value and create future revenue growth through planning and development of commercial and industrial properties. Industrial land prices have increased at TRCC since 2000 from $0.57 per square foot to $9.00 per square foot which is a 1,479% increase, demonstrating the consistent increase in demand and maturation of TRCC. Industrial rents have increased 249% over the past eight-year period starting at $0.25 per square foot in 2017.</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Real Estate – Resort/Residential: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in the preliminary stages of property development; hence, no revenues or profits are attributed to this segment.</w:t>
      </w:r>
    </w:p>
    <w:p>
      <w:pPr>
        <w:spacing w:after="0" w:line="9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Resort/residential real estate development segment expenses were $318,000 for the three months ended September 30, 2025, a decrease of $10,000 from $328,000 for the three months ended September 30, 2024 with no significant fluctuations across expenses categories.</w:t>
      </w:r>
    </w:p>
    <w:p>
      <w:pPr>
        <w:spacing w:after="0" w:line="4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Resort/residential real estate development segment expenses were $1,008,000 for the nine months of 2025, a decrease of $1,308,000, or 56%, from $2,316,000 for the nine months of 2024. The decrease was primarily attributable to additional expenses of $1,250,000 in 2024 related to professional service fees and planning costs related to capital efforts tied to the Company's master planned communities.</w:t>
      </w:r>
    </w:p>
    <w:p>
      <w:pPr>
        <w:spacing w:after="0" w:line="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long-term business strategy to develop the master-planned communities of MV, Centennial, and Grapevine remains unchanged. We believe that the long-term macroeconomic fundamentals, particularly California’s large population base and continued household formation as well as the demographic migration to the suburban and exurban periphery of Los Angeles and Kern Counties, will support sustained housing demand in our region. Additionally, California’s well-documented housing shortage reinforces the need for thoughtfully planned residential development, and we believe our communities are well-positioned to help address this shortfall. Accordingly, the majority of expenditures and capital investments within our resort/residential real estate segment are expected to remain focused on these three communities.</w:t>
      </w:r>
    </w:p>
    <w:p>
      <w:pPr>
        <w:spacing w:after="0" w:line="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we move forward with our master planned communities, we expect to explore funding opportunities for the future development of our projects. Such funding opportunities could come from a variety of sources, such as joint ventures with financial partners, debt financing, and/or our issuance of additional common stock.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6EBF"/>
              </w:rPr>
              <w:t>Mineral Resources:</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52"/>
        </w:trPr>
        <w:tc>
          <w:tcPr>
            <w:tcW w:w="20" w:type="dxa"/>
            <w:vAlign w:val="bottom"/>
            <w:tcBorders>
              <w:top w:val="single" w:sz="8" w:color="006EBF"/>
            </w:tcBorders>
          </w:tcPr>
          <w:p>
            <w:pPr>
              <w:spacing w:after="0"/>
              <w:rPr>
                <w:sz w:val="24"/>
                <w:szCs w:val="24"/>
                <w:color w:val="auto"/>
              </w:rPr>
            </w:pPr>
          </w:p>
        </w:tc>
        <w:tc>
          <w:tcPr>
            <w:tcW w:w="1480" w:type="dxa"/>
            <w:vAlign w:val="bottom"/>
            <w:tcBorders>
              <w:top w:val="single" w:sz="8" w:color="006EBF"/>
            </w:tcBorders>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440" w:type="dxa"/>
            <w:vAlign w:val="bottom"/>
          </w:tcPr>
          <w:p>
            <w:pPr>
              <w:spacing w:after="0"/>
              <w:rPr>
                <w:sz w:val="24"/>
                <w:szCs w:val="24"/>
                <w:color w:val="auto"/>
              </w:rPr>
            </w:pPr>
          </w:p>
        </w:tc>
        <w:tc>
          <w:tcPr>
            <w:tcW w:w="186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Change</w:t>
            </w:r>
          </w:p>
        </w:tc>
        <w:tc>
          <w:tcPr>
            <w:tcW w:w="12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Mineral resources revenues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Oil and gas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20" w:type="dxa"/>
            <w:vAlign w:val="bottom"/>
          </w:tcPr>
          <w:p>
            <w:pPr>
              <w:spacing w:after="0"/>
              <w:rPr>
                <w:sz w:val="19"/>
                <w:szCs w:val="19"/>
                <w:color w:val="auto"/>
              </w:rPr>
            </w:pPr>
          </w:p>
        </w:tc>
        <w:tc>
          <w:tcPr>
            <w:tcW w:w="4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Cement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Rock aggregate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20" w:type="dxa"/>
            <w:vAlign w:val="bottom"/>
          </w:tcPr>
          <w:p>
            <w:pPr>
              <w:spacing w:after="0"/>
              <w:rPr>
                <w:sz w:val="19"/>
                <w:szCs w:val="19"/>
                <w:color w:val="auto"/>
              </w:rPr>
            </w:pPr>
          </w:p>
        </w:tc>
        <w:tc>
          <w:tcPr>
            <w:tcW w:w="4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Exploration leases</w:t>
            </w:r>
          </w:p>
        </w:tc>
        <w:tc>
          <w:tcPr>
            <w:tcW w:w="2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8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20" w:type="dxa"/>
            <w:vAlign w:val="bottom"/>
          </w:tcPr>
          <w:p>
            <w:pPr>
              <w:spacing w:after="0"/>
              <w:rPr>
                <w:sz w:val="19"/>
                <w:szCs w:val="19"/>
                <w:color w:val="auto"/>
              </w:rPr>
            </w:pPr>
          </w:p>
        </w:tc>
        <w:tc>
          <w:tcPr>
            <w:tcW w:w="4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Water sales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20" w:type="dxa"/>
            <w:vAlign w:val="bottom"/>
          </w:tcPr>
          <w:p>
            <w:pPr>
              <w:spacing w:after="0"/>
              <w:rPr>
                <w:sz w:val="19"/>
                <w:szCs w:val="19"/>
                <w:color w:val="auto"/>
              </w:rPr>
            </w:pPr>
          </w:p>
        </w:tc>
        <w:tc>
          <w:tcPr>
            <w:tcW w:w="4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Reimbursables and other</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20" w:type="dxa"/>
            <w:vAlign w:val="bottom"/>
          </w:tcPr>
          <w:p>
            <w:pPr>
              <w:spacing w:after="0"/>
              <w:rPr>
                <w:sz w:val="19"/>
                <w:szCs w:val="19"/>
                <w:color w:val="auto"/>
              </w:rPr>
            </w:pPr>
          </w:p>
        </w:tc>
        <w:tc>
          <w:tcPr>
            <w:tcW w:w="4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mineral resources revenues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20" w:type="dxa"/>
            <w:vAlign w:val="bottom"/>
          </w:tcPr>
          <w:p>
            <w:pPr>
              <w:spacing w:after="0"/>
              <w:rPr>
                <w:sz w:val="19"/>
                <w:szCs w:val="19"/>
                <w:color w:val="auto"/>
              </w:rPr>
            </w:pPr>
          </w:p>
        </w:tc>
        <w:tc>
          <w:tcPr>
            <w:tcW w:w="4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 of sales of water</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20" w:type="dxa"/>
            <w:vAlign w:val="bottom"/>
          </w:tcPr>
          <w:p>
            <w:pPr>
              <w:spacing w:after="0"/>
              <w:rPr>
                <w:sz w:val="19"/>
                <w:szCs w:val="19"/>
                <w:color w:val="auto"/>
              </w:rPr>
            </w:pPr>
          </w:p>
        </w:tc>
        <w:tc>
          <w:tcPr>
            <w:tcW w:w="4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20" w:type="dxa"/>
            <w:vAlign w:val="bottom"/>
          </w:tcPr>
          <w:p>
            <w:pPr>
              <w:spacing w:after="0"/>
              <w:rPr>
                <w:sz w:val="19"/>
                <w:szCs w:val="19"/>
                <w:color w:val="auto"/>
              </w:rPr>
            </w:pPr>
          </w:p>
        </w:tc>
        <w:tc>
          <w:tcPr>
            <w:tcW w:w="4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20" w:type="dxa"/>
            <w:vAlign w:val="bottom"/>
          </w:tcPr>
          <w:p>
            <w:pPr>
              <w:spacing w:after="0"/>
              <w:rPr>
                <w:sz w:val="19"/>
                <w:szCs w:val="19"/>
                <w:color w:val="auto"/>
              </w:rPr>
            </w:pPr>
          </w:p>
        </w:tc>
        <w:tc>
          <w:tcPr>
            <w:tcW w:w="4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20" w:type="dxa"/>
            <w:vAlign w:val="bottom"/>
          </w:tcPr>
          <w:p>
            <w:pPr>
              <w:spacing w:after="0"/>
              <w:rPr>
                <w:sz w:val="19"/>
                <w:szCs w:val="19"/>
                <w:color w:val="auto"/>
              </w:rPr>
            </w:pPr>
          </w:p>
        </w:tc>
        <w:tc>
          <w:tcPr>
            <w:tcW w:w="4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mineral resources expenses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8"/>
        </w:trPr>
        <w:tc>
          <w:tcPr>
            <w:tcW w:w="2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from mineral resources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right="40" w:hanging="332"/>
        <w:spacing w:after="0" w:line="261"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resources segment revenues were $3,172,000 for the three months ended September 30, 2025, representing an increase of $6,000, compared to $3,166,000 for the three months ended September 30, 2024, remaining relatively unchanged. Oil and gas revenues were lower due to lower production levels and lower pricing, and cement revenues were also lower due to lower production levels offset by a slight improvement in pricing. These decreases were offset by increased rock aggregate revenues due to higher production levels and additional water sales.</w:t>
      </w:r>
    </w:p>
    <w:p>
      <w:pPr>
        <w:spacing w:after="0" w:line="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resources segment expenses were $2,121,000 for the three months ended September 30, 2025, an increase of $309,000, or 17%, from</w:t>
      </w:r>
    </w:p>
    <w:p>
      <w:pPr>
        <w:spacing w:after="0" w:line="27" w:lineRule="exact"/>
        <w:rPr>
          <w:rFonts w:ascii="Times New Roman" w:cs="Times New Roman" w:eastAsia="Times New Roman" w:hAnsi="Times New Roman"/>
          <w:sz w:val="18"/>
          <w:szCs w:val="18"/>
          <w:color w:val="auto"/>
        </w:rPr>
      </w:pPr>
    </w:p>
    <w:p>
      <w:pPr>
        <w:ind w:left="340" w:right="4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$1,812,000 for the three months ended September 30, 2024. The increase was primarily due to higher operating expenses of $286,000, driven by increased property taxes of $272,000 due to a property tax refund in 2024 and higher costs of transmitting water of $71,000 in cost of sales.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4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color w:val="auto"/>
              </w:rPr>
              <w:t>Change</w:t>
            </w:r>
          </w:p>
        </w:tc>
        <w:tc>
          <w:tcPr>
            <w:tcW w:w="1140" w:type="dxa"/>
            <w:vAlign w:val="bottom"/>
            <w:tcBorders>
              <w:bottom w:val="single" w:sz="8" w:color="auto"/>
            </w:tcBorders>
          </w:tcPr>
          <w:p>
            <w:pPr>
              <w:spacing w:after="0"/>
              <w:rPr>
                <w:sz w:val="20"/>
                <w:szCs w:val="20"/>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Mineral resources revenues</w:t>
            </w: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Oil and gas</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Cement</w:t>
            </w: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Rock aggregate</w:t>
            </w: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Exploration leases</w:t>
            </w:r>
          </w:p>
        </w:tc>
        <w:tc>
          <w:tcPr>
            <w:tcW w:w="13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Water Sales</w:t>
            </w: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Reimbursables and other</w:t>
            </w:r>
          </w:p>
        </w:tc>
        <w:tc>
          <w:tcPr>
            <w:tcW w:w="1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mineral resources revenues</w:t>
            </w: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sales of water</w:t>
            </w: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expenses</w:t>
            </w: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mineral resources expenses</w:t>
            </w: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from mineral resources</w:t>
            </w: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left="340" w:right="180" w:hanging="332"/>
        <w:spacing w:after="0" w:line="242"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resources segment revenues were $7,277,000 for the first nine months of 2025, a decrease of $410,000, or 5%, from $7,687,000 for the first nine months of 2024. The decrease in revenues was primarily attributable to a decline in oil and gas due to lower production levels and lower pricing and cement sales due to lower production levels despite a slight improvement in pricing.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36" w:name="page37"/>
    <w:bookmarkEnd w:id="36"/>
    <w:p>
      <w:pPr>
        <w:ind w:left="340" w:right="360" w:hanging="332"/>
        <w:spacing w:after="0" w:line="282"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resources segment expenses were $4,996,000 for the first nine months of 2025, a decrease of $47,000, or 1%, when compared to the same period in 2024 reflecting consistent performance year over year.</w:t>
      </w:r>
    </w:p>
    <w:p>
      <w:pPr>
        <w:spacing w:after="0" w:line="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anticipated regulatory changes related to groundwater management in California emerge, such as potential limits on groundwater pumping, we believe our water assets will become increasingly important and valuable. These assets include our water banking operations, groundwater recharge programs, and access to water supply contracts, such as those we have acquired in prior periods. We expect these resources will continue to play a critical role in supporting our development projects and may also present opportunities for water sales to third parties.</w:t>
      </w:r>
    </w:p>
    <w:p>
      <w:pPr>
        <w:spacing w:after="0" w:line="4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SWP water contracts require annual payments related to the fixed and variable costs of the SWP and each water district, whether or not water is used or available. In addition to surface water supplies, the Company has access to adjudicated groundwater rights, including an annual allocation of 1,634 acre-feet in the Antelope Valley Basin. Portions of our property also have available groundwater, which the Company believes are sufficient to support its commercial development plans along the Interstate 5 corridor and its ongoing agricultural operations.</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Kern County, the Company’s lands span three groundwater basins governed by the Sustainable Groundwater Management Act (SGMA): the Kern Subbasin, the White Wolf Subbasin, and the Castac Basin. Approximately 9% of the Company's Kern County land is within the Kern Subbasin and is primarily used for grazing with minimal water use. In contrast, the White Wolf Subbasin is being sustainably managed, with an approved GSP requiring only minor corrections, while the Castac Basin is a low-priority basin with no anticipated restrictions. The Company believes its diverse mix of surface water supplies, adjudicated groundwater rights, and banked water positions the Company well to navigate evolving regulatory frameworks and meet future water needs.</w:t>
      </w:r>
    </w:p>
    <w:p>
      <w:pPr>
        <w:spacing w:after="0" w:line="12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Prices for oil and natural gas fluctuate in response to relatively minor changes in supply and demand, market uncertainty and a variety of additional factors that are beyond our control, such as: changes in domestic and global supply and demand, domestic and global inventory levels, political and regulatory conditions in California, and international disputes. Production has seen an overall decline in California as a result of regulatory conditions.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Farming: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460" w:type="dxa"/>
            <w:vAlign w:val="bottom"/>
          </w:tcPr>
          <w:p>
            <w:pPr>
              <w:spacing w:after="0"/>
              <w:rPr>
                <w:sz w:val="20"/>
                <w:szCs w:val="20"/>
                <w:color w:val="auto"/>
              </w:rPr>
            </w:pPr>
          </w:p>
        </w:tc>
        <w:tc>
          <w:tcPr>
            <w:tcW w:w="19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Change</w:t>
            </w:r>
          </w:p>
        </w:tc>
        <w:tc>
          <w:tcPr>
            <w:tcW w:w="1300" w:type="dxa"/>
            <w:vAlign w:val="bottom"/>
          </w:tcPr>
          <w:p>
            <w:pPr>
              <w:spacing w:after="0"/>
              <w:rPr>
                <w:sz w:val="20"/>
                <w:szCs w:val="20"/>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Farming revenues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Almonds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Pistachios</w:t>
            </w:r>
          </w:p>
        </w:tc>
        <w:tc>
          <w:tcPr>
            <w:tcW w:w="3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Wine grapes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30"/>
        </w:trPr>
        <w:tc>
          <w:tcPr>
            <w:tcW w:w="3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farming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3"/>
        </w:trPr>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water obligations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3"/>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farming expenses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from farming</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340" w:right="580" w:hanging="332"/>
        <w:spacing w:after="0" w:line="266"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 segment revenues totaled $4,335,000 for the three months ended September 30, 2025, an increase of $1,093,000, or 34%, compared to $3,242,000 for the same period in 2024. The increase was primarily attributable to higher wine grape sales resulting from increased production volumes for wine grapes harvested during the period ended September, 30 2025.</w:t>
      </w:r>
    </w:p>
    <w:p>
      <w:pPr>
        <w:spacing w:after="0" w:line="67" w:lineRule="exact"/>
        <w:rPr>
          <w:rFonts w:ascii="Times New Roman" w:cs="Times New Roman" w:eastAsia="Times New Roman" w:hAnsi="Times New Roman"/>
          <w:sz w:val="18"/>
          <w:szCs w:val="18"/>
          <w:color w:val="auto"/>
        </w:rPr>
      </w:pPr>
    </w:p>
    <w:p>
      <w:pPr>
        <w:ind w:left="340" w:right="80" w:hanging="332"/>
        <w:spacing w:after="0" w:line="261"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 segment expenses were $5,362,000 for the three months ended September 30, 2025, a decrease of $890,000, or 14%, from $6,252,000 during the same period in 2024. This decrease was primarily attributable to lower costs of sales of $752,000 driven by lower costs in pruning, and irrigation, in addition to lower selling, general and administrative expenses of $383,000 driven by lower fixed water obligations partially offset by an increase in depreciation expenses of $195,000.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color w:val="auto"/>
              </w:rPr>
              <w:t>Change</w:t>
            </w:r>
          </w:p>
        </w:tc>
        <w:tc>
          <w:tcPr>
            <w:tcW w:w="1120" w:type="dxa"/>
            <w:vAlign w:val="bottom"/>
            <w:tcBorders>
              <w:bottom w:val="single" w:sz="8" w:color="auto"/>
            </w:tcBorders>
          </w:tcPr>
          <w:p>
            <w:pPr>
              <w:spacing w:after="0"/>
              <w:rPr>
                <w:sz w:val="20"/>
                <w:szCs w:val="20"/>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Farming revenues</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Almonds</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Pistachios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Wine grapes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29"/>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Hay</w:t>
            </w:r>
          </w:p>
        </w:tc>
        <w:tc>
          <w:tcPr>
            <w:tcW w:w="12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farming revenues</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3"/>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water obligations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3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farming expenses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from farming</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
        </w:trPr>
        <w:tc>
          <w:tcPr>
            <w:tcW w:w="3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right="20" w:hanging="332"/>
        <w:spacing w:after="0" w:line="261"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 segment revenues were $6,498,000 for the first nine months of 2025, an increase of $2,249,000, or 53%, from $4,249,000 during the same period in 2024. The increase was primarily attributed to an increase of $1,169,000 in almond crop revenues in the current period and higher wine grape yields, which contributed an additional $1,147,000 in sales. Approximately 1,310,000 pounds of almonds were sold during the nine months ended September 30, 2025, compared to 1,045,000 pounds during the same period in 2024.</w:t>
      </w:r>
    </w:p>
    <w:p>
      <w:pPr>
        <w:spacing w:after="0" w:line="71"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 segment expenses were $9,407,000 for the first nine months of 2025, an increase of $1,000, from $9,406,000 compared to the same period in 2024, remaining relatively consistent.</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almond, pistachio, and wine grape crop sales are subject to significant seasonality, with the majority of sales typically occurring during the third and fourth quarters of the year. Almonds and pistachios are generally sold at prevailing market prices, while wine grapes are sold under contracted pricing arrangements with wineries. In 2025, the Company's crop segmentation in its farming division will include the planting of an olive orchard, diversifying the Company's commodity products and best positioning the Company for market changes.</w:t>
      </w:r>
    </w:p>
    <w:p>
      <w:pPr>
        <w:spacing w:after="0" w:line="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Weather conditions can significantly affect the number of chill hours and chill portions accumulated during dormancy, both of which are critical to tree and vine development. In early 2025, California experienced an unusually warm winter, resulting in insufficient chill accumulation across major agricultural regions. Pistachio orchards were particularly impacted, and this deficiency contributed to slightly reduced yields. Additionally, late winter and early spring rainstorms disrupted standard field operations, including the timely application of pesticides and dormancy-breaking treatments. These weather-related delays did not have an effect on crop management schedules and overall productivity.</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Labor costs, both internal and through labor contractors, continue to increase and the Company expects this trend to continue over the near future. The Company utilizes external labor contractors, as necessary, for large projects, such as pruning and harvesting, as a way to manage our labor needs. From a broader inflationary standpoint, the Company continues to expect an increase in production costs, most notably chemicals such as herbicides and pesticides, and fuel costs.</w:t>
      </w:r>
    </w:p>
    <w:p>
      <w:pPr>
        <w:spacing w:after="0" w:line="4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Lastly, the impact of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for the next crop year.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6EBF"/>
              </w:rPr>
              <w:t>Ranch Operations:</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77"/>
        </w:trPr>
        <w:tc>
          <w:tcPr>
            <w:tcW w:w="1480" w:type="dxa"/>
            <w:vAlign w:val="bottom"/>
            <w:tcBorders>
              <w:top w:val="single" w:sz="8" w:color="006EBF"/>
            </w:tcBorders>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Ranch operations revenues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80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Game management and other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Grazing</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ranch operations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3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38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ranch operations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8"/>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 from ranch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-2540</wp:posOffset>
            </wp:positionV>
            <wp:extent cx="47231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Game management and other revenues consist of revenues from hunting, filming, High Desert Hunt Club (a premier upland bird hunting club), and other ancillary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45" w:lineRule="exact"/>
        <w:rPr>
          <w:sz w:val="20"/>
          <w:szCs w:val="20"/>
          <w:color w:val="auto"/>
        </w:rPr>
      </w:pPr>
    </w:p>
    <w:p>
      <w:pPr>
        <w:ind w:left="340" w:hanging="332"/>
        <w:spacing w:after="0" w:line="266"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Ranch operations revenues totaled $1,338,000 for the three months ended September 30, 2025, representing a decrease of $108,000, or 7%, compared to $1,446,000 for the same period in 2024. The decrease was primarily driven by a $83,000 decrease in rent range revenues due to decrease cattle and a $25,000 decrease in game management and other revenues, largely attributable to timing of guided hunt revenues.</w:t>
      </w:r>
    </w:p>
    <w:p>
      <w:pPr>
        <w:spacing w:after="0" w:line="40" w:lineRule="exact"/>
        <w:rPr>
          <w:rFonts w:ascii="Times New Roman" w:cs="Times New Roman" w:eastAsia="Times New Roman" w:hAnsi="Times New Roman"/>
          <w:sz w:val="18"/>
          <w:szCs w:val="18"/>
          <w:color w:val="auto"/>
        </w:rPr>
      </w:pPr>
    </w:p>
    <w:p>
      <w:pPr>
        <w:ind w:left="340" w:right="120" w:hanging="332"/>
        <w:spacing w:after="0" w:line="250"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Ranch operations expenses were $1,176,000 for the three months ended September 30, 2025, a decrease of $47,000, or 4%, from $1,223,000 for the same period in 2024. The decrease was primarily attributable to lower selling, general and administrative expenses of $57,000 mostly related to lower overhead costs across various categories.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80" w:type="dxa"/>
            <w:vAlign w:val="bottom"/>
          </w:tcPr>
          <w:p>
            <w:pPr>
              <w:spacing w:after="0"/>
              <w:rPr>
                <w:sz w:val="20"/>
                <w:szCs w:val="20"/>
                <w:color w:val="auto"/>
              </w:rPr>
            </w:pPr>
          </w:p>
        </w:tc>
        <w:tc>
          <w:tcPr>
            <w:tcW w:w="16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Change</w:t>
            </w:r>
          </w:p>
        </w:tc>
        <w:tc>
          <w:tcPr>
            <w:tcW w:w="1020" w:type="dxa"/>
            <w:vAlign w:val="bottom"/>
          </w:tcPr>
          <w:p>
            <w:pPr>
              <w:spacing w:after="0"/>
              <w:rPr>
                <w:sz w:val="20"/>
                <w:szCs w:val="20"/>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Ranch operations revenues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46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Game management and other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Grazing</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ranch operations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3"/>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4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ranch operations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from ranch operations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Game management and other revenues consist of revenues from hunting, filming, high desert hunt club (a premier upland bird hunting club), and other ancillary activities.</w:t>
      </w:r>
    </w:p>
    <w:p>
      <w:pPr>
        <w:spacing w:after="0" w:line="57" w:lineRule="exact"/>
        <w:rPr>
          <w:sz w:val="20"/>
          <w:szCs w:val="20"/>
          <w:color w:val="auto"/>
        </w:rPr>
      </w:pPr>
    </w:p>
    <w:p>
      <w:pPr>
        <w:ind w:left="340" w:right="100" w:hanging="332"/>
        <w:spacing w:after="0" w:line="250"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Ranch operations revenues totaled $3,725,000 for the first nine months of 2025, an increase of $207,000, or 6%, compared to $3,518,000 for the same period in 2024. The increase was primarily attributable to an increase in game management and other revenue of $242,000, primarily attributed to higher guided hunt revenues and increased revenue recognized from the High Desert Hunt Club.</w:t>
      </w:r>
    </w:p>
    <w:p>
      <w:pPr>
        <w:spacing w:after="0" w:line="82" w:lineRule="exact"/>
        <w:rPr>
          <w:rFonts w:ascii="Times New Roman" w:cs="Times New Roman" w:eastAsia="Times New Roman" w:hAnsi="Times New Roman"/>
          <w:sz w:val="18"/>
          <w:szCs w:val="18"/>
          <w:color w:val="auto"/>
        </w:rPr>
      </w:pPr>
    </w:p>
    <w:p>
      <w:pPr>
        <w:ind w:left="340" w:right="180" w:hanging="332"/>
        <w:spacing w:after="0" w:line="261"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Ranch operations expenses were $3,784,000 for the first nine months of 2025, an increase of $73,000, or 2%, from $3,711,000 for the same period in 2024. This increase was primarily attributable to higher operating expenses of $120,000 mainly associated with additional repairs and maintenance expenses of $74,000 and higher property taxes of $53,000 partially offset by lower selling, general and administrative expenses of $48,000 across various categories.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Corporate and Other:</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Corporate general and administrative costs were $2,868,000 for the three months ended September 30, 2025, a decrease of $77,000, from $2,945,000 for the same period in 2024. Although overall expenses remained relatively consistent between periods, the current period included a decrease of $1,244,000 in stock-based compensation, offset by an increase of $867,000 in professional service fees.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39" w:name="page40"/>
    <w:bookmarkEnd w:id="39"/>
    <w:p>
      <w:pPr>
        <w:spacing w:after="0" w:line="245" w:lineRule="auto"/>
        <w:rPr>
          <w:sz w:val="20"/>
          <w:szCs w:val="20"/>
          <w:color w:val="auto"/>
        </w:rPr>
      </w:pPr>
      <w:r>
        <w:rPr>
          <w:rFonts w:ascii="Times New Roman" w:cs="Times New Roman" w:eastAsia="Times New Roman" w:hAnsi="Times New Roman"/>
          <w:sz w:val="18"/>
          <w:szCs w:val="18"/>
          <w:color w:val="auto"/>
        </w:rPr>
        <w:t>Corporate general and administrative costs were $12,004,000 for the first nine months of 2025, an increase of $3,210,000, or 37%, from $8,794,000 for the same period in 2024. The increase was primarily due to the $3,399,000 incurred for the proxy defense expenses related to contested board election during the nine months ended September 30, 2025. The main components of the 2025 corporate expenses included operating costs of $4,627,000 and selling, general and administrative expenses of $7,110,000 and depreciation expense of $267,000.</w:t>
      </w:r>
    </w:p>
    <w:p>
      <w:pPr>
        <w:spacing w:after="0" w:line="5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Total other income was $168,000 for the three months ended September 30, 2025, a decrease of $291,000 from $459,000 for the same period in 2024, primarily due to lower investment income as a result of a decrease in marketable securities balance.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income was $660,000 for the nine months ended September 30, 2025, a decrease of $973,000, from $1,633,000 for the same period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attributable to lower investment income driven by a decrease in marketable securities balance.</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6EBF"/>
              </w:rPr>
              <w:t>Joint Ventures:</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53"/>
        </w:trPr>
        <w:tc>
          <w:tcPr>
            <w:tcW w:w="1180" w:type="dxa"/>
            <w:vAlign w:val="bottom"/>
            <w:tcBorders>
              <w:top w:val="single" w:sz="8" w:color="006EBF"/>
            </w:tcBorders>
          </w:tcPr>
          <w:p>
            <w:pPr>
              <w:spacing w:after="0"/>
              <w:rPr>
                <w:sz w:val="24"/>
                <w:szCs w:val="24"/>
                <w:color w:val="auto"/>
              </w:rPr>
            </w:pPr>
          </w:p>
        </w:tc>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 earnings (loss)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Petro Travel Plaza Holdings, LLC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TRCC/Rock Outlet Center LLC</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TRC-MRC 1, LLC</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TRC-MRC 2, LLC</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TRC-MRC 3, LLC</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3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TRC-MRC 4, LLC</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3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TRC-MRC 5, LLC</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 in earnings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1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340" w:right="20" w:hanging="332"/>
        <w:spacing w:after="0" w:line="256" w:lineRule="auto"/>
        <w:tabs>
          <w:tab w:leader="none" w:pos="3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 earnings was $2,555,000 for the three months ended September 30, 2025, a decrease of $774,000, from $3,329,000 during the same period in 2024. The decrease was primarily attributable to a decrease in equity in earnings recorded for the TA/Petro joint venture of approximately $852,000 driven by a 5.5% decline in fuel gross margin, a 8.8% decline in nonfuel gross margin, an 8% increase in labor expenses and a 5.9% increase in operating expense compared to the same period in 2024. Equity in loss from TRCC/Rock Outlet Center LLC joint venture decreased by $174,000 compared to the prior period, primarily due to the recognition of a property tax refund of $200,000 in the three months ended September 30, 2025. Equity in earnings for all other joint ventures with Majestic Realty Co. remained relatively consistent.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460" w:type="dxa"/>
            <w:vAlign w:val="bottom"/>
          </w:tcPr>
          <w:p>
            <w:pPr>
              <w:spacing w:after="0"/>
              <w:rPr>
                <w:sz w:val="20"/>
                <w:szCs w:val="20"/>
                <w:color w:val="auto"/>
              </w:rPr>
            </w:pPr>
          </w:p>
        </w:tc>
        <w:tc>
          <w:tcPr>
            <w:tcW w:w="19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Change</w:t>
            </w:r>
          </w:p>
        </w:tc>
        <w:tc>
          <w:tcPr>
            <w:tcW w:w="1300" w:type="dxa"/>
            <w:vAlign w:val="bottom"/>
          </w:tcPr>
          <w:p>
            <w:pPr>
              <w:spacing w:after="0"/>
              <w:rPr>
                <w:sz w:val="20"/>
                <w:szCs w:val="20"/>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Petro Travel Plaza Holdings, LLC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TRCC/Rock Outlet Center LLC</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TRC-MRC 1, LLC</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30"/>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TRC-MRC 2, LLC</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TRC-MRC 3, LLC</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TRC-MRC 4, LLC</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TRC-MRC 5, LLC</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in earnings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3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right="20" w:hanging="332"/>
        <w:spacing w:after="0" w:line="254"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 earnings was $6,268,000 for the nine months ended September 30, 2025, a decrease of $1,343,000, or 18%, from $7,611,000 during the same period in 2024. The decrease was primarily attributable to a decrease in equity in earnings recorded for the TA/Petro joint venture of approximately $1,447,000 driven by a 8.4% decline in nonfuel gross margins and a 8.2% increase in operating expense compared to the same period in 2024. Equity in loss from TRCC/Rock Outlet Center LLC joint venture increased by $61,000 compared to the prior period, due to a decrease in contingent rental income resulting from reduced consumer traffic in the first half of 2025, relative to the same period in 2024. Equity in earnings for TRC-MRC 1, LLC increased due to higher revenue recognized from the lease with a new tenant at a higher lease rate beginning May 2024. Equity in earnings for TRC-MRC 4, LLC decreased as a result of an insurance reimbursement in prior year which did not reoccur in 2025, and for TRC-MRC 5, LLC decreased due to higher property taxes compared with the prior year period.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"Non-GAAP Financial Measures" for further financial discussion of the results of our joint ventures.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General Outlook</w:t>
      </w:r>
    </w:p>
    <w:p>
      <w:pPr>
        <w:spacing w:after="0" w:line="10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operations are seasonal and future results of operations cannot reliably be predicted based on quarterly results. Historically, our largest percentage of farming revenues are recognized during the third and fourth quarters of the fiscal year. Real estate activity and leasing activities are dependent on market circumstances and specific opportunities and therefore are difficult to predict from period to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1" w:name="page42"/>
    <w:bookmarkEnd w:id="41"/>
    <w:p>
      <w:pPr>
        <w:spacing w:after="0" w:line="261" w:lineRule="auto"/>
        <w:rPr>
          <w:sz w:val="20"/>
          <w:szCs w:val="20"/>
          <w:color w:val="auto"/>
        </w:rPr>
      </w:pPr>
      <w:r>
        <w:rPr>
          <w:rFonts w:ascii="Times New Roman" w:cs="Times New Roman" w:eastAsia="Times New Roman" w:hAnsi="Times New Roman"/>
          <w:sz w:val="18"/>
          <w:szCs w:val="18"/>
          <w:color w:val="auto"/>
        </w:rPr>
        <w:t>For further discussion of the risks and uncertainties that could potentially adversely affect us, please refer to Part I, Item 7 – “Management’s Discussion and Analysis of Financial Condition and Results of Operations” in our Annual Report on Form 10-K for the year ended December 31, 2024, or Annual Report, and to Part I, Item 1A - "Risk Factors" of our Annual Report. For further discussion, please refer to Note 11 (Commitments and Contingencies) of the Notes to Unaudited Consolidated Financial Statements in this report.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Income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2025, we had an income tax benefit of $1,809,000 compared to $286,000 for the nine months</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ended September 30, 2024. The effective tax rates approximated 55% and 14% for the nine months ended September 30, 2025 and 2024, respectively. As of September 30, 2025, the Company had income taxes receivable of $3,458,000. We classify interest and penalties incurred on tax payments as income tax expenses. Our effective tax rates differ from statutory rates primarily because of permanent differences related to Internal Revenue Code Section 162(m). The Internal Revenue Code Section 162(m) compensation deduction limitations occurred due to changes in tax law arising from the 2017 Tax Cuts and Jobs Act.</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Cash Flow and Liquidity</w:t>
      </w:r>
    </w:p>
    <w:p>
      <w:pPr>
        <w:spacing w:after="0" w:line="1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financial position allows us to pursue our strategies of continued development of TRCC, funding of operating activities,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 enhance long-term shareholder value, we expect to continue allocating capital toward vertical development within our active commercial and industrial portfolio, including construction on Terra Vista at Tejon, our new multi-family apartment community located immediately adjacent to the Outlets at Tejon. The majority of our capital investment is expected to remain concentrated at TRCC, where we are expanding the footprint of our commercial and industrial operations through vertical development, infrastructure improvements, and the construction of assets intended for lease.</w:t>
      </w:r>
    </w:p>
    <w:p>
      <w:pPr>
        <w:spacing w:after="0" w:line="4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will also invest, as needed, across our real estate segments to secure land entitlement approvals, ensure access to adequate water supplies, and support general land development activities. In our farming segment, we plan to invest selectively in operational improvements and capacity enhancements when supported by market conditions and expected profitability.</w:t>
      </w:r>
    </w:p>
    <w:p>
      <w:pPr>
        <w:spacing w:after="0" w:line="5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cash, cash equivalents and marketable securities totaled approximately $21,044,000 as of September 30, 2025, a decrease of $32,664,000 from $53,708,000 as of December 31, 2024, due primarily to funding of construction on the Terra Vista at Tejon multi-family apartment community.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cash flow activities for the nine months ended September 30,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(17,377)</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9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2025, our operations used $4,106,000, largely attributable to cash used to settle our current liabilities balance including liability related to stock compensation awards of $1,831,000.</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nine months of 2024, our operations provided $1,045,000 primarily related to cash generated by a change in our operating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Collection of accounts receivables provided $5,200,000 of cash, which was partially offset by cash used in growing our crop inventories of $3,365,000.</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2025, investing activities used $56,100,000. The increase in investing activities is primarily related to the construction of Terra Vista at Tejon for the first phase of this multi-family project.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2" w:name="page43"/>
    <w:bookmarkEnd w:id="42"/>
    <w:p>
      <w:pPr>
        <w:ind w:right="40"/>
        <w:spacing w:after="0" w:line="256" w:lineRule="auto"/>
        <w:rPr>
          <w:sz w:val="20"/>
          <w:szCs w:val="20"/>
          <w:color w:val="auto"/>
        </w:rPr>
      </w:pPr>
      <w:r>
        <w:rPr>
          <w:rFonts w:ascii="Times New Roman" w:cs="Times New Roman" w:eastAsia="Times New Roman" w:hAnsi="Times New Roman"/>
          <w:sz w:val="18"/>
          <w:szCs w:val="18"/>
          <w:color w:val="auto"/>
        </w:rPr>
        <w:t>We made capital expenditures, inclusive of capitalized interest and payroll (exclusive of stock compensation), of $49,393,000 for real estate development, reflected as follows: At TRCC, we spent $25,291,000 of construction cost on Terra Visa at Tejon and $6,014,000 on infrastructure improvements at TRCC-East. We also spent $2,194,000 and $1,652,000 on permitting efforts for MV and Grapevine, respectively, and $2,554,000 on litigation defense for Centennial. Within our farming segment, we spent $3,752,000, which included cultural costs for orchards currently classified as under development and replacement of machinery and equipment. Additionally, we used $8,926,000 to acquire water assets. We had marketable securities of $29,508,000 that matured, and we reinvested $32,387,000. Lastly, we received proceeds of $773,000 from joint venture distributions.</w:t>
      </w:r>
    </w:p>
    <w:p>
      <w:pPr>
        <w:spacing w:after="0" w:line="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2024, investing activities used $17,377,000. The increase in investing activities is related to the construction of the Terra Vista and TRCC infrastructure.</w:t>
      </w:r>
    </w:p>
    <w:p>
      <w:pPr>
        <w:spacing w:after="0" w:line="4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made capital expenditures, inclusive of capitalized interest and payroll (exclusive of stock compensation), of $40,995,000, which included predevelopment activities for our master planned communities; $2,088,000 consisting of permitting efforts for MV; $1,014,000 consisting of permitting efforts for Grapevine; and costs related to litigation defense for Centennial of $3,110,000. At TRCC, we spent $16,750,000 of construction cost on Terra Visa at Tejon and $12,341,000 on infrastructure improvements at TRCC-East. Within our farming segment, we spent $4,531,000, which included cultural costs for orchards currently classified as under development and replacement of machinery and equipment. Additionally, we used $4,616,000 to acquire water assets. We had marketable securities of $85,769,000 that matured, and we reinvested $66,640,000. Lastly, we received proceeds of $5,783,000 from joint venture distributions and reimbursements of $3,309,000 from a Community Facilities District.</w:t>
      </w:r>
    </w:p>
    <w:p>
      <w:pPr>
        <w:spacing w:after="0" w:line="6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we move forward, we anticipate we will continue to use cash from operations, proceeds from the maturity of securities, and anticipated distributions from joint ventures to fund real estate project investments, including the investments summarized below.</w:t>
      </w:r>
    </w:p>
    <w:p>
      <w:pPr>
        <w:spacing w:after="0" w:line="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estimated capital investment, inclusive of capitalized interest and payroll, for the remainder of 2025 is primarily related to our real estate projects. These estimated investments include approximately $4,366,000 of construction costs for the Terra Vista at Tejon multi-family project phase 1 development and $4,649,000 of infrastructure development at TRCC-East to support the continued commercial retail and industrial development, water treatment system improvements, and expansion of the wastewater treatment plant for future anticipated absorption. We also expect to invest up to $2,191,000 for land planning, litigation/appeals, federal and state agency permitting activities, and development activities at MV, Centennial, and Grapevine during the remainder of 2025.</w:t>
      </w:r>
    </w:p>
    <w:p>
      <w:pPr>
        <w:spacing w:after="0" w:line="6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capitalize interest cost as a cost of the project only during the period for which activities necessary to prepare an asset for its intended use are ongoing, provided expenditures for the asset have been made and interest cost has been incurred. Capitalized interest for the nine months ended September 30, 2025 and 2024, was $3,529,000 and $3,175,000, respectively, and is classified within real estate development. We also capitalized payroll costs related to development, pre-construction, and construction projects, which aggregated $1,666,000 and $2,179,000 for the nine months ended September 30, 2025 and 2024, respectively. Expenditures for repairs and maintenance are expensed as incurred.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first nine months of 2025, financing activities provided $24,510,000, which was attributable to borrowings on the line of credit of $25,000,000 to fund construction projects and other ongoing development such as Terra Vista and TRCC infrastructure, partially offset by the tax payments on vested share grants of $490,000.</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first nine months of 2024, financing activities provided $11,794,000, which was attributable to borrowings on the line of credit of $12,000,000 to fund construction projects and other ongoing development such as Terra Vista and TRCC infrastructure, partially offset by the tax payments on vested share grants of $206,000.</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particular years or periods having more or less earnings than comparable periods. Based on our experience, we believe we will have adequate cash flows, cash balances, and availability on our line of credit over the next twelve months to fund internal operations. As we move forward with the completion of the litigation, permitting and engineering design for our master planned communities and prepare to move into the development stage, we may need to secure additional funding in the long-term through either the issuance of equity and/or by securing other forms of financing such as joint venture equity and debt financing.</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ind w:right="180"/>
        <w:spacing w:after="0" w:line="282" w:lineRule="auto"/>
        <w:rPr>
          <w:sz w:val="20"/>
          <w:szCs w:val="20"/>
          <w:color w:val="auto"/>
        </w:rPr>
      </w:pPr>
      <w:r>
        <w:rPr>
          <w:rFonts w:ascii="Times New Roman" w:cs="Times New Roman" w:eastAsia="Times New Roman" w:hAnsi="Times New Roman"/>
          <w:sz w:val="18"/>
          <w:szCs w:val="18"/>
          <w:color w:val="auto"/>
        </w:rPr>
        <w:t>We regularly evaluate our short-term and long-term capital investment needs. Based on the timing of capital investments, we may supplement our current cash, marketable securities, and operational funding sources through the sale of common stock and/or the incurrence of additional debt.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Capital Structure and Financial Condition</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 September 30, 2025, total capitalization at book value was $580,532,000, consisting of $91,942,000 of debt and $488,590,000 of equity, resulting in a debt-to-total-capitalization ratio of approximately 15.8%.</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November 17, 2023, we entered into a Credit Agreement with AgWest Farm Credit, PCA, as administrative agent and letter of credit intermediary (Administrative Agent), and certain other lenders, collectively, the Revolving Credit Facility. The Revolving Credit Facility provides TRC with (i) a revolving credit line (RCL) in the amount of $160,000,000 and (ii) the option for TRC to utilize a letter of credit sub-facility in the amount of $15,000,000 (LOC Sub-Facility). The LOC Sub-Facility is part of, and not in addition to, the RCL. As further summarized below, the RCL requires interest only payments and has a maturity date of January 1, 2029.</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closing of the Revolving Credit Facility, funds from the RCL were used to pay off and close out the existing Bank of America, N.A. Term Note (the Bank of America Term Note) and Revolving Line of Credit Note. The amount of this pay off was $47,078,564 plus accrued interest and fees on the Bank of America Term Note. We evaluated the debt exchange under Accounting Standards Codification (ASC) 470 and determined that the exchange should be treated as a debt extinguishment. Future borrowings under the Revolving Credit Facility will be used for ongoing working capital requirements, including to fund future construction projects, farming and ranching operations, and other general corporate purposes.</w:t>
      </w:r>
    </w:p>
    <w:p>
      <w:pPr>
        <w:spacing w:after="0" w:line="1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To maintain availability of funds, undrawn amounts under the RCL will accrue an unused fee of 15 basis points per annum except that, for the LOC Sub-Facility, TRC will incur a fee of 2.00% per annum for each letter of credit issued to TRC. TRC’s ability to borrow/draw additional funds is subject to compliance with certain financial and other covenants, some of which are further described below, and the continuing accuracy of certain representations and warranties contained in the Revolving Credit Facility.</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interest rate per annum applicable to the Revolving Credit Facility is one-month term SOFR plus an interest rate spread that is based on TRC’s consolidated net liabilities to equity ratio (NLER). The interest rate spread for the NLER has three tiers: (1) 2.75% if the NLER is 55% or more; (2) 2.5% if the NLER is between 35% and less than 55%; and (3) 2.25% if the NLER is less than 35%. The interest rate spread in the previous sentence may effectively be reduced by applying a patronage credit for TRC’s participation in the farm credit program, which patronage credit historically has been (for reference and information purposes only and not as a guarantee of future patronage credit) between 100-125 basis points. The Administrative Agent pays the patronage credit annually in the form of a dividend. As of September 30, 2025, the Company's NLER was in tier 3, or less than 35%, and the applicable interest rate spread was 2.25%. We received partial patronage credit in February 2025 of $420,000 which represents 125 basis points from the primary lender and we received the remaining patronage credit in March 2025 for $202,000 which represents 100 basis point from the other participating lenders.</w:t>
      </w:r>
    </w:p>
    <w:p>
      <w:pPr>
        <w:spacing w:after="0" w:line="1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Revolving Credit Facility requires the payment of interest only during the term, at which point the full drawn amount, plus accrued interest, must be repaid by the maturity date, if TRC has not earlier repaid the borrowed amount or extended the maturity date. The RCL may be repaid in part, or in full, by TRC at any time during the term without penalty. Certain events of default (as described in the Revolving Credit Facility) allow acceleration of repayment of borrowed funds, interest and other fees. The Revolving Credit Facility is unsecured, but the agreement provides the Administrative Agent a springing lien on TRC’s wholly owned, unencumbered assets, exclusive of assets subject to negative pledge, if one or more covenants is breached.</w:t>
      </w:r>
    </w:p>
    <w:p>
      <w:pPr>
        <w:spacing w:after="0" w:line="1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Revolving Credit Facility requires compliance with three financial covenants: (a) total liabilities divided by tangible net worth not greater than 0.55 to 1.00 at each year end; (b) a debt service coverage ratio not less than 1.50 to 1.00 as of each year end on a rolling four quarter basis; and (c) a liquidity ratio not less than 2.00 to 1.00 at each year end.</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Revolving Credit Facility also contains customary negative covenants that limit our ability to, among other things, make capital expenditures, incur indebtedness and issue guaranties, consummate certain asset sales, acquisitions or mergers, make investments, pay dividends or repurchase stock, make a change in capital ownership, or incur liens on any assets.</w:t>
      </w:r>
    </w:p>
    <w:p>
      <w:pPr>
        <w:spacing w:after="0" w:line="12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customary events of default, including: failure to make required payments; failure to comply with terms of the Credit Facility; bankruptcy and insolvency. The Credit Facility contains other customary terms and conditions, including representations and warranties, which are typical for credit facilities of this type.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and December 31, 2024, we were in compliance with all financial covenants.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ind w:right="340"/>
        <w:spacing w:after="0" w:line="261" w:lineRule="auto"/>
        <w:rPr>
          <w:sz w:val="20"/>
          <w:szCs w:val="20"/>
          <w:color w:val="auto"/>
        </w:rPr>
      </w:pPr>
      <w:r>
        <w:rPr>
          <w:rFonts w:ascii="Times New Roman" w:cs="Times New Roman" w:eastAsia="Times New Roman" w:hAnsi="Times New Roman"/>
          <w:sz w:val="18"/>
          <w:szCs w:val="18"/>
          <w:color w:val="auto"/>
        </w:rPr>
        <w:t>We expect that 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and/or issuance of additional common stock.</w:t>
      </w:r>
    </w:p>
    <w:p>
      <w:pPr>
        <w:spacing w:after="0" w:line="12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 May 2025, we filed an updated shelf registration statement on Form S-3 that went effective in May 2025. Under the shelf registration statement, we may offer and sell in the future through one or more offerings not to exceed $200,000,000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our funding needs.</w:t>
      </w:r>
    </w:p>
    <w:p>
      <w:pPr>
        <w:spacing w:after="0" w:line="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had a strong liquidity position at September 30, 2025 with $21,044,000 in cash and securities and $68,058,000 available on our RLC to meet any short-term liquidity needs. See Note 3 (Marketable Securities) and Note 7 (Line of Credit and Long-Term Debt) of the Notes to Unaudited Consolidated Financial Statements for more information.</w:t>
      </w:r>
    </w:p>
    <w:p>
      <w:pPr>
        <w:spacing w:after="0" w:line="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continue to expect that substantial investments will be required to develop our land assets. To meet these capital requirements, we may need to secure additional debt financing and continue to renew our existing credit facilities. In addition to debt financing, we can use other capital alternatives, such as joint ventures with financial partners, sales of assets, and/or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 term as described earlier in the cash flow and liquidity discussions.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Contractual Cash Obligations</w:t>
      </w:r>
    </w:p>
    <w:p>
      <w:pPr>
        <w:spacing w:after="0" w:line="9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cash obligations and commercial commitments as of September 30, 2025, to be paid over the next five years and thereafter:</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color w:val="auto"/>
              </w:rPr>
              <w:t>Payments Due by Period</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One Year or Less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Years 2-3</w:t>
            </w:r>
          </w:p>
        </w:tc>
        <w:tc>
          <w:tcPr>
            <w:tcW w:w="20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Years 4-5</w:t>
            </w:r>
          </w:p>
        </w:tc>
        <w:tc>
          <w:tcPr>
            <w:tcW w:w="20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19"/>
                <w:szCs w:val="19"/>
                <w:color w:val="auto"/>
              </w:rPr>
            </w:pPr>
          </w:p>
        </w:tc>
      </w:tr>
      <w:tr>
        <w:trPr>
          <w:trHeight w:val="20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Obligations: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r>
      <w:tr>
        <w:trPr>
          <w:trHeight w:val="23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Estimated water payments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1,458,839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1,396,693</w:t>
            </w:r>
          </w:p>
        </w:tc>
        <w:tc>
          <w:tcPr>
            <w:tcW w:w="2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r>
      <w:tr>
        <w:trPr>
          <w:trHeight w:val="229"/>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Revolving line-of-credit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contract commitments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1</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20" w:type="dxa"/>
            <w:vAlign w:val="bottom"/>
            <w:shd w:val="clear" w:color="auto" w:fill="CCEEFF"/>
          </w:tcPr>
          <w:p>
            <w:pPr>
              <w:spacing w:after="0"/>
              <w:rPr>
                <w:sz w:val="19"/>
                <w:szCs w:val="19"/>
                <w:color w:val="auto"/>
              </w:rPr>
            </w:pPr>
          </w:p>
        </w:tc>
      </w:tr>
      <w:tr>
        <w:trPr>
          <w:trHeight w:val="23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Defined Benefit Plan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220" w:type="dxa"/>
            <w:vAlign w:val="bottom"/>
          </w:tcPr>
          <w:p>
            <w:pPr>
              <w:spacing w:after="0"/>
              <w:rPr>
                <w:sz w:val="19"/>
                <w:szCs w:val="19"/>
                <w:color w:val="auto"/>
              </w:rPr>
            </w:pPr>
          </w:p>
        </w:tc>
      </w:tr>
      <w:tr>
        <w:trPr>
          <w:trHeight w:val="23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SERP</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20" w:type="dxa"/>
            <w:vAlign w:val="bottom"/>
            <w:tcBorders>
              <w:bottom w:val="single" w:sz="8" w:color="auto"/>
            </w:tcBorders>
            <w:shd w:val="clear" w:color="auto" w:fill="CCEEFF"/>
          </w:tcPr>
          <w:p>
            <w:pPr>
              <w:spacing w:after="0"/>
              <w:rPr>
                <w:sz w:val="19"/>
                <w:szCs w:val="19"/>
                <w:color w:val="auto"/>
              </w:rPr>
            </w:pPr>
          </w:p>
        </w:tc>
      </w:tr>
      <w:tr>
        <w:trPr>
          <w:trHeight w:val="228"/>
        </w:trPr>
        <w:tc>
          <w:tcPr>
            <w:tcW w:w="3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1,572,559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11,188</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125,673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1,403,218</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-2540</wp:posOffset>
            </wp:positionV>
            <wp:extent cx="48006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ind w:left="120" w:hanging="81"/>
        <w:spacing w:after="0" w:line="220" w:lineRule="auto"/>
        <w:tabs>
          <w:tab w:leader="none" w:pos="12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 primarily represents our contractual commitments related to our multifamily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-104140</wp:posOffset>
            </wp:positionV>
            <wp:extent cx="48006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2" w:lineRule="exact"/>
        <w:rPr>
          <w:sz w:val="20"/>
          <w:szCs w:val="20"/>
          <w:color w:val="auto"/>
        </w:rPr>
      </w:pPr>
    </w:p>
    <w:p>
      <w:pPr>
        <w:ind w:left="40" w:right="80" w:hanging="1"/>
        <w:spacing w:after="0" w:line="206" w:lineRule="auto"/>
        <w:tabs>
          <w:tab w:leader="none" w:pos="123"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 represents Nickel Family water contract payments through 2044 and SWP contract payments through 2085, assuming 3% of escalation on payment each year. For the most significant component, the WRMWSD contract payment, we used an average of the actual water payments for the past five years (2020-2024) as base year, or $5.42 million, escalating 3% each year, to derive at the number disclosed.</w:t>
      </w:r>
    </w:p>
    <w:p>
      <w:pPr>
        <w:spacing w:after="0" w:line="2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above includes only those contracts that include fixed or minimum obligations. It does not include normal purchases that are made in the ordinary course of business.</w:t>
      </w:r>
    </w:p>
    <w:p>
      <w:pPr>
        <w:spacing w:after="0" w:line="2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Estimated water payments include the Nickel Family, LLC water contract, which obligates us to purchase 6,693 acre-feet of water annually through 2044 and SWP contracts with WRMWSD, TCWD, Tulare Lake Basin Water Storage District, and Dudley-Ridge Water Storage District. These contracts for the supply of future water run through 2085. Please refer to Note 5 (Long-Term Water Assets) of the Notes to Consolidated Financial Statements for additional information regarding water assets.</w:t>
      </w:r>
    </w:p>
    <w:p>
      <w:pPr>
        <w:spacing w:after="0" w:line="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cash contract commitments consist of contracts in various stages of completion related to infrastructure development within our industrial and multi-family developments and entitlement costs related to our industrial and residential development projects. Also, included in the cash contract commitments are estimated fees earned in 2014 by a consultant, related to the entitlement of the Grapevine Development Area. We exited a consulting contract in 2014 related to the Grapevine Development and are obligated to pay an earned incentive fee at the time of successful receipt of all project permits and entitlements and at a value measurement date five-years after project permits have been achieved for Grapevine. The final amount of the incentive fees will not be finalized until the future payment dates. We believe that net savings from exiting the contract over this future time period will more than offset the incentive payment costs.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5" w:name="page46"/>
    <w:bookmarkEnd w:id="45"/>
    <w:p>
      <w:pPr>
        <w:spacing w:after="0" w:line="261" w:lineRule="auto"/>
        <w:rPr>
          <w:sz w:val="20"/>
          <w:szCs w:val="20"/>
          <w:color w:val="auto"/>
        </w:rPr>
      </w:pPr>
      <w:r>
        <w:rPr>
          <w:rFonts w:ascii="Times New Roman" w:cs="Times New Roman" w:eastAsia="Times New Roman" w:hAnsi="Times New Roman"/>
          <w:sz w:val="18"/>
          <w:szCs w:val="18"/>
          <w:color w:val="auto"/>
        </w:rPr>
        <w:t>As discussed in Note 12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us to the plan trust, estimates of payments to employees from the plan trust, and estimates of future payments to employees from us that are in the SERP program. We don't expect to make contributions in 2025.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Off-Balance Sheet Arrangements</w:t>
      </w:r>
    </w:p>
    <w:p>
      <w:pPr>
        <w:spacing w:after="0" w:line="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TRPFFA is a joint powers authority formed by Kern County and TCWD to finance public infrastructure within our Kern County developments. TRPFFA created two CFD's, the West CFD and the East CFD. The West CFD has placed liens on 420 acres of land to secure payment of special taxes related to $19,540,000 of outstanding bond debt sold by TRPFFA for TRCC-West. The East CFD has placed liens on 1,931 acres of our land to secure payments of special taxes related to $95,660,000 of outstanding bond debt sold by TRPFFA for TRCC-East. At TRCC-West, the West CFD has no additional bond debt approved for issuance. On July 25, 2024, TRPFFA sold bonds which will provide approximately $25,000,000 of improvement funds for the reimbursement of public infrastructure costs at TRCC-East. At TRCC-East, the East CFD has approximately $18,605,000 of additional bond debt authorized by TRPFFA.</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September 30, 2025, aggregate outstanding debt of unconsolidated joint ventures was $217,569,000; $20,271,000 of this debt was attributable to the loan for TRCC/Rock Outlet Center LLC joint venture. This loan was 100% guaranteed at September 30, 2025. All other outstanding debt attributed to our joint ventures have met their respective debt covenants, and hence were not subject to an effective guarantee at September 30, 2025. We do not provide a guarantee on the $11,221,000 of debt related to our joint venture with TA/Petro.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006EBF"/>
        </w:rPr>
        <w:t>Non-GAAP Financial Measures</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and other items impacting comparability.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In addition, the Company excludes other items impacting comparability to provide a clearer understanding of its core operating performance.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(loss) income or cash flows from operations as defined by GAAP. Further, our computation of EBITDA and Adjusted EBITDA may not be comparable to similar measures reported by other companies.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240" w:type="dxa"/>
            <w:vAlign w:val="bottom"/>
          </w:tcPr>
          <w:p>
            <w:pPr>
              <w:spacing w:after="0"/>
              <w:rPr>
                <w:sz w:val="18"/>
                <w:szCs w:val="18"/>
                <w:color w:val="auto"/>
              </w:rPr>
            </w:pPr>
          </w:p>
        </w:tc>
        <w:tc>
          <w:tcPr>
            <w:tcW w:w="2800" w:type="dxa"/>
            <w:vAlign w:val="bottom"/>
            <w:gridSpan w:val="4"/>
          </w:tcPr>
          <w:p>
            <w:pPr>
              <w:jc w:val="right"/>
              <w:ind w:right="290"/>
              <w:spacing w:after="0"/>
              <w:rPr>
                <w:sz w:val="20"/>
                <w:szCs w:val="20"/>
                <w:color w:val="auto"/>
              </w:rPr>
            </w:pPr>
            <w:r>
              <w:rPr>
                <w:rFonts w:ascii="Times New Roman" w:cs="Times New Roman" w:eastAsia="Times New Roman" w:hAnsi="Times New Roman"/>
                <w:sz w:val="16"/>
                <w:szCs w:val="16"/>
                <w:color w:val="auto"/>
              </w:rPr>
              <w:t>Nine Months Ended September 30,</w:t>
            </w:r>
          </w:p>
        </w:tc>
      </w:tr>
      <w:tr>
        <w:trPr>
          <w:trHeight w:val="22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Our share of interest expense from unconsolidated joint ventures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r>
      <w:tr>
        <w:trPr>
          <w:trHeight w:val="175"/>
        </w:trPr>
        <w:tc>
          <w:tcPr>
            <w:tcW w:w="5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Our share of depreciation and amortization from unconsolidated</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joint ventures</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Items impacting comparability: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Shareholder activism expense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5,643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13,863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12,915</w:t>
            </w:r>
          </w:p>
        </w:tc>
      </w:tr>
    </w:tbl>
    <w:p>
      <w:pPr>
        <w:ind w:left="120" w:hanging="94"/>
        <w:spacing w:after="0" w:line="222" w:lineRule="auto"/>
        <w:tabs>
          <w:tab w:leader="none" w:pos="12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advisory fees related to the contested board election and proxy defense.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6"/>
          </w:tcPr>
          <w:p>
            <w:pPr>
              <w:jc w:val="right"/>
              <w:ind w:right="270"/>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Commercial/Industrial operating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Plus: Commercial/Industrial depreciation and amortization</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General, administrative, cost of sales and other expenses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Other revenues including land sales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Commercial/Industrial net 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160" w:type="dxa"/>
            <w:vAlign w:val="bottom"/>
          </w:tcPr>
          <w:p>
            <w:pPr>
              <w:spacing w:after="0"/>
              <w:rPr>
                <w:sz w:val="24"/>
                <w:szCs w:val="24"/>
                <w:color w:val="auto"/>
              </w:rPr>
            </w:pPr>
          </w:p>
        </w:tc>
        <w:tc>
          <w:tcPr>
            <w:tcW w:w="296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20" w:type="dxa"/>
            <w:vAlign w:val="bottom"/>
          </w:tcPr>
          <w:p>
            <w:pPr>
              <w:spacing w:after="0"/>
              <w:rPr>
                <w:sz w:val="24"/>
                <w:szCs w:val="24"/>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operating income</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Pastoria Energy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TRCC</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 leases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commercial leases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Commercial/Industrial net 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5,893</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utilize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schedule reconciles net income of unconsolidated joint ventures to NOI of unconsolidated joint ventures. Please refer to Note 14 (Investment in Unconsolidated and Consolidated Joint Ventures) of the Notes to Unaudited Consolidated Financial Statements for further discussion on joint ventures.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40" w:type="dxa"/>
            <w:vAlign w:val="bottom"/>
          </w:tcPr>
          <w:p>
            <w:pPr>
              <w:spacing w:after="0"/>
              <w:rPr>
                <w:sz w:val="20"/>
                <w:szCs w:val="20"/>
                <w:color w:val="auto"/>
              </w:rPr>
            </w:pPr>
          </w:p>
        </w:tc>
        <w:tc>
          <w:tcPr>
            <w:tcW w:w="31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of unconsolidated joint ventures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w:t>
            </w:r>
          </w:p>
        </w:tc>
      </w:tr>
      <w:tr>
        <w:trPr>
          <w:trHeight w:val="22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of unconsolidated joint ventures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9,131</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of unconsolidated joint ventures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22,352</w:t>
            </w:r>
          </w:p>
        </w:tc>
      </w:tr>
      <w:tr>
        <w:trPr>
          <w:trHeight w:val="175"/>
        </w:trPr>
        <w:tc>
          <w:tcPr>
            <w:tcW w:w="4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and amortization of unconsolidated joint</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ventures</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9,522</w:t>
            </w: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operating income of unconsolidated joint ventures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31,874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3. QUANTITATIVE AND QUALITATIVE DISCLOSURES ABOUT MARKET RISK</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Market Risks</w:t>
      </w:r>
    </w:p>
    <w:p>
      <w:pPr>
        <w:spacing w:after="0" w:line="17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exposure to financial market risks includes changes to interest rates and credit risks related to marketable securities, interest rates related to our outstanding indebtedness and trade receivables.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Consolidated Financial Statements.</w:t>
      </w:r>
    </w:p>
    <w:p>
      <w:pPr>
        <w:spacing w:after="0" w:line="122"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Our current RCL has a $91,942,000 outstanding balance. The interest rate on this line of credit can float at a rate equal to one-month term SOFR plus 2.25%, before patronage, for an effective rate of 6.55% at September 30, 2025. During the term of this RCL (which matures in January 2029), we can borrow at any time and partially or wholly repay any outstanding borrowings and then re-borrow, as necessary outstanding balances.</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periodic credit evaluations of our customers’ financial conditions, we believe our credit risk is minimal. Market risk related to our farming inventories is discussed below in the section pertaining to commodity price exposure.</w:t>
      </w:r>
    </w:p>
    <w:p>
      <w:pPr>
        <w:spacing w:after="0" w:line="5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our financial instruments that are sensitive to changes in interest rates. The tables present our debt obligations and marketable securities and their related weighted-average interest rates by expected maturity dates.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Interest Rate Sensitivity Financial Market Risks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Amount by Expected Maturity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 September 30,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percentage data)</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Fair Value</w:t>
            </w:r>
          </w:p>
        </w:tc>
        <w:tc>
          <w:tcPr>
            <w:tcW w:w="0" w:type="dxa"/>
            <w:vAlign w:val="bottom"/>
          </w:tcPr>
          <w:p>
            <w:pPr>
              <w:spacing w:after="0"/>
              <w:rPr>
                <w:sz w:val="1"/>
                <w:szCs w:val="1"/>
                <w:color w:val="auto"/>
              </w:rPr>
            </w:pPr>
          </w:p>
        </w:tc>
      </w:tr>
      <w:tr>
        <w:trPr>
          <w:trHeight w:val="210"/>
        </w:trPr>
        <w:tc>
          <w:tcPr>
            <w:tcW w:w="2860" w:type="dxa"/>
            <w:vAlign w:val="bottom"/>
            <w:vMerge w:val="continue"/>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$14,583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$17,470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$17,473</w:t>
            </w: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4.20%</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4.40%</w:t>
            </w: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line-of-credit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$91,942</w:t>
            </w:r>
          </w:p>
        </w:tc>
        <w:tc>
          <w:tcPr>
            <w:tcW w:w="100" w:type="dxa"/>
            <w:vAlign w:val="bottom"/>
          </w:tcPr>
          <w:p>
            <w:pPr>
              <w:spacing w:after="0"/>
              <w:rPr>
                <w:sz w:val="19"/>
                <w:szCs w:val="19"/>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$91,942</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$91,942</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Weighted average interest rate</w:t>
            </w:r>
            <w:r>
              <w:rPr>
                <w:rFonts w:ascii="Times New Roman" w:cs="Times New Roman" w:eastAsia="Times New Roman" w:hAnsi="Times New Roman"/>
                <w:sz w:val="23"/>
                <w:szCs w:val="23"/>
                <w:color w:val="auto"/>
                <w:vertAlign w:val="superscript"/>
              </w:rPr>
              <w:t>1</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S+2.25%</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S+2.25%</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S+2.25%</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S+2.25%</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S+2.25%</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S+2.25%</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S+2.25%</w:t>
            </w: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The effective interest rate on this line of credit is SOFR plus a margin of 2.25%. The all-in rate was 6.55% as of September 30, 2025, before patronage.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Interest Rate Sensitivity Financial Market Risks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Amount by Expected Maturity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 December 31,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percentage data)</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2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Fair Value</w:t>
            </w:r>
          </w:p>
        </w:tc>
        <w:tc>
          <w:tcPr>
            <w:tcW w:w="0" w:type="dxa"/>
            <w:vAlign w:val="bottom"/>
          </w:tcPr>
          <w:p>
            <w:pPr>
              <w:spacing w:after="0"/>
              <w:rPr>
                <w:sz w:val="1"/>
                <w:szCs w:val="1"/>
                <w:color w:val="auto"/>
              </w:rPr>
            </w:pPr>
          </w:p>
        </w:tc>
      </w:tr>
      <w:tr>
        <w:trPr>
          <w:trHeight w:val="209"/>
        </w:trPr>
        <w:tc>
          <w:tcPr>
            <w:tcW w:w="2900" w:type="dxa"/>
            <w:vAlign w:val="bottom"/>
            <w:vMerge w:val="continue"/>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$12,701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$737</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$14,437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$14,441</w:t>
            </w: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4.64%</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4.06%</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4.36%</w:t>
            </w:r>
          </w:p>
        </w:tc>
        <w:tc>
          <w:tcPr>
            <w:tcW w:w="12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line-of-credit</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$66,942</w:t>
            </w:r>
          </w:p>
        </w:tc>
        <w:tc>
          <w:tcPr>
            <w:tcW w:w="120" w:type="dxa"/>
            <w:vAlign w:val="bottom"/>
          </w:tcPr>
          <w:p>
            <w:pPr>
              <w:spacing w:after="0"/>
              <w:rPr>
                <w:sz w:val="19"/>
                <w:szCs w:val="19"/>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$66,942</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$66,942</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Weighted average interest rate</w:t>
            </w:r>
            <w:r>
              <w:rPr>
                <w:rFonts w:ascii="Times New Roman" w:cs="Times New Roman" w:eastAsia="Times New Roman" w:hAnsi="Times New Roman"/>
                <w:sz w:val="23"/>
                <w:szCs w:val="23"/>
                <w:color w:val="auto"/>
                <w:vertAlign w:val="superscript"/>
              </w:rPr>
              <w:t>1</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S+2.25%</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S+2.25%</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S+2.25%</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S+2.25%</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S+2.25%</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S+2.25%</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S+2.25%</w:t>
            </w: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The effective interest rate on this line of credit is SOFR plus a margin of 2.25%. The all-in rate was 6.85% as of December 31, 2024, before patronage.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Commodity Price Exposure</w:t>
      </w:r>
    </w:p>
    <w:p>
      <w:pPr>
        <w:spacing w:after="0" w:line="9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Farming inventories and accounts receivable are exposed to adverse price fluctuations. Farming inventories consist of farming, cultural, and processing costs associated with crop production. Farming inventory costs are recorded as incurred. Historically, these costs have been recovered through crop sales occurring after harvest.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there were no receivables that were subject to commodity price fluctuations given there was no pistachio yield in 2024.</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4. CONTROLS AND PROCEDURES</w:t>
      </w:r>
    </w:p>
    <w:p>
      <w:pPr>
        <w:spacing w:after="0" w:line="121" w:lineRule="exact"/>
        <w:rPr>
          <w:sz w:val="20"/>
          <w:szCs w:val="20"/>
          <w:color w:val="auto"/>
        </w:rPr>
      </w:pPr>
    </w:p>
    <w:p>
      <w:pPr>
        <w:ind w:left="580" w:hanging="572"/>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the end of the period covered by this report, management conducted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to be disclosed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 required by the rules and regulations of the SEC.</w:t>
      </w:r>
    </w:p>
    <w:p>
      <w:pPr>
        <w:spacing w:after="0" w:line="81" w:lineRule="exact"/>
        <w:rPr>
          <w:sz w:val="20"/>
          <w:szCs w:val="20"/>
          <w:color w:val="auto"/>
        </w:rPr>
      </w:pPr>
    </w:p>
    <w:p>
      <w:pPr>
        <w:ind w:left="560" w:hanging="552"/>
        <w:spacing w:after="0"/>
        <w:tabs>
          <w:tab w:leader="none" w:pos="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17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required by paragraph (d) of Rule 13a-15 or Rule 15d-15 under the Exchange Act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6EBF"/>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1. Legal Proceedings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11 (Commitments and Contingencies) in the Notes to Unaudited Consolidated Financial Statements in this report.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1A. Risk Factors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in our most recent Annual Report on Form 10-K.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2. Unregistered Sales of Equity Securities and Use of Proceeds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3. 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4. Mine Safety Disclosures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5. Other Information</w:t>
      </w:r>
    </w:p>
    <w:p>
      <w:pPr>
        <w:spacing w:after="0" w:line="31" w:lineRule="exact"/>
        <w:rPr>
          <w:sz w:val="20"/>
          <w:szCs w:val="20"/>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8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00" w:type="dxa"/>
            <w:vAlign w:val="bottom"/>
            <w:tcBorders>
              <w:bottom w:val="single" w:sz="8" w:color="006EBF"/>
            </w:tcBorders>
            <w:gridSpan w:val="3"/>
          </w:tcPr>
          <w:p>
            <w:pPr>
              <w:spacing w:after="0"/>
              <w:rPr>
                <w:sz w:val="20"/>
                <w:szCs w:val="20"/>
                <w:color w:val="auto"/>
              </w:rPr>
            </w:pPr>
            <w:r>
              <w:rPr>
                <w:rFonts w:ascii="Times New Roman" w:cs="Times New Roman" w:eastAsia="Times New Roman" w:hAnsi="Times New Roman"/>
                <w:sz w:val="18"/>
                <w:szCs w:val="18"/>
                <w:b w:val="1"/>
                <w:bCs w:val="1"/>
                <w:color w:val="006EBF"/>
                <w:w w:val="99"/>
              </w:rPr>
              <w:t>Item 6. Exhibits:</w:t>
            </w:r>
          </w:p>
        </w:tc>
        <w:tc>
          <w:tcPr>
            <w:tcW w:w="86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5"/>
        </w:trPr>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8840" w:type="dxa"/>
            <w:vAlign w:val="bottom"/>
            <w:gridSpan w:val="3"/>
          </w:tcPr>
          <w:p>
            <w:pPr>
              <w:ind w:left="140"/>
              <w:spacing w:after="0"/>
              <w:rPr>
                <w:rFonts w:ascii="Times New Roman" w:cs="Times New Roman" w:eastAsia="Times New Roman" w:hAnsi="Times New Roman"/>
                <w:sz w:val="18"/>
                <w:szCs w:val="18"/>
                <w:color w:val="auto"/>
              </w:rPr>
            </w:pPr>
            <w:hyperlink r:id="rId82">
              <w:r>
                <w:rPr>
                  <w:rFonts w:ascii="Times New Roman" w:cs="Times New Roman" w:eastAsia="Times New Roman" w:hAnsi="Times New Roman"/>
                  <w:sz w:val="18"/>
                  <w:szCs w:val="18"/>
                  <w:color w:val="auto"/>
                </w:rPr>
                <w:t>Restated Certificate of Incorporation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w:t>
            </w:r>
          </w:p>
        </w:tc>
      </w:tr>
      <w:tr>
        <w:trPr>
          <w:trHeight w:val="229"/>
        </w:trPr>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8840" w:type="dxa"/>
            <w:vAlign w:val="bottom"/>
            <w:gridSpan w:val="3"/>
          </w:tcPr>
          <w:p>
            <w:pPr>
              <w:ind w:left="140"/>
              <w:spacing w:after="0"/>
              <w:rPr>
                <w:rFonts w:ascii="Times New Roman" w:cs="Times New Roman" w:eastAsia="Times New Roman" w:hAnsi="Times New Roman"/>
                <w:sz w:val="18"/>
                <w:szCs w:val="18"/>
                <w:color w:val="auto"/>
              </w:rPr>
            </w:pPr>
            <w:hyperlink r:id="rId83">
              <w:r>
                <w:rPr>
                  <w:rFonts w:ascii="Times New Roman" w:cs="Times New Roman" w:eastAsia="Times New Roman" w:hAnsi="Times New Roman"/>
                  <w:sz w:val="18"/>
                  <w:szCs w:val="18"/>
                  <w:color w:val="auto"/>
                </w:rPr>
                <w:t>Amended and Restated Bylaws</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w:t>
            </w:r>
          </w:p>
        </w:tc>
      </w:tr>
      <w:tr>
        <w:trPr>
          <w:trHeight w:val="230"/>
        </w:trPr>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8840" w:type="dxa"/>
            <w:vAlign w:val="bottom"/>
            <w:gridSpan w:val="3"/>
          </w:tcPr>
          <w:p>
            <w:pPr>
              <w:ind w:left="140"/>
              <w:spacing w:after="0"/>
              <w:rPr>
                <w:rFonts w:ascii="Times New Roman" w:cs="Times New Roman" w:eastAsia="Times New Roman" w:hAnsi="Times New Roman"/>
                <w:sz w:val="18"/>
                <w:szCs w:val="18"/>
                <w:color w:val="auto"/>
              </w:rPr>
            </w:pPr>
            <w:hyperlink r:id="rId84">
              <w:r>
                <w:rPr>
                  <w:rFonts w:ascii="Times New Roman" w:cs="Times New Roman" w:eastAsia="Times New Roman" w:hAnsi="Times New Roman"/>
                  <w:sz w:val="18"/>
                  <w:szCs w:val="18"/>
                  <w:color w:val="auto"/>
                </w:rPr>
                <w:t>Registration and Reimbursement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5</w:t>
            </w:r>
          </w:p>
        </w:tc>
      </w:tr>
      <w:tr>
        <w:trPr>
          <w:trHeight w:val="230"/>
        </w:trPr>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8840" w:type="dxa"/>
            <w:vAlign w:val="bottom"/>
            <w:gridSpan w:val="3"/>
          </w:tcPr>
          <w:p>
            <w:pPr>
              <w:ind w:left="140"/>
              <w:spacing w:after="0"/>
              <w:rPr>
                <w:rFonts w:ascii="Times New Roman" w:cs="Times New Roman" w:eastAsia="Times New Roman" w:hAnsi="Times New Roman"/>
                <w:sz w:val="18"/>
                <w:szCs w:val="18"/>
                <w:color w:val="auto"/>
              </w:rPr>
            </w:pPr>
            <w:hyperlink r:id="rId85">
              <w:r>
                <w:rPr>
                  <w:rFonts w:ascii="Times New Roman" w:cs="Times New Roman" w:eastAsia="Times New Roman" w:hAnsi="Times New Roman"/>
                  <w:sz w:val="18"/>
                  <w:szCs w:val="18"/>
                  <w:color w:val="auto"/>
                </w:rPr>
                <w:t>Form of Indenture for Debt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37</w:t>
            </w: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7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Water Service Contract with Wheeler Ridge-Maricopa Water Storage District (without exhibits), amendments</w:t>
            </w:r>
          </w:p>
        </w:tc>
        <w:tc>
          <w:tcPr>
            <w:tcW w:w="1280" w:type="dxa"/>
            <w:vAlign w:val="bottom"/>
          </w:tcPr>
          <w:p>
            <w:pPr>
              <w:spacing w:after="0"/>
              <w:rPr>
                <w:sz w:val="16"/>
                <w:szCs w:val="16"/>
                <w:color w:val="auto"/>
              </w:rPr>
            </w:pPr>
          </w:p>
        </w:tc>
      </w:tr>
      <w:tr>
        <w:trPr>
          <w:trHeight w:val="230"/>
        </w:trPr>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8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originally filed under Item 11 to Registrant's Annual Report on Form 10-K</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6</w:t>
            </w:r>
          </w:p>
        </w:tc>
      </w:tr>
      <w:tr>
        <w:trPr>
          <w:trHeight w:val="230"/>
        </w:trPr>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9"/>
                <w:szCs w:val="19"/>
                <w:color w:val="auto"/>
              </w:rPr>
            </w:pP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86">
              <w:r>
                <w:rPr>
                  <w:rFonts w:ascii="Times New Roman" w:cs="Times New Roman" w:eastAsia="Times New Roman" w:hAnsi="Times New Roman"/>
                  <w:sz w:val="18"/>
                  <w:szCs w:val="18"/>
                  <w:color w:val="auto"/>
                </w:rPr>
                <w:t>*Severance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29"/>
        </w:trPr>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9"/>
                <w:szCs w:val="19"/>
                <w:color w:val="auto"/>
              </w:rPr>
            </w:pP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86">
              <w:r>
                <w:rPr>
                  <w:rFonts w:ascii="Times New Roman" w:cs="Times New Roman" w:eastAsia="Times New Roman" w:hAnsi="Times New Roman"/>
                  <w:sz w:val="18"/>
                  <w:szCs w:val="18"/>
                  <w:color w:val="auto"/>
                </w:rPr>
                <w:t>*Director Compensation Plan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34"/>
        </w:trPr>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10.9</w:t>
            </w:r>
          </w:p>
        </w:tc>
        <w:tc>
          <w:tcPr>
            <w:tcW w:w="8840" w:type="dxa"/>
            <w:vAlign w:val="bottom"/>
            <w:gridSpan w:val="3"/>
          </w:tcPr>
          <w:p>
            <w:pPr>
              <w:ind w:left="140"/>
              <w:spacing w:after="0"/>
              <w:rPr>
                <w:rFonts w:ascii="Times New Roman" w:cs="Times New Roman" w:eastAsia="Times New Roman" w:hAnsi="Times New Roman"/>
                <w:sz w:val="18"/>
                <w:szCs w:val="18"/>
                <w:color w:val="auto"/>
              </w:rPr>
            </w:pPr>
            <w:hyperlink r:id="rId87">
              <w:r>
                <w:rPr>
                  <w:rFonts w:ascii="Times New Roman" w:cs="Times New Roman" w:eastAsia="Times New Roman" w:hAnsi="Times New Roman"/>
                  <w:sz w:val="18"/>
                  <w:szCs w:val="18"/>
                  <w:color w:val="auto"/>
                </w:rPr>
                <w:t>*Amended and Restated Non-Employee Director Stock Incentive Plan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8</w:t>
            </w:r>
          </w:p>
        </w:tc>
      </w:tr>
      <w:tr>
        <w:trPr>
          <w:trHeight w:val="346"/>
        </w:trPr>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86">
              <w:r>
                <w:rPr>
                  <w:rFonts w:ascii="Times New Roman" w:cs="Times New Roman" w:eastAsia="Times New Roman" w:hAnsi="Times New Roman"/>
                  <w:sz w:val="18"/>
                  <w:szCs w:val="18"/>
                  <w:color w:val="auto"/>
                </w:rPr>
                <w:t>*Stock Option Agreement Pursuant to the Non-Employee Director Stock Incentive Plan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29"/>
        </w:trPr>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10.10</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88">
              <w:r>
                <w:rPr>
                  <w:rFonts w:ascii="Times New Roman" w:cs="Times New Roman" w:eastAsia="Times New Roman" w:hAnsi="Times New Roman"/>
                  <w:sz w:val="18"/>
                  <w:szCs w:val="18"/>
                  <w:color w:val="auto"/>
                </w:rPr>
                <w:t>*Amended and Restated 1998 Stock Incentive Plan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9</w:t>
            </w:r>
          </w:p>
        </w:tc>
      </w:tr>
      <w:tr>
        <w:trPr>
          <w:trHeight w:val="230"/>
        </w:trPr>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86">
              <w:r>
                <w:rPr>
                  <w:rFonts w:ascii="Times New Roman" w:cs="Times New Roman" w:eastAsia="Times New Roman" w:hAnsi="Times New Roman"/>
                  <w:sz w:val="18"/>
                  <w:szCs w:val="18"/>
                  <w:color w:val="auto"/>
                </w:rPr>
                <w:t>*Stock Option Agreement Pursuant to the 1998 Stock Incentive Plan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30"/>
        </w:trPr>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10.12</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89">
              <w:r>
                <w:rPr>
                  <w:rFonts w:ascii="Times New Roman" w:cs="Times New Roman" w:eastAsia="Times New Roman" w:hAnsi="Times New Roman"/>
                  <w:sz w:val="18"/>
                  <w:szCs w:val="18"/>
                  <w:color w:val="auto"/>
                </w:rPr>
                <w:t>Ground Lease with Pastoria Energy Facility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10</w:t>
            </w:r>
          </w:p>
        </w:tc>
      </w:tr>
      <w:tr>
        <w:trPr>
          <w:trHeight w:val="230"/>
        </w:trPr>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10.15</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90">
              <w:r>
                <w:rPr>
                  <w:rFonts w:ascii="Times New Roman" w:cs="Times New Roman" w:eastAsia="Times New Roman" w:hAnsi="Times New Roman"/>
                  <w:sz w:val="18"/>
                  <w:szCs w:val="18"/>
                  <w:color w:val="auto"/>
                </w:rPr>
                <w:t>Form of Securities Purchase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11</w:t>
            </w:r>
          </w:p>
        </w:tc>
      </w:tr>
      <w:tr>
        <w:trPr>
          <w:trHeight w:val="229"/>
        </w:trPr>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10.16</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91">
              <w:r>
                <w:rPr>
                  <w:rFonts w:ascii="Times New Roman" w:cs="Times New Roman" w:eastAsia="Times New Roman" w:hAnsi="Times New Roman"/>
                  <w:sz w:val="18"/>
                  <w:szCs w:val="18"/>
                  <w:color w:val="auto"/>
                </w:rPr>
                <w:t>Form of Registration Rights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12</w:t>
            </w:r>
          </w:p>
        </w:tc>
      </w:tr>
      <w:tr>
        <w:trPr>
          <w:trHeight w:val="230"/>
        </w:trPr>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10.17</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92">
              <w:r>
                <w:rPr>
                  <w:rFonts w:ascii="Times New Roman" w:cs="Times New Roman" w:eastAsia="Times New Roman" w:hAnsi="Times New Roman"/>
                  <w:sz w:val="18"/>
                  <w:szCs w:val="18"/>
                  <w:color w:val="auto"/>
                </w:rPr>
                <w:t>*2004 Stock Incentive Program</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13</w:t>
            </w:r>
          </w:p>
        </w:tc>
      </w:tr>
      <w:tr>
        <w:trPr>
          <w:trHeight w:val="230"/>
        </w:trPr>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10.18</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93">
              <w:r>
                <w:rPr>
                  <w:rFonts w:ascii="Times New Roman" w:cs="Times New Roman" w:eastAsia="Times New Roman" w:hAnsi="Times New Roman"/>
                  <w:sz w:val="18"/>
                  <w:szCs w:val="18"/>
                  <w:color w:val="auto"/>
                </w:rPr>
                <w:t>*Form of Restricted Stock Agreement for Directors</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13</w:t>
            </w:r>
          </w:p>
        </w:tc>
      </w:tr>
      <w:tr>
        <w:trPr>
          <w:trHeight w:val="230"/>
        </w:trPr>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10.19</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94">
              <w:r>
                <w:rPr>
                  <w:rFonts w:ascii="Times New Roman" w:cs="Times New Roman" w:eastAsia="Times New Roman" w:hAnsi="Times New Roman"/>
                  <w:sz w:val="18"/>
                  <w:szCs w:val="18"/>
                  <w:color w:val="auto"/>
                </w:rPr>
                <w:t>*Form of Restricted Stock Unit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13</w:t>
            </w:r>
          </w:p>
        </w:tc>
      </w:tr>
      <w:tr>
        <w:trPr>
          <w:trHeight w:val="229"/>
        </w:trPr>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10.23</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Limited Liability Company Agreement of Tejon Mountain Village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14</w:t>
            </w:r>
          </w:p>
        </w:tc>
      </w:tr>
      <w:tr>
        <w:trPr>
          <w:trHeight w:val="230"/>
        </w:trPr>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10.24</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96">
              <w:r>
                <w:rPr>
                  <w:rFonts w:ascii="Times New Roman" w:cs="Times New Roman" w:eastAsia="Times New Roman" w:hAnsi="Times New Roman"/>
                  <w:sz w:val="18"/>
                  <w:szCs w:val="18"/>
                  <w:color w:val="auto"/>
                </w:rPr>
                <w:t>Tejon Ranch Conservation and Land Use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15</w:t>
            </w:r>
          </w:p>
        </w:tc>
      </w:tr>
      <w:tr>
        <w:trPr>
          <w:trHeight w:val="230"/>
        </w:trPr>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97">
              <w:r>
                <w:rPr>
                  <w:rFonts w:ascii="Times New Roman" w:cs="Times New Roman" w:eastAsia="Times New Roman" w:hAnsi="Times New Roman"/>
                  <w:sz w:val="18"/>
                  <w:szCs w:val="18"/>
                  <w:color w:val="auto"/>
                </w:rPr>
                <w:t>Second Amended and Restated Limited Liability Agreement of Centennial Founders,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16</w:t>
            </w:r>
          </w:p>
        </w:tc>
      </w:tr>
      <w:tr>
        <w:trPr>
          <w:trHeight w:val="230"/>
        </w:trPr>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10.26</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98">
              <w:r>
                <w:rPr>
                  <w:rFonts w:ascii="Times New Roman" w:cs="Times New Roman" w:eastAsia="Times New Roman" w:hAnsi="Times New Roman"/>
                  <w:sz w:val="18"/>
                  <w:szCs w:val="18"/>
                  <w:color w:val="auto"/>
                </w:rPr>
                <w:t>*Executive Employment Agreement - Allen E. Lyda</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17</w:t>
            </w:r>
          </w:p>
        </w:tc>
      </w:tr>
      <w:tr>
        <w:trPr>
          <w:trHeight w:val="229"/>
        </w:trPr>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10.27</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99">
              <w:r>
                <w:rPr>
                  <w:rFonts w:ascii="Times New Roman" w:cs="Times New Roman" w:eastAsia="Times New Roman" w:hAnsi="Times New Roman"/>
                  <w:sz w:val="18"/>
                  <w:szCs w:val="18"/>
                  <w:color w:val="auto"/>
                </w:rPr>
                <w:t>Limited Liability Company Agreement of TRCC/Rock Outlet Center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18</w:t>
            </w:r>
          </w:p>
        </w:tc>
      </w:tr>
      <w:tr>
        <w:trPr>
          <w:trHeight w:val="230"/>
        </w:trPr>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10.28</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100">
              <w:r>
                <w:rPr>
                  <w:rFonts w:ascii="Times New Roman" w:cs="Times New Roman" w:eastAsia="Times New Roman" w:hAnsi="Times New Roman"/>
                  <w:sz w:val="18"/>
                  <w:szCs w:val="18"/>
                  <w:color w:val="auto"/>
                </w:rPr>
                <w:t>Warrant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19</w:t>
            </w:r>
          </w:p>
        </w:tc>
      </w:tr>
      <w:tr>
        <w:trPr>
          <w:trHeight w:val="234"/>
        </w:trPr>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10.29</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101">
              <w:r>
                <w:rPr>
                  <w:rFonts w:ascii="Times New Roman" w:cs="Times New Roman" w:eastAsia="Times New Roman" w:hAnsi="Times New Roman"/>
                  <w:sz w:val="18"/>
                  <w:szCs w:val="18"/>
                  <w:color w:val="auto"/>
                </w:rPr>
                <w:t>Amendments to Limited Liability Company Agreement of Tejon Mountain Village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20</w:t>
            </w:r>
          </w:p>
        </w:tc>
      </w:tr>
      <w:tr>
        <w:trPr>
          <w:trHeight w:val="86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8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52</w:t>
            </w:r>
          </w:p>
        </w:tc>
        <w:tc>
          <w:tcPr>
            <w:tcW w:w="12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2" w:name="page53"/>
    <w:bookmarkEnd w:id="52"/>
    <w:p>
      <w:pPr>
        <w:ind w:left="640"/>
        <w:spacing w:after="0"/>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10.30</w:t>
        <w:tab/>
      </w:r>
      <w:hyperlink r:id="rId104">
        <w:r>
          <w:rPr>
            <w:rFonts w:ascii="Times New Roman" w:cs="Times New Roman" w:eastAsia="Times New Roman" w:hAnsi="Times New Roman"/>
            <w:sz w:val="18"/>
            <w:szCs w:val="18"/>
            <w:color w:val="auto"/>
          </w:rPr>
          <w:t>Membership Interest Purchase Agreement - Tejon Mountain Village LLC</w:t>
        </w:r>
      </w:hyperlink>
    </w:p>
    <w:p>
      <w:pPr>
        <w:spacing w:after="0" w:line="27" w:lineRule="exact"/>
        <w:rPr>
          <w:sz w:val="20"/>
          <w:szCs w:val="20"/>
          <w:color w:val="auto"/>
        </w:rPr>
      </w:pPr>
    </w:p>
    <w:p>
      <w:pPr>
        <w:ind w:left="640"/>
        <w:spacing w:after="0"/>
        <w:tabs>
          <w:tab w:leader="none" w:pos="12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10.34</w:t>
      </w:r>
      <w:r>
        <w:rPr>
          <w:sz w:val="20"/>
          <w:szCs w:val="20"/>
          <w:color w:val="auto"/>
        </w:rPr>
        <w:tab/>
      </w:r>
      <w:hyperlink r:id="rId105">
        <w:r>
          <w:rPr>
            <w:rFonts w:ascii="Times New Roman" w:cs="Times New Roman" w:eastAsia="Times New Roman" w:hAnsi="Times New Roman"/>
            <w:sz w:val="17"/>
            <w:szCs w:val="17"/>
            <w:color w:val="auto"/>
          </w:rPr>
          <w:t>Amendments to Lease Agreement with Pastoria Energy Facility L.L.C.</w:t>
        </w:r>
      </w:hyperlink>
    </w:p>
    <w:p>
      <w:pPr>
        <w:spacing w:after="0" w:line="23" w:lineRule="exact"/>
        <w:rPr>
          <w:sz w:val="20"/>
          <w:szCs w:val="20"/>
          <w:color w:val="auto"/>
        </w:rPr>
      </w:pPr>
    </w:p>
    <w:p>
      <w:pPr>
        <w:ind w:left="640"/>
        <w:spacing w:after="0"/>
        <w:tabs>
          <w:tab w:leader="none" w:pos="12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10.35</w:t>
      </w:r>
      <w:r>
        <w:rPr>
          <w:sz w:val="20"/>
          <w:szCs w:val="20"/>
          <w:color w:val="auto"/>
        </w:rPr>
        <w:tab/>
      </w:r>
      <w:hyperlink r:id="rId106">
        <w:r>
          <w:rPr>
            <w:rFonts w:ascii="Times New Roman" w:cs="Times New Roman" w:eastAsia="Times New Roman" w:hAnsi="Times New Roman"/>
            <w:sz w:val="17"/>
            <w:szCs w:val="17"/>
            <w:color w:val="auto"/>
          </w:rPr>
          <w:t>Water Supply Agreement with Pastoria Energy Facility L.L.C.</w:t>
        </w:r>
      </w:hyperlink>
    </w:p>
    <w:p>
      <w:pPr>
        <w:spacing w:after="0" w:line="23" w:lineRule="exact"/>
        <w:rPr>
          <w:sz w:val="20"/>
          <w:szCs w:val="20"/>
          <w:color w:val="auto"/>
        </w:rPr>
      </w:pPr>
    </w:p>
    <w:p>
      <w:pPr>
        <w:ind w:left="640"/>
        <w:spacing w:after="0"/>
        <w:tabs>
          <w:tab w:leader="none" w:pos="12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10.37</w:t>
      </w:r>
      <w:r>
        <w:rPr>
          <w:sz w:val="20"/>
          <w:szCs w:val="20"/>
          <w:color w:val="auto"/>
        </w:rPr>
        <w:tab/>
      </w:r>
      <w:hyperlink r:id="rId107">
        <w:r>
          <w:rPr>
            <w:rFonts w:ascii="Times New Roman" w:cs="Times New Roman" w:eastAsia="Times New Roman" w:hAnsi="Times New Roman"/>
            <w:sz w:val="17"/>
            <w:szCs w:val="17"/>
            <w:color w:val="auto"/>
          </w:rPr>
          <w:t>Limited Liability Company Agreement of TRC-MRC 2, LLC</w:t>
        </w:r>
      </w:hyperlink>
    </w:p>
    <w:p>
      <w:pPr>
        <w:spacing w:after="0" w:line="23" w:lineRule="exact"/>
        <w:rPr>
          <w:sz w:val="20"/>
          <w:szCs w:val="20"/>
          <w:color w:val="auto"/>
        </w:rPr>
      </w:pPr>
    </w:p>
    <w:p>
      <w:pPr>
        <w:ind w:left="640"/>
        <w:spacing w:after="0"/>
        <w:tabs>
          <w:tab w:leader="none" w:pos="12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10.38</w:t>
      </w:r>
      <w:r>
        <w:rPr>
          <w:sz w:val="20"/>
          <w:szCs w:val="20"/>
          <w:color w:val="auto"/>
        </w:rPr>
        <w:tab/>
      </w:r>
      <w:hyperlink r:id="rId108">
        <w:r>
          <w:rPr>
            <w:rFonts w:ascii="Times New Roman" w:cs="Times New Roman" w:eastAsia="Times New Roman" w:hAnsi="Times New Roman"/>
            <w:sz w:val="17"/>
            <w:szCs w:val="17"/>
            <w:color w:val="auto"/>
          </w:rPr>
          <w:t>Limited Liability Company Agreement of TRC-MRC 1, LLC</w:t>
        </w:r>
      </w:hyperlink>
    </w:p>
    <w:p>
      <w:pPr>
        <w:spacing w:after="0" w:line="23" w:lineRule="exact"/>
        <w:rPr>
          <w:sz w:val="20"/>
          <w:szCs w:val="20"/>
          <w:color w:val="auto"/>
        </w:rPr>
      </w:pPr>
    </w:p>
    <w:p>
      <w:pPr>
        <w:ind w:left="640"/>
        <w:spacing w:after="0"/>
        <w:tabs>
          <w:tab w:leader="none" w:pos="12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10.39</w:t>
      </w:r>
      <w:r>
        <w:rPr>
          <w:sz w:val="20"/>
          <w:szCs w:val="20"/>
          <w:color w:val="auto"/>
        </w:rPr>
        <w:tab/>
      </w:r>
      <w:hyperlink r:id="rId109">
        <w:r>
          <w:rPr>
            <w:rFonts w:ascii="Times New Roman" w:cs="Times New Roman" w:eastAsia="Times New Roman" w:hAnsi="Times New Roman"/>
            <w:sz w:val="17"/>
            <w:szCs w:val="17"/>
            <w:color w:val="auto"/>
          </w:rPr>
          <w:t xml:space="preserve">Centennial Founders, LLC Redemption and Withdrawal Agreement </w:t>
        </w:r>
      </w:hyperlink>
      <w:r>
        <w:rPr>
          <w:rFonts w:ascii="Times New Roman" w:cs="Times New Roman" w:eastAsia="Times New Roman" w:hAnsi="Times New Roman"/>
          <w:sz w:val="17"/>
          <w:szCs w:val="17"/>
          <w:color w:val="auto"/>
        </w:rPr>
        <w:t>- Lewis Tejon Member</w:t>
      </w:r>
    </w:p>
    <w:p>
      <w:pPr>
        <w:spacing w:after="0" w:line="6" w:lineRule="exact"/>
        <w:rPr>
          <w:sz w:val="20"/>
          <w:szCs w:val="20"/>
          <w:color w:val="auto"/>
        </w:rPr>
      </w:pPr>
    </w:p>
    <w:p>
      <w:pPr>
        <w:ind w:left="640"/>
        <w:spacing w:after="0"/>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10.40</w:t>
        <w:tab/>
      </w:r>
      <w:hyperlink r:id="rId110">
        <w:r>
          <w:rPr>
            <w:rFonts w:ascii="Times New Roman" w:cs="Times New Roman" w:eastAsia="Times New Roman" w:hAnsi="Times New Roman"/>
            <w:sz w:val="18"/>
            <w:szCs w:val="18"/>
            <w:color w:val="auto"/>
          </w:rPr>
          <w:t>First Amendment to Second Amended and Restated Limited Liability Company Agreement of Centennial Founders,</w:t>
        </w:r>
      </w:hyperlink>
    </w:p>
    <w:p>
      <w:pPr>
        <w:ind w:left="1240"/>
        <w:spacing w:after="0"/>
        <w:rPr>
          <w:rFonts w:ascii="Times New Roman" w:cs="Times New Roman" w:eastAsia="Times New Roman" w:hAnsi="Times New Roman"/>
          <w:sz w:val="18"/>
          <w:szCs w:val="18"/>
          <w:color w:val="auto"/>
        </w:rPr>
      </w:pPr>
      <w:hyperlink r:id="rId110">
        <w:r>
          <w:rPr>
            <w:rFonts w:ascii="Times New Roman" w:cs="Times New Roman" w:eastAsia="Times New Roman" w:hAnsi="Times New Roman"/>
            <w:sz w:val="18"/>
            <w:szCs w:val="18"/>
            <w:color w:val="auto"/>
          </w:rPr>
          <w:t>LLC</w:t>
        </w:r>
      </w:hyperlink>
    </w:p>
    <w:p>
      <w:pPr>
        <w:spacing w:after="0" w:line="16" w:lineRule="exact"/>
        <w:rPr>
          <w:sz w:val="20"/>
          <w:szCs w:val="20"/>
          <w:color w:val="auto"/>
        </w:rPr>
      </w:pPr>
    </w:p>
    <w:p>
      <w:pPr>
        <w:ind w:left="1240" w:right="560" w:hanging="602"/>
        <w:spacing w:after="0" w:line="237" w:lineRule="auto"/>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10.41</w:t>
        <w:tab/>
      </w:r>
      <w:hyperlink r:id="rId111">
        <w:r>
          <w:rPr>
            <w:rFonts w:ascii="Times New Roman" w:cs="Times New Roman" w:eastAsia="Times New Roman" w:hAnsi="Times New Roman"/>
            <w:sz w:val="18"/>
            <w:szCs w:val="18"/>
            <w:color w:val="auto"/>
          </w:rPr>
          <w:t>Second Amendment to Second Amended and Restated Limited Liability Company Agreement of Centennial</w:t>
        </w:r>
      </w:hyperlink>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color w:val="auto"/>
          </w:rPr>
          <w:t>Founders, LLC</w:t>
        </w:r>
      </w:hyperlink>
    </w:p>
    <w:p>
      <w:pPr>
        <w:spacing w:after="0" w:line="10" w:lineRule="exact"/>
        <w:rPr>
          <w:sz w:val="20"/>
          <w:szCs w:val="20"/>
          <w:color w:val="auto"/>
        </w:rPr>
      </w:pPr>
    </w:p>
    <w:p>
      <w:pPr>
        <w:ind w:left="640"/>
        <w:spacing w:after="0"/>
        <w:tabs>
          <w:tab w:leader="none" w:pos="12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10.42</w:t>
      </w:r>
      <w:r>
        <w:rPr>
          <w:sz w:val="20"/>
          <w:szCs w:val="20"/>
          <w:color w:val="auto"/>
        </w:rPr>
        <w:tab/>
      </w:r>
      <w:hyperlink r:id="rId112">
        <w:r>
          <w:rPr>
            <w:rFonts w:ascii="Times New Roman" w:cs="Times New Roman" w:eastAsia="Times New Roman" w:hAnsi="Times New Roman"/>
            <w:sz w:val="17"/>
            <w:szCs w:val="17"/>
            <w:color w:val="auto"/>
          </w:rPr>
          <w:t>Limited Liability Company Agreement of TRC-MRC 3, LLC</w:t>
        </w:r>
      </w:hyperlink>
    </w:p>
    <w:p>
      <w:pPr>
        <w:spacing w:after="0" w:line="27" w:lineRule="exact"/>
        <w:rPr>
          <w:sz w:val="20"/>
          <w:szCs w:val="20"/>
          <w:color w:val="auto"/>
        </w:rPr>
      </w:pPr>
    </w:p>
    <w:p>
      <w:pPr>
        <w:ind w:left="1240" w:right="620" w:hanging="602"/>
        <w:spacing w:after="0" w:line="234" w:lineRule="auto"/>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10.43</w:t>
        <w:tab/>
      </w:r>
      <w:hyperlink r:id="rId113">
        <w:r>
          <w:rPr>
            <w:rFonts w:ascii="Times New Roman" w:cs="Times New Roman" w:eastAsia="Times New Roman" w:hAnsi="Times New Roman"/>
            <w:sz w:val="18"/>
            <w:szCs w:val="18"/>
            <w:color w:val="auto"/>
          </w:rPr>
          <w:t>Fourth Amendment to Second Amended and Restated Limited Liability Company Agreement of Centennial</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color w:val="auto"/>
          </w:rPr>
          <w:t>Founders, LLC</w:t>
        </w:r>
      </w:hyperlink>
    </w:p>
    <w:p>
      <w:pPr>
        <w:spacing w:after="0" w:line="10" w:lineRule="exact"/>
        <w:rPr>
          <w:sz w:val="20"/>
          <w:szCs w:val="20"/>
          <w:color w:val="auto"/>
        </w:rPr>
      </w:pPr>
    </w:p>
    <w:p>
      <w:pPr>
        <w:ind w:left="640"/>
        <w:spacing w:after="0"/>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10.44</w:t>
        <w:tab/>
      </w:r>
      <w:hyperlink r:id="rId114">
        <w:r>
          <w:rPr>
            <w:rFonts w:ascii="Times New Roman" w:cs="Times New Roman" w:eastAsia="Times New Roman" w:hAnsi="Times New Roman"/>
            <w:sz w:val="18"/>
            <w:szCs w:val="18"/>
            <w:color w:val="auto"/>
          </w:rPr>
          <w:t>Centennial Founders, LLC Redemption and Withdrawal Agreement - CalAtlantic</w:t>
        </w:r>
      </w:hyperlink>
    </w:p>
    <w:p>
      <w:pPr>
        <w:spacing w:after="0" w:line="27" w:lineRule="exact"/>
        <w:rPr>
          <w:sz w:val="20"/>
          <w:szCs w:val="20"/>
          <w:color w:val="auto"/>
        </w:rPr>
      </w:pPr>
    </w:p>
    <w:p>
      <w:pPr>
        <w:ind w:left="640"/>
        <w:spacing w:after="0"/>
        <w:tabs>
          <w:tab w:leader="none" w:pos="12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10.47</w:t>
      </w:r>
      <w:r>
        <w:rPr>
          <w:sz w:val="20"/>
          <w:szCs w:val="20"/>
          <w:color w:val="auto"/>
        </w:rPr>
        <w:tab/>
      </w:r>
      <w:hyperlink r:id="rId115">
        <w:r>
          <w:rPr>
            <w:rFonts w:ascii="Times New Roman" w:cs="Times New Roman" w:eastAsia="Times New Roman" w:hAnsi="Times New Roman"/>
            <w:sz w:val="17"/>
            <w:szCs w:val="17"/>
            <w:color w:val="auto"/>
          </w:rPr>
          <w:t>*Executive Severance Agreement - Executive Severance Agreement - Gregory S. Bielli</w:t>
        </w:r>
      </w:hyperlink>
    </w:p>
    <w:p>
      <w:pPr>
        <w:spacing w:after="0" w:line="23" w:lineRule="exact"/>
        <w:rPr>
          <w:sz w:val="20"/>
          <w:szCs w:val="20"/>
          <w:color w:val="auto"/>
        </w:rPr>
      </w:pPr>
    </w:p>
    <w:p>
      <w:pPr>
        <w:ind w:left="640"/>
        <w:spacing w:after="0"/>
        <w:tabs>
          <w:tab w:leader="none" w:pos="12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10.48</w:t>
      </w:r>
      <w:r>
        <w:rPr>
          <w:sz w:val="20"/>
          <w:szCs w:val="20"/>
          <w:color w:val="auto"/>
        </w:rPr>
        <w:tab/>
      </w:r>
      <w:hyperlink r:id="rId116">
        <w:r>
          <w:rPr>
            <w:rFonts w:ascii="Times New Roman" w:cs="Times New Roman" w:eastAsia="Times New Roman" w:hAnsi="Times New Roman"/>
            <w:sz w:val="17"/>
            <w:szCs w:val="17"/>
            <w:color w:val="auto"/>
          </w:rPr>
          <w:t>Limited Liability Company Agreement of TRC-MRC 4, LLC</w:t>
        </w:r>
      </w:hyperlink>
    </w:p>
    <w:p>
      <w:pPr>
        <w:spacing w:after="0" w:line="23" w:lineRule="exact"/>
        <w:rPr>
          <w:sz w:val="20"/>
          <w:szCs w:val="20"/>
          <w:color w:val="auto"/>
        </w:rPr>
      </w:pPr>
    </w:p>
    <w:p>
      <w:pPr>
        <w:ind w:left="640"/>
        <w:spacing w:after="0"/>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10.49</w:t>
        <w:tab/>
      </w:r>
      <w:hyperlink r:id="rId117">
        <w:r>
          <w:rPr>
            <w:rFonts w:ascii="Times New Roman" w:cs="Times New Roman" w:eastAsia="Times New Roman" w:hAnsi="Times New Roman"/>
            <w:sz w:val="18"/>
            <w:szCs w:val="18"/>
            <w:color w:val="auto"/>
          </w:rPr>
          <w:t>Settlement Agreement of CEQA litigation with Climate Resolve</w:t>
        </w:r>
      </w:hyperlink>
    </w:p>
    <w:p>
      <w:pPr>
        <w:spacing w:after="0" w:line="23" w:lineRule="exact"/>
        <w:rPr>
          <w:sz w:val="20"/>
          <w:szCs w:val="20"/>
          <w:color w:val="auto"/>
        </w:rPr>
      </w:pPr>
    </w:p>
    <w:p>
      <w:pPr>
        <w:ind w:left="640"/>
        <w:spacing w:after="0"/>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w:t>
        <w:tab/>
      </w:r>
      <w:hyperlink r:id="rId118">
        <w:r>
          <w:rPr>
            <w:rFonts w:ascii="Times New Roman" w:cs="Times New Roman" w:eastAsia="Times New Roman" w:hAnsi="Times New Roman"/>
            <w:sz w:val="18"/>
            <w:szCs w:val="18"/>
            <w:color w:val="auto"/>
          </w:rPr>
          <w:t>Limited Liability Company Agreement of TRC-MRC Multi I, LLC</w:t>
        </w:r>
      </w:hyperlink>
    </w:p>
    <w:p>
      <w:pPr>
        <w:spacing w:after="0" w:line="23" w:lineRule="exact"/>
        <w:rPr>
          <w:sz w:val="20"/>
          <w:szCs w:val="20"/>
          <w:color w:val="auto"/>
        </w:rPr>
      </w:pPr>
    </w:p>
    <w:p>
      <w:pPr>
        <w:ind w:left="640"/>
        <w:spacing w:after="0"/>
        <w:tabs>
          <w:tab w:leader="none" w:pos="12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10.51</w:t>
      </w:r>
      <w:r>
        <w:rPr>
          <w:sz w:val="20"/>
          <w:szCs w:val="20"/>
          <w:color w:val="auto"/>
        </w:rPr>
        <w:tab/>
      </w:r>
      <w:hyperlink r:id="rId119">
        <w:r>
          <w:rPr>
            <w:rFonts w:ascii="Times New Roman" w:cs="Times New Roman" w:eastAsia="Times New Roman" w:hAnsi="Times New Roman"/>
            <w:sz w:val="17"/>
            <w:szCs w:val="17"/>
            <w:color w:val="auto"/>
          </w:rPr>
          <w:t>Limited Liability Company Agreement of TRC-MRC 5, LLC</w:t>
        </w:r>
      </w:hyperlink>
    </w:p>
    <w:p>
      <w:pPr>
        <w:spacing w:after="0" w:line="23" w:lineRule="exact"/>
        <w:rPr>
          <w:sz w:val="20"/>
          <w:szCs w:val="20"/>
          <w:color w:val="auto"/>
        </w:rPr>
      </w:pPr>
    </w:p>
    <w:p>
      <w:pPr>
        <w:ind w:left="640"/>
        <w:spacing w:after="0"/>
        <w:tabs>
          <w:tab w:leader="none" w:pos="12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10.52</w:t>
      </w:r>
      <w:r>
        <w:rPr>
          <w:sz w:val="20"/>
          <w:szCs w:val="20"/>
          <w:color w:val="auto"/>
        </w:rPr>
        <w:tab/>
      </w:r>
      <w:hyperlink r:id="rId120">
        <w:r>
          <w:rPr>
            <w:rFonts w:ascii="Times New Roman" w:cs="Times New Roman" w:eastAsia="Times New Roman" w:hAnsi="Times New Roman"/>
            <w:sz w:val="17"/>
            <w:szCs w:val="17"/>
            <w:color w:val="auto"/>
          </w:rPr>
          <w:t>Credit Agreement Between Tejon Ranchcorp and Bank of America, N.A.</w:t>
        </w:r>
      </w:hyperlink>
    </w:p>
    <w:p>
      <w:pPr>
        <w:spacing w:after="0" w:line="23" w:lineRule="exact"/>
        <w:rPr>
          <w:sz w:val="20"/>
          <w:szCs w:val="20"/>
          <w:color w:val="auto"/>
        </w:rPr>
      </w:pPr>
    </w:p>
    <w:p>
      <w:pPr>
        <w:ind w:left="640"/>
        <w:spacing w:after="0"/>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10.53</w:t>
        <w:tab/>
      </w:r>
      <w:hyperlink r:id="rId121">
        <w:r>
          <w:rPr>
            <w:rFonts w:ascii="Times New Roman" w:cs="Times New Roman" w:eastAsia="Times New Roman" w:hAnsi="Times New Roman"/>
            <w:sz w:val="18"/>
            <w:szCs w:val="18"/>
            <w:color w:val="auto"/>
          </w:rPr>
          <w:t>Executive Officer Severance Agreement – Marc Hardy</w:t>
        </w:r>
      </w:hyperlink>
    </w:p>
    <w:p>
      <w:pPr>
        <w:spacing w:after="0" w:line="23" w:lineRule="exact"/>
        <w:rPr>
          <w:sz w:val="20"/>
          <w:szCs w:val="20"/>
          <w:color w:val="auto"/>
        </w:rPr>
      </w:pPr>
    </w:p>
    <w:p>
      <w:pPr>
        <w:ind w:left="640"/>
        <w:spacing w:after="0"/>
        <w:tabs>
          <w:tab w:leader="none" w:pos="12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10.54</w:t>
      </w:r>
      <w:r>
        <w:rPr>
          <w:sz w:val="20"/>
          <w:szCs w:val="20"/>
          <w:color w:val="auto"/>
        </w:rPr>
        <w:tab/>
      </w:r>
      <w:hyperlink r:id="rId122">
        <w:r>
          <w:rPr>
            <w:rFonts w:ascii="Times New Roman" w:cs="Times New Roman" w:eastAsia="Times New Roman" w:hAnsi="Times New Roman"/>
            <w:sz w:val="17"/>
            <w:szCs w:val="17"/>
            <w:color w:val="auto"/>
          </w:rPr>
          <w:t>Credit Agreement Between Tejon Ranchcorp and AgWest Farm Credit, PCA</w:t>
        </w:r>
      </w:hyperlink>
    </w:p>
    <w:p>
      <w:pPr>
        <w:spacing w:after="0" w:line="23" w:lineRule="exact"/>
        <w:rPr>
          <w:sz w:val="20"/>
          <w:szCs w:val="20"/>
          <w:color w:val="auto"/>
        </w:rPr>
      </w:pPr>
    </w:p>
    <w:p>
      <w:pPr>
        <w:ind w:left="640"/>
        <w:spacing w:after="0"/>
        <w:tabs>
          <w:tab w:leader="none" w:pos="12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10.55</w:t>
      </w:r>
      <w:r>
        <w:rPr>
          <w:sz w:val="20"/>
          <w:szCs w:val="20"/>
          <w:color w:val="auto"/>
        </w:rPr>
        <w:tab/>
      </w:r>
      <w:hyperlink r:id="rId123">
        <w:r>
          <w:rPr>
            <w:rFonts w:ascii="Times New Roman" w:cs="Times New Roman" w:eastAsia="Times New Roman" w:hAnsi="Times New Roman"/>
            <w:sz w:val="17"/>
            <w:szCs w:val="17"/>
            <w:color w:val="auto"/>
          </w:rPr>
          <w:t>Consulting Letter Agreement between Tejon Ranch Co. and Gregory S. Bielli</w:t>
        </w:r>
      </w:hyperlink>
    </w:p>
    <w:p>
      <w:pPr>
        <w:spacing w:after="0" w:line="23" w:lineRule="exact"/>
        <w:rPr>
          <w:sz w:val="20"/>
          <w:szCs w:val="20"/>
          <w:color w:val="auto"/>
        </w:rPr>
      </w:pPr>
    </w:p>
    <w:p>
      <w:pPr>
        <w:ind w:left="640"/>
        <w:spacing w:after="0"/>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10.56</w:t>
        <w:tab/>
      </w:r>
      <w:hyperlink r:id="rId124">
        <w:r>
          <w:rPr>
            <w:rFonts w:ascii="Times New Roman" w:cs="Times New Roman" w:eastAsia="Times New Roman" w:hAnsi="Times New Roman"/>
            <w:sz w:val="18"/>
            <w:szCs w:val="18"/>
            <w:color w:val="auto"/>
          </w:rPr>
          <w:t>Limited Liability Company Agreement of TRC-DP 1, LLC</w:t>
        </w:r>
      </w:hyperlink>
    </w:p>
    <w:p>
      <w:pPr>
        <w:spacing w:after="0" w:line="23" w:lineRule="exact"/>
        <w:rPr>
          <w:sz w:val="20"/>
          <w:szCs w:val="20"/>
          <w:color w:val="auto"/>
        </w:rPr>
      </w:pPr>
    </w:p>
    <w:p>
      <w:pPr>
        <w:ind w:left="1240" w:right="460" w:hanging="602"/>
        <w:spacing w:after="0" w:line="234" w:lineRule="auto"/>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10.57</w:t>
        <w:tab/>
      </w:r>
      <w:hyperlink r:id="rId125">
        <w:r>
          <w:rPr>
            <w:rFonts w:ascii="Times New Roman" w:cs="Times New Roman" w:eastAsia="Times New Roman" w:hAnsi="Times New Roman"/>
            <w:sz w:val="18"/>
            <w:szCs w:val="18"/>
            <w:color w:val="auto"/>
          </w:rPr>
          <w:t>*Compensatory Agreement approved by the Board on February 10, 2025, by and among Tejon Ranch Co. and</w:t>
        </w:r>
      </w:hyperlink>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color w:val="auto"/>
          </w:rPr>
          <w:t>Matthew H. Walker</w:t>
        </w:r>
      </w:hyperlink>
    </w:p>
    <w:p>
      <w:pPr>
        <w:spacing w:after="0" w:line="10" w:lineRule="exact"/>
        <w:rPr>
          <w:sz w:val="20"/>
          <w:szCs w:val="20"/>
          <w:color w:val="auto"/>
        </w:rPr>
      </w:pPr>
    </w:p>
    <w:p>
      <w:pPr>
        <w:ind w:left="1240" w:right="180" w:hanging="602"/>
        <w:spacing w:after="0" w:line="237" w:lineRule="auto"/>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10.58</w:t>
        <w:tab/>
      </w:r>
      <w:hyperlink r:id="rId126">
        <w:r>
          <w:rPr>
            <w:rFonts w:ascii="Times New Roman" w:cs="Times New Roman" w:eastAsia="Times New Roman" w:hAnsi="Times New Roman"/>
            <w:sz w:val="18"/>
            <w:szCs w:val="18"/>
            <w:color w:val="auto"/>
          </w:rPr>
          <w:t>First Amendment to CEO Compensation Terms (Sign On Incentive), approved by the Board on October 14, 2025,</w:t>
        </w:r>
      </w:hyperlink>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color w:val="auto"/>
          </w:rPr>
          <w:t>by and among Tejon Ranch Co. and Matthew H. Walker</w:t>
        </w:r>
      </w:hyperlink>
    </w:p>
    <w:p>
      <w:pPr>
        <w:ind w:left="640"/>
        <w:spacing w:after="0" w:line="237" w:lineRule="auto"/>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10.59</w:t>
        <w:tab/>
      </w:r>
      <w:hyperlink r:id="rId127">
        <w:r>
          <w:rPr>
            <w:rFonts w:ascii="Times New Roman" w:cs="Times New Roman" w:eastAsia="Times New Roman" w:hAnsi="Times New Roman"/>
            <w:sz w:val="18"/>
            <w:szCs w:val="18"/>
            <w:color w:val="auto"/>
          </w:rPr>
          <w:t>Support Agreement, by and between Tejon Ranch Co. and Nitor Capital Management, LLC, dated November 4,</w:t>
        </w:r>
      </w:hyperlink>
    </w:p>
    <w:p>
      <w:pPr>
        <w:spacing w:after="0" w:line="1" w:lineRule="exact"/>
        <w:rPr>
          <w:sz w:val="20"/>
          <w:szCs w:val="20"/>
          <w:color w:val="auto"/>
        </w:rPr>
      </w:pPr>
    </w:p>
    <w:p>
      <w:pPr>
        <w:ind w:left="1240"/>
        <w:spacing w:after="0"/>
        <w:rPr>
          <w:rFonts w:ascii="Times New Roman" w:cs="Times New Roman" w:eastAsia="Times New Roman" w:hAnsi="Times New Roman"/>
          <w:sz w:val="18"/>
          <w:szCs w:val="18"/>
          <w:color w:val="auto"/>
        </w:rPr>
      </w:pPr>
      <w:hyperlink r:id="rId127">
        <w:r>
          <w:rPr>
            <w:rFonts w:ascii="Times New Roman" w:cs="Times New Roman" w:eastAsia="Times New Roman" w:hAnsi="Times New Roman"/>
            <w:sz w:val="18"/>
            <w:szCs w:val="18"/>
            <w:color w:val="auto"/>
          </w:rPr>
          <w:t>2024</w:t>
        </w:r>
      </w:hyperlink>
    </w:p>
    <w:p>
      <w:pPr>
        <w:spacing w:after="0" w:line="16" w:lineRule="exact"/>
        <w:rPr>
          <w:sz w:val="20"/>
          <w:szCs w:val="20"/>
          <w:color w:val="auto"/>
        </w:rPr>
      </w:pPr>
    </w:p>
    <w:p>
      <w:pPr>
        <w:ind w:left="640"/>
        <w:spacing w:after="0"/>
        <w:tabs>
          <w:tab w:leader="none" w:pos="12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10.60</w:t>
      </w:r>
      <w:r>
        <w:rPr>
          <w:sz w:val="20"/>
          <w:szCs w:val="20"/>
          <w:color w:val="auto"/>
        </w:rPr>
        <w:tab/>
      </w:r>
      <w:hyperlink r:id="rId128">
        <w:r>
          <w:rPr>
            <w:rFonts w:ascii="Times New Roman" w:cs="Times New Roman" w:eastAsia="Times New Roman" w:hAnsi="Times New Roman"/>
            <w:sz w:val="17"/>
            <w:szCs w:val="17"/>
            <w:color w:val="auto"/>
          </w:rPr>
          <w:t>*Tejon Ranch Co. 2023 Stock Incentive Plan</w:t>
        </w:r>
      </w:hyperlink>
    </w:p>
    <w:p>
      <w:pPr>
        <w:spacing w:after="0" w:line="27" w:lineRule="exact"/>
        <w:rPr>
          <w:sz w:val="20"/>
          <w:szCs w:val="20"/>
          <w:color w:val="auto"/>
        </w:rPr>
      </w:pPr>
    </w:p>
    <w:p>
      <w:pPr>
        <w:ind w:left="640"/>
        <w:spacing w:after="0"/>
        <w:tabs>
          <w:tab w:leader="none" w:pos="12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10.61</w:t>
        <w:tab/>
      </w:r>
      <w:hyperlink r:id="rId129">
        <w:r>
          <w:rPr>
            <w:rFonts w:ascii="Times New Roman" w:cs="Times New Roman" w:eastAsia="Times New Roman" w:hAnsi="Times New Roman"/>
            <w:sz w:val="18"/>
            <w:szCs w:val="18"/>
            <w:color w:val="auto"/>
          </w:rPr>
          <w:t>*Form of Restricted Stock Unit Agreement</w:t>
        </w:r>
      </w:hyperlink>
    </w:p>
    <w:p>
      <w:pPr>
        <w:spacing w:after="0" w:line="23" w:lineRule="exact"/>
        <w:rPr>
          <w:sz w:val="20"/>
          <w:szCs w:val="20"/>
          <w:color w:val="auto"/>
        </w:rPr>
      </w:pPr>
    </w:p>
    <w:p>
      <w:pPr>
        <w:ind w:left="740"/>
        <w:spacing w:after="0"/>
        <w:tabs>
          <w:tab w:leader="none" w:pos="1220" w:val="left"/>
        </w:tabs>
        <w:rPr>
          <w:sz w:val="20"/>
          <w:szCs w:val="20"/>
          <w:color w:val="auto"/>
        </w:rPr>
      </w:pPr>
      <w:r>
        <w:rPr>
          <w:rFonts w:ascii="Times New Roman" w:cs="Times New Roman" w:eastAsia="Times New Roman" w:hAnsi="Times New Roman"/>
          <w:sz w:val="18"/>
          <w:szCs w:val="18"/>
          <w:color w:val="auto"/>
        </w:rPr>
        <w:t>31.1</w:t>
        <w:tab/>
        <w:t>Certification as adopted pursuant to Section 302 of the Sarbanes-Oxley Act of 2002</w:t>
      </w:r>
    </w:p>
    <w:p>
      <w:pPr>
        <w:spacing w:after="0" w:line="23" w:lineRule="exact"/>
        <w:rPr>
          <w:sz w:val="20"/>
          <w:szCs w:val="20"/>
          <w:color w:val="auto"/>
        </w:rPr>
      </w:pPr>
    </w:p>
    <w:p>
      <w:pPr>
        <w:ind w:left="740"/>
        <w:spacing w:after="0"/>
        <w:tabs>
          <w:tab w:leader="none" w:pos="1220" w:val="left"/>
        </w:tabs>
        <w:rPr>
          <w:sz w:val="20"/>
          <w:szCs w:val="20"/>
          <w:color w:val="auto"/>
        </w:rPr>
      </w:pPr>
      <w:r>
        <w:rPr>
          <w:rFonts w:ascii="Times New Roman" w:cs="Times New Roman" w:eastAsia="Times New Roman" w:hAnsi="Times New Roman"/>
          <w:sz w:val="18"/>
          <w:szCs w:val="18"/>
          <w:color w:val="auto"/>
        </w:rPr>
        <w:t>31.2</w:t>
        <w:tab/>
        <w:t>Certification as adopted pursuant to Section 302 of the Sarbanes-Oxley Act of 2002</w:t>
      </w:r>
    </w:p>
    <w:p>
      <w:pPr>
        <w:spacing w:after="0" w:line="23" w:lineRule="exact"/>
        <w:rPr>
          <w:sz w:val="20"/>
          <w:szCs w:val="20"/>
          <w:color w:val="auto"/>
        </w:rPr>
      </w:pPr>
    </w:p>
    <w:p>
      <w:pPr>
        <w:ind w:left="1240" w:hanging="370"/>
        <w:spacing w:after="0" w:line="234" w:lineRule="auto"/>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Pursuant to 18 U.S.C. Section 1350, as Adopted Pursuant to Section 906 of the Sarbanes-Oxley Act of 2002</w:t>
      </w:r>
    </w:p>
    <w:p>
      <w:pPr>
        <w:spacing w:after="0" w:line="10"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101.INS</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29"/>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101.SCH</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101.CAL</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101.DEF</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101.LAB</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 Document.</w:t>
            </w:r>
          </w:p>
        </w:tc>
      </w:tr>
    </w:tbl>
    <w:p>
      <w:pPr>
        <w:ind w:left="1040" w:right="1820" w:hanging="206"/>
        <w:spacing w:after="0" w:line="292" w:lineRule="auto"/>
        <w:tabs>
          <w:tab w:leader="none" w:pos="12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 Page Interactive Data File (formatted as Inline XBRL and contained in Exhibit 101).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Management contract, compensatory plan or arrangement.</w:t>
      </w:r>
    </w:p>
    <w:p>
      <w:pPr>
        <w:spacing w:after="0" w:line="30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FN 1</w:t>
      </w:r>
      <w:r>
        <w:rPr>
          <w:sz w:val="20"/>
          <w:szCs w:val="20"/>
          <w:color w:val="auto"/>
        </w:rPr>
        <w:tab/>
      </w:r>
      <w:r>
        <w:rPr>
          <w:rFonts w:ascii="Times New Roman" w:cs="Times New Roman" w:eastAsia="Times New Roman" w:hAnsi="Times New Roman"/>
          <w:sz w:val="17"/>
          <w:szCs w:val="17"/>
          <w:color w:val="auto"/>
        </w:rPr>
        <w:t>This document, filed with the Securities and Exchange Commission in Washington, D.C. (file number 1-</w:t>
      </w:r>
    </w:p>
    <w:p>
      <w:pPr>
        <w:ind w:left="1080" w:right="1440"/>
        <w:spacing w:after="0" w:line="226" w:lineRule="auto"/>
        <w:rPr>
          <w:sz w:val="20"/>
          <w:szCs w:val="20"/>
          <w:color w:val="auto"/>
        </w:rPr>
      </w:pPr>
      <w:r>
        <w:rPr>
          <w:rFonts w:ascii="Times New Roman" w:cs="Times New Roman" w:eastAsia="Times New Roman" w:hAnsi="Times New Roman"/>
          <w:sz w:val="18"/>
          <w:szCs w:val="18"/>
          <w:color w:val="auto"/>
        </w:rPr>
        <w:t>07183) as Exhibit 3.1 to our Quarterly Report on Form 10-Q for the period ended June 30, 2021, is incorporated herein by reference.</w:t>
      </w: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FN 2</w:t>
      </w:r>
      <w:r>
        <w:rPr>
          <w:sz w:val="20"/>
          <w:szCs w:val="20"/>
          <w:color w:val="auto"/>
        </w:rPr>
        <w:tab/>
      </w:r>
      <w:r>
        <w:rPr>
          <w:rFonts w:ascii="Times New Roman" w:cs="Times New Roman" w:eastAsia="Times New Roman" w:hAnsi="Times New Roman"/>
          <w:sz w:val="17"/>
          <w:szCs w:val="17"/>
          <w:color w:val="auto"/>
        </w:rPr>
        <w:t>This document, filed with the Securities and Exchange Commission in Washington, D.C. (file number 1-</w:t>
      </w:r>
    </w:p>
    <w:p>
      <w:pPr>
        <w:ind w:left="1080" w:right="1460"/>
        <w:spacing w:after="0" w:line="226" w:lineRule="auto"/>
        <w:rPr>
          <w:sz w:val="20"/>
          <w:szCs w:val="20"/>
          <w:color w:val="auto"/>
        </w:rPr>
      </w:pPr>
      <w:r>
        <w:rPr>
          <w:rFonts w:ascii="Times New Roman" w:cs="Times New Roman" w:eastAsia="Times New Roman" w:hAnsi="Times New Roman"/>
          <w:sz w:val="18"/>
          <w:szCs w:val="18"/>
          <w:color w:val="auto"/>
        </w:rPr>
        <w:t>07183) as Exhibit 3.1 to our Current Report on Form 8-K filed on March 24, 2023,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FN 21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23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24</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26</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27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28</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29</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30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31</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32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33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38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39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40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41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42</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43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44</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45</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46</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47</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48</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49</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50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FN 51</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FN 52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ectPr>
          <w:pgSz w:w="11900" w:h="16838" w:orient="portrait"/>
          <w:cols w:equalWidth="0" w:num="2">
            <w:col w:w="9640" w:space="520"/>
            <w:col w:w="1040"/>
          </w:cols>
          <w:pgMar w:left="340" w:top="931" w:right="3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FN 5</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4.1 to our Current Report on Form 8-K filed on December 20, 2005, is incorporated</w:t>
            </w:r>
          </w:p>
        </w:tc>
      </w:tr>
      <w:tr>
        <w:trPr>
          <w:trHeight w:val="229"/>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6</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under Item 14 to our Annual Report on Form 10-K for the year ended December 31, 1994, is</w:t>
            </w:r>
          </w:p>
        </w:tc>
      </w:tr>
      <w:tr>
        <w:trPr>
          <w:trHeight w:val="180"/>
        </w:trPr>
        <w:tc>
          <w:tcPr>
            <w:tcW w:w="780" w:type="dxa"/>
            <w:vAlign w:val="bottom"/>
          </w:tcPr>
          <w:p>
            <w:pPr>
              <w:spacing w:after="0"/>
              <w:rPr>
                <w:sz w:val="15"/>
                <w:szCs w:val="15"/>
                <w:color w:val="auto"/>
              </w:rPr>
            </w:pP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incorporated herein by reference. This Exhibit was not filed with the Securities and Exchange</w:t>
            </w:r>
          </w:p>
        </w:tc>
      </w:tr>
      <w:tr>
        <w:trPr>
          <w:trHeight w:val="225"/>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Commission in an electronic format.</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7</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under Item 14 to our Annual Report on Form 10-K for the year ended December 31, 1997, is</w:t>
            </w:r>
          </w:p>
        </w:tc>
      </w:tr>
      <w:tr>
        <w:trPr>
          <w:trHeight w:val="229"/>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8</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10.9 to our Annual Report on Form 10-K for the year ended December 31, 2008, is</w:t>
            </w:r>
          </w:p>
        </w:tc>
      </w:tr>
      <w:tr>
        <w:trPr>
          <w:trHeight w:val="229"/>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9</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10.10 to our Annual Report on Form 10-K for the year ended December 31, 2008, is</w:t>
            </w:r>
          </w:p>
        </w:tc>
      </w:tr>
      <w:tr>
        <w:trPr>
          <w:trHeight w:val="230"/>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10</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10.16 to our Annual Report on Form 10-K for the year ended December 31, 2001, is</w:t>
            </w:r>
          </w:p>
        </w:tc>
      </w:tr>
      <w:tr>
        <w:trPr>
          <w:trHeight w:val="230"/>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11</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4.1 to our Current Report on Form 8-K filed on May 7, 2004, is incorporated herein</w:t>
            </w:r>
          </w:p>
        </w:tc>
      </w:tr>
      <w:tr>
        <w:trPr>
          <w:trHeight w:val="229"/>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12</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4.2 to our Current Report on Form 8-K filed on May 7, 2004, is incorporated herein</w:t>
            </w:r>
          </w:p>
        </w:tc>
      </w:tr>
      <w:tr>
        <w:trPr>
          <w:trHeight w:val="229"/>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13</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Exhibits 10.21-10.23 to our Annual Report on Form 10-K for the year ended December 31,</w:t>
            </w:r>
          </w:p>
        </w:tc>
      </w:tr>
      <w:tr>
        <w:trPr>
          <w:trHeight w:val="230"/>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2004, is 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14</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10.24 to our Current Report on Form 8-K filed on May 24, 2006, is incorporated</w:t>
            </w:r>
          </w:p>
        </w:tc>
      </w:tr>
      <w:tr>
        <w:trPr>
          <w:trHeight w:val="230"/>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15</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10.28 to our Current Report on Form 8-K filed on June 23, 2008, is incorporated</w:t>
            </w:r>
          </w:p>
        </w:tc>
      </w:tr>
      <w:tr>
        <w:trPr>
          <w:trHeight w:val="230"/>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16</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10.25 to our Quarterly Report on Form 10-Q for the period ended June 30, 2009, is</w:t>
            </w:r>
          </w:p>
        </w:tc>
      </w:tr>
      <w:tr>
        <w:trPr>
          <w:trHeight w:val="230"/>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17</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w w:val="99"/>
              </w:rPr>
              <w:t>07183) as Exhibit 10.26 to our Quarterly Report on Form 10-Q for the period ended March 31, 2013, for</w:t>
            </w:r>
          </w:p>
        </w:tc>
      </w:tr>
      <w:tr>
        <w:trPr>
          <w:trHeight w:val="230"/>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period ended March 31, 2013, is 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18</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w w:val="99"/>
              </w:rPr>
              <w:t>07183) as Exhibit 10.27 to our Current Report on Form 8-K filed on June 4, 2013, is incorporated herein</w:t>
            </w:r>
          </w:p>
        </w:tc>
      </w:tr>
      <w:tr>
        <w:trPr>
          <w:trHeight w:val="230"/>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19</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10.1 to our Current Report on Form 8-K filed on August 8, 2013, is incorporated</w:t>
            </w:r>
          </w:p>
        </w:tc>
      </w:tr>
      <w:tr>
        <w:trPr>
          <w:trHeight w:val="229"/>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20</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10.29 to our Amended Annual Report on Form 10-K/A for the year ended December</w:t>
            </w:r>
          </w:p>
        </w:tc>
      </w:tr>
      <w:tr>
        <w:trPr>
          <w:trHeight w:val="230"/>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31, 2013, is 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21</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10.30 to our Current Report on Form 8-K filed on July 16, 2014, is incorporated</w:t>
            </w:r>
          </w:p>
        </w:tc>
      </w:tr>
      <w:tr>
        <w:trPr>
          <w:trHeight w:val="229"/>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23</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10.34 to our Annual Report on Form 10-K for the year ended December 31, 2014, is</w:t>
            </w:r>
          </w:p>
        </w:tc>
      </w:tr>
      <w:tr>
        <w:trPr>
          <w:trHeight w:val="230"/>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24</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10.35 to our Quarterly Report on Form 10-Q for the period ended June 30, 2015, is</w:t>
            </w:r>
          </w:p>
        </w:tc>
      </w:tr>
      <w:tr>
        <w:trPr>
          <w:trHeight w:val="230"/>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26</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204"/>
        </w:trPr>
        <w:tc>
          <w:tcPr>
            <w:tcW w:w="780" w:type="dxa"/>
            <w:vAlign w:val="bottom"/>
          </w:tcPr>
          <w:p>
            <w:pPr>
              <w:spacing w:after="0"/>
              <w:rPr>
                <w:sz w:val="17"/>
                <w:szCs w:val="17"/>
                <w:color w:val="auto"/>
              </w:rPr>
            </w:pPr>
          </w:p>
        </w:tc>
        <w:tc>
          <w:tcPr>
            <w:tcW w:w="7840" w:type="dxa"/>
            <w:vAlign w:val="bottom"/>
          </w:tcPr>
          <w:p>
            <w:pPr>
              <w:ind w:left="300"/>
              <w:spacing w:after="0" w:line="204" w:lineRule="exact"/>
              <w:rPr>
                <w:sz w:val="20"/>
                <w:szCs w:val="20"/>
                <w:color w:val="auto"/>
              </w:rPr>
            </w:pPr>
            <w:r>
              <w:rPr>
                <w:rFonts w:ascii="Times New Roman" w:cs="Times New Roman" w:eastAsia="Times New Roman" w:hAnsi="Times New Roman"/>
                <w:sz w:val="18"/>
                <w:szCs w:val="18"/>
                <w:color w:val="auto"/>
              </w:rPr>
              <w:t>07183) as Exhibit 10.37 to our Quarterly Report on Form 10-Q for the period ended June 30, 2016, is</w:t>
            </w:r>
          </w:p>
        </w:tc>
      </w:tr>
    </w:tbl>
    <w:p>
      <w:pPr>
        <w:ind w:left="1080"/>
        <w:spacing w:after="0"/>
        <w:rPr>
          <w:sz w:val="20"/>
          <w:szCs w:val="20"/>
          <w:color w:val="auto"/>
        </w:rPr>
      </w:pPr>
      <w:r>
        <w:rPr>
          <w:rFonts w:ascii="Times New Roman" w:cs="Times New Roman" w:eastAsia="Times New Roman" w:hAnsi="Times New Roman"/>
          <w:sz w:val="18"/>
          <w:szCs w:val="18"/>
          <w:color w:val="auto"/>
        </w:rPr>
        <w:t>incorporated herein by reference.</w:t>
      </w:r>
    </w:p>
    <w:p>
      <w:pPr>
        <w:sectPr>
          <w:pgSz w:w="11900" w:h="16838" w:orient="portrait"/>
          <w:cols w:equalWidth="0" w:num="1">
            <w:col w:w="10119"/>
          </w:cols>
          <w:pgMar w:left="340" w:top="9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05" w:right="1440"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FN 27</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10.38 to our Quarterly Report on Form 10-Q for the period ended September 30,</w:t>
            </w:r>
          </w:p>
        </w:tc>
      </w:tr>
      <w:tr>
        <w:trPr>
          <w:trHeight w:val="229"/>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2016, is 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28</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10.39 to our Annual Report on Form 10-K for the year ended December 31, 2016, is</w:t>
            </w:r>
          </w:p>
        </w:tc>
      </w:tr>
      <w:tr>
        <w:trPr>
          <w:trHeight w:val="229"/>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29</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10.40 to our Annual Report on Form 10-K for the year ended December 31, 2016, is</w:t>
            </w:r>
          </w:p>
        </w:tc>
      </w:tr>
      <w:tr>
        <w:trPr>
          <w:trHeight w:val="230"/>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30</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10.41 to our Annual Report on Form 10-K for the year ended December 31, 2016, is</w:t>
            </w:r>
          </w:p>
        </w:tc>
      </w:tr>
      <w:tr>
        <w:trPr>
          <w:trHeight w:val="229"/>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31</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10.42 to our Quarterly Report on Form 10-Q for the period ended September 30,</w:t>
            </w:r>
          </w:p>
        </w:tc>
      </w:tr>
      <w:tr>
        <w:trPr>
          <w:trHeight w:val="229"/>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2018, is 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32</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10.43 to our Annual Report on Form 10-K for the year ended December 31, 2018, is</w:t>
            </w:r>
          </w:p>
        </w:tc>
      </w:tr>
      <w:tr>
        <w:trPr>
          <w:trHeight w:val="229"/>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33</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10.44 to our Annual Report on Form 10-K for the year ended December 31, 2018, is</w:t>
            </w:r>
          </w:p>
        </w:tc>
      </w:tr>
      <w:tr>
        <w:trPr>
          <w:trHeight w:val="230"/>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37</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333-231032) as Exhibit 4.6 to our Registration Statement on Form S-3 filed on April 25, 2019, is</w:t>
            </w:r>
          </w:p>
        </w:tc>
      </w:tr>
      <w:tr>
        <w:trPr>
          <w:trHeight w:val="229"/>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38</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10.47 to our Annual Report on Form 10-K for the year ended December 31, 2019, is</w:t>
            </w:r>
          </w:p>
        </w:tc>
      </w:tr>
      <w:tr>
        <w:trPr>
          <w:trHeight w:val="229"/>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39</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10.48 to our Quarterly Report on Form 10-Q for the period ended March 31, 2021, is</w:t>
            </w:r>
          </w:p>
        </w:tc>
      </w:tr>
      <w:tr>
        <w:trPr>
          <w:trHeight w:val="230"/>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203"/>
        </w:trPr>
        <w:tc>
          <w:tcPr>
            <w:tcW w:w="7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FN 40</w:t>
            </w:r>
          </w:p>
        </w:tc>
        <w:tc>
          <w:tcPr>
            <w:tcW w:w="784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203"/>
        </w:trPr>
        <w:tc>
          <w:tcPr>
            <w:tcW w:w="780" w:type="dxa"/>
            <w:vAlign w:val="bottom"/>
          </w:tcPr>
          <w:p>
            <w:pPr>
              <w:spacing w:after="0"/>
              <w:rPr>
                <w:sz w:val="17"/>
                <w:szCs w:val="17"/>
                <w:color w:val="auto"/>
              </w:rPr>
            </w:pPr>
          </w:p>
        </w:tc>
        <w:tc>
          <w:tcPr>
            <w:tcW w:w="784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07183) as Exhibit 10.49 to our Annual Report on Form 10-K for the year ended December 31, 2021, is</w:t>
            </w:r>
          </w:p>
        </w:tc>
      </w:tr>
      <w:tr>
        <w:trPr>
          <w:trHeight w:val="234"/>
        </w:trPr>
        <w:tc>
          <w:tcPr>
            <w:tcW w:w="780" w:type="dxa"/>
            <w:vAlign w:val="bottom"/>
          </w:tcPr>
          <w:p>
            <w:pPr>
              <w:spacing w:after="0"/>
              <w:rPr>
                <w:sz w:val="20"/>
                <w:szCs w:val="20"/>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22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FN 41</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203"/>
        </w:trPr>
        <w:tc>
          <w:tcPr>
            <w:tcW w:w="780" w:type="dxa"/>
            <w:vAlign w:val="bottom"/>
          </w:tcPr>
          <w:p>
            <w:pPr>
              <w:spacing w:after="0"/>
              <w:rPr>
                <w:sz w:val="17"/>
                <w:szCs w:val="17"/>
                <w:color w:val="auto"/>
              </w:rPr>
            </w:pPr>
          </w:p>
        </w:tc>
        <w:tc>
          <w:tcPr>
            <w:tcW w:w="784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07183) as Exhibit 10.50 to our Annual Report on Form 10-K for the year ended December 31, 2021, is</w:t>
            </w:r>
          </w:p>
        </w:tc>
      </w:tr>
      <w:tr>
        <w:trPr>
          <w:trHeight w:val="234"/>
        </w:trPr>
        <w:tc>
          <w:tcPr>
            <w:tcW w:w="780" w:type="dxa"/>
            <w:vAlign w:val="bottom"/>
          </w:tcPr>
          <w:p>
            <w:pPr>
              <w:spacing w:after="0"/>
              <w:rPr>
                <w:sz w:val="20"/>
                <w:szCs w:val="20"/>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22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FN 42</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203"/>
        </w:trPr>
        <w:tc>
          <w:tcPr>
            <w:tcW w:w="780" w:type="dxa"/>
            <w:vAlign w:val="bottom"/>
          </w:tcPr>
          <w:p>
            <w:pPr>
              <w:spacing w:after="0"/>
              <w:rPr>
                <w:sz w:val="17"/>
                <w:szCs w:val="17"/>
                <w:color w:val="auto"/>
              </w:rPr>
            </w:pPr>
          </w:p>
        </w:tc>
        <w:tc>
          <w:tcPr>
            <w:tcW w:w="784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07183) as Exhibit 10.51 to our Quarterly Report on Form 10-Q for the period ended March 31, 2022, is</w:t>
            </w:r>
          </w:p>
        </w:tc>
      </w:tr>
      <w:tr>
        <w:trPr>
          <w:trHeight w:val="234"/>
        </w:trPr>
        <w:tc>
          <w:tcPr>
            <w:tcW w:w="780" w:type="dxa"/>
            <w:vAlign w:val="bottom"/>
          </w:tcPr>
          <w:p>
            <w:pPr>
              <w:spacing w:after="0"/>
              <w:rPr>
                <w:sz w:val="20"/>
                <w:szCs w:val="20"/>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22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FN 43</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203"/>
        </w:trPr>
        <w:tc>
          <w:tcPr>
            <w:tcW w:w="780" w:type="dxa"/>
            <w:vAlign w:val="bottom"/>
          </w:tcPr>
          <w:p>
            <w:pPr>
              <w:spacing w:after="0"/>
              <w:rPr>
                <w:sz w:val="17"/>
                <w:szCs w:val="17"/>
                <w:color w:val="auto"/>
              </w:rPr>
            </w:pPr>
          </w:p>
        </w:tc>
        <w:tc>
          <w:tcPr>
            <w:tcW w:w="784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07183) as Exhibit 10.52 to our Quarterly Report on Form 10-Q for the period ended September 30,</w:t>
            </w:r>
          </w:p>
        </w:tc>
      </w:tr>
      <w:tr>
        <w:trPr>
          <w:trHeight w:val="234"/>
        </w:trPr>
        <w:tc>
          <w:tcPr>
            <w:tcW w:w="780" w:type="dxa"/>
            <w:vAlign w:val="bottom"/>
          </w:tcPr>
          <w:p>
            <w:pPr>
              <w:spacing w:after="0"/>
              <w:rPr>
                <w:sz w:val="20"/>
                <w:szCs w:val="20"/>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2022, is incorporated herein by reference.</w:t>
            </w:r>
          </w:p>
        </w:tc>
      </w:tr>
      <w:tr>
        <w:trPr>
          <w:trHeight w:val="22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FN 44</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203"/>
        </w:trPr>
        <w:tc>
          <w:tcPr>
            <w:tcW w:w="780" w:type="dxa"/>
            <w:vAlign w:val="bottom"/>
          </w:tcPr>
          <w:p>
            <w:pPr>
              <w:spacing w:after="0"/>
              <w:rPr>
                <w:sz w:val="17"/>
                <w:szCs w:val="17"/>
                <w:color w:val="auto"/>
              </w:rPr>
            </w:pPr>
          </w:p>
        </w:tc>
        <w:tc>
          <w:tcPr>
            <w:tcW w:w="784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07183) as Exhibit 10.53 to our Quarterly Report on Form 10-Q for the period ended June 30, 2023, is</w:t>
            </w:r>
          </w:p>
        </w:tc>
      </w:tr>
      <w:tr>
        <w:trPr>
          <w:trHeight w:val="234"/>
        </w:trPr>
        <w:tc>
          <w:tcPr>
            <w:tcW w:w="780" w:type="dxa"/>
            <w:vAlign w:val="bottom"/>
          </w:tcPr>
          <w:p>
            <w:pPr>
              <w:spacing w:after="0"/>
              <w:rPr>
                <w:sz w:val="20"/>
                <w:szCs w:val="20"/>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202"/>
        </w:trPr>
        <w:tc>
          <w:tcPr>
            <w:tcW w:w="7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FN 45</w:t>
            </w:r>
          </w:p>
        </w:tc>
        <w:tc>
          <w:tcPr>
            <w:tcW w:w="784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10.01 to our Current Report on Form 8-K on November 20, 2023, is incorporated</w:t>
            </w:r>
          </w:p>
        </w:tc>
      </w:tr>
      <w:tr>
        <w:trPr>
          <w:trHeight w:val="230"/>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46</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10.01 to our Current Report on Form 8-K on March 26, 2024, is incorporated herein</w:t>
            </w:r>
          </w:p>
        </w:tc>
      </w:tr>
      <w:tr>
        <w:trPr>
          <w:trHeight w:val="229"/>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47</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10.56 to our Quarterly Report on Form 10-Q for the period ended September 30,</w:t>
            </w:r>
          </w:p>
        </w:tc>
      </w:tr>
      <w:tr>
        <w:trPr>
          <w:trHeight w:val="230"/>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2024, is incorporated 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48</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10.01 to our Current Report on Form 8-K on February 11, 2025, is incorporated</w:t>
            </w:r>
          </w:p>
        </w:tc>
      </w:tr>
      <w:tr>
        <w:trPr>
          <w:trHeight w:val="230"/>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49</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204"/>
        </w:trPr>
        <w:tc>
          <w:tcPr>
            <w:tcW w:w="780" w:type="dxa"/>
            <w:vAlign w:val="bottom"/>
          </w:tcPr>
          <w:p>
            <w:pPr>
              <w:spacing w:after="0"/>
              <w:rPr>
                <w:sz w:val="17"/>
                <w:szCs w:val="17"/>
                <w:color w:val="auto"/>
              </w:rPr>
            </w:pPr>
          </w:p>
        </w:tc>
        <w:tc>
          <w:tcPr>
            <w:tcW w:w="7840" w:type="dxa"/>
            <w:vAlign w:val="bottom"/>
          </w:tcPr>
          <w:p>
            <w:pPr>
              <w:ind w:left="300"/>
              <w:spacing w:after="0" w:line="204" w:lineRule="exact"/>
              <w:rPr>
                <w:sz w:val="20"/>
                <w:szCs w:val="20"/>
                <w:color w:val="auto"/>
              </w:rPr>
            </w:pPr>
            <w:r>
              <w:rPr>
                <w:rFonts w:ascii="Times New Roman" w:cs="Times New Roman" w:eastAsia="Times New Roman" w:hAnsi="Times New Roman"/>
                <w:sz w:val="18"/>
                <w:szCs w:val="18"/>
                <w:color w:val="auto"/>
              </w:rPr>
              <w:t>07183) as Exhibit 10.01 to our Current Report on Form 8-K on October 16, 2025, is incorporated herein</w:t>
            </w:r>
          </w:p>
        </w:tc>
      </w:tr>
    </w:tbl>
    <w:p>
      <w:pPr>
        <w:ind w:left="1080"/>
        <w:spacing w:after="0"/>
        <w:rPr>
          <w:sz w:val="20"/>
          <w:szCs w:val="20"/>
          <w:color w:val="auto"/>
        </w:rPr>
      </w:pPr>
      <w:r>
        <w:rPr>
          <w:rFonts w:ascii="Times New Roman" w:cs="Times New Roman" w:eastAsia="Times New Roman" w:hAnsi="Times New Roman"/>
          <w:sz w:val="18"/>
          <w:szCs w:val="18"/>
          <w:color w:val="auto"/>
        </w:rPr>
        <w:t>by reference.</w:t>
      </w:r>
    </w:p>
    <w:p>
      <w:pPr>
        <w:sectPr>
          <w:pgSz w:w="11900" w:h="16838" w:orient="portrait"/>
          <w:cols w:equalWidth="0" w:num="1">
            <w:col w:w="10119"/>
          </w:cols>
          <w:pgMar w:left="340" w:top="9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05" w:right="1440"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FN 50</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10.01 to our Current Report on Form 8-K on November 8, 2024, is incorporated</w:t>
            </w:r>
          </w:p>
        </w:tc>
      </w:tr>
      <w:tr>
        <w:trPr>
          <w:trHeight w:val="229"/>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FN 51</w:t>
            </w:r>
          </w:p>
        </w:tc>
        <w:tc>
          <w:tcPr>
            <w:tcW w:w="784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r>
        <w:trPr>
          <w:trHeight w:val="184"/>
        </w:trPr>
        <w:tc>
          <w:tcPr>
            <w:tcW w:w="780" w:type="dxa"/>
            <w:vAlign w:val="bottom"/>
          </w:tcPr>
          <w:p>
            <w:pPr>
              <w:spacing w:after="0"/>
              <w:rPr>
                <w:sz w:val="16"/>
                <w:szCs w:val="16"/>
                <w:color w:val="auto"/>
              </w:rPr>
            </w:pPr>
          </w:p>
        </w:tc>
        <w:tc>
          <w:tcPr>
            <w:tcW w:w="78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07183) as Exhibit 10.59 to our Quarterly Report on Form 10-Q for the period ended June 30, 2025, is</w:t>
            </w:r>
          </w:p>
        </w:tc>
      </w:tr>
      <w:tr>
        <w:trPr>
          <w:trHeight w:val="229"/>
        </w:trPr>
        <w:tc>
          <w:tcPr>
            <w:tcW w:w="780" w:type="dxa"/>
            <w:vAlign w:val="bottom"/>
          </w:tcPr>
          <w:p>
            <w:pPr>
              <w:spacing w:after="0"/>
              <w:rPr>
                <w:sz w:val="19"/>
                <w:szCs w:val="19"/>
                <w:color w:val="auto"/>
              </w:rPr>
            </w:pP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96"/>
        </w:trPr>
        <w:tc>
          <w:tcPr>
            <w:tcW w:w="7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FN 52</w:t>
            </w:r>
          </w:p>
        </w:tc>
        <w:tc>
          <w:tcPr>
            <w:tcW w:w="7840" w:type="dxa"/>
            <w:vAlign w:val="bottom"/>
          </w:tcPr>
          <w:p>
            <w:pPr>
              <w:ind w:left="300"/>
              <w:spacing w:after="0" w:line="195" w:lineRule="exact"/>
              <w:rPr>
                <w:sz w:val="20"/>
                <w:szCs w:val="20"/>
                <w:color w:val="auto"/>
              </w:rPr>
            </w:pPr>
            <w:r>
              <w:rPr>
                <w:rFonts w:ascii="Times New Roman" w:cs="Times New Roman" w:eastAsia="Times New Roman" w:hAnsi="Times New Roman"/>
                <w:sz w:val="18"/>
                <w:szCs w:val="18"/>
                <w:color w:val="auto"/>
                <w:w w:val="99"/>
              </w:rPr>
              <w:t>This document, filed with the Securities and Exchange Commission in Washington, D.C. (file number 1-</w:t>
            </w:r>
          </w:p>
        </w:tc>
      </w:tr>
    </w:tbl>
    <w:p>
      <w:pPr>
        <w:ind w:left="1080" w:right="1499"/>
        <w:spacing w:after="0" w:line="233" w:lineRule="auto"/>
        <w:rPr>
          <w:sz w:val="20"/>
          <w:szCs w:val="20"/>
          <w:color w:val="auto"/>
        </w:rPr>
      </w:pPr>
      <w:r>
        <w:rPr>
          <w:rFonts w:ascii="Times New Roman" w:cs="Times New Roman" w:eastAsia="Times New Roman" w:hAnsi="Times New Roman"/>
          <w:sz w:val="18"/>
          <w:szCs w:val="18"/>
          <w:color w:val="auto"/>
        </w:rPr>
        <w:t>07183) as Exhibit 10.60 to our Quarterly Report on Form 10-Q for the period ended June 30 30, 2025,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05" w:right="144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TEJON RANCH CO.</w:t>
            </w:r>
          </w:p>
        </w:tc>
      </w:tr>
      <w:tr>
        <w:trPr>
          <w:trHeight w:val="742"/>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6, 2025</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Matthew H. Walker</w:t>
            </w:r>
          </w:p>
        </w:tc>
      </w:tr>
      <w:tr>
        <w:trPr>
          <w:trHeight w:val="218"/>
        </w:trPr>
        <w:tc>
          <w:tcPr>
            <w:tcW w:w="2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620" w:type="dxa"/>
            <w:vAlign w:val="bottom"/>
          </w:tcPr>
          <w:p>
            <w:pPr>
              <w:spacing w:after="0"/>
              <w:rPr>
                <w:sz w:val="18"/>
                <w:szCs w:val="18"/>
                <w:color w:val="auto"/>
              </w:rPr>
            </w:pPr>
          </w:p>
        </w:tc>
        <w:tc>
          <w:tcPr>
            <w:tcW w:w="56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Matthew H. Walker</w:t>
            </w:r>
          </w:p>
        </w:tc>
      </w:tr>
      <w:tr>
        <w:trPr>
          <w:trHeight w:val="229"/>
        </w:trPr>
        <w:tc>
          <w:tcPr>
            <w:tcW w:w="29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6, 2025</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Robert D. Velasquez</w:t>
            </w:r>
          </w:p>
        </w:tc>
      </w:tr>
      <w:tr>
        <w:trPr>
          <w:trHeight w:val="228"/>
        </w:trPr>
        <w:tc>
          <w:tcPr>
            <w:tcW w:w="2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620" w:type="dxa"/>
            <w:vAlign w:val="bottom"/>
          </w:tcPr>
          <w:p>
            <w:pPr>
              <w:spacing w:after="0"/>
              <w:rPr>
                <w:sz w:val="19"/>
                <w:szCs w:val="19"/>
                <w:color w:val="auto"/>
              </w:rPr>
            </w:pPr>
          </w:p>
        </w:tc>
        <w:tc>
          <w:tcPr>
            <w:tcW w:w="56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Robert D. Velasquez</w:t>
            </w:r>
          </w:p>
        </w:tc>
      </w:tr>
    </w:tbl>
    <w:p>
      <w:pPr>
        <w:ind w:left="5600"/>
        <w:spacing w:after="0" w:line="215" w:lineRule="auto"/>
        <w:rPr>
          <w:sz w:val="20"/>
          <w:szCs w:val="20"/>
          <w:color w:val="auto"/>
        </w:rPr>
      </w:pPr>
      <w:r>
        <w:rPr>
          <w:rFonts w:ascii="Times New Roman" w:cs="Times New Roman" w:eastAsia="Times New Roman" w:hAnsi="Times New Roman"/>
          <w:sz w:val="18"/>
          <w:szCs w:val="18"/>
          <w:color w:val="auto"/>
        </w:rPr>
        <w:t>Chief Financial Officer, Treasurer, Senior Vice President, Finance and Chief</w:t>
      </w:r>
    </w:p>
    <w:p>
      <w:pPr>
        <w:ind w:left="560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887" w:right="35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H. Walker, certify that:</w:t>
      </w:r>
    </w:p>
    <w:p>
      <w:pPr>
        <w:spacing w:after="0" w:line="171"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Tejon Ranch Co.;</w:t>
      </w:r>
    </w:p>
    <w:p>
      <w:pPr>
        <w:spacing w:after="0" w:line="171"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62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40" w:hanging="328"/>
        <w:spacing w:after="0" w:line="312" w:lineRule="auto"/>
        <w:tabs>
          <w:tab w:leader="none" w:pos="65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60" w:hanging="328"/>
        <w:spacing w:after="0" w:line="266"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6, 2025</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H. Walker</w:t>
            </w:r>
          </w:p>
        </w:tc>
      </w:tr>
      <w:tr>
        <w:trPr>
          <w:trHeight w:val="218"/>
        </w:trPr>
        <w:tc>
          <w:tcPr>
            <w:tcW w:w="5920" w:type="dxa"/>
            <w:vAlign w:val="bottom"/>
          </w:tcPr>
          <w:p>
            <w:pPr>
              <w:spacing w:after="0"/>
              <w:rPr>
                <w:sz w:val="18"/>
                <w:szCs w:val="18"/>
                <w:color w:val="auto"/>
              </w:rPr>
            </w:pPr>
          </w:p>
        </w:tc>
        <w:tc>
          <w:tcPr>
            <w:tcW w:w="52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Matthew H. Walker</w:t>
            </w:r>
          </w:p>
        </w:tc>
      </w:tr>
      <w:tr>
        <w:trPr>
          <w:trHeight w:val="234"/>
        </w:trPr>
        <w:tc>
          <w:tcPr>
            <w:tcW w:w="5920" w:type="dxa"/>
            <w:vAlign w:val="bottom"/>
          </w:tcPr>
          <w:p>
            <w:pPr>
              <w:spacing w:after="0"/>
              <w:rPr>
                <w:sz w:val="20"/>
                <w:szCs w:val="20"/>
                <w:color w:val="auto"/>
              </w:rPr>
            </w:pPr>
          </w:p>
        </w:tc>
        <w:tc>
          <w:tcPr>
            <w:tcW w:w="52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20"/>
          </w:cols>
          <w:pgMar w:left="320" w:top="887" w:right="35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D. Velasquez, certify that:</w:t>
      </w:r>
    </w:p>
    <w:p>
      <w:pPr>
        <w:spacing w:after="0" w:line="171"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Tejon Ranch Co.;</w:t>
      </w:r>
    </w:p>
    <w:p>
      <w:pPr>
        <w:spacing w:after="0" w:line="171"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42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40" w:hanging="328"/>
        <w:spacing w:after="0" w:line="312" w:lineRule="auto"/>
        <w:tabs>
          <w:tab w:leader="none" w:pos="65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6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6, 2025</w:t>
            </w:r>
          </w:p>
        </w:tc>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D. Velasquez</w:t>
            </w:r>
          </w:p>
        </w:tc>
      </w:tr>
      <w:tr>
        <w:trPr>
          <w:trHeight w:val="218"/>
        </w:trPr>
        <w:tc>
          <w:tcPr>
            <w:tcW w:w="4240" w:type="dxa"/>
            <w:vAlign w:val="bottom"/>
          </w:tcPr>
          <w:p>
            <w:pPr>
              <w:spacing w:after="0"/>
              <w:rPr>
                <w:sz w:val="18"/>
                <w:szCs w:val="18"/>
                <w:color w:val="auto"/>
              </w:rPr>
            </w:pPr>
          </w:p>
        </w:tc>
        <w:tc>
          <w:tcPr>
            <w:tcW w:w="69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Robert D. Velasquez</w:t>
            </w:r>
          </w:p>
        </w:tc>
      </w:tr>
      <w:tr>
        <w:trPr>
          <w:trHeight w:val="180"/>
        </w:trPr>
        <w:tc>
          <w:tcPr>
            <w:tcW w:w="4240" w:type="dxa"/>
            <w:vAlign w:val="bottom"/>
          </w:tcPr>
          <w:p>
            <w:pPr>
              <w:spacing w:after="0"/>
              <w:rPr>
                <w:sz w:val="15"/>
                <w:szCs w:val="15"/>
                <w:color w:val="auto"/>
              </w:rPr>
            </w:pPr>
          </w:p>
        </w:tc>
        <w:tc>
          <w:tcPr>
            <w:tcW w:w="6960" w:type="dxa"/>
            <w:vAlign w:val="bottom"/>
          </w:tcPr>
          <w:p>
            <w:pPr>
              <w:ind w:left="900"/>
              <w:spacing w:after="0" w:line="181" w:lineRule="exact"/>
              <w:rPr>
                <w:sz w:val="20"/>
                <w:szCs w:val="20"/>
                <w:color w:val="auto"/>
              </w:rPr>
            </w:pPr>
            <w:r>
              <w:rPr>
                <w:rFonts w:ascii="Times New Roman" w:cs="Times New Roman" w:eastAsia="Times New Roman" w:hAnsi="Times New Roman"/>
                <w:sz w:val="18"/>
                <w:szCs w:val="18"/>
                <w:color w:val="auto"/>
              </w:rPr>
              <w:t>Chief Financial Officer, Treasurer, Senior Vice President, Finance and Chief</w:t>
            </w:r>
          </w:p>
        </w:tc>
      </w:tr>
      <w:tr>
        <w:trPr>
          <w:trHeight w:val="234"/>
        </w:trPr>
        <w:tc>
          <w:tcPr>
            <w:tcW w:w="4240" w:type="dxa"/>
            <w:vAlign w:val="bottom"/>
          </w:tcPr>
          <w:p>
            <w:pPr>
              <w:spacing w:after="0"/>
              <w:rPr>
                <w:sz w:val="20"/>
                <w:szCs w:val="20"/>
                <w:color w:val="auto"/>
              </w:rPr>
            </w:pPr>
          </w:p>
        </w:tc>
        <w:tc>
          <w:tcPr>
            <w:tcW w:w="69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Accounting Officer</w:t>
            </w:r>
          </w:p>
        </w:tc>
      </w:tr>
    </w:tbl>
    <w:p>
      <w:pPr>
        <w:sectPr>
          <w:pgSz w:w="11900" w:h="16838" w:orient="portrait"/>
          <w:cols w:equalWidth="0" w:num="1">
            <w:col w:w="11220"/>
          </w:cols>
          <w:pgMar w:left="320" w:top="887" w:right="359" w:bottom="1440" w:gutter="0" w:footer="0" w:header="0"/>
        </w:sectPr>
      </w:pPr>
    </w:p>
    <w:bookmarkStart w:id="59" w:name="page60"/>
    <w:bookmarkEnd w:id="59"/>
    <w:p>
      <w:pPr>
        <w:ind w:left="512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Each of the undersigned hereby certifies, in his capacity as an officer of Tejon Ranch Co. (the “Company”), for purposes of 18 U.S.C. Section 1350, as adopted pursuant to Section 906 of the Sarbanes-Oxley Act of 2002, that to his own knowledge:</w:t>
      </w:r>
    </w:p>
    <w:p>
      <w:pPr>
        <w:spacing w:after="0" w:line="189" w:lineRule="exact"/>
        <w:rPr>
          <w:sz w:val="20"/>
          <w:szCs w:val="20"/>
          <w:color w:val="auto"/>
        </w:rPr>
      </w:pPr>
    </w:p>
    <w:p>
      <w:pPr>
        <w:ind w:left="660" w:right="720" w:hanging="328"/>
        <w:spacing w:after="0" w:line="26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September 30, 2025 fully complies with the requirements of Section 13(a) of the Securities Exchange Act of 1934; and</w:t>
      </w:r>
    </w:p>
    <w:p>
      <w:pPr>
        <w:ind w:left="660" w:hanging="328"/>
        <w:spacing w:after="0"/>
        <w:tabs>
          <w:tab w:leader="none" w:pos="6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such report fairly presents, in all material respects, the financial condition and results of operation of the Company.</w:t>
      </w:r>
    </w:p>
    <w:p>
      <w:pPr>
        <w:spacing w:after="0" w:line="16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70" w:lineRule="exact"/>
        <w:rPr>
          <w:sz w:val="20"/>
          <w:szCs w:val="20"/>
          <w:color w:val="auto"/>
        </w:rPr>
      </w:pPr>
    </w:p>
    <w:p>
      <w:pPr>
        <w:ind w:left="20"/>
        <w:spacing w:after="0"/>
        <w:tabs>
          <w:tab w:leader="none" w:pos="33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6,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Matthew H.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691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4">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Matthew H. Walker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691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5">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D. Velasquez</w:t>
      </w:r>
    </w:p>
    <w:p>
      <w:pPr>
        <w:spacing w:after="0" w:line="27" w:lineRule="exact"/>
        <w:rPr>
          <w:sz w:val="20"/>
          <w:szCs w:val="20"/>
          <w:color w:val="auto"/>
        </w:rPr>
      </w:pPr>
    </w:p>
    <w:p>
      <w:pPr>
        <w:ind w:left="20" w:right="4680"/>
        <w:spacing w:after="0" w:line="234" w:lineRule="auto"/>
        <w:rPr>
          <w:sz w:val="20"/>
          <w:szCs w:val="20"/>
          <w:color w:val="auto"/>
        </w:rPr>
      </w:pPr>
      <w:r>
        <w:rPr>
          <w:rFonts w:ascii="Times New Roman" w:cs="Times New Roman" w:eastAsia="Times New Roman" w:hAnsi="Times New Roman"/>
          <w:sz w:val="18"/>
          <w:szCs w:val="18"/>
          <w:color w:val="auto"/>
        </w:rPr>
        <w:t>Chief Financial Officer, Treasurer, Senior Vice President, Finance and Chief Accounting Officer</w:t>
      </w:r>
    </w:p>
    <w:sectPr>
      <w:pgSz w:w="11900" w:h="16838" w:orient="portrait"/>
      <w:cols w:equalWidth="0" w:num="1">
        <w:col w:w="11080"/>
      </w:cols>
      <w:pgMar w:left="320" w:top="88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bullet"/>
      <w:start w:val="1"/>
    </w:lvl>
  </w:abstractNum>
  <w:abstractNum w:abstractNumId="3">
    <w:nsid w:val="8EDBDAB"/>
    <w:multiLevelType w:val="hybridMultilevel"/>
    <w:lvl w:ilvl="0">
      <w:lvlJc w:val="left"/>
      <w:lvlText w:val="%1."/>
      <w:numFmt w:val="decimal"/>
      <w:start w:val="3"/>
    </w:lvl>
  </w:abstractNum>
  <w:abstractNum w:abstractNumId="4">
    <w:nsid w:val="79838CB2"/>
    <w:multiLevelType w:val="hybridMultilevel"/>
    <w:lvl w:ilvl="0">
      <w:lvlJc w:val="left"/>
      <w:lvlText w:val="%1."/>
      <w:numFmt w:val="decimal"/>
      <w:start w:val="4"/>
    </w:lvl>
  </w:abstractNum>
  <w:abstractNum w:abstractNumId="5">
    <w:nsid w:val="4353D0CD"/>
    <w:multiLevelType w:val="hybridMultilevel"/>
    <w:lvl w:ilvl="0">
      <w:lvlJc w:val="left"/>
      <w:lvlText w:val="%1."/>
      <w:numFmt w:val="decimal"/>
      <w:start w:val="5"/>
    </w:lvl>
  </w:abstractNum>
  <w:abstractNum w:abstractNumId="6">
    <w:nsid w:val="B03E0C6"/>
    <w:multiLevelType w:val="hybridMultilevel"/>
    <w:lvl w:ilvl="0">
      <w:lvlJc w:val="left"/>
      <w:lvlText w:val="1"/>
      <w:numFmt w:val="bullet"/>
      <w:start w:val="1"/>
    </w:lvl>
  </w:abstractNum>
  <w:abstractNum w:abstractNumId="7">
    <w:nsid w:val="189A769B"/>
    <w:multiLevelType w:val="hybridMultilevel"/>
    <w:lvl w:ilvl="0">
      <w:lvlJc w:val="left"/>
      <w:lvlText w:val="%1."/>
      <w:numFmt w:val="decimal"/>
      <w:start w:val="7"/>
    </w:lvl>
  </w:abstractNum>
  <w:abstractNum w:abstractNumId="8">
    <w:nsid w:val="54E49EB4"/>
    <w:multiLevelType w:val="hybridMultilevel"/>
    <w:lvl w:ilvl="0">
      <w:lvlJc w:val="left"/>
      <w:lvlText w:val="1"/>
      <w:numFmt w:val="bullet"/>
      <w:start w:val="1"/>
    </w:lvl>
  </w:abstractNum>
  <w:abstractNum w:abstractNumId="9">
    <w:nsid w:val="71F32454"/>
    <w:multiLevelType w:val="hybridMultilevel"/>
    <w:lvl w:ilvl="0">
      <w:lvlJc w:val="left"/>
      <w:lvlText w:val="%1."/>
      <w:numFmt w:val="decimal"/>
      <w:start w:val="8"/>
    </w:lvl>
  </w:abstractNum>
  <w:abstractNum w:abstractNumId="10">
    <w:nsid w:val="2CA88611"/>
    <w:multiLevelType w:val="hybridMultilevel"/>
    <w:lvl w:ilvl="0">
      <w:lvlJc w:val="left"/>
      <w:lvlText w:val="%1."/>
      <w:numFmt w:val="decimal"/>
      <w:start w:val="9"/>
    </w:lvl>
  </w:abstractNum>
  <w:abstractNum w:abstractNumId="11">
    <w:nsid w:val="836C40E"/>
    <w:multiLevelType w:val="hybridMultilevel"/>
    <w:lvl w:ilvl="0">
      <w:lvlJc w:val="left"/>
      <w:lvlText w:val="%1."/>
      <w:numFmt w:val="decimal"/>
      <w:start w:val="10"/>
    </w:lvl>
  </w:abstractNum>
  <w:abstractNum w:abstractNumId="12">
    <w:nsid w:val="2901D82"/>
    <w:multiLevelType w:val="hybridMultilevel"/>
    <w:lvl w:ilvl="0">
      <w:lvlJc w:val="left"/>
      <w:lvlText w:val="%1."/>
      <w:numFmt w:val="decimal"/>
      <w:start w:val="11"/>
    </w:lvl>
  </w:abstractNum>
  <w:abstractNum w:abstractNumId="13">
    <w:nsid w:val="3A95F874"/>
    <w:multiLevelType w:val="hybridMultilevel"/>
    <w:lvl w:ilvl="0">
      <w:lvlJc w:val="left"/>
      <w:lvlText w:val="1"/>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bullet"/>
      <w:start w:val="1"/>
    </w:lvl>
  </w:abstractNum>
  <w:abstractNum w:abstractNumId="18">
    <w:nsid w:val="6CEAF087"/>
    <w:multiLevelType w:val="hybridMultilevel"/>
    <w:lvl w:ilvl="0">
      <w:lvlJc w:val="left"/>
      <w:lvlText w:val="1"/>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bullet"/>
      <w:start w:val="1"/>
    </w:lvl>
  </w:abstractNum>
  <w:abstractNum w:abstractNumId="35">
    <w:nsid w:val="580BD78F"/>
    <w:multiLevelType w:val="hybridMultilevel"/>
    <w:lvl w:ilvl="0">
      <w:lvlJc w:val="left"/>
      <w:lvlText w:val="2"/>
      <w:numFmt w:val="bullet"/>
      <w:start w:val="1"/>
    </w:lvl>
  </w:abstractNum>
  <w:abstractNum w:abstractNumId="36">
    <w:nsid w:val="153EA438"/>
    <w:multiLevelType w:val="hybridMultilevel"/>
    <w:lvl w:ilvl="0">
      <w:lvlJc w:val="left"/>
      <w:lvlText w:val="1"/>
      <w:numFmt w:val="bullet"/>
      <w:start w:val="1"/>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lowerLetter"/>
      <w:start w:val="2"/>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decimal"/>
      <w:start w:val="32"/>
    </w:lvl>
  </w:abstractNum>
  <w:abstractNum w:abstractNumId="41">
    <w:nsid w:val="1D4ED43B"/>
    <w:multiLevelType w:val="hybridMultilevel"/>
    <w:lvl w:ilvl="0">
      <w:lvlJc w:val="left"/>
      <w:lvlText w:val="%1"/>
      <w:numFmt w:val="decimal"/>
      <w:start w:val="104"/>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30" Type="http://schemas.openxmlformats.org/officeDocument/2006/relationships/image" Target="media/image77.png"/><Relationship Id="rId131" Type="http://schemas.openxmlformats.org/officeDocument/2006/relationships/image" Target="media/image78.png"/><Relationship Id="rId132" Type="http://schemas.openxmlformats.org/officeDocument/2006/relationships/image" Target="media/image79.png"/><Relationship Id="rId133" Type="http://schemas.openxmlformats.org/officeDocument/2006/relationships/image" Target="media/image80.png"/><Relationship Id="rId134" Type="http://schemas.openxmlformats.org/officeDocument/2006/relationships/image" Target="media/image81.png"/><Relationship Id="rId135" Type="http://schemas.openxmlformats.org/officeDocument/2006/relationships/image" Target="media/image82.png"/><Relationship Id="rId82" Type="http://schemas.openxmlformats.org/officeDocument/2006/relationships/hyperlink" Target="https://www.sec.gov/Archives/edgar/data/96869/000009686921000016/ex31restatedcertificateo.htm" TargetMode="External"/><Relationship Id="rId83" Type="http://schemas.openxmlformats.org/officeDocument/2006/relationships/hyperlink" Target="https://www.sec.gov/Archives/edgar/data/96869/000119312523079260/d487105dex31.htm" TargetMode="External"/><Relationship Id="rId84" Type="http://schemas.openxmlformats.org/officeDocument/2006/relationships/hyperlink" Target="https://www.sec.gov/Archives/edgar/data/96869/000119312505245123/dex41.htm" TargetMode="External"/><Relationship Id="rId85" Type="http://schemas.openxmlformats.org/officeDocument/2006/relationships/hyperlink" Target="https://www.sec.gov/Archives/edgar/data/96869/000119312519119877/d718363dex46.htm" TargetMode="External"/><Relationship Id="rId86" Type="http://schemas.openxmlformats.org/officeDocument/2006/relationships/hyperlink" Target="https://www.sec.gov/Archives/edgar/data/96869/0000096869-98-000002.txt" TargetMode="External"/><Relationship Id="rId87" Type="http://schemas.openxmlformats.org/officeDocument/2006/relationships/hyperlink" Target="https://www.sec.gov/Archives/edgar/data/96869/000119312509042772/dex109.htm" TargetMode="External"/><Relationship Id="rId88" Type="http://schemas.openxmlformats.org/officeDocument/2006/relationships/hyperlink" Target="https://www.sec.gov/Archives/edgar/data/96869/000119312509042772/dex1010.htm" TargetMode="External"/><Relationship Id="rId89" Type="http://schemas.openxmlformats.org/officeDocument/2006/relationships/hyperlink" Target="https://www.sec.gov/Archives/edgar/data/96869/000102140802004535/dex1016.txt" TargetMode="External"/><Relationship Id="rId90" Type="http://schemas.openxmlformats.org/officeDocument/2006/relationships/hyperlink" Target="https://www.sec.gov/Archives/edgar/data/96869/000119312504082310/dex41.htm" TargetMode="External"/><Relationship Id="rId91" Type="http://schemas.openxmlformats.org/officeDocument/2006/relationships/hyperlink" Target="https://www.sec.gov/Archives/edgar/data/96869/000119312504082310/dex42.htm" TargetMode="External"/><Relationship Id="rId92" Type="http://schemas.openxmlformats.org/officeDocument/2006/relationships/hyperlink" Target="https://www.sec.gov/Archives/edgar/data/96869/000119312505051499/dex1021.htm" TargetMode="External"/><Relationship Id="rId93" Type="http://schemas.openxmlformats.org/officeDocument/2006/relationships/hyperlink" Target="https://www.sec.gov/Archives/edgar/data/96869/000119312505051499/dex1023.htm" TargetMode="External"/><Relationship Id="rId94" Type="http://schemas.openxmlformats.org/officeDocument/2006/relationships/hyperlink" Target="https://www.sec.gov/Archives/edgar/data/96869/000119312505051499/dex1022.htm" TargetMode="External"/><Relationship Id="rId95" Type="http://schemas.openxmlformats.org/officeDocument/2006/relationships/hyperlink" Target="https://www.sec.gov/Archives/edgar/data/96869/000119312506118520/dex1024.htm" TargetMode="External"/><Relationship Id="rId96" Type="http://schemas.openxmlformats.org/officeDocument/2006/relationships/hyperlink" Target="https://www.sec.gov/Archives/edgar/data/96869/000119312508138009/dex1028.htm" TargetMode="External"/><Relationship Id="rId97" Type="http://schemas.openxmlformats.org/officeDocument/2006/relationships/hyperlink" Target="https://www.sec.gov/Archives/edgar/data/96869/000119312509170594/dex1025.htm" TargetMode="External"/><Relationship Id="rId98" Type="http://schemas.openxmlformats.org/officeDocument/2006/relationships/hyperlink" Target="https://www.sec.gov/Archives/edgar/data/96869/000144530513001209/exhibit1026-execagreementa.htm" TargetMode="External"/><Relationship Id="rId99" Type="http://schemas.openxmlformats.org/officeDocument/2006/relationships/hyperlink" Target="https://www.sec.gov/Archives/edgar/data/96869/000119312513246605/d549609dex1027.htm" TargetMode="External"/><Relationship Id="rId100" Type="http://schemas.openxmlformats.org/officeDocument/2006/relationships/hyperlink" Target="https://www.sec.gov/Archives/edgar/data/96869/000119312513326495/d581835dex101.htm" TargetMode="External"/><Relationship Id="rId101" Type="http://schemas.openxmlformats.org/officeDocument/2006/relationships/hyperlink" Target="https://www.sec.gov/Archives/edgar/data/96869/000009686914000009/exhibit1029tmvamendments20.htm" TargetMode="External"/><Relationship Id="rId104" Type="http://schemas.openxmlformats.org/officeDocument/2006/relationships/hyperlink" Target="https://www.sec.gov/Archives/edgar/data/96869/000119312514270067/d758856dex1030.htm" TargetMode="External"/><Relationship Id="rId105" Type="http://schemas.openxmlformats.org/officeDocument/2006/relationships/hyperlink" Target="https://www.sec.gov/Archives/edgar/data/96869/000009686915000003/exhibit1034calpineagreemen.htm" TargetMode="External"/><Relationship Id="rId106" Type="http://schemas.openxmlformats.org/officeDocument/2006/relationships/hyperlink" Target="https://www.sec.gov/Archives/edgar/data/96869/000009686915000010/ex1035q32015.htm" TargetMode="External"/><Relationship Id="rId107" Type="http://schemas.openxmlformats.org/officeDocument/2006/relationships/hyperlink" Target="https://www.sec.gov/Archives/edgar/data/96869/000009686916000017/ex1037limitedliabilityagre.htm" TargetMode="External"/><Relationship Id="rId108" Type="http://schemas.openxmlformats.org/officeDocument/2006/relationships/hyperlink" Target="https://www.sec.gov/Archives/edgar/data/96869/000009686916000019/ex1038llagreementoftrc-mrc1.htm" TargetMode="External"/><Relationship Id="rId109" Type="http://schemas.openxmlformats.org/officeDocument/2006/relationships/hyperlink" Target="https://www.sec.gov/Archives/edgar/data/96869/000009686917000002/exhibit1039centennialredem.htm" TargetMode="External"/><Relationship Id="rId110" Type="http://schemas.openxmlformats.org/officeDocument/2006/relationships/hyperlink" Target="https://www.sec.gov/Archives/edgar/data/96869/000009686917000002/exhibit1040firstamendmentt.htm" TargetMode="External"/><Relationship Id="rId111" Type="http://schemas.openxmlformats.org/officeDocument/2006/relationships/hyperlink" Target="https://www.sec.gov/Archives/edgar/data/96869/000009686917000002/exhibit1041secondamendment.htm" TargetMode="External"/><Relationship Id="rId112" Type="http://schemas.openxmlformats.org/officeDocument/2006/relationships/hyperlink" Target="https://www.sec.gov/Archives/edgar/data/96869/000009686918000015/ex1042trcmrc3llc.htm" TargetMode="External"/><Relationship Id="rId113" Type="http://schemas.openxmlformats.org/officeDocument/2006/relationships/hyperlink" Target="https://www.sec.gov/Archives/edgar/data/96869/000009686919000004/exhibit1043201810k.htm" TargetMode="External"/><Relationship Id="rId114" Type="http://schemas.openxmlformats.org/officeDocument/2006/relationships/hyperlink" Target="https://www.sec.gov/Archives/edgar/data/96869/000009686919000004/exhibit1044201810k.htm" TargetMode="External"/><Relationship Id="rId115" Type="http://schemas.openxmlformats.org/officeDocument/2006/relationships/hyperlink" Target="https://www.sec.gov/Archives/edgar/data/96869/000009686920000007/exhibit1047-gregbseverance.htm" TargetMode="External"/><Relationship Id="rId116" Type="http://schemas.openxmlformats.org/officeDocument/2006/relationships/hyperlink" Target="https://www.sec.gov/Archives/edgar/data/0000096869/000009686921000011/ex1048mrc4llc.htm" TargetMode="External"/><Relationship Id="rId117" Type="http://schemas.openxmlformats.org/officeDocument/2006/relationships/hyperlink" Target="https://www.sec.gov/Archives/edgar/data/96869/000009686922000005/exhibit1048centennialcrf.htm" TargetMode="External"/><Relationship Id="rId118" Type="http://schemas.openxmlformats.org/officeDocument/2006/relationships/hyperlink" Target="https://www.sec.gov/Archives/edgar/data/96869/000009686922000005/exhibit1050trc-mrcmultii.htm" TargetMode="External"/><Relationship Id="rId119" Type="http://schemas.openxmlformats.org/officeDocument/2006/relationships/hyperlink" Target="https://www.sec.gov/Archives/edgar/data/96869/000009686922000009/ex1051mrc5.htm" TargetMode="External"/><Relationship Id="rId120" Type="http://schemas.openxmlformats.org/officeDocument/2006/relationships/hyperlink" Target="https://www.sec.gov/Archives/edgar/data/96869/000009686922000012/ex1052creditagreementbof.htm" TargetMode="External"/><Relationship Id="rId121" Type="http://schemas.openxmlformats.org/officeDocument/2006/relationships/hyperlink" Target="https://www.sec.gov/Archives/edgar/data/96869/000009686923000014/ex1053mhsevag.htm" TargetMode="External"/><Relationship Id="rId122" Type="http://schemas.openxmlformats.org/officeDocument/2006/relationships/hyperlink" Target="https://www.sec.gov/Archives/edgar/data/96869/000119312523280777/d518195dex1001.htm" TargetMode="External"/><Relationship Id="rId123" Type="http://schemas.openxmlformats.org/officeDocument/2006/relationships/hyperlink" Target="https://www.sec.gov/Archives/edgar/data/96869/000119312524076651/d796643dex1001.htm" TargetMode="External"/><Relationship Id="rId124" Type="http://schemas.openxmlformats.org/officeDocument/2006/relationships/hyperlink" Target="https://www.sec.gov/Archives/edgar/data/96869/000009686924000014/trcdpllc.htm" TargetMode="External"/><Relationship Id="rId125" Type="http://schemas.openxmlformats.org/officeDocument/2006/relationships/hyperlink" Target="https://www.sec.gov/Archives/edgar/data/96869/000119312525024064/d930665dex1001.htm" TargetMode="External"/><Relationship Id="rId126" Type="http://schemas.openxmlformats.org/officeDocument/2006/relationships/hyperlink" Target="https://www.sec.gov/Archives/edgar/data/96869/000119312525240902/d916357dex1001.htm" TargetMode="External"/><Relationship Id="rId127" Type="http://schemas.openxmlformats.org/officeDocument/2006/relationships/hyperlink" Target="https://www.sec.gov/Archives/edgar/data/96869/000119312524253871/d901734dex1001.htm" TargetMode="External"/><Relationship Id="rId128" Type="http://schemas.openxmlformats.org/officeDocument/2006/relationships/hyperlink" Target="https://www.sec.gov/Archives/edgar/data/96869/000009686925000032/a2023stockincentiveplan.htm" TargetMode="External"/><Relationship Id="rId129" Type="http://schemas.openxmlformats.org/officeDocument/2006/relationships/hyperlink" Target="https://www.sec.gov/Archives/edgar/data/96869/000009686925000032/tejonranchrestrictedsto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2025-11-06T14:39:37Z</dcterms:created>
  <dcterms:modified xsi:type="dcterms:W3CDTF">2025-11-06T14:39:37Z</dcterms:modified>
</cp:coreProperties>
</file>