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44" w:lineRule="exact"/>
        <w:rPr>
          <w:sz w:val="24"/>
          <w:szCs w:val="24"/>
          <w:color w:val="auto"/>
        </w:rPr>
      </w:pPr>
    </w:p>
    <w:p>
      <w:pPr>
        <w:jc w:val="center"/>
        <w:ind w:left="3860" w:right="1300" w:hanging="2450"/>
        <w:spacing w:after="0" w:line="280" w:lineRule="auto"/>
        <w:tabs>
          <w:tab w:leader="none" w:pos="161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103505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TEJON RANCH CO.</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77-0196136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(I.R.S. Employer Identification No.)</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P.O. Box 1000, Tejon Ranch, California 93243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(661) 248-3000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4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$0.50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TRC</w:t>
            </w:r>
          </w:p>
        </w:tc>
        <w:tc>
          <w:tcPr>
            <w:tcW w:w="100" w:type="dxa"/>
            <w:vAlign w:val="bottom"/>
          </w:tcPr>
          <w:p>
            <w:pPr>
              <w:spacing w:after="0"/>
              <w:rPr>
                <w:sz w:val="19"/>
                <w:szCs w:val="19"/>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77" w:lineRule="exact"/>
        <w:rPr>
          <w:sz w:val="24"/>
          <w:szCs w:val="24"/>
          <w:color w:val="auto"/>
        </w:rPr>
      </w:pPr>
    </w:p>
    <w:p>
      <w:pPr>
        <w:ind w:left="20" w:right="26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05" w:lineRule="exact"/>
        <w:rPr>
          <w:sz w:val="24"/>
          <w:szCs w:val="24"/>
          <w:color w:val="auto"/>
        </w:rPr>
      </w:pPr>
    </w:p>
    <w:p>
      <w:pPr>
        <w:ind w:left="3260"/>
        <w:spacing w:after="0" w:line="184" w:lineRule="exact"/>
        <w:tabs>
          <w:tab w:leader="none" w:pos="4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78" w:lineRule="exact"/>
        <w:rPr>
          <w:sz w:val="24"/>
          <w:szCs w:val="24"/>
          <w:color w:val="auto"/>
        </w:rPr>
      </w:pPr>
    </w:p>
    <w:p>
      <w:pPr>
        <w:ind w:left="20" w:right="28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81" w:lineRule="exact"/>
        <w:rPr>
          <w:sz w:val="24"/>
          <w:szCs w:val="24"/>
          <w:color w:val="auto"/>
        </w:rPr>
      </w:pPr>
    </w:p>
    <w:p>
      <w:pPr>
        <w:ind w:left="3260"/>
        <w:spacing w:after="0" w:line="184" w:lineRule="exact"/>
        <w:tabs>
          <w:tab w:leader="none" w:pos="4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05" w:lineRule="exact"/>
        <w:rPr>
          <w:sz w:val="24"/>
          <w:szCs w:val="24"/>
          <w:color w:val="auto"/>
        </w:rPr>
      </w:pPr>
    </w:p>
    <w:p>
      <w:pPr>
        <w:ind w:left="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p>
      <w:pPr>
        <w:ind w:left="2040"/>
        <w:spacing w:after="0" w:line="184" w:lineRule="exact"/>
        <w:tabs>
          <w:tab w:leader="none" w:pos="52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107" w:lineRule="exact"/>
        <w:rPr>
          <w:sz w:val="24"/>
          <w:szCs w:val="24"/>
          <w:color w:val="auto"/>
        </w:rPr>
      </w:pPr>
    </w:p>
    <w:p>
      <w:pPr>
        <w:ind w:left="2120"/>
        <w:spacing w:after="0" w:line="184" w:lineRule="exact"/>
        <w:tabs>
          <w:tab w:leader="none" w:pos="454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jc w:val="center"/>
        <w:ind w:right="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7" w:lineRule="exact"/>
        <w:rPr>
          <w:sz w:val="24"/>
          <w:szCs w:val="24"/>
          <w:color w:val="auto"/>
        </w:rPr>
      </w:pPr>
    </w:p>
    <w:p>
      <w:pPr>
        <w:ind w:left="20" w:right="46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0" w:lineRule="exact"/>
        <w:rPr>
          <w:sz w:val="24"/>
          <w:szCs w:val="24"/>
          <w:color w:val="auto"/>
        </w:rPr>
      </w:pPr>
    </w:p>
    <w:p>
      <w:pPr>
        <w:spacing w:after="0" w:line="275" w:lineRule="exact"/>
        <w:rPr>
          <w:sz w:val="24"/>
          <w:szCs w:val="24"/>
          <w:color w:val="auto"/>
        </w:rPr>
      </w:pPr>
    </w:p>
    <w:p>
      <w:pPr>
        <w:ind w:left="3260"/>
        <w:spacing w:after="0" w:line="184" w:lineRule="exact"/>
        <w:tabs>
          <w:tab w:leader="none" w:pos="4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ectPr>
          <w:pgSz w:w="11900" w:h="16838" w:orient="portrait"/>
          <w:cols w:equalWidth="0" w:num="1">
            <w:col w:w="11140"/>
          </w:cols>
          <w:pgMar w:left="320" w:top="958" w:right="439" w:bottom="72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the Company’s outstanding shares of Common Stock on October 31, 2020 was 26,236,852.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58" w:right="439" w:bottom="72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vMerge w:val="restart"/>
          </w:tcPr>
          <w:p>
            <w:pPr>
              <w:ind w:left="20"/>
              <w:spacing w:after="0"/>
              <w:rPr>
                <w:sz w:val="20"/>
                <w:szCs w:val="20"/>
                <w:color w:val="auto"/>
              </w:rPr>
            </w:pPr>
            <w:r>
              <w:rPr>
                <w:rFonts w:ascii="Arial" w:cs="Arial" w:eastAsia="Arial" w:hAnsi="Arial"/>
                <w:sz w:val="18"/>
                <w:szCs w:val="18"/>
                <w:color w:val="auto"/>
              </w:rPr>
              <w:t>PART I.</w:t>
            </w:r>
          </w:p>
        </w:tc>
        <w:tc>
          <w:tcPr>
            <w:tcW w:w="948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w w:val="97"/>
              </w:rPr>
            </w:pPr>
            <w:hyperlink w:anchor="page3">
              <w:r>
                <w:rPr>
                  <w:rFonts w:ascii="Arial" w:cs="Arial" w:eastAsia="Arial" w:hAnsi="Arial"/>
                  <w:sz w:val="18"/>
                  <w:szCs w:val="18"/>
                  <w:color w:val="auto"/>
                  <w:w w:val="97"/>
                </w:rPr>
                <w:t>Unaudited Consolidated Statements of Operations for the Three and Nine Months Ended September 30, 2020 and 2019</w:t>
              </w:r>
            </w:hyperlink>
          </w:p>
        </w:tc>
        <w:tc>
          <w:tcPr>
            <w:tcW w:w="940" w:type="dxa"/>
            <w:vAlign w:val="bottom"/>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w w:val="94"/>
              </w:rPr>
            </w:pPr>
            <w:hyperlink w:anchor="page3">
              <w:r>
                <w:rPr>
                  <w:rFonts w:ascii="Arial" w:cs="Arial" w:eastAsia="Arial" w:hAnsi="Arial"/>
                  <w:sz w:val="18"/>
                  <w:szCs w:val="18"/>
                  <w:color w:val="auto"/>
                  <w:w w:val="94"/>
                </w:rPr>
                <w:t xml:space="preserve">Unaudited Consolidated Statements of Comprehensive Income </w:t>
              </w:r>
            </w:hyperlink>
            <w:r>
              <w:rPr>
                <w:rFonts w:ascii="Arial" w:cs="Arial" w:eastAsia="Arial" w:hAnsi="Arial"/>
                <w:sz w:val="18"/>
                <w:szCs w:val="18"/>
                <w:color w:val="auto"/>
                <w:w w:val="94"/>
              </w:rPr>
              <w:t>(Loss) for the Three and Nine Months Ended September 30,</w:t>
            </w:r>
          </w:p>
        </w:tc>
        <w:tc>
          <w:tcPr>
            <w:tcW w:w="940" w:type="dxa"/>
            <w:vAlign w:val="bottom"/>
            <w:vMerge w:val="restart"/>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2020 and 2019</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rPr>
            </w:pPr>
            <w:hyperlink w:anchor="page4">
              <w:r>
                <w:rPr>
                  <w:rFonts w:ascii="Arial" w:cs="Arial" w:eastAsia="Arial" w:hAnsi="Arial"/>
                  <w:sz w:val="18"/>
                  <w:szCs w:val="18"/>
                  <w:color w:val="auto"/>
                </w:rPr>
                <w:t>Consolidated Balance Sheets as of September 30, 2020 (unaudited) and December 31, 2019</w:t>
              </w:r>
            </w:hyperlink>
          </w:p>
        </w:tc>
        <w:tc>
          <w:tcPr>
            <w:tcW w:w="94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rPr>
            </w:pPr>
            <w:hyperlink w:anchor="page5">
              <w:r>
                <w:rPr>
                  <w:rFonts w:ascii="Arial" w:cs="Arial" w:eastAsia="Arial" w:hAnsi="Arial"/>
                  <w:sz w:val="18"/>
                  <w:szCs w:val="18"/>
                  <w:color w:val="auto"/>
                </w:rPr>
                <w:t>Unaudited Consolidated Statements of Cash Flows for the Nine Months Ended September 30, 2020 and 2019</w:t>
              </w:r>
            </w:hyperlink>
          </w:p>
        </w:tc>
        <w:tc>
          <w:tcPr>
            <w:tcW w:w="94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w w:val="94"/>
              </w:rPr>
            </w:pPr>
            <w:hyperlink w:anchor="page5">
              <w:r>
                <w:rPr>
                  <w:rFonts w:ascii="Arial" w:cs="Arial" w:eastAsia="Arial" w:hAnsi="Arial"/>
                  <w:sz w:val="18"/>
                  <w:szCs w:val="18"/>
                  <w:color w:val="auto"/>
                  <w:w w:val="94"/>
                </w:rPr>
                <w:t>Unaudited Consolidated Statement of Changes in Equity and Noncontrolling Interests for the Three and Nine Months Ended</w:t>
              </w:r>
            </w:hyperlink>
          </w:p>
        </w:tc>
        <w:tc>
          <w:tcPr>
            <w:tcW w:w="940" w:type="dxa"/>
            <w:vAlign w:val="bottom"/>
            <w:vMerge w:val="restart"/>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480" w:type="dxa"/>
            <w:vAlign w:val="bottom"/>
          </w:tcPr>
          <w:p>
            <w:pPr>
              <w:ind w:left="160"/>
              <w:spacing w:after="0"/>
              <w:rPr>
                <w:rFonts w:ascii="Arial" w:cs="Arial" w:eastAsia="Arial" w:hAnsi="Arial"/>
                <w:sz w:val="18"/>
                <w:szCs w:val="18"/>
                <w:color w:val="auto"/>
              </w:rPr>
            </w:pPr>
            <w:hyperlink w:anchor="page5">
              <w:r>
                <w:rPr>
                  <w:rFonts w:ascii="Arial" w:cs="Arial" w:eastAsia="Arial" w:hAnsi="Arial"/>
                  <w:sz w:val="18"/>
                  <w:szCs w:val="18"/>
                  <w:color w:val="auto"/>
                </w:rPr>
                <w:t>September 30, 2020 and 2019</w:t>
              </w:r>
            </w:hyperlink>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rPr>
            </w:pPr>
            <w:hyperlink w:anchor="page9">
              <w:r>
                <w:rPr>
                  <w:rFonts w:ascii="Arial" w:cs="Arial" w:eastAsia="Arial" w:hAnsi="Arial"/>
                  <w:sz w:val="18"/>
                  <w:szCs w:val="18"/>
                  <w:color w:val="auto"/>
                </w:rPr>
                <w:t>Notes to Unaudited Consolidated Financial Statements</w:t>
              </w:r>
            </w:hyperlink>
          </w:p>
        </w:tc>
        <w:tc>
          <w:tcPr>
            <w:tcW w:w="940" w:type="dxa"/>
            <w:vAlign w:val="bottom"/>
          </w:tcPr>
          <w:p>
            <w:pPr>
              <w:jc w:val="center"/>
              <w:spacing w:after="0"/>
              <w:rPr>
                <w:rFonts w:ascii="Arial" w:cs="Arial" w:eastAsia="Arial" w:hAnsi="Arial"/>
                <w:sz w:val="18"/>
                <w:szCs w:val="18"/>
                <w:color w:val="auto"/>
                <w:w w:val="89"/>
              </w:rPr>
            </w:pPr>
            <w:hyperlink w:anchor="page9">
              <w:r>
                <w:rPr>
                  <w:rFonts w:ascii="Arial" w:cs="Arial" w:eastAsia="Arial" w:hAnsi="Arial"/>
                  <w:sz w:val="18"/>
                  <w:szCs w:val="18"/>
                  <w:color w:val="auto"/>
                  <w:w w:val="89"/>
                </w:rPr>
                <w:t>10</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480" w:type="dxa"/>
            <w:vAlign w:val="bottom"/>
          </w:tcPr>
          <w:p>
            <w:pPr>
              <w:ind w:left="160"/>
              <w:spacing w:after="0"/>
              <w:rPr>
                <w:rFonts w:ascii="Arial" w:cs="Arial" w:eastAsia="Arial" w:hAnsi="Arial"/>
                <w:sz w:val="18"/>
                <w:szCs w:val="18"/>
                <w:color w:val="auto"/>
              </w:rPr>
            </w:pPr>
            <w:hyperlink w:anchor="page31">
              <w:r>
                <w:rPr>
                  <w:rFonts w:ascii="Arial" w:cs="Arial" w:eastAsia="Arial" w:hAnsi="Arial"/>
                  <w:sz w:val="18"/>
                  <w:szCs w:val="18"/>
                  <w:color w:val="auto"/>
                </w:rPr>
                <w:t>Management’s Discussion and Analysis of Financial Condition and Results of Operations</w:t>
              </w:r>
            </w:hyperlink>
          </w:p>
        </w:tc>
        <w:tc>
          <w:tcPr>
            <w:tcW w:w="940" w:type="dxa"/>
            <w:vAlign w:val="bottom"/>
          </w:tcPr>
          <w:p>
            <w:pPr>
              <w:jc w:val="cente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tcPr>
          <w:p>
            <w:pPr>
              <w:ind w:left="160"/>
              <w:spacing w:after="0"/>
              <w:rPr>
                <w:rFonts w:ascii="Arial" w:cs="Arial" w:eastAsia="Arial" w:hAnsi="Arial"/>
                <w:sz w:val="18"/>
                <w:szCs w:val="18"/>
                <w:color w:val="auto"/>
              </w:rPr>
            </w:pPr>
            <w:hyperlink w:anchor="page51">
              <w:r>
                <w:rPr>
                  <w:rFonts w:ascii="Arial" w:cs="Arial" w:eastAsia="Arial" w:hAnsi="Arial"/>
                  <w:sz w:val="18"/>
                  <w:szCs w:val="18"/>
                  <w:color w:val="auto"/>
                </w:rPr>
                <w:t>Quantitative and Qualitative Disclosures About Market Risk</w:t>
              </w:r>
            </w:hyperlink>
          </w:p>
        </w:tc>
        <w:tc>
          <w:tcPr>
            <w:tcW w:w="9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52</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Controls and Procedures</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54</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PART II.</w:t>
            </w:r>
          </w:p>
        </w:tc>
        <w:tc>
          <w:tcPr>
            <w:tcW w:w="9480" w:type="dxa"/>
            <w:vAlign w:val="bottom"/>
          </w:tcPr>
          <w:p>
            <w:pPr>
              <w:ind w:left="160"/>
              <w:spacing w:after="0"/>
              <w:rPr>
                <w:rFonts w:ascii="Arial" w:cs="Arial" w:eastAsia="Arial" w:hAnsi="Arial"/>
                <w:sz w:val="18"/>
                <w:szCs w:val="18"/>
                <w:color w:val="auto"/>
              </w:rPr>
            </w:pPr>
            <w:hyperlink w:anchor="page54">
              <w:r>
                <w:rPr>
                  <w:rFonts w:ascii="Arial" w:cs="Arial" w:eastAsia="Arial" w:hAnsi="Arial"/>
                  <w:sz w:val="18"/>
                  <w:szCs w:val="18"/>
                  <w:color w:val="auto"/>
                </w:rPr>
                <w:t>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tcPr>
          <w:p>
            <w:pPr>
              <w:ind w:left="160"/>
              <w:spacing w:after="0"/>
              <w:rPr>
                <w:rFonts w:ascii="Arial" w:cs="Arial" w:eastAsia="Arial" w:hAnsi="Arial"/>
                <w:sz w:val="18"/>
                <w:szCs w:val="18"/>
                <w:color w:val="auto"/>
              </w:rPr>
            </w:pPr>
            <w:hyperlink w:anchor="page55">
              <w:r>
                <w:rPr>
                  <w:rFonts w:ascii="Arial" w:cs="Arial" w:eastAsia="Arial" w:hAnsi="Arial"/>
                  <w:sz w:val="18"/>
                  <w:szCs w:val="18"/>
                  <w:color w:val="auto"/>
                </w:rPr>
                <w:t>Legal Proceedings</w:t>
              </w:r>
            </w:hyperlink>
          </w:p>
        </w:tc>
        <w:tc>
          <w:tcPr>
            <w:tcW w:w="940" w:type="dxa"/>
            <w:vAlign w:val="bottom"/>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55</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1A.</w:t>
            </w:r>
          </w:p>
        </w:tc>
        <w:tc>
          <w:tcPr>
            <w:tcW w:w="9480" w:type="dxa"/>
            <w:vAlign w:val="bottom"/>
          </w:tcPr>
          <w:p>
            <w:pPr>
              <w:ind w:left="160"/>
              <w:spacing w:after="0"/>
              <w:rPr>
                <w:rFonts w:ascii="Arial" w:cs="Arial" w:eastAsia="Arial" w:hAnsi="Arial"/>
                <w:sz w:val="18"/>
                <w:szCs w:val="18"/>
                <w:color w:val="auto"/>
              </w:rPr>
            </w:pPr>
            <w:hyperlink w:anchor="page55">
              <w:r>
                <w:rPr>
                  <w:rFonts w:ascii="Arial" w:cs="Arial" w:eastAsia="Arial" w:hAnsi="Arial"/>
                  <w:sz w:val="18"/>
                  <w:szCs w:val="18"/>
                  <w:color w:val="auto"/>
                </w:rPr>
                <w:t>Risk Factors</w:t>
              </w:r>
            </w:hyperlink>
          </w:p>
        </w:tc>
        <w:tc>
          <w:tcPr>
            <w:tcW w:w="940" w:type="dxa"/>
            <w:vAlign w:val="bottom"/>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55</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480" w:type="dxa"/>
            <w:vAlign w:val="bottom"/>
          </w:tcPr>
          <w:p>
            <w:pPr>
              <w:ind w:left="160"/>
              <w:spacing w:after="0"/>
              <w:rPr>
                <w:rFonts w:ascii="Arial" w:cs="Arial" w:eastAsia="Arial" w:hAnsi="Arial"/>
                <w:sz w:val="18"/>
                <w:szCs w:val="18"/>
                <w:color w:val="auto"/>
              </w:rPr>
            </w:pPr>
            <w:hyperlink w:anchor="page55">
              <w:r>
                <w:rPr>
                  <w:rFonts w:ascii="Arial" w:cs="Arial" w:eastAsia="Arial" w:hAnsi="Arial"/>
                  <w:sz w:val="18"/>
                  <w:szCs w:val="18"/>
                  <w:color w:val="auto"/>
                </w:rPr>
                <w:t>Unregistered Sales of Equity Securities and Use of Proceeds</w:t>
              </w:r>
            </w:hyperlink>
          </w:p>
        </w:tc>
        <w:tc>
          <w:tcPr>
            <w:tcW w:w="940" w:type="dxa"/>
            <w:vAlign w:val="bottom"/>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56</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tcPr>
          <w:p>
            <w:pPr>
              <w:ind w:left="160"/>
              <w:spacing w:after="0"/>
              <w:rPr>
                <w:rFonts w:ascii="Arial" w:cs="Arial" w:eastAsia="Arial" w:hAnsi="Arial"/>
                <w:sz w:val="18"/>
                <w:szCs w:val="18"/>
                <w:color w:val="auto"/>
              </w:rPr>
            </w:pPr>
            <w:hyperlink w:anchor="page56">
              <w:r>
                <w:rPr>
                  <w:rFonts w:ascii="Arial" w:cs="Arial" w:eastAsia="Arial" w:hAnsi="Arial"/>
                  <w:sz w:val="18"/>
                  <w:szCs w:val="18"/>
                  <w:color w:val="auto"/>
                </w:rPr>
                <w:t>Defaults Upon Senior Securities</w:t>
              </w:r>
            </w:hyperlink>
          </w:p>
        </w:tc>
        <w:tc>
          <w:tcPr>
            <w:tcW w:w="94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56</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tcPr>
          <w:p>
            <w:pPr>
              <w:ind w:left="160"/>
              <w:spacing w:after="0"/>
              <w:rPr>
                <w:rFonts w:ascii="Arial" w:cs="Arial" w:eastAsia="Arial" w:hAnsi="Arial"/>
                <w:sz w:val="18"/>
                <w:szCs w:val="18"/>
                <w:color w:val="auto"/>
              </w:rPr>
            </w:pPr>
            <w:hyperlink w:anchor="page56">
              <w:r>
                <w:rPr>
                  <w:rFonts w:ascii="Arial" w:cs="Arial" w:eastAsia="Arial" w:hAnsi="Arial"/>
                  <w:sz w:val="18"/>
                  <w:szCs w:val="18"/>
                  <w:color w:val="auto"/>
                </w:rPr>
                <w:t>Mine Safety Disclosures</w:t>
              </w:r>
            </w:hyperlink>
          </w:p>
        </w:tc>
        <w:tc>
          <w:tcPr>
            <w:tcW w:w="94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56</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5.</w:t>
            </w:r>
          </w:p>
        </w:tc>
        <w:tc>
          <w:tcPr>
            <w:tcW w:w="9480" w:type="dxa"/>
            <w:vAlign w:val="bottom"/>
          </w:tcPr>
          <w:p>
            <w:pPr>
              <w:ind w:left="160"/>
              <w:spacing w:after="0"/>
              <w:rPr>
                <w:rFonts w:ascii="Arial" w:cs="Arial" w:eastAsia="Arial" w:hAnsi="Arial"/>
                <w:sz w:val="18"/>
                <w:szCs w:val="18"/>
                <w:color w:val="auto"/>
              </w:rPr>
            </w:pPr>
            <w:hyperlink w:anchor="page56">
              <w:r>
                <w:rPr>
                  <w:rFonts w:ascii="Arial" w:cs="Arial" w:eastAsia="Arial" w:hAnsi="Arial"/>
                  <w:sz w:val="18"/>
                  <w:szCs w:val="18"/>
                  <w:color w:val="auto"/>
                </w:rPr>
                <w:t>Other Information</w:t>
              </w:r>
            </w:hyperlink>
          </w:p>
        </w:tc>
        <w:tc>
          <w:tcPr>
            <w:tcW w:w="94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56</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6.</w:t>
            </w:r>
          </w:p>
        </w:tc>
        <w:tc>
          <w:tcPr>
            <w:tcW w:w="9480" w:type="dxa"/>
            <w:vAlign w:val="bottom"/>
          </w:tcPr>
          <w:p>
            <w:pPr>
              <w:ind w:left="160"/>
              <w:spacing w:after="0"/>
              <w:rPr>
                <w:rFonts w:ascii="Arial" w:cs="Arial" w:eastAsia="Arial" w:hAnsi="Arial"/>
                <w:sz w:val="18"/>
                <w:szCs w:val="18"/>
                <w:color w:val="auto"/>
              </w:rPr>
            </w:pPr>
            <w:hyperlink w:anchor="page56">
              <w:r>
                <w:rPr>
                  <w:rFonts w:ascii="Arial" w:cs="Arial" w:eastAsia="Arial" w:hAnsi="Arial"/>
                  <w:sz w:val="18"/>
                  <w:szCs w:val="18"/>
                  <w:color w:val="auto"/>
                </w:rPr>
                <w:t>Exhibits</w:t>
              </w:r>
            </w:hyperlink>
          </w:p>
        </w:tc>
        <w:tc>
          <w:tcPr>
            <w:tcW w:w="94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56</w:t>
              </w:r>
            </w:hyperlink>
          </w:p>
        </w:tc>
        <w:tc>
          <w:tcPr>
            <w:tcW w:w="0" w:type="dxa"/>
            <w:vAlign w:val="bottom"/>
          </w:tcPr>
          <w:p>
            <w:pPr>
              <w:spacing w:after="0"/>
              <w:rPr>
                <w:sz w:val="1"/>
                <w:szCs w:val="1"/>
                <w:color w:val="auto"/>
              </w:rPr>
            </w:pPr>
          </w:p>
        </w:tc>
      </w:tr>
      <w:tr>
        <w:trPr>
          <w:trHeight w:val="377"/>
        </w:trPr>
        <w:tc>
          <w:tcPr>
            <w:tcW w:w="10300" w:type="dxa"/>
            <w:vAlign w:val="bottom"/>
            <w:gridSpan w:val="2"/>
          </w:tcPr>
          <w:p>
            <w:pPr>
              <w:ind w:left="20"/>
              <w:spacing w:after="0"/>
              <w:rPr>
                <w:rFonts w:ascii="Arial" w:cs="Arial" w:eastAsia="Arial" w:hAnsi="Arial"/>
                <w:sz w:val="18"/>
                <w:szCs w:val="18"/>
                <w:color w:val="auto"/>
              </w:rPr>
            </w:pPr>
            <w:hyperlink w:anchor="page59">
              <w:r>
                <w:rPr>
                  <w:rFonts w:ascii="Arial" w:cs="Arial" w:eastAsia="Arial" w:hAnsi="Arial"/>
                  <w:sz w:val="18"/>
                  <w:szCs w:val="18"/>
                  <w:color w:val="auto"/>
                </w:rPr>
                <w:t>SIGNATURES</w:t>
              </w:r>
            </w:hyperlink>
          </w:p>
        </w:tc>
        <w:tc>
          <w:tcPr>
            <w:tcW w:w="940" w:type="dxa"/>
            <w:vAlign w:val="bottom"/>
          </w:tcPr>
          <w:p>
            <w:pPr>
              <w:jc w:val="center"/>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60</w:t>
              </w:r>
            </w:hyperlink>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9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820" w:type="dxa"/>
            <w:vAlign w:val="bottom"/>
          </w:tcPr>
          <w:p>
            <w:pPr>
              <w:spacing w:after="0"/>
              <w:rPr>
                <w:sz w:val="24"/>
                <w:szCs w:val="24"/>
                <w:color w:val="auto"/>
              </w:rPr>
            </w:pPr>
          </w:p>
        </w:tc>
        <w:tc>
          <w:tcPr>
            <w:tcW w:w="9480" w:type="dxa"/>
            <w:vAlign w:val="bottom"/>
          </w:tcPr>
          <w:p>
            <w:pPr>
              <w:ind w:left="47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3460" w:type="dxa"/>
            <w:vAlign w:val="bottom"/>
            <w:gridSpan w:val="6"/>
          </w:tcPr>
          <w:p>
            <w:pPr>
              <w:ind w:left="38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080" w:type="dxa"/>
            <w:vAlign w:val="bottom"/>
            <w:gridSpan w:val="4"/>
          </w:tcPr>
          <w:p>
            <w:pPr>
              <w:jc w:val="right"/>
              <w:ind w:right="310"/>
              <w:spacing w:after="0"/>
              <w:rPr>
                <w:sz w:val="20"/>
                <w:szCs w:val="20"/>
                <w:color w:val="auto"/>
              </w:rPr>
            </w:pPr>
            <w:r>
              <w:rPr>
                <w:rFonts w:ascii="Arial" w:cs="Arial" w:eastAsia="Arial" w:hAnsi="Arial"/>
                <w:sz w:val="18"/>
                <w:szCs w:val="18"/>
                <w:color w:val="auto"/>
                <w:w w:val="94"/>
              </w:rPr>
              <w:t>Nine Months Ended September 30,</w:t>
            </w:r>
          </w:p>
        </w:tc>
        <w:tc>
          <w:tcPr>
            <w:tcW w:w="0" w:type="dxa"/>
            <w:vAlign w:val="bottom"/>
          </w:tcPr>
          <w:p>
            <w:pPr>
              <w:spacing w:after="0"/>
              <w:rPr>
                <w:sz w:val="1"/>
                <w:szCs w:val="1"/>
                <w:color w:val="auto"/>
              </w:rPr>
            </w:pPr>
          </w:p>
        </w:tc>
      </w:tr>
      <w:tr>
        <w:trPr>
          <w:trHeight w:val="223"/>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 estate - commercial/industrial</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29"/>
        </w:trPr>
        <w:tc>
          <w:tcPr>
            <w:tcW w:w="4400" w:type="dxa"/>
            <w:vAlign w:val="bottom"/>
          </w:tcPr>
          <w:p>
            <w:pPr>
              <w:ind w:left="320"/>
              <w:spacing w:after="0"/>
              <w:rPr>
                <w:sz w:val="20"/>
                <w:szCs w:val="20"/>
                <w:color w:val="auto"/>
              </w:rPr>
            </w:pPr>
            <w:r>
              <w:rPr>
                <w:rFonts w:ascii="Arial" w:cs="Arial" w:eastAsia="Arial" w:hAnsi="Arial"/>
                <w:sz w:val="18"/>
                <w:szCs w:val="18"/>
                <w:color w:val="auto"/>
              </w:rPr>
              <w:t>Mineral resources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Farming</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Ranch operations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 estate - commercial/industrial</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29"/>
        </w:trPr>
        <w:tc>
          <w:tcPr>
            <w:tcW w:w="4400" w:type="dxa"/>
            <w:vAlign w:val="bottom"/>
          </w:tcPr>
          <w:p>
            <w:pPr>
              <w:ind w:left="320"/>
              <w:spacing w:after="0"/>
              <w:rPr>
                <w:sz w:val="20"/>
                <w:szCs w:val="20"/>
                <w:color w:val="auto"/>
              </w:rPr>
            </w:pPr>
            <w:r>
              <w:rPr>
                <w:rFonts w:ascii="Arial" w:cs="Arial" w:eastAsia="Arial" w:hAnsi="Arial"/>
                <w:sz w:val="18"/>
                <w:szCs w:val="18"/>
                <w:color w:val="auto"/>
              </w:rPr>
              <w:t>Real estate - resort/residential</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Mineral resources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29"/>
        </w:trPr>
        <w:tc>
          <w:tcPr>
            <w:tcW w:w="4400" w:type="dxa"/>
            <w:vAlign w:val="bottom"/>
          </w:tcPr>
          <w:p>
            <w:pPr>
              <w:ind w:left="320"/>
              <w:spacing w:after="0"/>
              <w:rPr>
                <w:sz w:val="20"/>
                <w:szCs w:val="20"/>
                <w:color w:val="auto"/>
              </w:rPr>
            </w:pPr>
            <w:r>
              <w:rPr>
                <w:rFonts w:ascii="Arial" w:cs="Arial" w:eastAsia="Arial" w:hAnsi="Arial"/>
                <w:sz w:val="18"/>
                <w:szCs w:val="18"/>
                <w:color w:val="auto"/>
              </w:rPr>
              <w:t>Farming</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Ranch operations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Corporate expenses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expenses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sale of real estate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income,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income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155"/>
        </w:trPr>
        <w:tc>
          <w:tcPr>
            <w:tcW w:w="4400" w:type="dxa"/>
            <w:vAlign w:val="bottom"/>
          </w:tcPr>
          <w:p>
            <w:pPr>
              <w:ind w:left="20"/>
              <w:spacing w:after="0" w:line="156" w:lineRule="exact"/>
              <w:rPr>
                <w:sz w:val="20"/>
                <w:szCs w:val="20"/>
                <w:color w:val="auto"/>
              </w:rPr>
            </w:pPr>
            <w:r>
              <w:rPr>
                <w:rFonts w:ascii="Arial" w:cs="Arial" w:eastAsia="Arial" w:hAnsi="Arial"/>
                <w:sz w:val="18"/>
                <w:szCs w:val="18"/>
                <w:color w:val="auto"/>
              </w:rPr>
              <w:t>Loss from operations before equity in earnings of</w:t>
            </w:r>
          </w:p>
        </w:tc>
        <w:tc>
          <w:tcPr>
            <w:tcW w:w="10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unconsolidated joint ventures</w:t>
            </w:r>
          </w:p>
        </w:tc>
        <w:tc>
          <w:tcPr>
            <w:tcW w:w="10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Equity in earnings of unconsolidated joint ventures, net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share attributable to common</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basic</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Net income (loss) per share attributable to common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00" w:type="dxa"/>
            <w:vAlign w:val="bottom"/>
            <w:vMerge w:val="continue"/>
          </w:tcPr>
          <w:p>
            <w:pPr>
              <w:spacing w:after="0"/>
              <w:rPr>
                <w:sz w:val="10"/>
                <w:szCs w:val="10"/>
                <w:color w:val="auto"/>
              </w:rPr>
            </w:pP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8"/>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stockholders, diluted</w:t>
            </w:r>
          </w:p>
        </w:tc>
        <w:tc>
          <w:tcPr>
            <w:tcW w:w="10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4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80" w:type="dxa"/>
            <w:vAlign w:val="bottom"/>
            <w:gridSpan w:val="4"/>
          </w:tcPr>
          <w:p>
            <w:pPr>
              <w:jc w:val="right"/>
              <w:ind w:right="57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Other comprehensive gain (loss):</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Unrealized (loss) gain on available-for-sale securities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Unrealized gain (loss) on interest rate swap</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gain (loss) before taxes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176"/>
        </w:trPr>
        <w:tc>
          <w:tcPr>
            <w:tcW w:w="4440" w:type="dxa"/>
            <w:vAlign w:val="bottom"/>
          </w:tcPr>
          <w:p>
            <w:pPr>
              <w:ind w:left="340"/>
              <w:spacing w:after="0" w:line="176" w:lineRule="exact"/>
              <w:rPr>
                <w:sz w:val="20"/>
                <w:szCs w:val="20"/>
                <w:color w:val="auto"/>
              </w:rPr>
            </w:pPr>
            <w:r>
              <w:rPr>
                <w:rFonts w:ascii="Arial" w:cs="Arial" w:eastAsia="Arial" w:hAnsi="Arial"/>
                <w:sz w:val="18"/>
                <w:szCs w:val="18"/>
                <w:color w:val="auto"/>
              </w:rPr>
              <w:t>(Expense) benefit for income taxes related to other</w:t>
            </w:r>
          </w:p>
        </w:tc>
        <w:tc>
          <w:tcPr>
            <w:tcW w:w="1140" w:type="dxa"/>
            <w:vAlign w:val="bottom"/>
          </w:tcPr>
          <w:p>
            <w:pPr>
              <w:spacing w:after="0"/>
              <w:rPr>
                <w:sz w:val="15"/>
                <w:szCs w:val="15"/>
                <w:color w:val="auto"/>
              </w:rPr>
            </w:pP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w w:val="99"/>
              </w:rPr>
              <w:t>(78)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comprehensive income items</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gain (loss)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14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Comprehensive loss attributable to non-controlling interests</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line="156" w:lineRule="exact"/>
              <w:rPr>
                <w:sz w:val="20"/>
                <w:szCs w:val="20"/>
                <w:color w:val="auto"/>
              </w:rPr>
            </w:pPr>
            <w:r>
              <w:rPr>
                <w:rFonts w:ascii="Arial" w:cs="Arial" w:eastAsia="Arial" w:hAnsi="Arial"/>
                <w:sz w:val="18"/>
                <w:szCs w:val="18"/>
                <w:color w:val="auto"/>
              </w:rPr>
              <w:t>Comprehensive income (loss) attributable to common</w:t>
            </w:r>
          </w:p>
        </w:tc>
        <w:tc>
          <w:tcPr>
            <w:tcW w:w="1140" w:type="dxa"/>
            <w:vAlign w:val="bottom"/>
            <w:vMerge w:val="restart"/>
          </w:tcPr>
          <w:p>
            <w:pPr>
              <w:jc w:val="right"/>
              <w:ind w:right="955"/>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3"/>
                <w:szCs w:val="13"/>
                <w:color w:val="auto"/>
              </w:rPr>
            </w:pPr>
          </w:p>
        </w:tc>
        <w:tc>
          <w:tcPr>
            <w:tcW w:w="1040" w:type="dxa"/>
            <w:vAlign w:val="bottom"/>
            <w:vMerge w:val="restart"/>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08"/>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11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September 30, 2020</w:t>
            </w:r>
          </w:p>
        </w:tc>
        <w:tc>
          <w:tcPr>
            <w:tcW w:w="200" w:type="dxa"/>
            <w:vAlign w:val="bottom"/>
          </w:tcPr>
          <w:p>
            <w:pPr>
              <w:spacing w:after="0"/>
              <w:rPr>
                <w:sz w:val="19"/>
                <w:szCs w:val="19"/>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2019</w:t>
            </w:r>
          </w:p>
        </w:tc>
        <w:tc>
          <w:tcPr>
            <w:tcW w:w="0" w:type="dxa"/>
            <w:vAlign w:val="bottom"/>
          </w:tcPr>
          <w:p>
            <w:pPr>
              <w:spacing w:after="0"/>
              <w:rPr>
                <w:sz w:val="1"/>
                <w:szCs w:val="1"/>
                <w:color w:val="auto"/>
              </w:rPr>
            </w:pPr>
          </w:p>
        </w:tc>
      </w:tr>
      <w:tr>
        <w:trPr>
          <w:trHeight w:val="230"/>
        </w:trPr>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0" w:type="dxa"/>
            <w:vAlign w:val="bottom"/>
          </w:tcPr>
          <w:p>
            <w:pPr>
              <w:spacing w:after="0"/>
              <w:rPr>
                <w:sz w:val="1"/>
                <w:szCs w:val="1"/>
                <w:color w:val="auto"/>
              </w:rPr>
            </w:pPr>
          </w:p>
        </w:tc>
      </w:tr>
      <w:tr>
        <w:trPr>
          <w:trHeight w:val="229"/>
        </w:trPr>
        <w:tc>
          <w:tcPr>
            <w:tcW w:w="7260" w:type="dxa"/>
            <w:vAlign w:val="bottom"/>
          </w:tcPr>
          <w:p>
            <w:pPr>
              <w:ind w:left="660"/>
              <w:spacing w:after="0"/>
              <w:rPr>
                <w:sz w:val="20"/>
                <w:szCs w:val="20"/>
                <w:color w:val="auto"/>
              </w:rPr>
            </w:pPr>
            <w:r>
              <w:rPr>
                <w:rFonts w:ascii="Arial" w:cs="Arial" w:eastAsia="Arial" w:hAnsi="Arial"/>
                <w:sz w:val="18"/>
                <w:szCs w:val="18"/>
                <w:color w:val="auto"/>
              </w:rPr>
              <w:t>Marketable securities - available-for-sale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29"/>
        </w:trPr>
        <w:tc>
          <w:tcPr>
            <w:tcW w:w="726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66,977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82,184</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0" w:type="dxa"/>
            <w:vAlign w:val="bottom"/>
          </w:tcPr>
          <w:p>
            <w:pPr>
              <w:spacing w:after="0"/>
              <w:rPr>
                <w:sz w:val="1"/>
                <w:szCs w:val="1"/>
                <w:color w:val="auto"/>
              </w:rPr>
            </w:pPr>
          </w:p>
        </w:tc>
      </w:tr>
      <w:tr>
        <w:trPr>
          <w:trHeight w:val="176"/>
        </w:trPr>
        <w:tc>
          <w:tcPr>
            <w:tcW w:w="7260" w:type="dxa"/>
            <w:vAlign w:val="bottom"/>
          </w:tcPr>
          <w:p>
            <w:pPr>
              <w:ind w:left="20"/>
              <w:spacing w:after="0" w:line="176" w:lineRule="exact"/>
              <w:rPr>
                <w:sz w:val="20"/>
                <w:szCs w:val="20"/>
                <w:color w:val="auto"/>
              </w:rPr>
            </w:pPr>
            <w:r>
              <w:rPr>
                <w:rFonts w:ascii="Arial" w:cs="Arial" w:eastAsia="Arial" w:hAnsi="Arial"/>
                <w:sz w:val="18"/>
                <w:szCs w:val="18"/>
                <w:color w:val="auto"/>
                <w:w w:val="90"/>
              </w:rPr>
              <w:t>Real estate development (includes $107,528 at September 30, 2020 and $104,491 at December 31,</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309,917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297,581</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2019, attributable to Centennial Founders, LLC, Note 15)</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38,240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 water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LIABILITIES AND 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60"/>
              <w:spacing w:after="0"/>
              <w:rPr>
                <w:sz w:val="20"/>
                <w:szCs w:val="20"/>
                <w:color w:val="auto"/>
              </w:rPr>
            </w:pPr>
            <w:r>
              <w:rPr>
                <w:rFonts w:ascii="Arial" w:cs="Arial" w:eastAsia="Arial" w:hAnsi="Arial"/>
                <w:sz w:val="18"/>
                <w:szCs w:val="18"/>
                <w:color w:val="auto"/>
              </w:rPr>
              <w:t>Trade 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 and other</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29"/>
        </w:trPr>
        <w:tc>
          <w:tcPr>
            <w:tcW w:w="7260" w:type="dxa"/>
            <w:vAlign w:val="bottom"/>
          </w:tcPr>
          <w:p>
            <w:pPr>
              <w:ind w:left="660"/>
              <w:spacing w:after="0"/>
              <w:rPr>
                <w:sz w:val="20"/>
                <w:szCs w:val="20"/>
                <w:color w:val="auto"/>
              </w:rPr>
            </w:pPr>
            <w:r>
              <w:rPr>
                <w:rFonts w:ascii="Arial" w:cs="Arial" w:eastAsia="Arial" w:hAnsi="Arial"/>
                <w:sz w:val="18"/>
                <w:szCs w:val="18"/>
                <w:color w:val="auto"/>
              </w:rPr>
              <w:t>Deferred income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57,476</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Long-term deferred gains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0" w:type="dxa"/>
            <w:vAlign w:val="bottom"/>
          </w:tcPr>
          <w:p>
            <w:pPr>
              <w:spacing w:after="0"/>
              <w:rPr>
                <w:sz w:val="1"/>
                <w:szCs w:val="1"/>
                <w:color w:val="auto"/>
              </w:rPr>
            </w:pPr>
          </w:p>
        </w:tc>
      </w:tr>
      <w:tr>
        <w:trPr>
          <w:trHeight w:val="223"/>
        </w:trPr>
        <w:tc>
          <w:tcPr>
            <w:tcW w:w="72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93,798</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Tejon Ranch Co. Stockholders’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60"/>
              <w:spacing w:after="0"/>
              <w:rPr>
                <w:sz w:val="20"/>
                <w:szCs w:val="20"/>
                <w:color w:val="auto"/>
              </w:rPr>
            </w:pPr>
            <w:r>
              <w:rPr>
                <w:rFonts w:ascii="Arial" w:cs="Arial" w:eastAsia="Arial" w:hAnsi="Arial"/>
                <w:sz w:val="18"/>
                <w:szCs w:val="18"/>
                <w:color w:val="auto"/>
              </w:rPr>
              <w:t>Common stock, $0.50 par value per share:</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Authorized shares - 30,000,000</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660"/>
              <w:spacing w:after="0" w:line="176" w:lineRule="exact"/>
              <w:rPr>
                <w:sz w:val="20"/>
                <w:szCs w:val="20"/>
                <w:color w:val="auto"/>
              </w:rPr>
            </w:pPr>
            <w:r>
              <w:rPr>
                <w:rFonts w:ascii="Arial" w:cs="Arial" w:eastAsia="Arial" w:hAnsi="Arial"/>
                <w:sz w:val="18"/>
                <w:szCs w:val="18"/>
                <w:color w:val="auto"/>
                <w:w w:val="95"/>
              </w:rPr>
              <w:t>Issued and outstanding shares - 26,229,307 at September 30, 2020 and 26,096,797 at</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13,114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29"/>
        </w:trPr>
        <w:tc>
          <w:tcPr>
            <w:tcW w:w="7260" w:type="dxa"/>
            <w:vAlign w:val="bottom"/>
          </w:tcPr>
          <w:p>
            <w:pPr>
              <w:ind w:left="660"/>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338,745</w:t>
            </w:r>
          </w:p>
        </w:tc>
        <w:tc>
          <w:tcPr>
            <w:tcW w:w="0" w:type="dxa"/>
            <w:vAlign w:val="bottom"/>
          </w:tcPr>
          <w:p>
            <w:pPr>
              <w:spacing w:after="0"/>
              <w:rPr>
                <w:sz w:val="1"/>
                <w:szCs w:val="1"/>
                <w:color w:val="auto"/>
              </w:rPr>
            </w:pPr>
          </w:p>
        </w:tc>
      </w:tr>
      <w:tr>
        <w:trPr>
          <w:trHeight w:val="230"/>
        </w:trPr>
        <w:tc>
          <w:tcPr>
            <w:tcW w:w="7260" w:type="dxa"/>
            <w:vAlign w:val="bottom"/>
          </w:tcPr>
          <w:p>
            <w:pPr>
              <w:ind w:left="6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85,227</w:t>
            </w:r>
          </w:p>
        </w:tc>
        <w:tc>
          <w:tcPr>
            <w:tcW w:w="0" w:type="dxa"/>
            <w:vAlign w:val="bottom"/>
          </w:tcPr>
          <w:p>
            <w:pPr>
              <w:spacing w:after="0"/>
              <w:rPr>
                <w:sz w:val="1"/>
                <w:szCs w:val="1"/>
                <w:color w:val="auto"/>
              </w:rPr>
            </w:pPr>
          </w:p>
        </w:tc>
      </w:tr>
      <w:tr>
        <w:trPr>
          <w:trHeight w:val="223"/>
        </w:trPr>
        <w:tc>
          <w:tcPr>
            <w:tcW w:w="7260" w:type="dxa"/>
            <w:vAlign w:val="bottom"/>
          </w:tcPr>
          <w:p>
            <w:pPr>
              <w:ind w:left="340"/>
              <w:spacing w:after="0"/>
              <w:rPr>
                <w:sz w:val="20"/>
                <w:szCs w:val="20"/>
                <w:color w:val="auto"/>
              </w:rPr>
            </w:pPr>
            <w:r>
              <w:rPr>
                <w:rFonts w:ascii="Arial" w:cs="Arial" w:eastAsia="Arial" w:hAnsi="Arial"/>
                <w:sz w:val="18"/>
                <w:szCs w:val="18"/>
                <w:color w:val="auto"/>
              </w:rPr>
              <w:t>Total Tejon Ranch Co. Stockholders’ Equity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429,641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430,249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445,624</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520" w:type="dxa"/>
            <w:vAlign w:val="bottom"/>
            <w:gridSpan w:val="6"/>
          </w:tcPr>
          <w:p>
            <w:pPr>
              <w:ind w:left="48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income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640"/>
              <w:spacing w:after="0"/>
              <w:rPr>
                <w:sz w:val="20"/>
                <w:szCs w:val="20"/>
                <w:color w:val="auto"/>
              </w:rPr>
            </w:pPr>
            <w:r>
              <w:rPr>
                <w:rFonts w:ascii="Arial" w:cs="Arial" w:eastAsia="Arial" w:hAnsi="Arial"/>
                <w:sz w:val="18"/>
                <w:szCs w:val="18"/>
                <w:color w:val="auto"/>
              </w:rPr>
              <w:t>Amortization of premium/discount of marketable securities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 in earnings of unconsolidated joint ventures, net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640"/>
              <w:spacing w:after="0"/>
              <w:rPr>
                <w:sz w:val="20"/>
                <w:szCs w:val="20"/>
                <w:color w:val="auto"/>
              </w:rPr>
            </w:pPr>
            <w:r>
              <w:rPr>
                <w:rFonts w:ascii="Arial" w:cs="Arial" w:eastAsia="Arial" w:hAnsi="Arial"/>
                <w:sz w:val="18"/>
                <w:szCs w:val="18"/>
                <w:color w:val="auto"/>
              </w:rPr>
              <w:t>Non-cash retirement plan expense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Non-cash profits recognized from land contribution</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640"/>
              <w:spacing w:after="0"/>
              <w:rPr>
                <w:sz w:val="20"/>
                <w:szCs w:val="20"/>
                <w:color w:val="auto"/>
              </w:rPr>
            </w:pPr>
            <w:r>
              <w:rPr>
                <w:rFonts w:ascii="Arial" w:cs="Arial" w:eastAsia="Arial" w:hAnsi="Arial"/>
                <w:sz w:val="18"/>
                <w:szCs w:val="18"/>
                <w:color w:val="auto"/>
              </w:rPr>
              <w:t>Non-cash write-off of leasing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 on sale of property plant and equipment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640"/>
              <w:spacing w:after="0"/>
              <w:rPr>
                <w:sz w:val="20"/>
                <w:szCs w:val="20"/>
                <w:color w:val="auto"/>
              </w:rPr>
            </w:pPr>
            <w:r>
              <w:rPr>
                <w:rFonts w:ascii="Arial" w:cs="Arial" w:eastAsia="Arial" w:hAnsi="Arial"/>
                <w:sz w:val="18"/>
                <w:szCs w:val="18"/>
                <w:color w:val="auto"/>
              </w:rPr>
              <w:t>Stock compensation expense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Excess tax benefit from stock-based compensation</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Distribution of earnings from unconsolidated joint ventures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640"/>
              <w:spacing w:after="0"/>
              <w:rPr>
                <w:sz w:val="20"/>
                <w:szCs w:val="20"/>
                <w:color w:val="auto"/>
              </w:rPr>
            </w:pPr>
            <w:r>
              <w:rPr>
                <w:rFonts w:ascii="Arial" w:cs="Arial" w:eastAsia="Arial" w:hAnsi="Arial"/>
                <w:sz w:val="18"/>
                <w:szCs w:val="18"/>
                <w:color w:val="auto"/>
              </w:rPr>
              <w:t>Receivables, inventories, prepaids and other assets, net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Current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Maturities and sales of marketable securities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Funds invested in marketable securities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Real estate and equipment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(15,407)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real estate/assets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Investment in unconsolidated joint ventures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 of equity from unconsolidated joint ventures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Investments in long-term water assets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Borrowings of line-of-credit</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Repayments of long-term debt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on vested stock grants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8"/>
                <w:szCs w:val="18"/>
                <w:color w:val="auto"/>
              </w:rPr>
              <w:t>6</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20" w:type="dxa"/>
            <w:vAlign w:val="bottom"/>
            <w:vMerge w:val="continue"/>
          </w:tcPr>
          <w:p>
            <w:pPr>
              <w:spacing w:after="0"/>
              <w:rPr>
                <w:sz w:val="24"/>
                <w:szCs w:val="24"/>
                <w:color w:val="auto"/>
              </w:rPr>
            </w:pPr>
          </w:p>
        </w:tc>
        <w:tc>
          <w:tcPr>
            <w:tcW w:w="7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capital expenditures included in current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Accrued long-term water assets included in current liabilities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w:t>
            </w:r>
          </w:p>
        </w:tc>
        <w:tc>
          <w:tcPr>
            <w:tcW w:w="22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Contribution to unconsolidated joint venture</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vMerge w:val="restart"/>
          </w:tcPr>
          <w:p>
            <w:pPr>
              <w:ind w:left="320"/>
              <w:spacing w:after="0"/>
              <w:rPr>
                <w:sz w:val="20"/>
                <w:szCs w:val="20"/>
                <w:color w:val="auto"/>
              </w:rPr>
            </w:pPr>
            <w:r>
              <w:rPr>
                <w:rFonts w:ascii="Arial" w:cs="Arial" w:eastAsia="Arial" w:hAnsi="Arial"/>
                <w:sz w:val="18"/>
                <w:szCs w:val="18"/>
                <w:color w:val="auto"/>
              </w:rPr>
              <w:t>Long term deferred profit on land contribution</w:t>
            </w: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Borders>
              <w:top w:val="single" w:sz="8" w:color="CCEEFF"/>
            </w:tcBorders>
            <w:vMerge w:val="continue"/>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1,532</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right="220" w:hanging="1"/>
        <w:spacing w:after="0" w:line="223" w:lineRule="auto"/>
        <w:tabs>
          <w:tab w:leader="none" w:pos="99"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In April 2019, the Company contributed land with a fair value of $5.9 million to TRC-MRC 3, LLC an unconsolidated joint venture formed to pursue the development, construction, leasing, and management of a 579,040 square foot industrial building on the Company's property at TRCC-East. The total cost of the land, inclusive of transaction costs was $2.9 million. The Company recognized $1.5 million in profit and deferred $1.5 million of profit after applying the five-step revenue recognition model in accordance with Accounting Standards Codification (ASC) Topic 606 — Revenue From Contracts With Customers and ASC Topic 323, Investments —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34"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EQUITY AND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outstanding)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Additional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8"/>
              </w:rPr>
              <w:t>Other</w:t>
            </w:r>
          </w:p>
        </w:tc>
        <w:tc>
          <w:tcPr>
            <w:tcW w:w="8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Retained</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5"/>
              </w:rPr>
              <w:t>Noncontrolling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7"/>
              </w:rPr>
              <w:t>Stock Shares</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4"/>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88"/>
              </w:rPr>
              <w:t>Comprehensive</w:t>
            </w:r>
          </w:p>
        </w:tc>
        <w:tc>
          <w:tcPr>
            <w:tcW w:w="880" w:type="dxa"/>
            <w:vAlign w:val="bottom"/>
            <w:gridSpan w:val="3"/>
            <w:vMerge w:val="continue"/>
          </w:tcPr>
          <w:p>
            <w:pPr>
              <w:spacing w:after="0"/>
              <w:rPr>
                <w:sz w:val="15"/>
                <w:szCs w:val="15"/>
                <w:color w:val="auto"/>
              </w:rPr>
            </w:pPr>
          </w:p>
        </w:tc>
        <w:tc>
          <w:tcPr>
            <w:tcW w:w="114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auto"/>
                <w:w w:val="91"/>
              </w:rPr>
              <w:t>Stockholders'</w:t>
            </w:r>
          </w:p>
        </w:tc>
        <w:tc>
          <w:tcPr>
            <w:tcW w:w="1280" w:type="dxa"/>
            <w:vAlign w:val="bottom"/>
            <w:gridSpan w:val="3"/>
            <w:vMerge w:val="continue"/>
          </w:tcPr>
          <w:p>
            <w:pPr>
              <w:spacing w:after="0"/>
              <w:rPr>
                <w:sz w:val="15"/>
                <w:szCs w:val="15"/>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8"/>
                <w:szCs w:val="18"/>
                <w:color w:val="auto"/>
                <w:w w:val="96"/>
              </w:rPr>
              <w:t>Total 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6"/>
              </w:rPr>
              <w:t>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(Loss) Income</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w:t>
            </w:r>
          </w:p>
        </w:tc>
        <w:tc>
          <w:tcPr>
            <w:tcW w:w="9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26,221,862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340,147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84,212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427,597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7,445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40" w:type="dxa"/>
            <w:vAlign w:val="bottom"/>
          </w:tcPr>
          <w:p>
            <w:pPr>
              <w:spacing w:after="0" w:line="176" w:lineRule="exact"/>
              <w:rPr>
                <w:sz w:val="20"/>
                <w:szCs w:val="20"/>
                <w:color w:val="auto"/>
              </w:rPr>
            </w:pPr>
            <w:r>
              <w:rPr>
                <w:rFonts w:ascii="Arial" w:cs="Arial" w:eastAsia="Arial" w:hAnsi="Arial"/>
                <w:sz w:val="18"/>
                <w:szCs w:val="18"/>
                <w:color w:val="auto"/>
                <w:w w:val="98"/>
              </w:rPr>
              <w:t>Shares withheld for taxes and tax</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26,229,307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341,587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84,610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429,641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445,007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26,033,402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337,870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75,473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435,061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8,128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40" w:type="dxa"/>
            <w:vAlign w:val="bottom"/>
          </w:tcPr>
          <w:p>
            <w:pPr>
              <w:spacing w:after="0" w:line="176" w:lineRule="exact"/>
              <w:rPr>
                <w:sz w:val="20"/>
                <w:szCs w:val="20"/>
                <w:color w:val="auto"/>
              </w:rPr>
            </w:pPr>
            <w:r>
              <w:rPr>
                <w:rFonts w:ascii="Arial" w:cs="Arial" w:eastAsia="Arial" w:hAnsi="Arial"/>
                <w:sz w:val="18"/>
                <w:szCs w:val="18"/>
                <w:color w:val="auto"/>
                <w:w w:val="98"/>
              </w:rPr>
              <w:t>Shares withheld for taxes and tax</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26,041,530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338,091</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75,520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434,426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3"/>
              </w:rPr>
              <w:t>Other</w:t>
            </w:r>
          </w:p>
        </w:tc>
        <w:tc>
          <w:tcPr>
            <w:tcW w:w="9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5"/>
              </w:rPr>
              <w:t>Noncontrolling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5"/>
              </w:rPr>
              <w:t>Stock Shares</w:t>
            </w:r>
          </w:p>
        </w:tc>
        <w:tc>
          <w:tcPr>
            <w:tcW w:w="9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1"/>
              </w:rPr>
              <w:t>Paid-In</w:t>
            </w:r>
          </w:p>
        </w:tc>
        <w:tc>
          <w:tcPr>
            <w:tcW w:w="128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0"/>
              </w:rPr>
              <w:t>Comprehensive</w:t>
            </w:r>
          </w:p>
        </w:tc>
        <w:tc>
          <w:tcPr>
            <w:tcW w:w="900" w:type="dxa"/>
            <w:vAlign w:val="bottom"/>
            <w:gridSpan w:val="3"/>
            <w:vMerge w:val="continue"/>
          </w:tcPr>
          <w:p>
            <w:pPr>
              <w:spacing w:after="0"/>
              <w:rPr>
                <w:sz w:val="15"/>
                <w:szCs w:val="15"/>
                <w:color w:val="auto"/>
              </w:rPr>
            </w:pPr>
          </w:p>
        </w:tc>
        <w:tc>
          <w:tcPr>
            <w:tcW w:w="114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89"/>
              </w:rPr>
              <w:t>Stockholders'</w:t>
            </w:r>
          </w:p>
        </w:tc>
        <w:tc>
          <w:tcPr>
            <w:tcW w:w="1280" w:type="dxa"/>
            <w:vAlign w:val="bottom"/>
            <w:gridSpan w:val="3"/>
            <w:vMerge w:val="continue"/>
          </w:tcPr>
          <w:p>
            <w:pPr>
              <w:spacing w:after="0"/>
              <w:rPr>
                <w:sz w:val="15"/>
                <w:szCs w:val="15"/>
                <w:color w:val="auto"/>
              </w:rPr>
            </w:pPr>
          </w:p>
        </w:tc>
        <w:tc>
          <w:tcPr>
            <w:tcW w:w="920" w:type="dxa"/>
            <w:vAlign w:val="bottom"/>
            <w:gridSpan w:val="2"/>
            <w:vMerge w:val="restart"/>
          </w:tcPr>
          <w:p>
            <w:pPr>
              <w:spacing w:after="0"/>
              <w:rPr>
                <w:sz w:val="20"/>
                <w:szCs w:val="20"/>
                <w:color w:val="auto"/>
              </w:rPr>
            </w:pPr>
            <w:r>
              <w:rPr>
                <w:rFonts w:ascii="Arial" w:cs="Arial" w:eastAsia="Arial" w:hAnsi="Arial"/>
                <w:sz w:val="18"/>
                <w:szCs w:val="18"/>
                <w:color w:val="auto"/>
                <w:w w:val="94"/>
              </w:rPr>
              <w:t>Total Equity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19"/>
                <w:szCs w:val="19"/>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2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Interest</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26,096,797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338,745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4"/>
              </w:rPr>
              <w:t>(6,771)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85,227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445,624</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(2,899)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247,720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Arial" w:cs="Arial" w:eastAsia="Arial" w:hAnsi="Arial"/>
                <w:sz w:val="18"/>
                <w:szCs w:val="18"/>
                <w:color w:val="auto"/>
                <w:w w:val="99"/>
              </w:rPr>
              <w:t>Shares withheld for taxes and tax</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(115,210)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26,229,307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4"/>
              </w:rPr>
              <w:t>(9,670)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445,007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25,972,080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(4,857)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74,647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434,672</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(2,722)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114,599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175"/>
        </w:trPr>
        <w:tc>
          <w:tcPr>
            <w:tcW w:w="2660" w:type="dxa"/>
            <w:vAlign w:val="bottom"/>
          </w:tcPr>
          <w:p>
            <w:pPr>
              <w:spacing w:after="0" w:line="176" w:lineRule="exact"/>
              <w:rPr>
                <w:sz w:val="20"/>
                <w:szCs w:val="20"/>
                <w:color w:val="auto"/>
              </w:rPr>
            </w:pPr>
            <w:r>
              <w:rPr>
                <w:rFonts w:ascii="Arial" w:cs="Arial" w:eastAsia="Arial" w:hAnsi="Arial"/>
                <w:sz w:val="18"/>
                <w:szCs w:val="18"/>
                <w:color w:val="auto"/>
                <w:w w:val="99"/>
              </w:rPr>
              <w:t>Shares withheld for taxes and tax</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(45,149)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26,041,530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338,091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4"/>
              </w:rPr>
              <w:t>(7,579)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75,520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419,053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434,426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4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periods ending September 30, 2020 and December 31, 2019 include the consolidation of Centennial Founders, LLC’s statement of operations within the resort/residential real estate development segment and statements of cash flows. The Company’s September 30, 2020 and December 31, 2019 balance sheets and statements of changes in equity and noncontrolling interests are presented on a consolidated basis, including the consolidation of Centennial Founders, LLC.</w:t>
      </w:r>
    </w:p>
    <w:p>
      <w:pPr>
        <w:spacing w:after="0" w:line="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results of the period reported herein are not indicative of the results to be expected for the full year due to the seasonal nature of the Company’s agricultural activities, water activities, timing of real estate sales and leasing activities. The coronavirus, COVID-19, has also brought additional uncertainty previously unseen. Historically, the Company’s largest percentages of farming revenues are recognized during the third and fourth quarters of the fiscal year. Please refer to Management’s Discussion and Analysis of Financial Condition and Results of Operations for further discussion.</w:t>
      </w:r>
    </w:p>
    <w:p>
      <w:pPr>
        <w:spacing w:after="0" w:line="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and a summary of significant accounting policies, refer to the Consolidated Financial Statements and notes thereto included in the Company’s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Concessions Related to COVID-19 Pandemic</w:t>
      </w:r>
    </w:p>
    <w:p>
      <w:pPr>
        <w:spacing w:after="0" w:line="1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April 2020, the Financial Accounting Standards Board, or FASB, issued a Staff Question-and-Answer, or Q&amp;A, intending to reduce the operational challenges and complexity of accounting for leases at a time when many businesses have been ordered to close or have seen their revenue drop due to the effect of the COVID-19 pandemic. The FASB determined that it would be appropriate for entities to make a policy election regarding how to account for lease concessions resulting directly from COVID-19. Rather than analyzing each lease contract individually, entities can elect to account for lease concessions “as though the enforceable rights and obligations for those concessions existed, regardless of whether those enforceable rights and obligations for the concessions explicitly exist in the contract.” Accordingly, entities that choose to apply the relief provided by the FASB can either (1) apply the modification framework for these concessions in accordance with ASC Topic 840 or ASC Topic 842 as applicable or (2) account for the concessions as if they were made under the enforceable rights included in the original agreement and are thus outside of the modification framework. In making this election, an entity would not need to perform a lease-by-lease analysis to evaluate the enforceable rights and may instead simply treat the change as if the enforceable rights were included or excluded in the original agreement. The election not to apply lease modification accounting is only available when total cash flows resulting from the modified contract are “substantially the same or less” than the cash flows in the original contract.</w:t>
      </w:r>
    </w:p>
    <w:p>
      <w:pPr>
        <w:spacing w:after="0" w:line="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elected to account for lease concessions outside of the modification framework based on the FASB Q&amp;A, and is continuing to assess the impact of the Q&amp;A in light of our ongoing negotiations with tenants. The COVID-19 pandemic has resulted in tenant requests for rent relief, with a majority of the requests occurring in the second quarter. As of September 30, 2020, the Company reached agreements with all of our commercial tenants on their respective rent deferral requests. For the nine months ended September 30, 2020, the Company retained 87% of rent billings and agreed to defer 13% of rent billings, or $163,000. Based on the terms of the agreements reached with our tenants, all of deferred rent will be fully repaid by the end of 2021. The Company will account for the rent receivables as if no changes to the lease contract were made, and the rent receivable for the deferral period will stay on the Company's Consolidated Balance Sheet until the rent is collected over the passage of time.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Reference Rate Reform</w:t>
      </w:r>
    </w:p>
    <w:p>
      <w:pPr>
        <w:spacing w:after="0" w:line="9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March 2020, the FASB issued Accounting Standards Update, or ASU No. 2020-04, "Facilitation of the Effects of Reference Rate Reform on Financial Reporting", for reference rate reform related activities that impact debt, leases, derivatives and other contracts. The pronouncement provides optional expedients for a limited period of time to ease the potential burden of accounting for reference rate reform. Specifically, the ASU permits modification of contracts within ASC Topic 470, Debt, to be accounted for by prospectively adjusting the effective interest rate when a contract is modified because of reference rate reform. It also provides exceptions to the guidance in ASC Topic 815 related to changes to critical terms of a hedging relationship: the change in reference rate will not result in de-designation of a hedging relationship if certain criteria are met. This guidance is effective for all entities as of March 12, 2020 through December 31, 2022. The Company expects to utilize this optional guidance but do not expect it to have a material effect on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Adopted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June 2016, the FASB issued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w:t>
      </w:r>
    </w:p>
    <w:p>
      <w:pPr>
        <w:spacing w:after="0" w:line="2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November 2019, the FASB issued ASU No. 2019-10, changing effective dates for the new standards to give implementation relief to certain types of entities. The Company was required to adopt the new standards no later than January 1, 2023 according to ASU 2019-10, with early adoption allowed.</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adopted the new standards on January 1, 2020. The adoption did not have a material impact on the Company's consolidated financial statements. The Company's accounts receivable balance is primarily composed of crop receivables. Based on the short-term nature of these contracts, historical experience with current customers, periodic credit evaluations of the customers' financial conditions, the current economic environment and rent deferrals negotiated with tenants the Company believes its credit risk is minimal. With regards to marketable securities, the Company limits its investment to securities with investment grade ratings from Moody's or Standard and Poor's. As the Company does not have a current intent to sell securities and it is more likely than not that the Company will not be required to sell securities before recovery of their amortized cost basis, no allowance for credit losses was recorded.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the disclosure of amounts and reasons for transfers between Level 1 and Level 2, and adds new disclosure requirements, such as the disclosure of the range and weighted average of significant unobservable inputs used to develop Level 3 fair value measurement. The Company adopted the new standard on January 1, 2020, and the adoption did not have a material impact on its consolidated financial statements, as the Company does not have financial instruments classified as Level 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ending after December 15, 2020. The Company adopted the new standard on January 1, 2020, and the adoption did not have a material impact on its consolidated financial statements and related disclosures.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Please also refer to Critical Accounting Policies in Part I, Item 2 of this report for a discussion of changes to critical accounting policies.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2.</w:t>
        <w:tab/>
        <w:t>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net (loss) income per share attributable to common stockholders is based upon the weighted average number of shares of common stock outstanding during the year. Diluted net (loss) income per share attributable to common stockholders is based upon the weighted average number of shares of common stock outstanding and the weighted average number of shares outstanding assuming the vesting of restricted stock grants per ASC Topic 260, “Earnings Per Share.”</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3480" w:type="dxa"/>
            <w:vAlign w:val="bottom"/>
            <w:gridSpan w:val="4"/>
          </w:tcPr>
          <w:p>
            <w:pPr>
              <w:ind w:left="380"/>
              <w:spacing w:after="0"/>
              <w:rPr>
                <w:sz w:val="20"/>
                <w:szCs w:val="20"/>
                <w:color w:val="auto"/>
              </w:rPr>
            </w:pPr>
            <w:r>
              <w:rPr>
                <w:rFonts w:ascii="Arial" w:cs="Arial" w:eastAsia="Arial" w:hAnsi="Arial"/>
                <w:sz w:val="18"/>
                <w:szCs w:val="18"/>
                <w:color w:val="auto"/>
              </w:rPr>
              <w:t>Three Months Ended September 30,</w:t>
            </w:r>
          </w:p>
        </w:tc>
        <w:tc>
          <w:tcPr>
            <w:tcW w:w="3380" w:type="dxa"/>
            <w:vAlign w:val="bottom"/>
            <w:gridSpan w:val="3"/>
          </w:tcPr>
          <w:p>
            <w:pPr>
              <w:jc w:val="right"/>
              <w:ind w:right="3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26,229,226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26,041,353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26,193,058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26,022,022</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Common stock equivalents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57,484</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195,957</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157,579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194,699</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 shares outstanding</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26,286,710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26,237,310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26,350,637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26,216,721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920" w:type="dxa"/>
            <w:vAlign w:val="bottom"/>
            <w:vMerge w:val="restart"/>
          </w:tcPr>
          <w:p>
            <w:pPr>
              <w:jc w:val="center"/>
              <w:ind w:left="670"/>
              <w:spacing w:after="0"/>
              <w:rPr>
                <w:sz w:val="20"/>
                <w:szCs w:val="20"/>
                <w:color w:val="auto"/>
              </w:rPr>
            </w:pPr>
            <w:r>
              <w:rPr>
                <w:rFonts w:ascii="Arial" w:cs="Arial" w:eastAsia="Arial" w:hAnsi="Arial"/>
                <w:sz w:val="18"/>
                <w:szCs w:val="18"/>
                <w:color w:val="auto"/>
                <w:w w:val="92"/>
              </w:rPr>
              <w:t>Fair Value</w:t>
            </w: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September 30, 2020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56"/>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1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13"/>
                <w:szCs w:val="13"/>
                <w:color w:val="auto"/>
              </w:rPr>
            </w:pP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29"/>
        </w:trPr>
        <w:tc>
          <w:tcPr>
            <w:tcW w:w="4400" w:type="dxa"/>
            <w:vAlign w:val="bottom"/>
            <w:vMerge w:val="continue"/>
          </w:tcPr>
          <w:p>
            <w:pPr>
              <w:spacing w:after="0"/>
              <w:rPr>
                <w:sz w:val="19"/>
                <w:szCs w:val="19"/>
                <w:color w:val="auto"/>
              </w:rPr>
            </w:pPr>
          </w:p>
        </w:tc>
        <w:tc>
          <w:tcPr>
            <w:tcW w:w="2180" w:type="dxa"/>
            <w:vAlign w:val="bottom"/>
            <w:gridSpan w:val="2"/>
          </w:tcPr>
          <w:p>
            <w:pPr>
              <w:jc w:val="center"/>
              <w:ind w:left="410"/>
              <w:spacing w:after="0"/>
              <w:rPr>
                <w:sz w:val="20"/>
                <w:szCs w:val="20"/>
                <w:color w:val="auto"/>
              </w:rPr>
            </w:pPr>
            <w:r>
              <w:rPr>
                <w:rFonts w:ascii="Arial" w:cs="Arial" w:eastAsia="Arial" w:hAnsi="Arial"/>
                <w:sz w:val="18"/>
                <w:szCs w:val="18"/>
                <w:color w:val="auto"/>
                <w:w w:val="93"/>
              </w:rPr>
              <w:t>Hierarchy</w:t>
            </w: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 unrealized losses for less than 12 months</w:t>
            </w:r>
          </w:p>
        </w:tc>
        <w:tc>
          <w:tcPr>
            <w:tcW w:w="2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with unrealized gains</w:t>
            </w:r>
          </w:p>
        </w:tc>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Certificates of deposit</w:t>
            </w:r>
          </w:p>
        </w:tc>
        <w:tc>
          <w:tcPr>
            <w:tcW w:w="19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6"/>
              </w:rPr>
              <w:t>Level 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color w:val="auto"/>
              </w:rPr>
              <w:t>U.S. Treasury and agency notes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 unrealized losses for less than 12 months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with unrealized gains</w:t>
            </w:r>
          </w:p>
        </w:tc>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U.S. Treasury and agency notes</w:t>
            </w:r>
          </w:p>
        </w:tc>
        <w:tc>
          <w:tcPr>
            <w:tcW w:w="19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6"/>
              </w:rPr>
              <w:t>Level 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color w:val="auto"/>
              </w:rPr>
              <w:t>Corporate notes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 unrealized losses for less than 12 months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with unrealized gains</w:t>
            </w:r>
          </w:p>
        </w:tc>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Corporate notes</w:t>
            </w:r>
          </w:p>
        </w:tc>
        <w:tc>
          <w:tcPr>
            <w:tcW w:w="19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6"/>
              </w:rPr>
              <w:t>Level 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color w:val="auto"/>
              </w:rPr>
              <w:t>Municipal notes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 unrealized gains</w:t>
            </w:r>
          </w:p>
        </w:tc>
        <w:tc>
          <w:tcPr>
            <w:tcW w:w="19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Municipal notes</w:t>
            </w:r>
          </w:p>
        </w:tc>
        <w:tc>
          <w:tcPr>
            <w:tcW w:w="1920" w:type="dxa"/>
            <w:vAlign w:val="bottom"/>
            <w:tcBorders>
              <w:bottom w:val="single" w:sz="8" w:color="CCEEFF"/>
            </w:tcBorders>
          </w:tcPr>
          <w:p>
            <w:pPr>
              <w:jc w:val="center"/>
              <w:ind w:left="670"/>
              <w:spacing w:after="0"/>
              <w:rPr>
                <w:sz w:val="20"/>
                <w:szCs w:val="20"/>
                <w:color w:val="auto"/>
              </w:rPr>
            </w:pPr>
            <w:r>
              <w:rPr>
                <w:rFonts w:ascii="Arial" w:cs="Arial" w:eastAsia="Arial" w:hAnsi="Arial"/>
                <w:sz w:val="18"/>
                <w:szCs w:val="18"/>
                <w:color w:val="auto"/>
                <w:w w:val="96"/>
              </w:rPr>
              <w:t>Level 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adopted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September 30, 2020 the Company has not recorded any credit losses.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2" w:name="page13"/>
    <w:bookmarkEnd w:id="12"/>
    <w:p>
      <w:pPr>
        <w:jc w:val="both"/>
        <w:ind w:right="160"/>
        <w:spacing w:after="0" w:line="263" w:lineRule="auto"/>
        <w:rPr>
          <w:sz w:val="20"/>
          <w:szCs w:val="20"/>
          <w:color w:val="auto"/>
        </w:rPr>
      </w:pPr>
      <w:r>
        <w:rPr>
          <w:rFonts w:ascii="Arial" w:cs="Arial" w:eastAsia="Arial" w:hAnsi="Arial"/>
          <w:sz w:val="18"/>
          <w:szCs w:val="18"/>
          <w:color w:val="auto"/>
        </w:rPr>
        <w:t>At September 30, 2020, the fair market value of marketable securities was $29,000 above their cost basis. The Company’s gross unrealized holding gains equaled $30,000 and gross unrealized holding losses equaled $1,000. As of September 30, 2020, the adjustment to accumulated other comprehensive loss reflected an improvement in market value of $22,000, including estimated taxes of $6,000.</w:t>
      </w:r>
    </w:p>
    <w:p>
      <w:pPr>
        <w:spacing w:after="0" w:line="49"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$107,000 as of September 30, 2020, and was included within the Other Assets line item of the Consolidated Balance Sheets. The Company elected not to measure an allowance for credit losses on accrued interest receivable as an allowance on possible uncollectible accrued interest is not warranted.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Treasury and agency notes</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unrealized losses on the Company's investments in U.S. Treasury and agency notes at December 31, 2019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2019, the Company did not intend to sell these securities and it is not more-likely-than-not that the Company would be required to sell these securities before recovery of their cost basis. Therefore, these investments did not require an ACL as of December 31,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notes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September 30, 2020, the Company did not intend to sell these securities and it is not more-likely-than-not that the Company would be required to sell these securities before recovery of their cost basis. Therefore, these investments did not require an ACL as of September 30,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The following tables summarize the maturities, at par, of marketable securities as of:</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8"/>
        </w:trPr>
        <w:tc>
          <w:tcPr>
            <w:tcW w:w="7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510"/>
              <w:spacing w:after="0"/>
              <w:rPr>
                <w:sz w:val="20"/>
                <w:szCs w:val="20"/>
                <w:color w:val="auto"/>
              </w:rPr>
            </w:pPr>
            <w:r>
              <w:rPr>
                <w:rFonts w:ascii="Arial" w:cs="Arial" w:eastAsia="Arial" w:hAnsi="Arial"/>
                <w:sz w:val="18"/>
                <w:szCs w:val="18"/>
                <w:color w:val="auto"/>
                <w:w w:val="88"/>
              </w:rPr>
              <w:t>September 30, 2020</w:t>
            </w:r>
          </w:p>
        </w:tc>
        <w:tc>
          <w:tcPr>
            <w:tcW w:w="820" w:type="dxa"/>
            <w:vAlign w:val="bottom"/>
            <w:tcBorders>
              <w:bottom w:val="single" w:sz="8" w:color="auto"/>
            </w:tcBorders>
          </w:tcPr>
          <w:p>
            <w:pPr>
              <w:spacing w:after="0"/>
              <w:rPr>
                <w:sz w:val="24"/>
                <w:szCs w:val="24"/>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U.S. Treasury and agency notes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5,346</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Municipal notes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8"/>
        </w:trPr>
        <w:tc>
          <w:tcPr>
            <w:tcW w:w="78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635"/>
        </w:trPr>
        <w:tc>
          <w:tcPr>
            <w:tcW w:w="7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89"/>
              </w:rPr>
              <w:t>December 31, 2019</w:t>
            </w:r>
          </w:p>
        </w:tc>
        <w:tc>
          <w:tcPr>
            <w:tcW w:w="820" w:type="dxa"/>
            <w:vAlign w:val="bottom"/>
            <w:tcBorders>
              <w:bottom w:val="single" w:sz="8" w:color="auto"/>
            </w:tcBorders>
          </w:tcPr>
          <w:p>
            <w:pPr>
              <w:spacing w:after="0"/>
              <w:rPr>
                <w:sz w:val="24"/>
                <w:szCs w:val="24"/>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U.S. Treasury and agency notes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20,895</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Municipal notes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8"/>
        </w:trPr>
        <w:tc>
          <w:tcPr>
            <w:tcW w:w="78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38,127</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investments in corporate notes are with companies that have an investment grade rating from Standard &amp; Poor’s as of September 30, 2020.</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4.   REAL ESTATE</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30, 2020</w:t>
            </w:r>
          </w:p>
        </w:tc>
        <w:tc>
          <w:tcPr>
            <w:tcW w:w="24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2019</w:t>
            </w:r>
          </w:p>
        </w:tc>
      </w:tr>
      <w:tr>
        <w:trPr>
          <w:trHeight w:val="209"/>
        </w:trPr>
        <w:tc>
          <w:tcPr>
            <w:tcW w:w="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Real estate development</w:t>
            </w: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Mountain Village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142,567</w:t>
            </w:r>
          </w:p>
        </w:tc>
      </w:tr>
      <w:tr>
        <w:trPr>
          <w:trHeight w:val="230"/>
        </w:trPr>
        <w:tc>
          <w:tcPr>
            <w:tcW w:w="4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Centennial</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107,528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104,491</w:t>
            </w:r>
          </w:p>
        </w:tc>
      </w:tr>
      <w:tr>
        <w:trPr>
          <w:trHeight w:val="229"/>
        </w:trPr>
        <w:tc>
          <w:tcPr>
            <w:tcW w:w="40" w:type="dxa"/>
            <w:vAlign w:val="bottom"/>
          </w:tcPr>
          <w:p>
            <w:pPr>
              <w:spacing w:after="0"/>
              <w:rPr>
                <w:sz w:val="19"/>
                <w:szCs w:val="19"/>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Grapevine</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34,813</w:t>
            </w:r>
          </w:p>
        </w:tc>
      </w:tr>
      <w:tr>
        <w:trPr>
          <w:trHeight w:val="230"/>
        </w:trPr>
        <w:tc>
          <w:tcPr>
            <w:tcW w:w="40" w:type="dxa"/>
            <w:vAlign w:val="bottom"/>
          </w:tcPr>
          <w:p>
            <w:pPr>
              <w:spacing w:after="0"/>
              <w:rPr>
                <w:sz w:val="19"/>
                <w:szCs w:val="19"/>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Tejon Ranch Commerce Center</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w:t>
            </w:r>
          </w:p>
        </w:tc>
      </w:tr>
      <w:tr>
        <w:trPr>
          <w:trHeight w:val="248"/>
        </w:trPr>
        <w:tc>
          <w:tcPr>
            <w:tcW w:w="40" w:type="dxa"/>
            <w:vAlign w:val="bottom"/>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development</w:t>
            </w:r>
          </w:p>
        </w:tc>
        <w:tc>
          <w:tcPr>
            <w:tcW w:w="26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297,581</w:t>
            </w:r>
          </w:p>
        </w:tc>
      </w:tr>
      <w:tr>
        <w:trPr>
          <w:trHeight w:val="20"/>
        </w:trPr>
        <w:tc>
          <w:tcPr>
            <w:tcW w:w="4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Real estate and improvements - held for lease</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Tejon Ranch Commerce Center</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20,595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21,435</w:t>
            </w:r>
          </w:p>
        </w:tc>
      </w:tr>
      <w:tr>
        <w:trPr>
          <w:trHeight w:val="230"/>
        </w:trPr>
        <w:tc>
          <w:tcPr>
            <w:tcW w:w="40" w:type="dxa"/>
            <w:vAlign w:val="bottom"/>
          </w:tcPr>
          <w:p>
            <w:pPr>
              <w:spacing w:after="0"/>
              <w:rPr>
                <w:sz w:val="19"/>
                <w:szCs w:val="19"/>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3"/>
        </w:trPr>
        <w:tc>
          <w:tcPr>
            <w:tcW w:w="4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Real estate and improvements - held for lease,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18,674</w:t>
            </w:r>
          </w:p>
        </w:tc>
      </w:tr>
      <w:tr>
        <w:trPr>
          <w:trHeight w:val="21"/>
        </w:trPr>
        <w:tc>
          <w:tcPr>
            <w:tcW w:w="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WATER ASSETS</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4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has secured State Water Project, or SWP, entitlement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initial term of the water purchase agreement with Nickel runs to 2044 and includes a Company option to extend the contract for an additional 35 years. The purchase cost of water in 2020 is $793 per acre-foot. The purchase cost is subject to annual cost increases based on the greater of the consumer price index or 3%.</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Water purchases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Water revenues and cost of sales were as follows ($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2020</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6"/>
              </w:rPr>
              <w:t>September 30, 2019</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Acre-Feet Sold</w:t>
            </w: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2"/>
              </w:rPr>
              <w:t>The costs assigned to water assets held for future use were as follows ($ in thousands):</w:t>
            </w: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5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2020</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Banked water and water for future delivery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Water available for banking, sales, or internal use</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water held for future use at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Intangible Water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carrying amounts of its purchased water contracts were as follows ($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720"/>
              <w:spacing w:after="0"/>
              <w:rPr>
                <w:sz w:val="20"/>
                <w:szCs w:val="20"/>
                <w:color w:val="auto"/>
              </w:rPr>
            </w:pPr>
            <w:r>
              <w:rPr>
                <w:rFonts w:ascii="Arial" w:cs="Arial" w:eastAsia="Arial" w:hAnsi="Arial"/>
                <w:sz w:val="18"/>
                <w:szCs w:val="18"/>
                <w:color w:val="auto"/>
              </w:rPr>
              <w:t>September 30, 2020</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Costs</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Costs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Dudley-Ridge water rights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Nickel water rights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investments in water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Water contracts with the Wheeler Ridge Maricopa Water Storage District, or WRMWSD, and TCWD are also in place, but were entered into with each district at the inception of the respective contracts,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(in acre-feet, unaudited)</w:t>
            </w:r>
          </w:p>
        </w:tc>
        <w:tc>
          <w:tcPr>
            <w:tcW w:w="2620" w:type="dxa"/>
            <w:vAlign w:val="bottom"/>
            <w:gridSpan w:val="2"/>
          </w:tcPr>
          <w:p>
            <w:pPr>
              <w:ind w:left="540"/>
              <w:spacing w:after="0"/>
              <w:rPr>
                <w:sz w:val="20"/>
                <w:szCs w:val="20"/>
                <w:color w:val="auto"/>
              </w:rPr>
            </w:pPr>
            <w:r>
              <w:rPr>
                <w:rFonts w:ascii="Arial" w:cs="Arial" w:eastAsia="Arial" w:hAnsi="Arial"/>
                <w:sz w:val="18"/>
                <w:szCs w:val="18"/>
                <w:color w:val="auto"/>
              </w:rPr>
              <w:t>September 30, 2020</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December 31, 2019</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color w:val="auto"/>
              </w:rPr>
              <w:t>Water held for future use</w:t>
            </w:r>
          </w:p>
        </w:tc>
        <w:tc>
          <w:tcPr>
            <w:tcW w:w="2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61,054</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60,555</w:t>
            </w:r>
          </w:p>
        </w:tc>
      </w:tr>
      <w:tr>
        <w:trPr>
          <w:trHeight w:val="229"/>
        </w:trPr>
        <w:tc>
          <w:tcPr>
            <w:tcW w:w="6200" w:type="dxa"/>
            <w:vAlign w:val="bottom"/>
          </w:tcPr>
          <w:p>
            <w:pPr>
              <w:ind w:left="120"/>
              <w:spacing w:after="0"/>
              <w:rPr>
                <w:sz w:val="20"/>
                <w:szCs w:val="20"/>
                <w:color w:val="auto"/>
              </w:rPr>
            </w:pPr>
            <w:r>
              <w:rPr>
                <w:rFonts w:ascii="Arial" w:cs="Arial" w:eastAsia="Arial" w:hAnsi="Arial"/>
                <w:sz w:val="18"/>
                <w:szCs w:val="18"/>
                <w:color w:val="auto"/>
              </w:rPr>
              <w:t>Company water bank</w:t>
            </w:r>
          </w:p>
        </w:tc>
        <w:tc>
          <w:tcPr>
            <w:tcW w:w="2520" w:type="dxa"/>
            <w:vAlign w:val="bottom"/>
          </w:tcPr>
          <w:p>
            <w:pPr>
              <w:jc w:val="right"/>
              <w:spacing w:after="0"/>
              <w:rPr>
                <w:sz w:val="20"/>
                <w:szCs w:val="20"/>
                <w:color w:val="auto"/>
              </w:rPr>
            </w:pPr>
            <w:r>
              <w:rPr>
                <w:rFonts w:ascii="Arial" w:cs="Arial" w:eastAsia="Arial" w:hAnsi="Arial"/>
                <w:sz w:val="18"/>
                <w:szCs w:val="18"/>
                <w:color w:val="auto"/>
              </w:rPr>
              <w:t>50,349</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50,349</w:t>
            </w:r>
          </w:p>
        </w:tc>
      </w:tr>
      <w:tr>
        <w:trPr>
          <w:trHeight w:val="23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available for banking, sales, or internal use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3"/>
        </w:trPr>
        <w:tc>
          <w:tcPr>
            <w:tcW w:w="6200" w:type="dxa"/>
            <w:vAlign w:val="bottom"/>
          </w:tcPr>
          <w:p>
            <w:pPr>
              <w:ind w:left="340"/>
              <w:spacing w:after="0"/>
              <w:rPr>
                <w:sz w:val="20"/>
                <w:szCs w:val="20"/>
                <w:color w:val="auto"/>
              </w:rPr>
            </w:pPr>
            <w:r>
              <w:rPr>
                <w:rFonts w:ascii="Arial" w:cs="Arial" w:eastAsia="Arial" w:hAnsi="Arial"/>
                <w:sz w:val="18"/>
                <w:szCs w:val="18"/>
                <w:color w:val="auto"/>
              </w:rPr>
              <w:t>Total water held for future use</w:t>
            </w:r>
          </w:p>
        </w:tc>
        <w:tc>
          <w:tcPr>
            <w:tcW w:w="2520" w:type="dxa"/>
            <w:vAlign w:val="bottom"/>
          </w:tcPr>
          <w:p>
            <w:pPr>
              <w:jc w:val="right"/>
              <w:spacing w:after="0"/>
              <w:rPr>
                <w:sz w:val="20"/>
                <w:szCs w:val="20"/>
                <w:color w:val="auto"/>
              </w:rPr>
            </w:pPr>
            <w:r>
              <w:rPr>
                <w:rFonts w:ascii="Arial" w:cs="Arial" w:eastAsia="Arial" w:hAnsi="Arial"/>
                <w:sz w:val="18"/>
                <w:szCs w:val="18"/>
                <w:color w:val="auto"/>
              </w:rPr>
              <w:t>117,675</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114,156</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water contracts</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30"/>
        </w:trPr>
        <w:tc>
          <w:tcPr>
            <w:tcW w:w="6200" w:type="dxa"/>
            <w:vAlign w:val="bottom"/>
          </w:tcPr>
          <w:p>
            <w:pPr>
              <w:ind w:left="120"/>
              <w:spacing w:after="0"/>
              <w:rPr>
                <w:sz w:val="20"/>
                <w:szCs w:val="20"/>
                <w:color w:val="auto"/>
              </w:rPr>
            </w:pPr>
            <w:r>
              <w:rPr>
                <w:rFonts w:ascii="Arial" w:cs="Arial" w:eastAsia="Arial" w:hAnsi="Arial"/>
                <w:sz w:val="18"/>
                <w:szCs w:val="18"/>
                <w:color w:val="auto"/>
              </w:rPr>
              <w:t>Water Contracts (Dudley-Ridge, Nickel and Tulare)</w:t>
            </w:r>
          </w:p>
        </w:tc>
        <w:tc>
          <w:tcPr>
            <w:tcW w:w="2520" w:type="dxa"/>
            <w:vAlign w:val="bottom"/>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10,137</w:t>
            </w:r>
          </w:p>
        </w:tc>
      </w:tr>
      <w:tr>
        <w:trPr>
          <w:trHeight w:val="23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r>
      <w:tr>
        <w:trPr>
          <w:trHeight w:val="230"/>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TCWD - Contracts with the Company</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r>
      <w:tr>
        <w:trPr>
          <w:trHeight w:val="223"/>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31,433</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31,433</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Total water held for future use and purchased water contracts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149,108</w:t>
            </w:r>
          </w:p>
        </w:tc>
        <w:tc>
          <w:tcPr>
            <w:tcW w:w="10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145,589</w:t>
            </w:r>
          </w:p>
        </w:tc>
      </w:tr>
      <w:tr>
        <w:trPr>
          <w:trHeight w:val="20"/>
        </w:trPr>
        <w:tc>
          <w:tcPr>
            <w:tcW w:w="62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entered into a Water Supply Agreement with Pastoria Energy Facility, L.L.C., or PEF, in 2015. PEF is a current lessee of the Company under a power plant lease.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2020 is $1,154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6.   ACCRUED LIABILITIES AND OTHER</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Accrued liabilities and other consists of the following:</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4"/>
                <w:szCs w:val="24"/>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2020</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2019</w:t>
            </w: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29"/>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paid personal leave</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29"/>
        </w:trPr>
        <w:tc>
          <w:tcPr>
            <w:tcW w:w="40" w:type="dxa"/>
            <w:vAlign w:val="bottom"/>
          </w:tcPr>
          <w:p>
            <w:pPr>
              <w:spacing w:after="0"/>
              <w:rPr>
                <w:sz w:val="19"/>
                <w:szCs w:val="19"/>
                <w:color w:val="auto"/>
              </w:rPr>
            </w:pPr>
          </w:p>
        </w:tc>
        <w:tc>
          <w:tcPr>
            <w:tcW w:w="6460" w:type="dxa"/>
            <w:vAlign w:val="bottom"/>
          </w:tcPr>
          <w:p>
            <w:pPr>
              <w:spacing w:after="0" w:line="230" w:lineRule="exact"/>
              <w:rPr>
                <w:sz w:val="20"/>
                <w:szCs w:val="20"/>
                <w:color w:val="auto"/>
              </w:rPr>
            </w:pPr>
            <w:r>
              <w:rPr>
                <w:rFonts w:ascii="Arial" w:cs="Arial" w:eastAsia="Arial" w:hAnsi="Arial"/>
                <w:sz w:val="18"/>
                <w:szCs w:val="18"/>
                <w:color w:val="auto"/>
              </w:rPr>
              <w:t>Property tax payable</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r>
      <w:tr>
        <w:trPr>
          <w:trHeight w:val="21"/>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California property taxes are accrued during the first and third quarters and are paid every April and December.</w:t>
      </w:r>
    </w:p>
    <w:p>
      <w:pPr>
        <w:spacing w:after="0" w:line="200" w:lineRule="exact"/>
        <w:rPr>
          <w:sz w:val="20"/>
          <w:szCs w:val="20"/>
          <w:color w:val="auto"/>
        </w:rPr>
      </w:pPr>
    </w:p>
    <w:p>
      <w:pPr>
        <w:spacing w:after="0" w:line="320" w:lineRule="exact"/>
        <w:rPr>
          <w:sz w:val="20"/>
          <w:szCs w:val="20"/>
          <w:color w:val="auto"/>
        </w:rPr>
      </w:pPr>
    </w:p>
    <w:p>
      <w:pPr>
        <w:ind w:right="7240" w:firstLine="8"/>
        <w:spacing w:after="0" w:line="376" w:lineRule="auto"/>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LINE OF CREDIT AND LONG-TERM DEBT </w:t>
      </w:r>
      <w:r>
        <w:rPr>
          <w:rFonts w:ascii="Arial" w:cs="Arial" w:eastAsia="Arial" w:hAnsi="Arial"/>
          <w:sz w:val="18"/>
          <w:szCs w:val="18"/>
          <w:color w:val="auto"/>
        </w:rPr>
        <w:t>Debt consists of the following:</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2020</w:t>
            </w:r>
          </w:p>
        </w:tc>
        <w:tc>
          <w:tcPr>
            <w:tcW w:w="280" w:type="dxa"/>
            <w:vAlign w:val="bottom"/>
          </w:tcPr>
          <w:p>
            <w:pPr>
              <w:spacing w:after="0"/>
              <w:rPr>
                <w:sz w:val="20"/>
                <w:szCs w:val="20"/>
                <w:color w:val="auto"/>
              </w:rPr>
            </w:pPr>
          </w:p>
        </w:tc>
        <w:tc>
          <w:tcPr>
            <w:tcW w:w="2040" w:type="dxa"/>
            <w:vAlign w:val="bottom"/>
          </w:tcPr>
          <w:p>
            <w:pPr>
              <w:jc w:val="right"/>
              <w:ind w:right="370"/>
              <w:spacing w:after="0"/>
              <w:rPr>
                <w:sz w:val="20"/>
                <w:szCs w:val="20"/>
                <w:color w:val="auto"/>
              </w:rPr>
            </w:pPr>
            <w:r>
              <w:rPr>
                <w:rFonts w:ascii="Arial" w:cs="Arial" w:eastAsia="Arial" w:hAnsi="Arial"/>
                <w:sz w:val="18"/>
                <w:szCs w:val="18"/>
                <w:color w:val="auto"/>
                <w:w w:val="98"/>
              </w:rPr>
              <w:t>December 31, 2019</w:t>
            </w:r>
          </w:p>
        </w:tc>
      </w:tr>
      <w:tr>
        <w:trPr>
          <w:trHeight w:val="223"/>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61,897</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loan costs</w:t>
            </w:r>
          </w:p>
        </w:tc>
        <w:tc>
          <w:tcPr>
            <w:tcW w:w="2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57,476</w:t>
            </w:r>
          </w:p>
        </w:tc>
      </w:tr>
      <w:tr>
        <w:trPr>
          <w:trHeight w:val="21"/>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2019, the Company amended its existing term note (the Term Note and, as amended, the Amended Term Note) with Wells Fargo and extended its maturity to June 5, 2029. The Amended Term Note had an outstanding balance of $55,879,000 as of September 30, 2020, and $58,768,000 as of December 31, 2019. The interest rate per annum applicable to the Amended Term Note is LIBOR (as defined in the Term Note) plus a margin of 170 basis points. The interest rate for the Amended Term Note has been fixed at 4.16% through the use of an interest rate swap agreement. The Amended Term Note requires monthly amortization payments, with the outstanding principal amount due June 5, 2029. The Amended Term Note is secured by the Company's farmland and farm assets, which include equipment, crops and crop receivables; the PEF power plant lease and lease site; and related accounts and other rights to payment and inventory.</w:t>
      </w:r>
    </w:p>
    <w:p>
      <w:pPr>
        <w:spacing w:after="0" w:line="14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 August 2019, the Company also increased the capacity of its revolving line of credit (RLC) with Wells Fargo to $35,000,000 from $30,000,000 and extended its maturity to October 5, 2024. The RLC had no outstanding balance as of September 30, 2020 and December 31, 2019. At the Company’s option, the interest rate on this line of credit can float at 1.50% over a selected LIBOR rate or can be fixed at 1.50% above LIBOR for a fixed rate term. During the term of this RLC, the Company can borrow at any time and partially or wholly repay any outstanding borrowings and then re-borrow, as necessary.</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Amended Term Note and RLC, collectively, the Amended Credit Facility, require compliance with three financial covenants: (i) total liabilities divided by tangible net worth of not greater than 0.75 to 1.0 at each quarter end; (ii) a debt service coverage ratio of not less than 1.25 to 1.00 as of each quarter end on a rolling four quarter basis; and (iii) liquid assets equal to or greater than $20,000,000, including availability on RLC. At September 30, 2020 and December 31, 2019, the Company was in compliance with these financial covenants.</w:t>
      </w:r>
    </w:p>
    <w:p>
      <w:pPr>
        <w:spacing w:after="0" w:line="133"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ind w:right="160"/>
        <w:spacing w:after="0" w:line="259" w:lineRule="auto"/>
        <w:rPr>
          <w:sz w:val="20"/>
          <w:szCs w:val="20"/>
          <w:color w:val="auto"/>
        </w:rPr>
      </w:pPr>
      <w:r>
        <w:rPr>
          <w:rFonts w:ascii="Arial" w:cs="Arial" w:eastAsia="Arial" w:hAnsi="Arial"/>
          <w:sz w:val="18"/>
          <w:szCs w:val="18"/>
          <w:color w:val="auto"/>
        </w:rPr>
        <w:t>The Amended Credit Facility also contains customary events of default, including: failure to make required payments; failure to comply with the terms of the Amended Credit Facility; bankruptcy and insolvency; and a change in control without consent of the bank (which consent will not be unreasonably withheld). The Amended Credit Facility contains other customary terms and conditions, including representations and warranties, which are typical for credit facilities of this type.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2013, Tejon entered into a promissory note agreement, secured by real estate, with CMFG Life Insurance Company to pay a principal amount</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of $4,750,000 with principal and interest due monthly starting on October 1, 2013. The interest rate on this promissory note is 4.25% per annum, with monthly principal and interest payments of $36,000 ending on September 1, 2028. In March 2020, the Company made an additional payment of $687,000 that was applied to the principal of the note. Subsequent principal and interest payments were reduced to $28,000 per month. The additional principal payment was tied to the release of collateral, which in April 2020 was contributed to Petro Travel Plaza, LLC. The current balance on the note was $2,250,000 on September 30, 2020. The balance of this long-term debt instrument included in "Notes payable" above approximates the fair value of the instrument.</w:t>
      </w:r>
    </w:p>
    <w:p>
      <w:pPr>
        <w:spacing w:after="0" w:line="13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2020</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2019</w:t>
            </w:r>
          </w:p>
        </w:tc>
      </w:tr>
      <w:tr>
        <w:trPr>
          <w:trHeight w:val="223"/>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liability (Note 13)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Interest rate swap liability (Note 10)</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6,682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2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executive retirement plan liability (Note 13)</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r>
      <w:tr>
        <w:trPr>
          <w:trHeight w:val="230"/>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Excess joint venture distributions and other</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r>
      <w:tr>
        <w:trPr>
          <w:trHeight w:val="248"/>
        </w:trPr>
        <w:tc>
          <w:tcPr>
            <w:tcW w:w="6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For the captions presented in the table above, please refer to the respective Notes to Unaudited Consolidated Financial Statements for further detail.</w:t>
      </w:r>
    </w:p>
    <w:p>
      <w:pPr>
        <w:spacing w:after="0" w:line="17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 RESTRICTED STOCK AND PERFORMANCE SHARE GRANTS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Arial" w:cs="Arial" w:eastAsia="Arial" w:hAnsi="Arial"/>
          <w:sz w:val="17"/>
          <w:szCs w:val="17"/>
          <w:i w:val="1"/>
          <w:iCs w:val="1"/>
          <w:color w:val="auto"/>
        </w:rPr>
        <w:t>Monte Carlo</w:t>
      </w:r>
      <w:r>
        <w:rPr>
          <w:rFonts w:ascii="Arial" w:cs="Arial" w:eastAsia="Arial" w:hAnsi="Arial"/>
          <w:sz w:val="17"/>
          <w:szCs w:val="17"/>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Performance Condition Grants as of the nine months ended September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100" w:type="dxa"/>
            <w:vAlign w:val="bottom"/>
            <w:gridSpan w:val="2"/>
          </w:tcPr>
          <w:p>
            <w:pPr>
              <w:ind w:left="1380"/>
              <w:spacing w:after="0"/>
              <w:rPr>
                <w:sz w:val="20"/>
                <w:szCs w:val="20"/>
                <w:color w:val="auto"/>
              </w:rPr>
            </w:pPr>
            <w:r>
              <w:rPr>
                <w:rFonts w:ascii="Arial" w:cs="Arial" w:eastAsia="Arial" w:hAnsi="Arial"/>
                <w:sz w:val="18"/>
                <w:szCs w:val="18"/>
                <w:color w:val="auto"/>
              </w:rPr>
              <w:t>Performance Condition Grants</w:t>
            </w:r>
          </w:p>
        </w:tc>
      </w:tr>
      <w:tr>
        <w:trPr>
          <w:trHeight w:val="223"/>
        </w:trPr>
        <w:tc>
          <w:tcPr>
            <w:tcW w:w="4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Threshold performance</w:t>
            </w:r>
          </w:p>
        </w:tc>
        <w:tc>
          <w:tcPr>
            <w:tcW w:w="8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Target performance</w:t>
            </w:r>
          </w:p>
        </w:tc>
        <w:tc>
          <w:tcPr>
            <w:tcW w:w="8080" w:type="dxa"/>
            <w:vAlign w:val="bottom"/>
          </w:tcPr>
          <w:p>
            <w:pPr>
              <w:jc w:val="right"/>
              <w:spacing w:after="0"/>
              <w:rPr>
                <w:sz w:val="20"/>
                <w:szCs w:val="20"/>
                <w:color w:val="auto"/>
              </w:rPr>
            </w:pPr>
            <w:r>
              <w:rPr>
                <w:rFonts w:ascii="Arial" w:cs="Arial" w:eastAsia="Arial" w:hAnsi="Arial"/>
                <w:sz w:val="18"/>
                <w:szCs w:val="18"/>
                <w:color w:val="auto"/>
              </w:rPr>
              <w:t>621,515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Maximum performance</w:t>
            </w:r>
          </w:p>
        </w:tc>
        <w:tc>
          <w:tcPr>
            <w:tcW w:w="8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1,063,367</w:t>
            </w:r>
          </w:p>
        </w:tc>
        <w:tc>
          <w:tcPr>
            <w:tcW w:w="20" w:type="dxa"/>
            <w:vAlign w:val="bottom"/>
          </w:tcPr>
          <w:p>
            <w:pPr>
              <w:spacing w:after="0"/>
              <w:rPr>
                <w:sz w:val="19"/>
                <w:szCs w:val="19"/>
                <w:color w:val="auto"/>
              </w:rPr>
            </w:pPr>
          </w:p>
        </w:tc>
      </w:tr>
      <w:tr>
        <w:trPr>
          <w:trHeight w:val="851"/>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80" w:type="dxa"/>
            <w:vAlign w:val="bottom"/>
          </w:tcPr>
          <w:p>
            <w:pPr>
              <w:jc w:val="right"/>
              <w:ind w:right="541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The following is a summary of the Company’s stock grant activity, both time and performance share grants, assuming target achievement for outstanding performance grants for the nine months ended September 30, 2020:</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84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September 30, 2020</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Grants Outstanding Beginning of Period at Target Achievement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409,373</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New Stock Grants/Additional Shares due to Achievement in Excess of Target</w:t>
            </w:r>
          </w:p>
        </w:tc>
        <w:tc>
          <w:tcPr>
            <w:tcW w:w="2360" w:type="dxa"/>
            <w:vAlign w:val="bottom"/>
          </w:tcPr>
          <w:p>
            <w:pPr>
              <w:jc w:val="right"/>
              <w:spacing w:after="0"/>
              <w:rPr>
                <w:sz w:val="20"/>
                <w:szCs w:val="20"/>
                <w:color w:val="auto"/>
              </w:rPr>
            </w:pPr>
            <w:r>
              <w:rPr>
                <w:rFonts w:ascii="Arial" w:cs="Arial" w:eastAsia="Arial" w:hAnsi="Arial"/>
                <w:sz w:val="18"/>
                <w:szCs w:val="18"/>
                <w:color w:val="auto"/>
              </w:rPr>
              <w:t>777,970</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Grants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(224,441)</w:t>
            </w:r>
          </w:p>
        </w:tc>
      </w:tr>
      <w:tr>
        <w:trPr>
          <w:trHeight w:val="23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Expired/Forfeited Grants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Grants Outstanding End of Period at Target Achievement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962,902</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is a summary of the assumptions used to determine the price for the Company's market-based Performance Condition Grants for the nine months ended September 30, 2020:</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 in thousands except for share prices)</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12, 2019</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11, 2020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Vesting end</w:t>
            </w:r>
          </w:p>
        </w:tc>
        <w:tc>
          <w:tcPr>
            <w:tcW w:w="2000" w:type="dxa"/>
            <w:vAlign w:val="bottom"/>
            <w:gridSpan w:val="2"/>
          </w:tcPr>
          <w:p>
            <w:pPr>
              <w:ind w:left="220"/>
              <w:spacing w:after="0"/>
              <w:rPr>
                <w:sz w:val="20"/>
                <w:szCs w:val="20"/>
                <w:color w:val="auto"/>
              </w:rPr>
            </w:pPr>
            <w:r>
              <w:rPr>
                <w:rFonts w:ascii="Arial" w:cs="Arial" w:eastAsia="Arial" w:hAnsi="Arial"/>
                <w:sz w:val="18"/>
                <w:szCs w:val="18"/>
                <w:color w:val="auto"/>
              </w:rPr>
              <w:t>December 31, 2022</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December 31, 2022</w:t>
            </w: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price at target achievement</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$18.80</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$16.36</w:t>
            </w:r>
          </w:p>
        </w:tc>
      </w:tr>
      <w:tr>
        <w:trPr>
          <w:trHeight w:val="270"/>
        </w:trPr>
        <w:tc>
          <w:tcPr>
            <w:tcW w:w="7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17.28%</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18.21%</w:t>
            </w: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0.58%</w:t>
            </w:r>
          </w:p>
        </w:tc>
      </w:tr>
      <w:tr>
        <w:trPr>
          <w:trHeight w:val="270"/>
        </w:trPr>
        <w:tc>
          <w:tcPr>
            <w:tcW w:w="73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Simulated Monte Carlo share price</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$11.95</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$5.87</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granted</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6,327</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81,716</w:t>
            </w:r>
          </w:p>
        </w:tc>
      </w:tr>
      <w:tr>
        <w:trPr>
          <w:trHeight w:val="224"/>
        </w:trPr>
        <w:tc>
          <w:tcPr>
            <w:tcW w:w="7320" w:type="dxa"/>
            <w:vAlign w:val="bottom"/>
          </w:tcPr>
          <w:p>
            <w:pPr>
              <w:spacing w:after="0"/>
              <w:rPr>
                <w:sz w:val="20"/>
                <w:szCs w:val="20"/>
                <w:color w:val="auto"/>
              </w:rPr>
            </w:pPr>
            <w:r>
              <w:rPr>
                <w:rFonts w:ascii="Arial" w:cs="Arial" w:eastAsia="Arial" w:hAnsi="Arial"/>
                <w:sz w:val="18"/>
                <w:szCs w:val="18"/>
                <w:color w:val="auto"/>
              </w:rPr>
              <w:t>Total fair value of award</w:t>
            </w: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$76</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$480</w:t>
            </w:r>
          </w:p>
        </w:tc>
      </w:tr>
    </w:tbl>
    <w:p>
      <w:pPr>
        <w:spacing w:after="0" w:line="200" w:lineRule="exact"/>
        <w:rPr>
          <w:sz w:val="20"/>
          <w:szCs w:val="20"/>
          <w:color w:val="auto"/>
        </w:rPr>
      </w:pPr>
    </w:p>
    <w:p>
      <w:pPr>
        <w:spacing w:after="0" w:line="3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unamortized cost associated with unvested stock grants and the weighted average period over which it is expected to be recognized as of September 30, 2020 were $9,464,000 and 23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Non-Employee Director Stock Incentive Plan, or NDSI Plan, each non-employee director receives his or her annual compensation in stock. The stock is granted at the end of each quarter based on the quarter-end stock price.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ind w:right="360"/>
        <w:spacing w:after="0" w:line="277" w:lineRule="auto"/>
        <w:rPr>
          <w:sz w:val="20"/>
          <w:szCs w:val="20"/>
          <w:color w:val="auto"/>
        </w:rPr>
      </w:pPr>
      <w:r>
        <w:rPr>
          <w:rFonts w:ascii="Arial" w:cs="Arial" w:eastAsia="Arial" w:hAnsi="Arial"/>
          <w:sz w:val="18"/>
          <w:szCs w:val="18"/>
          <w:color w:val="auto"/>
        </w:rPr>
        <w:t>The following table summarizes stock compensation costs for the Company's 1998 Stock Incentive Plan, or the Employee Plan, and NDSI Plan for the following periods: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Plan:</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2019</w:t>
            </w:r>
          </w:p>
        </w:tc>
      </w:tr>
      <w:tr>
        <w:trPr>
          <w:trHeight w:val="223"/>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0"/>
        </w:trPr>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Capitalized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7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NDSI Plan - Expensed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 Compensation Costs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9" w:name="page20"/>
    <w:bookmarkEnd w:id="19"/>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October 2014, the Company entered into an interest rate swap agreement to reduce its exposure to fluctuations in the floating interest rate tied to LIBOR under the Term Note, as discussed in Note 7 (Line of Credit and Long-Term Debt).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4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quarter ended September 30, 2020, the interest rate swap agreement was deemed highly effective. Changes in fair value, including accrued interest and adjustments for non-performance risk, that qualify as cash flow hedges are classified in AOCI. Amounts classified in AOCI are subsequently reclassified into earnings in the period during which the hedged transactions affect earnings.</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September 30, 2020,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September 30, 2020 and December 31, 2019 ($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4"/>
          </w:tcPr>
          <w:p>
            <w:pPr>
              <w:ind w:left="800"/>
              <w:spacing w:after="0"/>
              <w:rPr>
                <w:sz w:val="20"/>
                <w:szCs w:val="20"/>
                <w:color w:val="auto"/>
              </w:rPr>
            </w:pPr>
            <w:r>
              <w:rPr>
                <w:rFonts w:ascii="Arial" w:cs="Arial" w:eastAsia="Arial" w:hAnsi="Arial"/>
                <w:sz w:val="18"/>
                <w:szCs w:val="18"/>
                <w:color w:val="auto"/>
              </w:rPr>
              <w:t>September 30, 2020</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Maturity Date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Fair Value Hierarchy</w:t>
            </w: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Weighted Average</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0"/>
              </w:rPr>
              <w:t>Fair Value</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4"/>
              </w:rPr>
              <w:t>Notional Amount</w:t>
            </w:r>
          </w:p>
        </w:tc>
        <w:tc>
          <w:tcPr>
            <w:tcW w:w="0" w:type="dxa"/>
            <w:vAlign w:val="bottom"/>
          </w:tcPr>
          <w:p>
            <w:pPr>
              <w:spacing w:after="0"/>
              <w:rPr>
                <w:sz w:val="1"/>
                <w:szCs w:val="1"/>
                <w:color w:val="auto"/>
              </w:rPr>
            </w:pPr>
          </w:p>
        </w:tc>
      </w:tr>
      <w:tr>
        <w:trPr>
          <w:trHeight w:val="230"/>
        </w:trPr>
        <w:tc>
          <w:tcPr>
            <w:tcW w:w="2120" w:type="dxa"/>
            <w:vAlign w:val="bottom"/>
            <w:gridSpan w:val="2"/>
            <w:vMerge w:val="continue"/>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40" w:type="dxa"/>
            <w:vAlign w:val="bottom"/>
            <w:gridSpan w:val="2"/>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5, 2019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5, 2029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$(6,682)</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$55,879</w:t>
            </w:r>
          </w:p>
        </w:tc>
        <w:tc>
          <w:tcPr>
            <w:tcW w:w="0" w:type="dxa"/>
            <w:vAlign w:val="bottom"/>
          </w:tcPr>
          <w:p>
            <w:pPr>
              <w:spacing w:after="0"/>
              <w:rPr>
                <w:sz w:val="1"/>
                <w:szCs w:val="1"/>
                <w:color w:val="auto"/>
              </w:rPr>
            </w:pPr>
          </w:p>
        </w:tc>
      </w:tr>
      <w:tr>
        <w:trPr>
          <w:trHeight w:val="446"/>
        </w:trPr>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color w:val="auto"/>
              </w:rPr>
              <w:t>December 31, 2019</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Maturity Date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Fair Value Hierarchy</w:t>
            </w:r>
          </w:p>
        </w:tc>
        <w:tc>
          <w:tcPr>
            <w:tcW w:w="2020" w:type="dxa"/>
            <w:vAlign w:val="bottom"/>
            <w:gridSpan w:val="2"/>
          </w:tcPr>
          <w:p>
            <w:pPr>
              <w:jc w:val="center"/>
              <w:ind w:right="120"/>
              <w:spacing w:after="0" w:line="169" w:lineRule="exact"/>
              <w:rPr>
                <w:sz w:val="20"/>
                <w:szCs w:val="20"/>
                <w:color w:val="auto"/>
              </w:rPr>
            </w:pPr>
            <w:r>
              <w:rPr>
                <w:rFonts w:ascii="Arial" w:cs="Arial" w:eastAsia="Arial" w:hAnsi="Arial"/>
                <w:sz w:val="18"/>
                <w:szCs w:val="18"/>
                <w:color w:val="auto"/>
                <w:w w:val="90"/>
              </w:rPr>
              <w:t>Weighted Average</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0"/>
              </w:rPr>
              <w:t>Fair Value</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4"/>
              </w:rPr>
              <w:t>Notional Amount</w:t>
            </w:r>
          </w:p>
        </w:tc>
        <w:tc>
          <w:tcPr>
            <w:tcW w:w="0" w:type="dxa"/>
            <w:vAlign w:val="bottom"/>
          </w:tcPr>
          <w:p>
            <w:pPr>
              <w:spacing w:after="0"/>
              <w:rPr>
                <w:sz w:val="1"/>
                <w:szCs w:val="1"/>
                <w:color w:val="auto"/>
              </w:rPr>
            </w:pPr>
          </w:p>
        </w:tc>
      </w:tr>
      <w:tr>
        <w:trPr>
          <w:trHeight w:val="229"/>
        </w:trPr>
        <w:tc>
          <w:tcPr>
            <w:tcW w:w="2120" w:type="dxa"/>
            <w:vAlign w:val="bottom"/>
            <w:gridSpan w:val="2"/>
            <w:vMerge w:val="continue"/>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40" w:type="dxa"/>
            <w:vAlign w:val="bottom"/>
            <w:gridSpan w:val="2"/>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5, 2019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5, 2029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$(2,716)</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$58,768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Company utilized a discrete effective tax rate method, as allowed by ASC 740-270 “Income Taxes—Interim Reporting,” to calculate taxes for the three and nine months ended September 30, 2020. The Company determined that because there is a high degree of uncertainty in estimating annual pretax earnings, the historical method would not provide a reliable estimate for tax expense for the three- and nine-months ended September 30, 2020.</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2020, the Company's income tax expense was $1,111,000 compared to $320,000 for the nine months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ended September 30, 2019. Effective tax rates were 229% and 27% for the nine months ended September 30, 2020 and 2019, respectively. As of September 30, 2020, the Company had income tax receivables of $274,000. The Company classifies interest and penalties incurred on tax payments as income tax expense.</w:t>
      </w:r>
    </w:p>
    <w:p>
      <w:pPr>
        <w:spacing w:after="0" w:line="6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nine months ended September 30, 2020, the Company recognized income tax expense primarily as a result of permanent differences related to Section 162(m) limitations and discrete tax expense associated with stock compensation. The Section 162(m) compensation deduction limitations occurred as a result of changes in tax law arising from the 2017 Tax Cuts Jobs Act, which did not impact the Company until this year.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120" w:lineRule="exact"/>
        <w:rPr>
          <w:sz w:val="20"/>
          <w:szCs w:val="20"/>
          <w:color w:val="auto"/>
        </w:rPr>
      </w:pPr>
    </w:p>
    <w:p>
      <w:pPr>
        <w:ind w:right="7340" w:firstLine="8"/>
        <w:spacing w:after="0" w:line="354" w:lineRule="auto"/>
        <w:tabs>
          <w:tab w:leader="none" w:pos="45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Water Contracts</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land is subject to water contracts with minimum annual payments, for which $10,943,000 is expected to be paid in total for 2020. As of September 30, 2020, the Company has paid $10,144,000 for its water contracts.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$261,952,000 as of September 30,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Conservancy Payments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0" w:name="page21"/>
    <w:bookmarkEnd w:id="20"/>
    <w:p>
      <w:pPr>
        <w:ind w:right="200"/>
        <w:spacing w:after="0" w:line="279" w:lineRule="auto"/>
        <w:rPr>
          <w:sz w:val="20"/>
          <w:szCs w:val="20"/>
          <w:color w:val="auto"/>
        </w:rPr>
      </w:pPr>
      <w:r>
        <w:rPr>
          <w:rFonts w:ascii="Arial" w:cs="Arial" w:eastAsia="Arial" w:hAnsi="Arial"/>
          <w:sz w:val="17"/>
          <w:szCs w:val="17"/>
          <w:color w:val="auto"/>
        </w:rPr>
        <w:t>The Company is obligated to make payments of approximately $800,000 per year through 2021 to the Tejon Ranch Conservancy, as prescribed in the Conservation Agreement entered into with five major environmental organizations in 2008.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w:t>
      </w:r>
    </w:p>
    <w:p>
      <w:pPr>
        <w:spacing w:after="0" w:line="10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cannot be determined until such milestone is met. The Company believes as of September 30, 2020 that net savings from exiting the contract over this future time period will more than offset the incentive payment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Facilities Districts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 that can be sold in the future.</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September 30, 2020, there were no additional improvement funds remaining from the West CFD bonds. There are no additional improvement funds remaining within the East CFD bonds for reimbursement of public infrastructure costs during future years. During fiscal 2020, the Company expects to pay approximately $2,521,000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was not required to recognize an obligation at September 30,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Tehachapi Uplands Multiple Species Habitat Conservation Plan Litigation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seeks to invalidate the TUMSHCP as it pertains to the protection of the California condor (an endangered species), as well as the ITP.</w:t>
      </w:r>
    </w:p>
    <w:p>
      <w:pPr>
        <w:spacing w:after="0" w:line="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1" w:name="page22"/>
    <w:bookmarkEnd w:id="21"/>
    <w:p>
      <w:pPr>
        <w:ind w:right="80"/>
        <w:spacing w:after="0" w:line="272" w:lineRule="auto"/>
        <w:rPr>
          <w:sz w:val="20"/>
          <w:szCs w:val="20"/>
          <w:color w:val="auto"/>
        </w:rPr>
      </w:pPr>
      <w:r>
        <w:rPr>
          <w:rFonts w:ascii="Arial" w:cs="Arial" w:eastAsia="Arial" w:hAnsi="Arial"/>
          <w:sz w:val="17"/>
          <w:szCs w:val="17"/>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is supporting USFWS's efforts to vigorously defend this matter. On October 30, 2019, the TUMSCHCP Plaintiffs filed an amended complaint after the court previously granted the Company’s motion to dismiss the TUMSCHP Suit on the basis that the TUMSCHP Plaintiffs lacked standing. The Company brought a second motion to dismiss on the same basis, which the court denied on December 18, 2019. In its December 18, 2019 ruling, the court ordered that the parties proceed to bring motions for summary judgment on the question of whether the USFWS correctly determined that the California condor is not a “Traditional Cultural Property” under the NHPA.</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the date of this report, the USFWS has filed the record of its decision in order to adjudicate that question and the parties have agreed that the record is complete. On September 4, 2020, the TUMSCHP Plaintiffs filed a motion for summary judgment. The USFWS and the Company are filing responsive briefs and counter motions for summary judgment in response to adjudicate the question presented by the court. At this time there is no hearing set for these motions for summary judgment.</w:t>
      </w:r>
    </w:p>
    <w:p>
      <w:pPr>
        <w:spacing w:after="0" w:line="65" w:lineRule="exact"/>
        <w:rPr>
          <w:sz w:val="20"/>
          <w:szCs w:val="20"/>
          <w:color w:val="auto"/>
        </w:rPr>
      </w:pPr>
    </w:p>
    <w:p>
      <w:pPr>
        <w:ind w:right="60"/>
        <w:spacing w:after="0" w:line="358" w:lineRule="auto"/>
        <w:rPr>
          <w:sz w:val="20"/>
          <w:szCs w:val="20"/>
          <w:color w:val="auto"/>
        </w:rPr>
      </w:pPr>
      <w:r>
        <w:rPr>
          <w:rFonts w:ascii="Arial" w:cs="Arial" w:eastAsia="Arial" w:hAnsi="Arial"/>
          <w:sz w:val="16"/>
          <w:szCs w:val="16"/>
          <w:color w:val="auto"/>
        </w:rPr>
        <w:t>The TUMSHCP Plaintiffs had previously raised essentially the same arguments regarding the Native American consultation process and the California condor in an earlier state court litigation. In that litigation, the California Court of Appeal rejected the TUMSHCP Plaintiffs’ arguments as lacking merit in a decision issued on April 25, 2012. See Center for Biological Diversity, et al. v. Kern County, 2012 WL 1417682 (Case No. F061908).</w:t>
      </w:r>
    </w:p>
    <w:p>
      <w:pPr>
        <w:ind w:right="980"/>
        <w:spacing w:after="0" w:line="352" w:lineRule="auto"/>
        <w:rPr>
          <w:sz w:val="20"/>
          <w:szCs w:val="20"/>
          <w:color w:val="auto"/>
        </w:rPr>
      </w:pPr>
      <w:r>
        <w:rPr>
          <w:rFonts w:ascii="Arial" w:cs="Arial" w:eastAsia="Arial" w:hAnsi="Arial"/>
          <w:sz w:val="18"/>
          <w:szCs w:val="18"/>
          <w:color w:val="auto"/>
        </w:rPr>
        <w:t xml:space="preserve">As of September 30, 2020, the Company believes the TUMSHCP Suit does not impede its ability to start or complete the development of MV. </w:t>
      </w:r>
      <w:r>
        <w:rPr>
          <w:rFonts w:ascii="Arial" w:cs="Arial" w:eastAsia="Arial" w:hAnsi="Arial"/>
          <w:sz w:val="18"/>
          <w:szCs w:val="18"/>
          <w:i w:val="1"/>
          <w:iCs w:val="1"/>
          <w:color w:val="auto"/>
        </w:rPr>
        <w:t>National Cement</w:t>
      </w:r>
    </w:p>
    <w:p>
      <w:pPr>
        <w:jc w:val="both"/>
        <w:ind w:right="60"/>
        <w:spacing w:after="0" w:line="263" w:lineRule="auto"/>
        <w:rPr>
          <w:sz w:val="20"/>
          <w:szCs w:val="20"/>
          <w:color w:val="auto"/>
        </w:rPr>
      </w:pPr>
      <w:r>
        <w:rPr>
          <w:rFonts w:ascii="Arial" w:cs="Arial" w:eastAsia="Arial" w:hAnsi="Arial"/>
          <w:sz w:val="18"/>
          <w:szCs w:val="18"/>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former tenant Lafarge Corporation, or Lafarge, and current tenant National, continue to remediate these environmental conditions consistent with the RWQCB orders.</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Antelope Valley Groundwater Cases</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and Phelan Pinon Hills Community Services District, filed notices of appeal from the Judgment. The Appeal has been transferred from the Fourth Appellate District of California to the Fifth Appellate District.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2" w:name="page23"/>
    <w:bookmarkEnd w:id="22"/>
    <w:p>
      <w:pPr>
        <w:jc w:val="both"/>
        <w:ind w:right="180"/>
        <w:spacing w:after="0" w:line="287" w:lineRule="auto"/>
        <w:rPr>
          <w:sz w:val="20"/>
          <w:szCs w:val="20"/>
          <w:color w:val="auto"/>
        </w:rPr>
      </w:pPr>
      <w:r>
        <w:rPr>
          <w:rFonts w:ascii="Arial" w:cs="Arial" w:eastAsia="Arial" w:hAnsi="Arial"/>
          <w:sz w:val="16"/>
          <w:szCs w:val="16"/>
          <w:color w:val="auto"/>
        </w:rPr>
        <w:t>Appellate briefing on the Phelan Pinion Hills Community Services District appeal is complete and argument is scheduled for November 2020. Appellate briefing on the Willis Class and Tapia appeals will likely be complete in the fourth quarter of 2020, and oral argument will likely occur in the first quarter of 2021. Following oral argument, the court will likely take the matters under submission and issue one or more opinions within 90 days thereafter.</w:t>
      </w:r>
    </w:p>
    <w:p>
      <w:pPr>
        <w:spacing w:after="0" w:line="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and Status of Kern Water Bank Lawsuits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3, 2010, the Central Delta and South Delta Water Agencies and several environmental groups, including CBD, collectively, the Central Delta Petitioners, filed a complaint in the Sacramento County Superior Court, or the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5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later moved to the Sacramento County Superior Court.</w:t>
      </w:r>
    </w:p>
    <w:p>
      <w:pPr>
        <w:spacing w:after="0" w:line="3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appealed the Sacramento County Superior Court Judgment, and certain real parties filed a cross-appeal. No party appealed the Kern County Superior Court Judgment in the Rosedale Action.</w:t>
      </w:r>
    </w:p>
    <w:p>
      <w:pPr>
        <w:spacing w:after="0" w:line="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spacing w:after="0" w:line="288" w:lineRule="auto"/>
        <w:rPr>
          <w:sz w:val="20"/>
          <w:szCs w:val="20"/>
          <w:color w:val="auto"/>
        </w:rPr>
      </w:pPr>
      <w:r>
        <w:rPr>
          <w:rFonts w:ascii="Arial" w:cs="Arial" w:eastAsia="Arial" w:hAnsi="Arial"/>
          <w:sz w:val="16"/>
          <w:szCs w:val="16"/>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the Company anticipates having a ruling from the Court of Appeal on these consolidated appeals of the CFS Action and the Central Delta Action sometime in 2020, but there is a possibility that the court’s hearing and disposition could be delayed by the closure of the courts in response to the COVID-19 pandemic. To the extent there may be an adverse outcome of the claims still pending as described above, the monetary value cannot be estimated at this time.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Grapevine</w:t>
      </w:r>
    </w:p>
    <w:p>
      <w:pPr>
        <w:spacing w:after="0" w:line="1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December 6, 2016, the Kern County Board of Supervisors unanimously granted entitlement approval for the Grapevine project. On January 5, 2017, the CBD and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and the environmental approvals and require the Company and the County to revise the environmental documentation.</w:t>
      </w:r>
    </w:p>
    <w:p>
      <w:pPr>
        <w:spacing w:after="0" w:line="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of the percent of vehicle trips remaining within the project actually being lower than the projected ICR levels used in the EIR and that lower ICR levels warranted supplemental traffic, air quality, greenhouse gas emissions, noise, public health and growth inducing impact analyses.</w:t>
      </w:r>
    </w:p>
    <w:p>
      <w:pPr>
        <w:spacing w:after="0" w:line="3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Following the County’s rescission of the Grapevine project approvals, the Company filed new applications to re-entitle the Grapevine project (the re-entitlement). The re-entitlement application involved processing project approvals that were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 of the Grapevine project. On January 9, 2020, the County filed a Supplemental and Final Return to Preemptory Writ of Mandate to inform the court of the re-entitlement in a manner that the County and the Company believes is compliant with the court’s February 15, 2019 final judgment in the 2017 Action. Concurrently, the County and the Company filed a Motion for Order Discharging Writ of Mandate, which requests that the court determine that the re-entitlement complies with the court’s February 15, 2019 final judgment in the 2017 Action (the Motion for Order to Discharge 2017 Writ of Mandate). A hearing was held on February 14, 2020 for this motion and is further summarized below.</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ind w:right="40"/>
        <w:spacing w:after="0" w:line="285" w:lineRule="auto"/>
        <w:rPr>
          <w:sz w:val="20"/>
          <w:szCs w:val="20"/>
          <w:color w:val="auto"/>
        </w:rPr>
      </w:pPr>
      <w:r>
        <w:rPr>
          <w:rFonts w:ascii="Arial" w:cs="Arial" w:eastAsia="Arial" w:hAnsi="Arial"/>
          <w:sz w:val="16"/>
          <w:szCs w:val="16"/>
          <w:color w:val="auto"/>
        </w:rPr>
        <w:t>On January 10, 2020, CBD filed a new and separate action in Kern County Superior Court pursuant to CEQA against the County, concerning the County’s approval of the December 2019 re-entitlement, including certification of the final EIR (the 2020 Action). The Company is named as real party in interest in the 2020 Action. The 2020 Action alleges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seeks to invalidate the County’s approval of the re-entitlement, the environmental approvals for the re-entitlement and require the Company and the County to revise the environmental documentation. The Company intends to vigorously defend the re-entitlement of the Grapevine project against claims made in the 2020 Action. On January 22, 2020, the Company and County filed a demurrer and motion to strike the claims in the 2020 Action on the basis that the claims brought by CBD must be resolved by the court in the 2017 action, pursuant to the final judgment issued in the 2017 Action. The Company and County’s motion described in the previous sentence also included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hearing, the court granted the Company and County’s request to consolidate the 2020 Action with its adjudication of the Company and County’s compliance with the writ of mandate issued by the Court in the 2017 Action. The court denied, without prejudice, the Company’s and County’s motion to discharge the writ in the 2017 Action and their demurrer and motion to strike the claims in the 2020 Action, but the court further ruled that the Company and County could re-assert these arguments at a later date once additional evidence was before the court.</w:t>
      </w:r>
    </w:p>
    <w:p>
      <w:pPr>
        <w:spacing w:after="0" w:line="4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of the date of this filing, the County has certified and lodged the administrative record for the 2020 Action. The court has set January 22, 2021 as the hearing date for the 2020 Action and the Motion for Order to Discharge 2017 Writ of Mandate. On June 8, 2020 the County and Company filed their responsive pleadings in the 2020 Action. At this time, briefing for the January 22, 2021 hearing is ongoing.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a consolidated hearing for the CBD/CNPS Action and Climate Resolve Action on September 30, 2020, but did not issue any ruling or judgment, and ordered that further hearing be held on November 13,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Incidental to Business</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3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RETIREMENT PLANS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contributed $165,000 to the Benefit Plan in 2020.</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5" w:name="page26"/>
    <w:bookmarkEnd w:id="25"/>
    <w:p>
      <w:pPr>
        <w:spacing w:after="0" w:line="288" w:lineRule="auto"/>
        <w:rPr>
          <w:sz w:val="20"/>
          <w:szCs w:val="20"/>
          <w:color w:val="auto"/>
        </w:rPr>
      </w:pPr>
      <w:r>
        <w:rPr>
          <w:rFonts w:ascii="Arial" w:cs="Arial" w:eastAsia="Arial" w:hAnsi="Arial"/>
          <w:sz w:val="16"/>
          <w:szCs w:val="16"/>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September 30, 2020, the investment mix was approximately 65% equity, 34% debt, and 1% money market funds. At December 31, 2019, the investment mix was approximately 66% equity, 33% debt, and 1% money market funds. Equity investments comprise of value, growth, large cap, small cap and international stock funds. Debt investments consist of U.S. Treasury securities and investment grade corporate debt. A weighted average discount rate of 3.2% was used in determining the net periodic pension cost for 2020, along with the pension benefit obligation for December 31, 2019. The assumed expected long-term rate of return on plan assets is 7.3% for both fiscal 2020 and December 31, 2019. The long-term rate of return on Benefit Plan assets is based on the historical returns within the plan and expectations for future returns.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Total pension and retirement earnings for the Benefit Plan was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w w:val="98"/>
              </w:rPr>
              <w:t>Nine Months Ended September 30,</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r>
      <w:tr>
        <w:trPr>
          <w:trHeight w:val="209"/>
        </w:trPr>
        <w:tc>
          <w:tcPr>
            <w:tcW w:w="7320" w:type="dxa"/>
            <w:vAlign w:val="bottom"/>
          </w:tcPr>
          <w:p>
            <w:pPr>
              <w:ind w:left="20"/>
              <w:spacing w:after="0"/>
              <w:rPr>
                <w:sz w:val="20"/>
                <w:szCs w:val="20"/>
                <w:color w:val="auto"/>
              </w:rPr>
            </w:pPr>
            <w:r>
              <w:rPr>
                <w:rFonts w:ascii="Arial" w:cs="Arial" w:eastAsia="Arial" w:hAnsi="Arial"/>
                <w:sz w:val="18"/>
                <w:szCs w:val="18"/>
                <w:color w:val="auto"/>
              </w:rPr>
              <w:t>Earnings (cost) components:</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cost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320" w:type="dxa"/>
            <w:vAlign w:val="bottom"/>
          </w:tcPr>
          <w:p>
            <w:pPr>
              <w:ind w:left="320"/>
              <w:spacing w:after="0"/>
              <w:rPr>
                <w:sz w:val="20"/>
                <w:szCs w:val="20"/>
                <w:color w:val="auto"/>
              </w:rPr>
            </w:pPr>
            <w:r>
              <w:rPr>
                <w:rFonts w:ascii="Arial" w:cs="Arial" w:eastAsia="Arial" w:hAnsi="Arial"/>
                <w:sz w:val="18"/>
                <w:szCs w:val="18"/>
                <w:color w:val="auto"/>
              </w:rPr>
              <w:t>Expected return on plan assets</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amortization and deferral</w:t>
            </w: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Total net periodic pension earnings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pension and retirement expense for the SERP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40" w:type="dxa"/>
            <w:vAlign w:val="bottom"/>
            <w:gridSpan w:val="5"/>
          </w:tcPr>
          <w:p>
            <w:pPr>
              <w:ind w:left="30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 in thousands)</w:t>
            </w:r>
          </w:p>
        </w:tc>
        <w:tc>
          <w:tcPr>
            <w:tcW w:w="3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components:</w:t>
            </w: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cost</w:t>
            </w:r>
          </w:p>
        </w:tc>
        <w:tc>
          <w:tcPr>
            <w:tcW w:w="3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amortization and other</w:t>
            </w:r>
          </w:p>
        </w:tc>
        <w:tc>
          <w:tcPr>
            <w:tcW w:w="3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3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26</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tabs>
          <w:tab w:leader="none" w:pos="400" w:val="left"/>
        </w:tabs>
        <w:rPr>
          <w:sz w:val="20"/>
          <w:szCs w:val="20"/>
          <w:color w:val="auto"/>
        </w:rPr>
      </w:pPr>
      <w:r>
        <w:rPr>
          <w:rFonts w:ascii="Arial" w:cs="Arial" w:eastAsia="Arial" w:hAnsi="Arial"/>
          <w:sz w:val="18"/>
          <w:szCs w:val="18"/>
          <w:b w:val="1"/>
          <w:bCs w:val="1"/>
          <w:color w:val="auto"/>
        </w:rPr>
        <w:t>14.</w:t>
        <w:tab/>
        <w:t>REPORTING SEGMENTS AND RELATED INFORMATION</w:t>
      </w:r>
    </w:p>
    <w:p>
      <w:pPr>
        <w:spacing w:after="0" w:line="10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Commercial/Industrial</w:t>
      </w:r>
    </w:p>
    <w:p>
      <w:pPr>
        <w:spacing w:after="0" w:line="104"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Commercial/Industrial real estate development segment revenues consist of land sale revenues, land and building leases to tenants at the Company's commercial retail developments, base and percentage rents from the PEF power plant lease, communication tower leases, and easement leases. The following table summarizes revenues, expenses and operating income from this segment for the periods ended:</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Commercial/industrial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Equity in earnings of unconsolidated joint ventures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155"/>
        </w:trPr>
        <w:tc>
          <w:tcPr>
            <w:tcW w:w="4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Commercial/industrial revenues and equity in earnings of</w:t>
            </w:r>
          </w:p>
        </w:tc>
        <w:tc>
          <w:tcPr>
            <w:tcW w:w="24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ventures</w:t>
            </w:r>
          </w:p>
        </w:tc>
        <w:tc>
          <w:tcPr>
            <w:tcW w:w="2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Commercial/industrial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155"/>
        </w:trPr>
        <w:tc>
          <w:tcPr>
            <w:tcW w:w="4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Operating results from commercial/industrial and</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unconsolidated joint ventures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Resort/Residential</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$273,000 and $582,000 for the three months ended September 30, 2020 and 2019, and $1,225,000 and $1,872,000 for the nine months ended September 30, 2020 and 2019,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Mineral Resources</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Mineral Resources segment receives oil and mineral royalties from the exploration and development companies that extract or mine the natural resources from the Company's land and receives revenue from water sales. The following table summarizes revenues, expenses and operating results from this segment for the periods ended: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9"/>
                <w:szCs w:val="19"/>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Mineral resources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40" w:type="dxa"/>
            <w:vAlign w:val="bottom"/>
          </w:tcPr>
          <w:p>
            <w:pPr>
              <w:spacing w:after="0"/>
              <w:rPr>
                <w:sz w:val="19"/>
                <w:szCs w:val="19"/>
                <w:color w:val="auto"/>
              </w:rPr>
            </w:pPr>
          </w:p>
        </w:tc>
      </w:tr>
      <w:tr>
        <w:trPr>
          <w:trHeight w:val="230"/>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Mineral resources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w:t>
            </w:r>
          </w:p>
        </w:tc>
        <w:tc>
          <w:tcPr>
            <w:tcW w:w="40" w:type="dxa"/>
            <w:vAlign w:val="bottom"/>
          </w:tcPr>
          <w:p>
            <w:pPr>
              <w:spacing w:after="0"/>
              <w:rPr>
                <w:sz w:val="19"/>
                <w:szCs w:val="19"/>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mineral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40" w:type="dxa"/>
            <w:vAlign w:val="bottom"/>
          </w:tcPr>
          <w:p>
            <w:pPr>
              <w:spacing w:after="0"/>
              <w:rPr>
                <w:sz w:val="21"/>
                <w:szCs w:val="2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5"/>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Farming</w:t>
      </w:r>
    </w:p>
    <w:p>
      <w:pPr>
        <w:spacing w:after="0" w:line="1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3"/>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Farming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3"/>
              </w:rPr>
              <w:t>4,602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3"/>
              </w:rPr>
              <w:t>6,303</w:t>
            </w:r>
          </w:p>
        </w:tc>
      </w:tr>
      <w:tr>
        <w:trPr>
          <w:trHeight w:val="229"/>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Farming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3"/>
              </w:rPr>
              <w:t>5,979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93"/>
              </w:rPr>
              <w:t>8,402</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farming</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1"/>
              </w:rPr>
              <w:t>(2,099)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Ranch Operations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Ranch Operations segment consists of game management revenues and ancillary land uses such as grazing leases. The following table summarizes revenues, expenses and operating results from this segment for the periods ended: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Ranch operations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3"/>
              </w:rPr>
              <w:t>2,483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8"/>
              </w:rPr>
              <w:t>2,570</w:t>
            </w:r>
          </w:p>
        </w:tc>
      </w:tr>
      <w:tr>
        <w:trPr>
          <w:trHeight w:val="230"/>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Ranch operations expenses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3"/>
              </w:rPr>
              <w:t>3,748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8"/>
              </w:rPr>
              <w:t>4,003</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ranch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1"/>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1"/>
              </w:rPr>
              <w:t>(1,433)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INVESTMENT IN UNCONSOLIDATED AND CONSOLIDATED JOINT VENTURES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2020 was $37,163,000. Equity in earnings from unconsolidated joint ventures was $3,629,000 for the nine months ended September 30, 2020. The unconsolidated joint ventures have not been consolidated as of September 30, 2020, because the Company does not control the investments. The Company’s current joint ventures are as follows:</w:t>
      </w:r>
    </w:p>
    <w:p>
      <w:pPr>
        <w:spacing w:after="0" w:line="122" w:lineRule="exact"/>
        <w:rPr>
          <w:sz w:val="20"/>
          <w:szCs w:val="20"/>
          <w:color w:val="auto"/>
        </w:rPr>
      </w:pPr>
    </w:p>
    <w:p>
      <w:pPr>
        <w:ind w:left="460" w:hanging="331"/>
        <w:spacing w:after="0" w:line="255"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Petro Travel Plaza Holdings LLC – Petro Travel Plaza Holdings LLC, Petro, is an unconsolidated joint venture with TravelCenters of America that develops and manages travel plazas, gas stations, convenience stores, and fast 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$22,004,000 as of September 30, 2020.</w:t>
      </w:r>
    </w:p>
    <w:p>
      <w:pPr>
        <w:spacing w:after="0" w:line="138" w:lineRule="exact"/>
        <w:rPr>
          <w:rFonts w:ascii="Arial" w:cs="Arial" w:eastAsia="Arial" w:hAnsi="Arial"/>
          <w:sz w:val="18"/>
          <w:szCs w:val="18"/>
          <w:color w:val="auto"/>
        </w:rPr>
      </w:pPr>
    </w:p>
    <w:p>
      <w:pPr>
        <w:ind w:left="1100" w:right="180" w:hanging="323"/>
        <w:spacing w:after="0" w:line="263" w:lineRule="auto"/>
        <w:tabs>
          <w:tab w:leader="none" w:pos="10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On April 17, 2020, the Company sold the land and a building formerly leased to a tenant operating a fast food restaurant, to Petro. The Company received cash proceeds of $2,000,000 from Petro, and realized a gain of $1,331,000 under ASC 610-20, "Other Income – Gains and Losses from the Derecognition of Nonfinancial Assets."</w:t>
      </w:r>
    </w:p>
    <w:p>
      <w:pPr>
        <w:spacing w:after="0" w:line="129" w:lineRule="exact"/>
        <w:rPr>
          <w:rFonts w:ascii="Arial" w:cs="Arial" w:eastAsia="Arial" w:hAnsi="Arial"/>
          <w:sz w:val="18"/>
          <w:szCs w:val="18"/>
          <w:color w:val="auto"/>
        </w:rPr>
      </w:pPr>
    </w:p>
    <w:p>
      <w:pPr>
        <w:ind w:left="460" w:right="100" w:hanging="331"/>
        <w:spacing w:after="0" w:line="259"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Majestic Realty Co. – Majestic Realty Co. (Majestic) is a privately-held developer and owner of master planned business parks throughout the United States. The Company has formed three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13" w:right="379" w:bottom="1440" w:gutter="0" w:footer="0" w:header="0"/>
        </w:sectPr>
      </w:pPr>
    </w:p>
    <w:bookmarkStart w:id="28" w:name="page29"/>
    <w:bookmarkEnd w:id="28"/>
    <w:p>
      <w:pPr>
        <w:ind w:left="980" w:right="20" w:hanging="324"/>
        <w:spacing w:after="0" w:line="271" w:lineRule="auto"/>
        <w:tabs>
          <w:tab w:leader="none" w:pos="976"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the fourth quarter of 2019, and the Company has leased 100% of the rentable space to two tenants. In March 2019, the joint venture entered into a promissory note with a financial institution to finance the construction of the building. The note matures on May 1, 2030 and had an outstanding principal balance of $35,785,000 as of September 30, 2020. On April 1, 2019, the Company contributed land with a fair value of $5,854,000 to TRC-MRC 3, LLC in accordance with the limited liability agreement. The Company's investment in this joint venture was $6,464,000 as of September 30, 2020.</w:t>
      </w:r>
    </w:p>
    <w:p>
      <w:pPr>
        <w:spacing w:after="0" w:line="70" w:lineRule="exact"/>
        <w:rPr>
          <w:rFonts w:ascii="Arial" w:cs="Arial" w:eastAsia="Arial" w:hAnsi="Arial"/>
          <w:sz w:val="17"/>
          <w:szCs w:val="17"/>
          <w:color w:val="auto"/>
        </w:rPr>
      </w:pPr>
    </w:p>
    <w:p>
      <w:pPr>
        <w:ind w:left="980" w:right="20" w:hanging="324"/>
        <w:spacing w:after="0" w:line="270" w:lineRule="auto"/>
        <w:tabs>
          <w:tab w:leader="none" w:pos="976"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$24,018,000 as of September 30, 2020. Since its inception, the Company has received excess distributions resulting in a deficit balance of $2,038,000.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72" w:lineRule="exact"/>
        <w:rPr>
          <w:rFonts w:ascii="Arial" w:cs="Arial" w:eastAsia="Arial" w:hAnsi="Arial"/>
          <w:sz w:val="17"/>
          <w:szCs w:val="17"/>
          <w:color w:val="auto"/>
        </w:rPr>
      </w:pPr>
    </w:p>
    <w:p>
      <w:pPr>
        <w:ind w:left="980" w:hanging="324"/>
        <w:spacing w:after="0" w:line="271" w:lineRule="auto"/>
        <w:tabs>
          <w:tab w:leader="none" w:pos="976"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September 2016, TRC-MRC 1, LLC was formed to develop and operate an approximately 480,480 square foot industrial building at TRCC-East that is 100% leased. Since its inception, the Company has received excess distributions resulting in a deficit balance of $468,000.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$24,126,000 was outstanding as of September 30, 2020.</w:t>
      </w: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ind w:left="340" w:right="20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Rockefeller Joint Ventures – The Company has three joint ventures with Rockefeller Group Development Corporation, or Rockefeller. At September 30, 2020, the Company’s combined equity investment balance in these three joint ventures was $8,695,000.</w:t>
      </w:r>
    </w:p>
    <w:p>
      <w:pPr>
        <w:spacing w:after="0" w:line="62" w:lineRule="exact"/>
        <w:rPr>
          <w:rFonts w:ascii="Arial" w:cs="Arial" w:eastAsia="Arial" w:hAnsi="Arial"/>
          <w:sz w:val="18"/>
          <w:szCs w:val="18"/>
          <w:color w:val="auto"/>
        </w:rPr>
      </w:pPr>
    </w:p>
    <w:p>
      <w:pPr>
        <w:ind w:left="980" w:right="460" w:hanging="324"/>
        <w:spacing w:after="0" w:line="308" w:lineRule="auto"/>
        <w:tabs>
          <w:tab w:leader="none" w:pos="976" w:val="left"/>
        </w:tabs>
        <w:numPr>
          <w:ilvl w:val="1"/>
          <w:numId w:val="13"/>
        </w:numPr>
        <w:rPr>
          <w:rFonts w:ascii="Arial" w:cs="Arial" w:eastAsia="Arial" w:hAnsi="Arial"/>
          <w:sz w:val="17"/>
          <w:szCs w:val="17"/>
          <w:color w:val="auto"/>
        </w:rPr>
      </w:pPr>
      <w:r>
        <w:rPr>
          <w:rFonts w:ascii="Arial" w:cs="Arial" w:eastAsia="Arial" w:hAnsi="Arial"/>
          <w:sz w:val="17"/>
          <w:szCs w:val="17"/>
          <w:color w:val="auto"/>
        </w:rPr>
        <w:t>Two joint ventures are for the development of buildings on approximately 91 acres of land and are part of an agreement for the potential development of up to 500 acres of land in TRCC. The Company owns a 50% interest in each of the joint ventures.</w:t>
      </w:r>
    </w:p>
    <w:p>
      <w:pPr>
        <w:spacing w:after="0" w:line="38" w:lineRule="exact"/>
        <w:rPr>
          <w:rFonts w:ascii="Arial" w:cs="Arial" w:eastAsia="Arial" w:hAnsi="Arial"/>
          <w:sz w:val="17"/>
          <w:szCs w:val="17"/>
          <w:color w:val="auto"/>
        </w:rPr>
      </w:pPr>
    </w:p>
    <w:p>
      <w:pPr>
        <w:ind w:left="1620" w:right="40" w:hanging="316"/>
        <w:spacing w:after="0" w:line="259" w:lineRule="auto"/>
        <w:tabs>
          <w:tab w:leader="none" w:pos="161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Five West Parcel LLC joint venture owned and leased a 606,000 square foot building, the joint venture's primary asset, to Dollar General until the building was sold to a third party in November 2019 for a purchase price of $29,088,000, realizing a gain of $17,537,000. The outstanding term loan of the joint venture was paid off upon the sale. This joint venture in the process of being wound down and will be dissolved by the end of fiscal 2020.</w:t>
      </w:r>
    </w:p>
    <w:p>
      <w:pPr>
        <w:spacing w:after="0" w:line="78" w:lineRule="exact"/>
        <w:rPr>
          <w:rFonts w:ascii="Arial" w:cs="Arial" w:eastAsia="Arial" w:hAnsi="Arial"/>
          <w:sz w:val="18"/>
          <w:szCs w:val="18"/>
          <w:color w:val="auto"/>
        </w:rPr>
      </w:pPr>
    </w:p>
    <w:p>
      <w:pPr>
        <w:ind w:left="1620" w:right="20" w:hanging="316"/>
        <w:spacing w:after="0" w:line="273" w:lineRule="auto"/>
        <w:tabs>
          <w:tab w:leader="none" w:pos="1616" w:val="left"/>
        </w:tabs>
        <w:numPr>
          <w:ilvl w:val="2"/>
          <w:numId w:val="13"/>
        </w:numPr>
        <w:rPr>
          <w:rFonts w:ascii="Arial" w:cs="Arial" w:eastAsia="Arial" w:hAnsi="Arial"/>
          <w:sz w:val="17"/>
          <w:szCs w:val="17"/>
          <w:color w:val="auto"/>
        </w:rPr>
      </w:pPr>
      <w:r>
        <w:rPr>
          <w:rFonts w:ascii="Arial" w:cs="Arial" w:eastAsia="Arial" w:hAnsi="Arial"/>
          <w:sz w:val="17"/>
          <w:szCs w:val="17"/>
          <w:color w:val="auto"/>
        </w:rPr>
        <w:t>The second of these joint ventures, 18-19 West LLC, was formed in August 2009 through the contribution of 61.5 acres of land by the Company that is being held for future development. The Company's 18-19 West LLC joint venture is contracted with the third-party who purchased the Five West building and land (noted above) to purchase lots 18 and 19 at a price of $13.8 million through the option period ending May 21, 2021. If the option is extended to November 21, 2021, the price increases to $15.2 million. The land option expires in the fourth quarter of 2021. Both of these joint ventures are being accounted for under the equity method due to both members having significant participating rights in the management of the ventures.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ind w:left="980" w:hanging="324"/>
        <w:spacing w:after="0" w:line="287" w:lineRule="auto"/>
        <w:tabs>
          <w:tab w:leader="none" w:pos="97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third joint venture is the TRCC/Rock Outlet Center LLC joint venture that was formed during the second quarter of 2013 to develop, own, and manage a net leasable 326,000 square foot outlet center on land at TRCC-East. The cost of the outlet center was approximately $87,000,000 and was funded through a construction loan for up to 60% of the costs and the remaining 40% through equity contributions from the two members.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term note with a financial institution that matures on September 5, 2021. As of September 30, 2020, the outstanding balance of the term note was $35,286,000. The Company and Rockefeller guarantee the performance of the debt.</w:t>
      </w:r>
    </w:p>
    <w:p>
      <w:pPr>
        <w:spacing w:after="0" w:line="59" w:lineRule="exact"/>
        <w:rPr>
          <w:rFonts w:ascii="Arial" w:cs="Arial" w:eastAsia="Arial" w:hAnsi="Arial"/>
          <w:sz w:val="16"/>
          <w:szCs w:val="16"/>
          <w:color w:val="auto"/>
        </w:rPr>
      </w:pPr>
    </w:p>
    <w:p>
      <w:pPr>
        <w:ind w:left="340" w:right="140" w:hanging="332"/>
        <w:spacing w:after="0" w:line="255"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Centennial Founders, LLC – Centennial Founders, LLC, CFL, is a joint venture that was initially formed with TRI Pointe Homes, Lewis Investment Company,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consolidated into the Company's financial statements. The Company's remaining partner, TRI Pointe Homes, retained a noncontrolling interest in the joint venture. At September 30, 2020, the Company owned 92.74% of CFL.</w:t>
      </w:r>
    </w:p>
    <w:p>
      <w:pPr>
        <w:spacing w:after="0" w:line="84"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Unaudited condensed statement of operations for the three months ended September 30, 2020 and condensed balance sheet information of the Company’s unconsolidated joint ventures as of September 30, 2020 and December 31, 2019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b w:val="1"/>
                <w:bCs w:val="1"/>
                <w:color w:val="auto"/>
                <w:w w:val="90"/>
              </w:rPr>
              <w:t>Three Months Ended September 30,</w:t>
            </w: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8"/>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6"/>
          </w:tcPr>
          <w:p>
            <w:pPr>
              <w:ind w:left="360"/>
              <w:spacing w:after="0"/>
              <w:rPr>
                <w:sz w:val="20"/>
                <w:szCs w:val="20"/>
                <w:color w:val="auto"/>
              </w:rPr>
            </w:pPr>
            <w:r>
              <w:rPr>
                <w:rFonts w:ascii="Arial" w:cs="Arial" w:eastAsia="Arial" w:hAnsi="Arial"/>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rPr>
              <w:t>TRC</w:t>
            </w:r>
          </w:p>
        </w:tc>
        <w:tc>
          <w:tcPr>
            <w:tcW w:w="920" w:type="dxa"/>
            <w:vAlign w:val="bottom"/>
          </w:tcPr>
          <w:p>
            <w:pPr>
              <w:spacing w:after="0"/>
              <w:rPr>
                <w:sz w:val="18"/>
                <w:szCs w:val="18"/>
                <w:color w:val="auto"/>
              </w:rPr>
            </w:pPr>
          </w:p>
        </w:tc>
      </w:tr>
      <w:tr>
        <w:trPr>
          <w:trHeight w:val="234"/>
        </w:trPr>
        <w:tc>
          <w:tcPr>
            <w:tcW w:w="35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380"/>
              <w:spacing w:after="0"/>
              <w:rPr>
                <w:sz w:val="20"/>
                <w:szCs w:val="20"/>
                <w:color w:val="auto"/>
              </w:rPr>
            </w:pPr>
            <w:r>
              <w:rPr>
                <w:rFonts w:ascii="Arial" w:cs="Arial" w:eastAsia="Arial" w:hAnsi="Arial"/>
                <w:sz w:val="18"/>
                <w:szCs w:val="18"/>
                <w:b w:val="1"/>
                <w:bCs w:val="1"/>
                <w:color w:val="auto"/>
              </w:rPr>
              <w:t>Earnings (Loss)</w:t>
            </w:r>
          </w:p>
        </w:tc>
        <w:tc>
          <w:tcPr>
            <w:tcW w:w="180" w:type="dxa"/>
            <w:vAlign w:val="bottom"/>
          </w:tcPr>
          <w:p>
            <w:pPr>
              <w:spacing w:after="0"/>
              <w:rPr>
                <w:sz w:val="20"/>
                <w:szCs w:val="20"/>
                <w:color w:val="auto"/>
              </w:rPr>
            </w:pPr>
          </w:p>
        </w:tc>
        <w:tc>
          <w:tcPr>
            <w:tcW w:w="23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Equity in Earnings (Loss)</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23,087</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540" w:type="dxa"/>
            <w:vAlign w:val="bottom"/>
          </w:tcPr>
          <w:p>
            <w:pPr>
              <w:ind w:left="20"/>
              <w:spacing w:after="0" w:line="23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
        </w:trPr>
        <w:tc>
          <w:tcPr>
            <w:tcW w:w="35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Centennial Founders, LLC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89"/>
              </w:rPr>
              <w:t>Consolidated</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
        </w:trPr>
        <w:tc>
          <w:tcPr>
            <w:tcW w:w="3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bl>
    <w:p>
      <w:pPr>
        <w:ind w:left="20" w:right="60" w:firstLine="6"/>
        <w:spacing w:after="0" w:line="234" w:lineRule="auto"/>
        <w:tabs>
          <w:tab w:leader="none" w:pos="2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$0.4 million and $0.4 million as of September 30, 2020 and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8"/>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Arial" w:cs="Arial" w:eastAsia="Arial" w:hAnsi="Arial"/>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rPr>
              <w:t>TRC</w:t>
            </w:r>
          </w:p>
        </w:tc>
        <w:tc>
          <w:tcPr>
            <w:tcW w:w="920" w:type="dxa"/>
            <w:vAlign w:val="bottom"/>
          </w:tcPr>
          <w:p>
            <w:pPr>
              <w:spacing w:after="0"/>
              <w:rPr>
                <w:sz w:val="18"/>
                <w:szCs w:val="18"/>
                <w:color w:val="auto"/>
              </w:rPr>
            </w:pPr>
          </w:p>
        </w:tc>
      </w:tr>
      <w:tr>
        <w:trPr>
          <w:trHeight w:val="234"/>
        </w:trPr>
        <w:tc>
          <w:tcPr>
            <w:tcW w:w="35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380"/>
              <w:spacing w:after="0"/>
              <w:rPr>
                <w:sz w:val="20"/>
                <w:szCs w:val="20"/>
                <w:color w:val="auto"/>
              </w:rPr>
            </w:pPr>
            <w:r>
              <w:rPr>
                <w:rFonts w:ascii="Arial" w:cs="Arial" w:eastAsia="Arial" w:hAnsi="Arial"/>
                <w:sz w:val="18"/>
                <w:szCs w:val="18"/>
                <w:b w:val="1"/>
                <w:bCs w:val="1"/>
                <w:color w:val="auto"/>
              </w:rPr>
              <w:t>Earnings (Loss)</w:t>
            </w:r>
          </w:p>
        </w:tc>
        <w:tc>
          <w:tcPr>
            <w:tcW w:w="180" w:type="dxa"/>
            <w:vAlign w:val="bottom"/>
          </w:tcPr>
          <w:p>
            <w:pPr>
              <w:spacing w:after="0"/>
              <w:rPr>
                <w:sz w:val="20"/>
                <w:szCs w:val="20"/>
                <w:color w:val="auto"/>
              </w:rPr>
            </w:pPr>
          </w:p>
        </w:tc>
        <w:tc>
          <w:tcPr>
            <w:tcW w:w="23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Equity in Earnings (Loss)</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63,001</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540" w:type="dxa"/>
            <w:vAlign w:val="bottom"/>
          </w:tcPr>
          <w:p>
            <w:pPr>
              <w:ind w:left="20"/>
              <w:spacing w:after="0" w:line="23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1"/>
        </w:trPr>
        <w:tc>
          <w:tcPr>
            <w:tcW w:w="35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Centennial Founders, LLC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89"/>
              </w:rPr>
              <w:t>Consolidated</w:t>
            </w:r>
          </w:p>
        </w:tc>
      </w:tr>
      <w:tr>
        <w:trPr>
          <w:trHeight w:val="41"/>
        </w:trPr>
        <w:tc>
          <w:tcPr>
            <w:tcW w:w="35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r>
    </w:tbl>
    <w:p>
      <w:pPr>
        <w:ind w:left="20" w:right="100" w:firstLine="6"/>
        <w:spacing w:after="0" w:line="234"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$1.0 million and $1.3 million as of September 30, 2020 and September 30, 2019, respectively.</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4"/>
              </w:rPr>
              <w:t>December 31, 2019</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8"/>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Joint Venture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Arial" w:cs="Arial" w:eastAsia="Arial" w:hAnsi="Arial"/>
                <w:sz w:val="18"/>
                <w:szCs w:val="18"/>
                <w:b w:val="1"/>
                <w:bCs w:val="1"/>
                <w:color w:val="auto"/>
              </w:rPr>
              <w:t>TRC</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Joint Venture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TRC</w:t>
            </w:r>
          </w:p>
        </w:tc>
      </w:tr>
      <w:tr>
        <w:trPr>
          <w:trHeight w:val="234"/>
        </w:trPr>
        <w:tc>
          <w:tcPr>
            <w:tcW w:w="30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Assets</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Equity</w:t>
            </w: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75,646</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23,636</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TRCC/Rock Outlet Center, LLC</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66,827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(35,286)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30,281</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69,459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(38,909)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29,688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6,781</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20,504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(24,018)</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(8,257)</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20,026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(24,455)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43,236</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37,292</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r>
      <w:tr>
        <w:trPr>
          <w:trHeight w:val="223"/>
        </w:trPr>
        <w:tc>
          <w:tcPr>
            <w:tcW w:w="3060" w:type="dxa"/>
            <w:vAlign w:val="bottom"/>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239,400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38,240</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2"/>
        </w:trPr>
        <w:tc>
          <w:tcPr>
            <w:tcW w:w="306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Centennial Founders, LLC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97,547</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96,143</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2"/>
        </w:trPr>
        <w:tc>
          <w:tcPr>
            <w:tcW w:w="30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bl>
    <w:p>
      <w:pPr>
        <w:ind w:left="360" w:hanging="321"/>
        <w:spacing w:after="0"/>
        <w:tabs>
          <w:tab w:leader="none" w:pos="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Centennial Founders, LLC is consolidated within the Company's financial statements.</w:t>
      </w:r>
    </w:p>
    <w:p>
      <w:pPr>
        <w:spacing w:after="0" w:line="112"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and currently has one member of the Company's management on the board of directors of TCWD. The Company has a water service contract with TCWD that entitles the Company to receive substantially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Tejon transacts with TCWD in the ordinary course of business.</w:t>
      </w:r>
    </w:p>
    <w:p>
      <w:pPr>
        <w:spacing w:after="0" w:line="2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has water contracts with WRMWSD for SWP water deliveries to our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September 30, 2020, the Company paid $4,377,000 for these water contracts and related costs.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6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the uncertainties regarding the expected impact of COVID-19 on the Company, its customers and suppliers, and global economic conditions, and other future events and conditions. In some cases these statements are identifiable through the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the section entitled “Risk Factors” in this report, our most recent Annual Report on Form 10-K, and our Quarterly Report for the period ending March 31, 2020 and June 30, 2020.</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OVERVIEW</w:t>
      </w:r>
    </w:p>
    <w:p>
      <w:pPr>
        <w:spacing w:after="0" w:line="10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Business Objectives and Strategies</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business objective is to maximize long-term shareholder value through the monetization of our land-based assets. A key element of our strategy is to entitle and then develop large-scale mixed use master planned residential and commercial/industrial real estate development projects to serve the growing populations of Southern and Central California. Our mixed use master planned residential developments have been approved to collectively include up to 34,783 housing units, and more than 35 million square feet of commercial space. We have obtained entitlements on Mountain Village at Tejon Ranch (MV) and are pursuing final tract maps. Over the next few years, we will be defending our entitlements against litigation for our Grapevine at Tejon Ranch, or Grapevine, and Centennial at Tejon Ranch, or Centennial, projects.</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currently engaged in construction, commercial sales and leasing at our fully operational commercial/industrial center Tejon Ranch Commerce Center, or TRCC. All of these efforts are supported by diverse revenue streams generated from other operations, including commercial/industrial real estate, farming, mineral resources, ranch operations, and our various joint ventures.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Our Business</w:t>
      </w:r>
    </w:p>
    <w:p>
      <w:pPr>
        <w:spacing w:after="0" w:line="1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currently operate in five reporting segments: commercial/industrial real estate development; resort/residential real estate development; mineral resources; farming; and ranch operations.</w:t>
      </w:r>
    </w:p>
    <w:p>
      <w:pPr>
        <w:spacing w:after="0" w:line="4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communications leases and landscape maintenance fees.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ind w:right="460"/>
        <w:spacing w:after="0" w:line="279" w:lineRule="auto"/>
        <w:rPr>
          <w:sz w:val="20"/>
          <w:szCs w:val="20"/>
          <w:color w:val="auto"/>
        </w:rPr>
      </w:pPr>
      <w:r>
        <w:rPr>
          <w:rFonts w:ascii="Arial" w:cs="Arial" w:eastAsia="Arial" w:hAnsi="Arial"/>
          <w:sz w:val="17"/>
          <w:szCs w:val="17"/>
          <w:color w:val="auto"/>
        </w:rPr>
        <w:t>At the heart of the commercial/industrial real estate development segment is TRCC, a 20 million square foot commercial/industrial development on Interstate 5 just north of the Los Angeles basin. Nearly six million square feet of industrial, commercial and retail space has already been developed, including distribution centers for IKEA, Caterpillar, Famous Footwear, L'Oreal, and Dollar General. TRCC sits on both sides of Interstate 5, giving distributors immediate access to the west coast’s principal north-south goods movement corridor.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We are also involved in multiple joint ventures with several partners that help us expand our commercial/industrial business activities within TRCC:</w:t>
      </w:r>
    </w:p>
    <w:p>
      <w:pPr>
        <w:spacing w:after="0" w:line="115" w:lineRule="exact"/>
        <w:rPr>
          <w:sz w:val="20"/>
          <w:szCs w:val="20"/>
          <w:color w:val="auto"/>
        </w:rPr>
      </w:pPr>
    </w:p>
    <w:p>
      <w:pPr>
        <w:ind w:left="660" w:right="4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joint venture with TravelCenters of America, or TA/Petro, owns and operates two travel and truck stop facilities, and also operates five separate gas stations with convenience stores and fast food restaurants within TRCC-West and TRCC-East.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Three joint ventures with Rockefeller Development Group, or Rockefeller:</w:t>
      </w:r>
    </w:p>
    <w:p>
      <w:pPr>
        <w:spacing w:after="0" w:line="90" w:lineRule="exact"/>
        <w:rPr>
          <w:rFonts w:ascii="Arial" w:cs="Arial" w:eastAsia="Arial" w:hAnsi="Arial"/>
          <w:sz w:val="18"/>
          <w:szCs w:val="18"/>
          <w:color w:val="auto"/>
        </w:rPr>
      </w:pPr>
    </w:p>
    <w:p>
      <w:pPr>
        <w:ind w:left="1300" w:right="30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Five West Parcel LLC owned a 606,000 square foot building in TRCC-West that was fully leased. In 2019, Five West Parcel sold the building and land to a third party. The joint venture is currently in the process of being dissolved;</w:t>
      </w:r>
    </w:p>
    <w:p>
      <w:pPr>
        <w:spacing w:after="0" w:line="48" w:lineRule="exact"/>
        <w:rPr>
          <w:rFonts w:ascii="Arial" w:cs="Arial" w:eastAsia="Arial" w:hAnsi="Arial"/>
          <w:sz w:val="18"/>
          <w:szCs w:val="18"/>
          <w:color w:val="auto"/>
        </w:rPr>
      </w:pPr>
    </w:p>
    <w:p>
      <w:pPr>
        <w:ind w:left="1300" w:hanging="320"/>
        <w:spacing w:after="0" w:line="259"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18-19 West LLC owns 63.5 acres of land for future development within TRCC-West. In 2019, our 18-19 West LLC joint venture entered into a land purchase option with the same third-party who purchased the Five West building and land, to purchase lots 18 and 19 at a price of $13.8 million through the option period ending May 21, 2021. If the option is extended to November 21, 2021, the price increases to $15.2 million. The land option expires in the fourth quarter of 2021; and</w:t>
      </w:r>
    </w:p>
    <w:p>
      <w:pPr>
        <w:spacing w:after="0" w:line="6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TRCC/Rock Outlet Center LLC operates the Outlets at Tejon, a net leasable 326,000 square foot shopping experience in TRCC-East;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Three joint ventures with Majestic Realty Co., or Majestic, to develop, manage, and operate industrial buildings within TRCC:</w:t>
      </w:r>
    </w:p>
    <w:p>
      <w:pPr>
        <w:spacing w:after="0" w:line="103" w:lineRule="exact"/>
        <w:rPr>
          <w:rFonts w:ascii="Arial" w:cs="Arial" w:eastAsia="Arial" w:hAnsi="Arial"/>
          <w:sz w:val="18"/>
          <w:szCs w:val="18"/>
          <w:color w:val="auto"/>
        </w:rPr>
      </w:pPr>
    </w:p>
    <w:p>
      <w:pPr>
        <w:ind w:left="1300" w:right="22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TRC-MRC 1, LLC was formed to develop and operate a 480,480 square foot industrial building in TRCC-East, which was completed during 2017 and is fully leased;</w:t>
      </w:r>
    </w:p>
    <w:p>
      <w:pPr>
        <w:spacing w:after="0" w:line="48"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TRC-MRC 2, LLC owns a 651,909 square foot building in TRCC-West that is fully leased; and</w:t>
      </w:r>
    </w:p>
    <w:p>
      <w:pPr>
        <w:spacing w:after="0" w:line="90" w:lineRule="exact"/>
        <w:rPr>
          <w:rFonts w:ascii="Arial" w:cs="Arial" w:eastAsia="Arial" w:hAnsi="Arial"/>
          <w:sz w:val="18"/>
          <w:szCs w:val="18"/>
          <w:color w:val="auto"/>
        </w:rPr>
      </w:pPr>
    </w:p>
    <w:p>
      <w:pPr>
        <w:ind w:left="1300" w:right="280" w:hanging="320"/>
        <w:spacing w:after="0" w:line="342" w:lineRule="auto"/>
        <w:tabs>
          <w:tab w:leader="none" w:pos="1296" w:val="left"/>
        </w:tabs>
        <w:numPr>
          <w:ilvl w:val="1"/>
          <w:numId w:val="18"/>
        </w:numPr>
        <w:rPr>
          <w:rFonts w:ascii="Arial" w:cs="Arial" w:eastAsia="Arial" w:hAnsi="Arial"/>
          <w:sz w:val="16"/>
          <w:szCs w:val="16"/>
          <w:color w:val="auto"/>
        </w:rPr>
      </w:pPr>
      <w:r>
        <w:rPr>
          <w:rFonts w:ascii="Arial" w:cs="Arial" w:eastAsia="Arial" w:hAnsi="Arial"/>
          <w:sz w:val="16"/>
          <w:szCs w:val="16"/>
          <w:color w:val="auto"/>
        </w:rPr>
        <w:t>TRC-MRC 3, LLC was formed to pursue the development, construction, leasing and management of a 579,040 square foot industrial building in TRCC-East. The construction of the building was completed in the fourth quarter of 2019 and is fully leased.</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resort/residential real estate development segment is actively involved in the land entitlement and development process internally and through a joint venture. Our active developments within this segment are MV, Centennial, and Grapevine.</w:t>
      </w:r>
    </w:p>
    <w:p>
      <w:pPr>
        <w:spacing w:after="0" w:line="49" w:lineRule="exact"/>
        <w:rPr>
          <w:sz w:val="20"/>
          <w:szCs w:val="20"/>
          <w:color w:val="auto"/>
        </w:rPr>
      </w:pPr>
    </w:p>
    <w:p>
      <w:pPr>
        <w:ind w:left="660" w:right="2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been approved, as well as the commercial site plan for the first phase of commercial development;</w:t>
      </w:r>
    </w:p>
    <w:p>
      <w:pPr>
        <w:spacing w:after="0" w:line="51"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Centennial had entitlements approved in December 2018, and received legislative approvals in April 2019 from the Los Angeles County Board of Supervisors.</w:t>
      </w:r>
    </w:p>
    <w:p>
      <w:pPr>
        <w:spacing w:after="0" w:line="65" w:lineRule="exact"/>
        <w:rPr>
          <w:rFonts w:ascii="Arial" w:cs="Arial" w:eastAsia="Arial" w:hAnsi="Arial"/>
          <w:sz w:val="18"/>
          <w:szCs w:val="18"/>
          <w:color w:val="auto"/>
        </w:rPr>
      </w:pPr>
    </w:p>
    <w:p>
      <w:pPr>
        <w:ind w:left="660" w:right="180" w:hanging="328"/>
        <w:spacing w:after="0" w:line="30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Grapevine is an 8,010-acre potential development area located on the San Joaquin Valley floor area of our lands, adjacent to TRCC. Upon completion of Grapevine, the community will include 12,000 homes, 5.1 million square feet for commercial development, and more than 3,367 acres of open space and parks. On December 10, 2019, the Kern County Board of Supervisors adopted the supplemental re-circulated environmental impact report (EIR) prepared in response to a court ruling and re-approved the development of Grapevine unanimously.</w:t>
      </w:r>
    </w:p>
    <w:p>
      <w:pPr>
        <w:spacing w:after="0" w:line="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2019, for a more detailed description of our active developments within the resort/residential real estate development segment.</w:t>
      </w:r>
    </w:p>
    <w:p>
      <w:pPr>
        <w:spacing w:after="0" w:line="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mineral resources segment generates revenues from oil and gas royalty leases, rock and aggregate mining leases, a lease with National Cement Company of California Inc., and water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farming segment produces revenues from the sale of wine grapes, almonds, and pistachios.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Lastly, the ranch operations segment consists of game management revenues and ancillary land uses such as grazing leases and filming.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The COVID-19 Pandemic</w:t>
      </w:r>
    </w:p>
    <w:p>
      <w:pPr>
        <w:spacing w:after="0" w:line="1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U.S. and global economies continue to be affected by the COVID-19 pandemic. There are no reliable estimates of how long the pandemic will last or how many more people will be affected by it, or its full impact on our business and operations. We operate in the State of California and our operations were initially subject to the "shelter-in-place" order issued by the California Governor in March 2020 (the Stay at Home Order) in addition to orders set by Los Angeles and Kern County governments. The State of California subsequently took a more cautious approach in reopening and even reversed or delayed reopening initiatives in accordance with the California Department of Health's Guidance on Closure of Sectors in Response to COVID-19 on July 1, 2020. On August 31, 2020 California launched a new reopening system to better track when counties will be able to reopen businesses. Our first priority with regard to the COVID-19 pandemic is to provide for the health and safety of our employees, customers, suppliers and others with whom we partner in our business activities. Employees are required to wear masks when working in our offices, while also maintaining proper safe social distancing. Subject to the use of appropriate risk mitigation and safety practices, we are fully continuing our business operations in this unprecedented business environment.</w:t>
      </w:r>
    </w:p>
    <w:p>
      <w:pPr>
        <w:spacing w:after="0" w:line="4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continue to see signs of a rebound from the impact of the global pandemic and resulting governmental shut downs. In September, the Outlets at Tejon experienced the highest overall sales of any September since our grand opening. Our gas stations at the Tejon Ranch Commerce Center reported fuel volume sales at near pre-COVID-19 levels during August and September. Under California's Blueprint for a Safer Economy, we were just recently allowed to open our full service restaurants, albeit at 25% capacity, and our retail, gas stations, convenience stores and logistic centers remain open. See the Results of Operations by segment for further discussion on COVID-19 impact on our various reporting segments.</w:t>
      </w:r>
    </w:p>
    <w:p>
      <w:pPr>
        <w:spacing w:after="0" w:line="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third quarter of 2020, our mineral resource segment continued to see declines in oil royalties when compared to previous years as the price per barrel has not fully recovered from the global supply of oil exceeding demand during the first part of the year, which was significantly reduced after pandemic-related guidelines impacted and restricted travel. In our commercial/industrial real estate development segment, we have worked with all our commercial tenants, at their request, and agreed to rent payment deferrals into 2021 in order to ease some of the financial burden our tenants have experienced due to the limited foot traffic in their stores, as pandemic-related restrictions limited commercial operations dung the second quarter of 2020. For further discussion on lease deferrals see Real Estate Commercial/Industrial segment discussion below. Lastly, pricing for almonds and pistachios in our farming segment has seen a continued downward trend that may persist for the remainder of the year, largely due to anticipated production levels. Additionally, our pistachio crop did not receive adequate chilling hours during the 2020 winter, severely hampering spring bloom and yields.</w:t>
      </w:r>
    </w:p>
    <w:p>
      <w:pPr>
        <w:spacing w:after="0" w:line="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broader and long-term implications of COVID-19 and actions taken by governments, businesses, and individuals in response to the pandemic on our results of operations and overall financial performance still remain uncertain. As we manage through the pandemic, we will continue to evaluate our operations for expense reductions and cash savings. So far, measures that we have taken include renegotiating contracts and pricing with a significant portion of our vendors, and right sizing our labor needs.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Summary of Third Quarter and Fiscal 2020 Performance</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third quarter of 2020, we had net income attributable to common stockholders of $398,000 compared to net income of $47,000 during the previous year. Over the comparative quarters, farming net operating income experienced an $1,806,000 improvement driven by the recognition of insurance proceeds, for lost pistachio yields discussed above, improving pistachio revenues by $3,367,000. Offsetting this improvement was a $2,129,000 increase in farming expenses due to the timing of 2020 almond cost of sales and increased water and irrigation costs. Offsetting this improvement was a $1,106,000 decrease in our share of joint venture operating results due to declines in operating profits for Petro Travel Plaza largely due to COVID-19 closures. Lastly, the Company recorded additional tax expense of $396,000 due to permanent differences related to Section 162(m). The Section 162(m) limitations occurred as a result of changes in tax law arising from the 2017 Tax Cuts Jobs Act, which did not impact the Company until this year.</w:t>
      </w:r>
    </w:p>
    <w:p>
      <w:pPr>
        <w:spacing w:after="0" w:line="4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first nine months of 2020, we had a net loss attributable to common stockholders of $617,000 compared to net income of $873,000 during the first nine months of 2019. The factors driving our quarterly operating results were also the primary drivers influencing our results for the first nine months of 2020. In addition to those factors, the Company saw a $2,248,000 decrease in commercial/industrial net operating income as a result of not having a land sale like it did in 2019. Offsetting this decrease was a $1,331,000 gain on the sale of real estate to Petro Travel Plaza.</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006EBF"/>
        </w:rPr>
        <w:t>Critical Accounting Policies</w:t>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During the nine months ended September 30, 2020, our critical accounting policies have not changed since the filing of our Annual Report on Form 10-K for the year ended December 31, 2019.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Results of Operations by Segment</w:t>
      </w:r>
    </w:p>
    <w:p>
      <w:pPr>
        <w:spacing w:after="0" w:line="10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Arial" w:cs="Arial" w:eastAsia="Arial" w:hAnsi="Arial"/>
                <w:sz w:val="18"/>
                <w:szCs w:val="18"/>
                <w:b w:val="1"/>
                <w:bCs w:val="1"/>
                <w:color w:val="006EBF"/>
              </w:rPr>
              <w:t>Real Estate – Commercial/Industrial:</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2880" w:type="dxa"/>
            <w:vAlign w:val="bottom"/>
            <w:tcBorders>
              <w:top w:val="single" w:sz="8" w:color="006EBF"/>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860" w:type="dxa"/>
            <w:vAlign w:val="bottom"/>
            <w:gridSpan w:val="3"/>
          </w:tcPr>
          <w:p>
            <w:pPr>
              <w:ind w:left="1040"/>
              <w:spacing w:after="0"/>
              <w:rPr>
                <w:sz w:val="20"/>
                <w:szCs w:val="20"/>
                <w:color w:val="auto"/>
              </w:rPr>
            </w:pPr>
            <w:r>
              <w:rPr>
                <w:rFonts w:ascii="Arial" w:cs="Arial" w:eastAsia="Arial" w:hAnsi="Arial"/>
                <w:sz w:val="18"/>
                <w:szCs w:val="18"/>
                <w:color w:val="auto"/>
              </w:rPr>
              <w:t>Change</w:t>
            </w:r>
          </w:p>
        </w:tc>
        <w:tc>
          <w:tcPr>
            <w:tcW w:w="1240" w:type="dxa"/>
            <w:vAlign w:val="bottom"/>
          </w:tcPr>
          <w:p>
            <w:pPr>
              <w:spacing w:after="0"/>
              <w:rPr>
                <w:sz w:val="24"/>
                <w:szCs w:val="24"/>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Commercial/industrial revenues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Pastoria Energy Facility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TRCC Leasing</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TRCC management fees and reimbursements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Commercial leases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Communication leases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Landscaping and other</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Land sale</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commercial/industrial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commercial/industrial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Operating income from commercial/industrial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2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40" w:hanging="332"/>
        <w:spacing w:after="0" w:line="273" w:lineRule="auto"/>
        <w:tabs>
          <w:tab w:leader="none" w:pos="3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Commercial/industrial real estate development segment revenues were $2,710,000 for the three months ended September 30, 2020, an increase of $90,000, or 3%, from $2,620,000 for the three months ended September 30, 2019. The increase is attributed to additional spark spread revenues from the Pastoria Energy Facility, which resulted from abnormally high summer energy demand, as the service region experienced record-breaking heat waves during the summer months. The Company does not expect this trend to continue into the fall and winter months. Offsetting the improvements in spark spread revenues were lower management fees, as construction of the TRC-MRC 3 joint venture was completed in 2019 and no construction management fees were earned in 2020 compared to the prior period..</w:t>
      </w:r>
    </w:p>
    <w:p>
      <w:pPr>
        <w:spacing w:after="0" w:line="42" w:lineRule="exact"/>
        <w:rPr>
          <w:rFonts w:ascii="Arial" w:cs="Arial" w:eastAsia="Arial" w:hAnsi="Arial"/>
          <w:sz w:val="17"/>
          <w:szCs w:val="17"/>
          <w:color w:val="auto"/>
        </w:rPr>
      </w:pPr>
    </w:p>
    <w:p>
      <w:pPr>
        <w:ind w:left="340" w:right="4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expenses were $2,026,000 for the three months ended September 30, 2020, an increase of $58,000, or 3%, from $1,968,000 for the three months ended September 30, 2019. The increase is primarily caused by an increase in chemicals used in the landscaping department of $27,000 and an increase in maintenance fees of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ind w:left="180"/>
              <w:spacing w:after="0"/>
              <w:rPr>
                <w:sz w:val="20"/>
                <w:szCs w:val="20"/>
                <w:color w:val="auto"/>
              </w:rPr>
            </w:pPr>
            <w:r>
              <w:rPr>
                <w:rFonts w:ascii="Arial" w:cs="Arial" w:eastAsia="Arial" w:hAnsi="Arial"/>
                <w:sz w:val="18"/>
                <w:szCs w:val="18"/>
                <w:color w:val="auto"/>
              </w:rPr>
              <w:t>Nine Months Ended September 30,</w:t>
            </w:r>
          </w:p>
        </w:tc>
        <w:tc>
          <w:tcPr>
            <w:tcW w:w="440" w:type="dxa"/>
            <w:vAlign w:val="bottom"/>
          </w:tcPr>
          <w:p>
            <w:pPr>
              <w:spacing w:after="0"/>
              <w:rPr>
                <w:sz w:val="20"/>
                <w:szCs w:val="20"/>
                <w:color w:val="auto"/>
              </w:rPr>
            </w:pPr>
          </w:p>
        </w:tc>
        <w:tc>
          <w:tcPr>
            <w:tcW w:w="190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1240" w:type="dxa"/>
            <w:vAlign w:val="bottom"/>
          </w:tcPr>
          <w:p>
            <w:pPr>
              <w:spacing w:after="0"/>
              <w:rPr>
                <w:sz w:val="20"/>
                <w:szCs w:val="20"/>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Commercial revenues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Pastoria Energy Facility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TRCC Leasing</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TRCC management fees and reimbursements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080" w:type="dxa"/>
            <w:vAlign w:val="bottom"/>
          </w:tcPr>
          <w:p>
            <w:pPr>
              <w:ind w:left="200"/>
              <w:spacing w:after="0"/>
              <w:rPr>
                <w:sz w:val="20"/>
                <w:szCs w:val="20"/>
                <w:color w:val="auto"/>
              </w:rPr>
            </w:pPr>
            <w:r>
              <w:rPr>
                <w:rFonts w:ascii="Arial" w:cs="Arial" w:eastAsia="Arial" w:hAnsi="Arial"/>
                <w:sz w:val="18"/>
                <w:szCs w:val="18"/>
                <w:color w:val="auto"/>
              </w:rPr>
              <w:t>Commercial leases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 leases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4080" w:type="dxa"/>
            <w:vAlign w:val="bottom"/>
          </w:tcPr>
          <w:p>
            <w:pPr>
              <w:ind w:left="200"/>
              <w:spacing w:after="0"/>
              <w:rPr>
                <w:sz w:val="20"/>
                <w:szCs w:val="20"/>
                <w:color w:val="auto"/>
              </w:rPr>
            </w:pPr>
            <w:r>
              <w:rPr>
                <w:rFonts w:ascii="Arial" w:cs="Arial" w:eastAsia="Arial" w:hAnsi="Arial"/>
                <w:sz w:val="18"/>
                <w:szCs w:val="18"/>
                <w:color w:val="auto"/>
              </w:rPr>
              <w:t>Landscaping and other</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 sale</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commercial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(4,897)</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commercial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Operating income from commercial/industrial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1"/>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right="20" w:hanging="332"/>
        <w:spacing w:after="0" w:line="26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revenues were $7,144,000 for the first nine months of 2020, a decrease of $4,897,000, or 41%, from $12,041,000 for the first nine months of 2019. The absence of land sales in 2020, as well as the decreased construction management fees, discussed within the quarterly results, drove a majority of this decrease.</w:t>
      </w:r>
    </w:p>
    <w:p>
      <w:pPr>
        <w:spacing w:after="0" w:line="62" w:lineRule="exact"/>
        <w:rPr>
          <w:rFonts w:ascii="Arial" w:cs="Arial" w:eastAsia="Arial" w:hAnsi="Arial"/>
          <w:sz w:val="18"/>
          <w:szCs w:val="18"/>
          <w:color w:val="auto"/>
        </w:rPr>
      </w:pPr>
    </w:p>
    <w:p>
      <w:pPr>
        <w:ind w:left="340" w:right="60" w:hanging="332"/>
        <w:spacing w:after="0" w:line="286" w:lineRule="auto"/>
        <w:tabs>
          <w:tab w:leader="none" w:pos="3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Commercial/industrial real estate development segment expenses were $5,704,000 during the first nine months of 2020, a decrease of $2,649,000, or 32%, from $8,353,000 during the first nine months of 2019. The decrease is attributed the absence of land sales in 2020, as compared to the 2019 land sale transaction associated with our TRC-MRC 3 joint venture, which primarily drove the increase in the prior year.</w:t>
      </w:r>
    </w:p>
    <w:p>
      <w:pPr>
        <w:spacing w:after="0" w:line="36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TRCC-East and TRCC-West on the significant labor and logistical benefits of our site, the pro-business approach of Kern County, and the demonstrated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The world 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5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believe that the FTZ and EDIP, along with our ability to provide fully-entitled, shovel-ready land parcels to support buildings of any size, including buildings 1.0 million square feet or larger, can provide us with a potential marketing advantage in the future. Our marketing efforts include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The Company is constantly analyzing the market and evaluating expansion of industrial buildings for lease as we have done with the buildings developed by TRC-MRC1 and TRC-MRC 3 either on our own or in partnerships.</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our potential disadvantage of our distance from the ports is being mitigated. Strong demand for large distribution facilities is driving development farther east in a search for large entitled parcels.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6" w:name="page37"/>
    <w:bookmarkEnd w:id="36"/>
    <w:p>
      <w:pPr>
        <w:ind w:right="80"/>
        <w:spacing w:after="0" w:line="279" w:lineRule="auto"/>
        <w:rPr>
          <w:sz w:val="20"/>
          <w:szCs w:val="20"/>
          <w:color w:val="auto"/>
        </w:rPr>
      </w:pPr>
      <w:r>
        <w:rPr>
          <w:rFonts w:ascii="Arial" w:cs="Arial" w:eastAsia="Arial" w:hAnsi="Arial"/>
          <w:sz w:val="17"/>
          <w:szCs w:val="17"/>
          <w:color w:val="auto"/>
        </w:rPr>
        <w:t>During the quarter ended September 30, 2020, vacancy rates in the Inland Empire decreased by 0.6% to 2.7% from the prior quarter, remaining at six-year lows. Construction completions totaled 3.5 million square feet in the quarter ended September 30, 2020, which is lower than the 5.2 million square feet typically added each quarter for the past five years. The low vacancy rates have led to an increase in lease rates of 1.4% within the Inland Empire. As lease rates increase in the Inland Empire, we may begin to have greater pricing advantages due to our lower land basis.</w:t>
      </w:r>
    </w:p>
    <w:p>
      <w:pPr>
        <w:spacing w:after="0" w:line="3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quarter ended September 30, 2020, vacancy rates in the northern Los Angeles industrial market, which includes the San Fernando Valley and Santa Clarita Valley, decreased by 0.3% to 2.4%, remaining at six-year record low. Rents remain at an all-time high and have well surpassed the previous peak seen in 2007. Average asking rents increased 1.2% over the prior quarter.</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expect the commercial/industrial real estate development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the future tied to specific absorption transactions in any given year.</w:t>
      </w:r>
    </w:p>
    <w:p>
      <w:pPr>
        <w:spacing w:after="0" w:line="8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described earlier, in March and July 2020, in response to the COVID-19 pandemic, California took actions that continue to limit non-essential businesses and services. Most of our operations in this segment have been deemed an "essential" business. In September, the Outlets at Tejon experienced the highest overall sales of any September since our grand opening. Our gas stations at the Tejon Ranch Commerce Center reported fuel volume sales at near pre-COVID-19 levels during August and September. We will, however, continue to monitor the traffic count and assess the collectability of outstanding receivables from our tenants through the COVID-19 pandemic.</w:t>
      </w:r>
    </w:p>
    <w:p>
      <w:pPr>
        <w:spacing w:after="0" w:line="1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Tenants began requesting various forms of rent relief beginning in March 2020 throughout the second and third quarters. Although the requests range in scope, the most common request is for a full or partial rent deferment for three months.</w:t>
      </w:r>
    </w:p>
    <w:p>
      <w:pPr>
        <w:spacing w:after="0" w:line="4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During the nine months ended September 30, 2020, the Company has agreed to defer rent for certain tenants at TRCC, with the requirement that a significant amount of the deferred rent will be fully repaid in 2021. The following table sets forth information regarding the minimum rents billed and deferred for the nine months ended September 30,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 in thousands, except for impacted tenants)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Impacted</w:t>
            </w:r>
          </w:p>
        </w:tc>
        <w:tc>
          <w:tcPr>
            <w:tcW w:w="120" w:type="dxa"/>
            <w:vAlign w:val="bottom"/>
          </w:tcPr>
          <w:p>
            <w:pPr>
              <w:spacing w:after="0"/>
              <w:rPr>
                <w:sz w:val="18"/>
                <w:szCs w:val="1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Rent Billing</w:t>
            </w:r>
            <w:r>
              <w:rPr>
                <w:rFonts w:ascii="Arial" w:cs="Arial" w:eastAsia="Arial" w:hAnsi="Arial"/>
                <w:sz w:val="23"/>
                <w:szCs w:val="23"/>
                <w:color w:val="auto"/>
                <w:vertAlign w:val="superscript"/>
              </w:rPr>
              <w:t>1</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Deferred Rent due to</w:t>
            </w: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Deferred Rent to be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2"/>
              </w:rPr>
              <w:t>Deferred Rent to be</w:t>
            </w:r>
          </w:p>
        </w:tc>
        <w:tc>
          <w:tcPr>
            <w:tcW w:w="0" w:type="dxa"/>
            <w:vAlign w:val="bottom"/>
          </w:tcPr>
          <w:p>
            <w:pPr>
              <w:spacing w:after="0"/>
              <w:rPr>
                <w:sz w:val="1"/>
                <w:szCs w:val="1"/>
                <w:color w:val="auto"/>
              </w:rPr>
            </w:pPr>
          </w:p>
        </w:tc>
      </w:tr>
      <w:tr>
        <w:trPr>
          <w:trHeight w:val="230"/>
        </w:trPr>
        <w:tc>
          <w:tcPr>
            <w:tcW w:w="3820" w:type="dxa"/>
            <w:vAlign w:val="bottom"/>
            <w:vMerge w:val="continue"/>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Tenants</w:t>
            </w: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COVID-19</w:t>
            </w:r>
          </w:p>
        </w:tc>
        <w:tc>
          <w:tcPr>
            <w:tcW w:w="12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Collected in 2020</w:t>
            </w:r>
          </w:p>
        </w:tc>
        <w:tc>
          <w:tcPr>
            <w:tcW w:w="1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w w:val="90"/>
              </w:rPr>
              <w:t>Collected in 2021</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TRCC Leasing</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Commercial Leases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20" w:type="dxa"/>
            <w:vAlign w:val="bottom"/>
            <w:gridSpan w:val="3"/>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19"/>
                <w:szCs w:val="19"/>
                <w:color w:val="auto"/>
              </w:rPr>
            </w:pPr>
          </w:p>
        </w:tc>
        <w:tc>
          <w:tcPr>
            <w:tcW w:w="246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w w:val="95"/>
              </w:rPr>
              <w:t>Percentage of Rent Deferred</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Amounts shown represent rent billing for tenants that had or are undergoing lease renegotiations for the nine months ended September 30, 2020.</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financial results will be impacted by our ability to collect contractual rents due under our long-term net leases and any additional rent deferrals or contractual modifications.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Real Estate – Resort/Residential: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preliminary stages of property development for this segment; hence, no revenues or profits are attributed to this segment.</w:t>
      </w:r>
    </w:p>
    <w:p>
      <w:pPr>
        <w:spacing w:after="0" w:line="10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Resort/residential real estate development segment expenses were $273,000 for the three months ended September 30, 2020, a decrease of $309,000, or 53%, from $582,000 for the three months ended September 30, 2019. When compared to the prior year period, the Company experienced a $302,000 decrease in professional service costs. The segment's development projects are currently engaged in litigation and final map processes resulting in fewer ongoing projects.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spacing w:after="0" w:line="257" w:lineRule="auto"/>
        <w:rPr>
          <w:sz w:val="20"/>
          <w:szCs w:val="20"/>
          <w:color w:val="auto"/>
        </w:rPr>
      </w:pPr>
      <w:r>
        <w:rPr>
          <w:rFonts w:ascii="Arial" w:cs="Arial" w:eastAsia="Arial" w:hAnsi="Arial"/>
          <w:sz w:val="18"/>
          <w:szCs w:val="18"/>
          <w:color w:val="auto"/>
        </w:rPr>
        <w:t>Resort/residential real estate development segment expenses were $1,225,000 for the first nine months of 2020, a decrease of $647,000, or 35%, from $1,872,000 for the first nine months of 2019. The Company had a $845,000 decrease in professional service costs for the same reasons discussed above for the segment's quarterly operating results. Increases in payroll, stock compensation and overhead costs, net of capitalization, of $185,000 offset some of the savings in professional services. The increase in payroll is primarily attributed to non-recurring severance payments and the issuance of new market-based performance shares.</w:t>
      </w:r>
    </w:p>
    <w:p>
      <w:pPr>
        <w:spacing w:after="0" w:line="5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September 30, 2020 COVID-19 has not had a material impact on this segment. The Company will aggressively defend its entitlements against litigation for both Grapevine and Centennial. However, extended court closures under local and state ordinances may delay previously scheduled hearings.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Most of the expenditures and capital investment to be incurred within our resort/residential real estate segment will continue to focus on the following:</w:t>
      </w:r>
    </w:p>
    <w:p>
      <w:pPr>
        <w:spacing w:after="0" w:line="127" w:lineRule="exact"/>
        <w:rPr>
          <w:sz w:val="20"/>
          <w:szCs w:val="20"/>
          <w:color w:val="auto"/>
        </w:rPr>
      </w:pPr>
    </w:p>
    <w:p>
      <w:pPr>
        <w:ind w:left="660" w:right="360" w:hanging="328"/>
        <w:spacing w:after="0" w:line="31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Centennial, the approved Centennial specific plan includes 19,333 residential units and more than 10.1 million square feet of commercial space. The Company is working with the County of Los Angeles to address litigation filed in the Los Angeles Superior Court. See Note 12 (Commitments and Contingencies) of the Notes to Unaudited Consolidated Financial Statements for further discussion.</w:t>
      </w:r>
    </w:p>
    <w:p>
      <w:pPr>
        <w:spacing w:after="0" w:line="13" w:lineRule="exact"/>
        <w:rPr>
          <w:rFonts w:ascii="Arial" w:cs="Arial" w:eastAsia="Arial" w:hAnsi="Arial"/>
          <w:sz w:val="16"/>
          <w:szCs w:val="16"/>
          <w:color w:val="auto"/>
        </w:rPr>
      </w:pPr>
    </w:p>
    <w:p>
      <w:pPr>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Grapevine, on December 11, 2018, the Kern County Superior Court ruled we had to amend our EIR by preparing supplemental environmental documentation to further analyze the Grapevine project’s internal capture rate (ICR), which is the percent of vehicle trips remaining within the project. On December 10, 2019, the Kern County Board of Supervisors adopted the supplemental re-circulated EIR prepared in response to the court ruling and reapproved the development of Grapevine unanimously. The Company is working with Kern County to address litigation filed action in the Kern County Superior Court. See Note 12 (Commitments and Contingencies) of the Notes to Unaudited Consolidated Financial Statements for further discussion.</w:t>
      </w:r>
    </w:p>
    <w:p>
      <w:pPr>
        <w:spacing w:after="0" w:line="70"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MV, we have a fully entitled project and received approvals of Tentative Tract Map 1 for our first four phases of development and of our commercial site plan for the first phase of commercial development. The timing of the MV development in the coming years will depend on the strength of both the economy and the real estate market, including both primary and second home markets. In moving the project forward, we will focus on the preparation of engineering leading to the final map for the first phases of MV, consumer and market research studies and fine tuning of development business plans, as well as defining the possible capital funding sources for this development.</w:t>
      </w:r>
    </w:p>
    <w:p>
      <w:pPr>
        <w:spacing w:after="0" w:line="54" w:lineRule="exact"/>
        <w:rPr>
          <w:rFonts w:ascii="Arial" w:cs="Arial" w:eastAsia="Arial" w:hAnsi="Arial"/>
          <w:sz w:val="17"/>
          <w:szCs w:val="17"/>
          <w:color w:val="auto"/>
        </w:rPr>
      </w:pPr>
    </w:p>
    <w:p>
      <w:pPr>
        <w:ind w:left="660" w:right="2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Mineral Resources: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500" w:type="dxa"/>
            <w:vAlign w:val="bottom"/>
            <w:tcBorders>
              <w:top w:val="single" w:sz="8" w:color="006EBF"/>
            </w:tcBorders>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Mineral resources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Oil and gas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Cement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Rock aggregate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Exploration leases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Water Sales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Reimbursables and other</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mineral resources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mineral resources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from mineral resources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00" w:hanging="332"/>
        <w:spacing w:after="0" w:line="25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Mineral resources segment revenues were $1,322,000 for the three months ended September 30, 2020, a decrease of $237,000, or 15%, from $1,559,000 for the three months ended September 30, 2019. The decrease is attributed to a $410,000 decline in oil and gas royalties driven by depressed oil prices as a result of reduced demand and oversupply when compared to the prior period. The decrease was offset by a $184,000 increase in cement, sand, and rock royalties resulting from an uptick in demand from the Company's tenant, National Cement as a result of road infrastructure projects.</w:t>
      </w:r>
    </w:p>
    <w:p>
      <w:pPr>
        <w:spacing w:after="0" w:line="79" w:lineRule="exact"/>
        <w:rPr>
          <w:rFonts w:ascii="Arial" w:cs="Arial" w:eastAsia="Arial" w:hAnsi="Arial"/>
          <w:sz w:val="18"/>
          <w:szCs w:val="18"/>
          <w:color w:val="auto"/>
        </w:rPr>
      </w:pPr>
    </w:p>
    <w:p>
      <w:pPr>
        <w:ind w:left="340" w:right="26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Mineral resources segment expenses were $648,000 for the three months ended September 30, 2020, an increase of $72,000 or 13%, from $576,000 for the three months ended September 30, 2019. Property tax increases, from an increase in assessed mineral values, were the main driver of this change.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gridSpan w:val="5"/>
          </w:tcPr>
          <w:p>
            <w:pPr>
              <w:ind w:left="220"/>
              <w:spacing w:after="0"/>
              <w:rPr>
                <w:sz w:val="20"/>
                <w:szCs w:val="20"/>
                <w:color w:val="auto"/>
              </w:rPr>
            </w:pPr>
            <w:r>
              <w:rPr>
                <w:rFonts w:ascii="Arial" w:cs="Arial" w:eastAsia="Arial" w:hAnsi="Arial"/>
                <w:sz w:val="18"/>
                <w:szCs w:val="18"/>
                <w:color w:val="auto"/>
              </w:rPr>
              <w:t>Nine Months Ended September 30,</w:t>
            </w:r>
          </w:p>
        </w:tc>
        <w:tc>
          <w:tcPr>
            <w:tcW w:w="460" w:type="dxa"/>
            <w:vAlign w:val="bottom"/>
          </w:tcPr>
          <w:p>
            <w:pPr>
              <w:spacing w:after="0"/>
              <w:rPr>
                <w:sz w:val="20"/>
                <w:szCs w:val="20"/>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tcPr>
          <w:p>
            <w:pPr>
              <w:ind w:left="20"/>
              <w:spacing w:after="0"/>
              <w:rPr>
                <w:sz w:val="20"/>
                <w:szCs w:val="20"/>
                <w:color w:val="auto"/>
              </w:rPr>
            </w:pPr>
            <w:r>
              <w:rPr>
                <w:rFonts w:ascii="Arial" w:cs="Arial" w:eastAsia="Arial" w:hAnsi="Arial"/>
                <w:sz w:val="18"/>
                <w:szCs w:val="18"/>
                <w:color w:val="auto"/>
              </w:rPr>
              <w:t>Mineral resources revenues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Oil and gas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Cement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Rock aggregate</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Exploration leases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 Sales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Reimbursables and other</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mineral resources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mineral resources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from mineral resources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right="60" w:hanging="332"/>
        <w:spacing w:after="0" w:line="293"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Mineral resources segment revenues were $9,276,000 for the first nine months of 2020, an increase of $925,000, or 11%, from $8,351,000 for the first nine months of 2019. In 2019, the Company had an unfavorable water sales adjustment of $1,050,000 that was tied to an increase in SWP allocation levels, impacting prior sales pricing. In 2020 however, SWP allocation levels were much lower, which in turn improved pricing, resulting in additional water sales revenues. Also in 2019, the Company experienced improved cement and rock aggregate revenues for the same factors discussed above within the segment's quarterly operating results. Improvements in water sales and cement and rock royalties were offset by a $970,000 decrease in oil and gas royalties driven by the same factors mentioned within the discussion above of the segment's quarterly operating results.</w:t>
      </w:r>
    </w:p>
    <w:p>
      <w:pPr>
        <w:spacing w:after="0" w:line="56" w:lineRule="exact"/>
        <w:rPr>
          <w:rFonts w:ascii="Arial" w:cs="Arial" w:eastAsia="Arial" w:hAnsi="Arial"/>
          <w:sz w:val="16"/>
          <w:szCs w:val="16"/>
          <w:color w:val="auto"/>
        </w:rPr>
      </w:pPr>
    </w:p>
    <w:p>
      <w:pPr>
        <w:ind w:left="340" w:right="220" w:hanging="332"/>
        <w:spacing w:after="0" w:line="342"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Mineral resources segment expenses were $5,240,000 for the first nine months of 2020, an increase of $234,000, or 5%, when compared to the same period in 2019. The increase is primarily attributed to the property tax increase discussed within the segment's quarterly operating results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8"/>
          <w:szCs w:val="18"/>
          <w:color w:val="auto"/>
        </w:rPr>
        <w:t>As anticipated changes arise in the future related to groundwater management within California, such as limited pumping in the over drafted groundwater basins outside of our lands, we believe that water banking operations, ground water recharge programs, and access to water contracts like those we have purchased in the past will become even more important and valuable in servicing our projects. Although the current SWP water allocation is at 20%, uncertainty remains regarding the possibility of having additional water sales this year given the level of water currently being recovered from Kern County water banks as a result of prior year water banking activities.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Social distancing and California's Stay at Home Order have reduced the demand for oil and gasoline, leading to an oil surplus. Thus far, the price per barrel of oil has decreased over 39% from its December 31, 2019 levels. At these levels, the Company does not expect an increase in oil royalties for the next twelve months. The Company believes that pricing will slowly and gradually improve once consumers feel safe and the global economy reopens, fully. However, it is very difficult to predict when this will occur, particularly given recent spikes in COVID-19 cases across the United States, and the slowing of reopening initiatives in many states, including California.</w:t>
      </w:r>
    </w:p>
    <w:p>
      <w:pPr>
        <w:spacing w:after="0" w:line="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15, 2020, our largest oil royalty tenant, California Resources Corporation, or CRC, filed a voluntary petition for relief under Chapter 11 of the U.S. Bankruptcy Code that will allow them to improve their liquidity and debt positions. CRC received approval under the voluntary petition on October 13, 2020 and is out of bankruptcy and is once again being traded on public markets.. CRC has also received permission from the courts to allow them to pay lease and oil royalty obligations without interruption. At current prices, CRC has reduced production with no near-term intent to begin new drilling programs until oil prices reach higher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 CRC is current on all payments due to us through September 30, 2020.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b w:val="1"/>
                <w:bCs w:val="1"/>
                <w:color w:val="006EBF"/>
              </w:rPr>
              <w:t>Farming:</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79"/>
        </w:trPr>
        <w:tc>
          <w:tcPr>
            <w:tcW w:w="740" w:type="dxa"/>
            <w:vAlign w:val="bottom"/>
            <w:tcBorders>
              <w:top w:val="single" w:sz="8" w:color="006EBF"/>
            </w:tcBorders>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gridSpan w:val="5"/>
          </w:tcPr>
          <w:p>
            <w:pPr>
              <w:ind w:left="18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Farming revenues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Almonds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Pistachios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30"/>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Wine grapes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Hay</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farming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farming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income (loss) from farming</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40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Farming segment revenues were $8,537,000 for the three months ended September 30, 2020, an increase of $3,935,000, or 86%, from $4,602,000 during the same period in 2019. The changes are primarily attributed to:</w:t>
      </w:r>
    </w:p>
    <w:p>
      <w:pPr>
        <w:spacing w:after="0" w:line="62" w:lineRule="exact"/>
        <w:rPr>
          <w:rFonts w:ascii="Arial" w:cs="Arial" w:eastAsia="Arial" w:hAnsi="Arial"/>
          <w:sz w:val="18"/>
          <w:szCs w:val="18"/>
          <w:color w:val="auto"/>
        </w:rPr>
      </w:pPr>
    </w:p>
    <w:p>
      <w:pPr>
        <w:ind w:left="980" w:right="20" w:hanging="324"/>
        <w:spacing w:after="0" w:line="271" w:lineRule="auto"/>
        <w:tabs>
          <w:tab w:leader="none" w:pos="976"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sale of 456,000 pounds of pistachios in the three months ended September 30, 2020 compared to 831,000 pounds during the prior year period. The difference in sales volume reduced pistachio revenues by $1,260,000. As a hedge against below average production for its almond and pistachio crops, the Company purchases crop production insurance annually. This insurance will pay for reduced production if crop production in the year falls below the insured levels. Although 2020 is not a down bearing year for pistachios, the crop did not receive adequate chilling hours as a result of the warm 2020 winter. Crops with inadequate chilling hours will have depressed yields and blooms. As a result of this, the Company filed a claim with its insurance provider in order to recuperate a portion of the reduced production revenues as a result of lost production. The insurance claim in the amount of $3,789,000 was finalized during the third quarter and is included in the farming revenues above.</w:t>
      </w:r>
    </w:p>
    <w:p>
      <w:pPr>
        <w:spacing w:after="0" w:line="70" w:lineRule="exact"/>
        <w:rPr>
          <w:rFonts w:ascii="Arial" w:cs="Arial" w:eastAsia="Arial" w:hAnsi="Arial"/>
          <w:sz w:val="17"/>
          <w:szCs w:val="17"/>
          <w:color w:val="auto"/>
        </w:rPr>
      </w:pPr>
    </w:p>
    <w:p>
      <w:pPr>
        <w:ind w:left="980" w:right="360" w:hanging="324"/>
        <w:spacing w:after="0" w:line="277" w:lineRule="auto"/>
        <w:tabs>
          <w:tab w:leader="none" w:pos="9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Almond revenues increased $654,000 when compared to the prior year period. In 2019, delays in almond processing severely reduced the amount of almonds that could be sold in the third quarter.</w:t>
      </w:r>
    </w:p>
    <w:p>
      <w:pPr>
        <w:spacing w:after="0" w:line="62" w:lineRule="exact"/>
        <w:rPr>
          <w:rFonts w:ascii="Arial" w:cs="Arial" w:eastAsia="Arial" w:hAnsi="Arial"/>
          <w:sz w:val="18"/>
          <w:szCs w:val="18"/>
          <w:color w:val="auto"/>
        </w:rPr>
      </w:pPr>
    </w:p>
    <w:p>
      <w:pPr>
        <w:ind w:left="340" w:right="40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Farming segment expenses were $8,108,000 for the three months ended September 30, 2020, an increase of $2,129,000, or 36%, from $5,979,000 during the same period in 2019. The Company attributes the increase to recording an additional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jc w:val="both"/>
        <w:ind w:left="340" w:right="80"/>
        <w:spacing w:after="0" w:line="311" w:lineRule="auto"/>
        <w:rPr>
          <w:sz w:val="20"/>
          <w:szCs w:val="20"/>
          <w:color w:val="auto"/>
        </w:rPr>
      </w:pPr>
      <w:r>
        <w:rPr>
          <w:rFonts w:ascii="Arial" w:cs="Arial" w:eastAsia="Arial" w:hAnsi="Arial"/>
          <w:sz w:val="16"/>
          <w:szCs w:val="16"/>
          <w:color w:val="auto"/>
        </w:rPr>
        <w:t>$983,000 in almond cost of sales in 2020 compared to the timing of almond sales in 2019 discussed within the farming revenue discussion above. The Company also experienced an $895,000 increase in fixed water charges with Wheeler Ridge as a result of the dry 2020 winter rain season. Lastly, the remainder of the increase can be attributed to incurring higher irrigation costs, namely utilities, and corporate allocated insurance costs.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460" w:type="dxa"/>
            <w:vAlign w:val="bottom"/>
          </w:tcPr>
          <w:p>
            <w:pPr>
              <w:spacing w:after="0"/>
              <w:rPr>
                <w:sz w:val="20"/>
                <w:szCs w:val="20"/>
                <w:color w:val="auto"/>
              </w:rPr>
            </w:pPr>
          </w:p>
        </w:tc>
        <w:tc>
          <w:tcPr>
            <w:tcW w:w="196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0"/>
                <w:szCs w:val="20"/>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 in thousands)</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Farming revenues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Almonds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3740" w:type="dxa"/>
            <w:vAlign w:val="bottom"/>
          </w:tcPr>
          <w:p>
            <w:pPr>
              <w:ind w:left="200"/>
              <w:spacing w:after="0"/>
              <w:rPr>
                <w:sz w:val="20"/>
                <w:szCs w:val="20"/>
                <w:color w:val="auto"/>
              </w:rPr>
            </w:pPr>
            <w:r>
              <w:rPr>
                <w:rFonts w:ascii="Arial" w:cs="Arial" w:eastAsia="Arial" w:hAnsi="Arial"/>
                <w:sz w:val="18"/>
                <w:szCs w:val="18"/>
                <w:color w:val="auto"/>
              </w:rPr>
              <w:t>Pistachios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30"/>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Wine grapes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740" w:type="dxa"/>
            <w:vAlign w:val="bottom"/>
          </w:tcPr>
          <w:p>
            <w:pPr>
              <w:ind w:left="200"/>
              <w:spacing w:after="0"/>
              <w:rPr>
                <w:sz w:val="20"/>
                <w:szCs w:val="20"/>
                <w:color w:val="auto"/>
              </w:rPr>
            </w:pPr>
            <w:r>
              <w:rPr>
                <w:rFonts w:ascii="Arial" w:cs="Arial" w:eastAsia="Arial" w:hAnsi="Arial"/>
                <w:sz w:val="18"/>
                <w:szCs w:val="18"/>
                <w:color w:val="auto"/>
              </w:rPr>
              <w:t>Hay</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farming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22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farming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Operating loss from farming</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
        </w:trPr>
        <w:tc>
          <w:tcPr>
            <w:tcW w:w="3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280" w:hanging="332"/>
        <w:spacing w:after="0" w:line="263"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Farming segment revenues were $9,698,000 for the first nine months of 2020, an increase of $3,395,000, or 54%, from $6,303,000 during the same period in 2019. Increases in year-to-date revenues occurred for the same reasons described in the segment's quarterly operating results discussion above.</w:t>
      </w:r>
    </w:p>
    <w:p>
      <w:pPr>
        <w:spacing w:after="0" w:line="75"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Farming segment expenses were $10,909,000 for the first nine months of 2020, an increase of $2,507,000, or 30%, from $8,402,000 when compared to the same period in 2019. Increases in year-to-date expenses occurred for the same reasons described in the segment's quarterly operating results discussion above.</w:t>
      </w:r>
    </w:p>
    <w:p>
      <w:pPr>
        <w:spacing w:after="0" w:line="7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Nut and grape crop markets are particularly sensitive to the size of each year’s world crop and the demand for those crops. Large crops in California and abroad can rapidly depress prices. Crop prices, especially almonds, are also adversely affected by a strong U.S. dollar, which makes U.S. exports more expensive and decreases demand for the products we produce. China is the second largest purchaser of California almonds and its currency exchange rate has remained steady thus far in 2020. The low value of the U.S. dollar in prior years has helped to maintain strong almond prices in overseas markets. In 2020, the U.S. dollar continue to weaken after the worst of the COVID-19 pandemic hit in the second quarter. Lastly, increased tariffs from China and India, which are major customers of almonds and pistachios, can make American products less competitive and push customers to switch to another producing country.</w:t>
      </w:r>
    </w:p>
    <w:p>
      <w:pPr>
        <w:spacing w:after="0" w:line="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agribusiness operations are deemed essential and have been allowed to operate under California's COVID-19 Orders. The Company continues to provide its employees with face masks and safety training to promote a safe working environment. As of the third quarter, COVID-19 has not had a measurable impact on the Company's farming operations.</w:t>
      </w:r>
    </w:p>
    <w:p>
      <w:pPr>
        <w:spacing w:after="0" w:line="7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For 2020, the almond industry is expecting record production due to a great bloom cycle. The industry continues to see strong demand for its product but the expected increase in production has begun to negatively impact prices. The Company's 2020 almond yields saw a small increase over 2019 levels as a result of putting into service two additional almond crop units. The mix of demand has been changed in the near term as a result of COVID-19 as more product is moving through wholesale markets and less through high end users such as restaurants. This temporary trend has also negatively impacted pricing. Thus far, the average price per pound for the 2020 crop is $2.15 per pound compared to $2.80 per pound for the 2019 crop.</w:t>
      </w:r>
    </w:p>
    <w:p>
      <w:pPr>
        <w:spacing w:after="0" w:line="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Although 2020 is an on production year for pistachios, unfavorable warm winter conditions adversely impacted our pistachio's blooms and yields. Overall 2020 pistachio yields decreased 45% when compared to 2019 which was a down bearing year. In terms of pricing, our 2020 crop is selling for $2.04 per pound compared to $1.98 in 2019. The impact of lower chill hours has impacted pistachio growers in the southern end of the San Joaquin Valley in similar areas as to where we farm and lower production has been seen in these areas. Overall for California, production is up due to 2020 being an on production year and chill hours being greater in growing areas to the north of our lands.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 wine grapes there was not a discernible difference in terms of yields and pricing when compared to prior year.</w:t>
      </w:r>
    </w:p>
    <w:p>
      <w:pPr>
        <w:spacing w:after="0" w:line="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Lastly, the impact of new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t>damage to orchards and vineyards throughout California. While this could impact us, we believe we have sufficient water resources available to meet our requirements for the remainder of 2020.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Ranch Operations: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6"/>
        </w:trPr>
        <w:tc>
          <w:tcPr>
            <w:tcW w:w="148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Ranch Operations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Ranch Operations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Ranch Operations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from Ranch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3" w:lineRule="exact"/>
        <w:rPr>
          <w:sz w:val="20"/>
          <w:szCs w:val="20"/>
          <w:color w:val="auto"/>
        </w:rPr>
      </w:pPr>
    </w:p>
    <w:p>
      <w:pPr>
        <w:ind w:left="120" w:hanging="94"/>
        <w:spacing w:after="0"/>
        <w:tabs>
          <w:tab w:leader="none" w:pos="1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200" w:lineRule="exact"/>
        <w:rPr>
          <w:rFonts w:ascii="Arial" w:cs="Arial" w:eastAsia="Arial" w:hAnsi="Arial"/>
          <w:sz w:val="18"/>
          <w:szCs w:val="18"/>
          <w:color w:val="auto"/>
          <w:vertAlign w:val="superscript"/>
        </w:rPr>
      </w:pPr>
    </w:p>
    <w:p>
      <w:pPr>
        <w:spacing w:after="0" w:line="210" w:lineRule="exact"/>
        <w:rPr>
          <w:rFonts w:ascii="Arial" w:cs="Arial" w:eastAsia="Arial" w:hAnsi="Arial"/>
          <w:sz w:val="18"/>
          <w:szCs w:val="18"/>
          <w:color w:val="auto"/>
          <w:vertAlign w:val="superscript"/>
        </w:rPr>
      </w:pPr>
    </w:p>
    <w:p>
      <w:pPr>
        <w:ind w:left="340" w:right="6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Ranch operations revenues were $944,000 for the three months ended September 30, 2020, an increase of $68,000, or 8%, from $876,000 for the same period in 2019. The increase is primarily attributed to a $65,000 improvement in film location fees generated from a backlog of demand due to closures during the second quarter due to COVID-19.</w:t>
      </w:r>
    </w:p>
    <w:p>
      <w:pPr>
        <w:spacing w:after="0" w:line="75"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Ranch operations expenses were $1,164,000 for the three months ended September 30, 2020, a decrease of $96,000, or 8%, from $1,260,000 for the same period in 2019. This decline is largely attributed to declines in payroll and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-1167765</wp:posOffset>
            </wp:positionV>
            <wp:extent cx="4723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color w:val="auto"/>
              </w:rPr>
              <w:t>Change</w:t>
            </w:r>
          </w:p>
        </w:tc>
        <w:tc>
          <w:tcPr>
            <w:tcW w:w="106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 in thousands)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Ranch Operations revenues</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08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3"/>
                <w:szCs w:val="23"/>
                <w:color w:val="auto"/>
                <w:vertAlign w:val="superscript"/>
              </w:rPr>
              <w:t>1</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1,252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Grazing</w:t>
            </w: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1,231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Ranch Operations revenues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2,483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Ranch Operations expenses</w:t>
            </w: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3,748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from Ranch Operations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3" w:lineRule="exact"/>
        <w:rPr>
          <w:sz w:val="20"/>
          <w:szCs w:val="20"/>
          <w:color w:val="auto"/>
        </w:rPr>
      </w:pPr>
    </w:p>
    <w:p>
      <w:pPr>
        <w:ind w:left="140" w:hanging="94"/>
        <w:spacing w:after="0"/>
        <w:tabs>
          <w:tab w:leader="none" w:pos="140" w:val="left"/>
        </w:tabs>
        <w:numPr>
          <w:ilvl w:val="1"/>
          <w:numId w:val="28"/>
        </w:numPr>
        <w:rPr>
          <w:rFonts w:ascii="Arial" w:cs="Arial" w:eastAsia="Arial" w:hAnsi="Arial"/>
          <w:sz w:val="18"/>
          <w:szCs w:val="18"/>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200" w:lineRule="exact"/>
        <w:rPr>
          <w:rFonts w:ascii="Arial" w:cs="Arial" w:eastAsia="Arial" w:hAnsi="Arial"/>
          <w:sz w:val="18"/>
          <w:szCs w:val="18"/>
          <w:color w:val="auto"/>
          <w:vertAlign w:val="superscript"/>
        </w:rPr>
      </w:pPr>
    </w:p>
    <w:p>
      <w:pPr>
        <w:spacing w:after="0" w:line="223" w:lineRule="exact"/>
        <w:rPr>
          <w:rFonts w:ascii="Arial" w:cs="Arial" w:eastAsia="Arial" w:hAnsi="Arial"/>
          <w:sz w:val="18"/>
          <w:szCs w:val="18"/>
          <w:color w:val="auto"/>
          <w:vertAlign w:val="superscript"/>
        </w:rPr>
      </w:pPr>
    </w:p>
    <w:p>
      <w:pPr>
        <w:ind w:left="340" w:right="2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Ranch operations revenues were $2,483,000 for the first nine months of 2020, a decrease of $87,000, or 3%, from $2,570,000 for the same period in 2019. This decline is primarily attributed to having reduced film location fees of $53,000 resulting from closures during the second quarter due to COVID-19.</w:t>
      </w:r>
    </w:p>
    <w:p>
      <w:pPr>
        <w:spacing w:after="0" w:line="75"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Ranch operations expenses were $3,748,000 for the first nine months of 2020, a decrease of $255,000, or 6%, from $4,003,000 for the same period in 2019. This decline is attributed to lower payroll as a result of having fewer employees and also closures within the hunting department during the second quarter due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-1305560</wp:posOffset>
            </wp:positionV>
            <wp:extent cx="45091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Corporate and Other:</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Corporate general and administrative costs were $2,121,000 for the three months ended September 30, 2020, an increase of $361,000, or 21%, from $1,760,000 for the same period in 2019. The increase is attributed to stock compensation, net of capitalization, of $738,000 as a result of implementing a new performance stock compensation plan. This increase was offset by a decline in salaries of $254,000, travel and entertainment of $21,000, depreciation and amortization of $29,000, and shareholder related expense of $26,000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ind w:right="280"/>
        <w:spacing w:after="0" w:line="257" w:lineRule="auto"/>
        <w:rPr>
          <w:sz w:val="20"/>
          <w:szCs w:val="20"/>
          <w:color w:val="auto"/>
        </w:rPr>
      </w:pPr>
      <w:r>
        <w:rPr>
          <w:rFonts w:ascii="Arial" w:cs="Arial" w:eastAsia="Arial" w:hAnsi="Arial"/>
          <w:sz w:val="18"/>
          <w:szCs w:val="18"/>
          <w:color w:val="auto"/>
        </w:rPr>
        <w:t>Corporate general and administrative costs were $7,148,000 for the first nine months of 2020, an increase of $624,000, or 10%, from $6,524,000 for the same period in 2019. The Company experienced a $1,483,000 increase in stock compensation expense as a result of the new performance stock compensation plan.. This increase was offset by an increase in general and administrative allocations of $248,000, a decrease in salaries of $238,000, a decrease in professional services of $130,000, a decrease in depreciation and amortization of $119,000 and a decrease in travel and entertainment of $40,000.</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On April 17, 2020, the Company sold the building and land that was previously operated by a fast food tenant to its joint venture, Petro Travel Plaza,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a cash distribution of $2,000,000 from the joint venture, and realized a Gain on Sale of Real Estate of $1,331,000.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Joint Ventures: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6"/>
        </w:trPr>
        <w:tc>
          <w:tcPr>
            <w:tcW w:w="1180" w:type="dxa"/>
            <w:vAlign w:val="bottom"/>
            <w:tcBorders>
              <w:top w:val="single" w:sz="8" w:color="006EBF"/>
            </w:tcBorders>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Equity in earnings (loss)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Petro Travel Plaza Holdings, LLC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Five West Parcel,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18-19 West,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TRCC/Rock Outlet Center,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TRC-MRC 1,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TRC-MRC 2,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TRC-MRC 3,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Total equity in earnings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36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 in earnings were $1,093,000 for the three months ended September 30, 2020, a decrease of $1,106,000 or 50%, from $2,199,000 during the same period in 2019. The changes are primarily attributed to the following:</w:t>
      </w:r>
    </w:p>
    <w:p>
      <w:pPr>
        <w:spacing w:after="0" w:line="48" w:lineRule="exact"/>
        <w:rPr>
          <w:rFonts w:ascii="Arial" w:cs="Arial" w:eastAsia="Arial" w:hAnsi="Arial"/>
          <w:sz w:val="18"/>
          <w:szCs w:val="18"/>
          <w:color w:val="auto"/>
        </w:rPr>
      </w:pPr>
    </w:p>
    <w:p>
      <w:pPr>
        <w:jc w:val="both"/>
        <w:ind w:left="980" w:right="140" w:hanging="324"/>
        <w:spacing w:after="0" w:line="263"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$857,000 decrease for our Petro Travel Plaza Holdings joint venture. For the quarter, the joint venture experienced significant declines in fuel volumes and in fuel margins resulting from reduced sales pricing. Additionally, quick and full service restaurant margins decreased as a result of closures due to COVID-19.</w:t>
      </w:r>
    </w:p>
    <w:p>
      <w:pPr>
        <w:spacing w:after="0" w:line="62" w:lineRule="exact"/>
        <w:rPr>
          <w:rFonts w:ascii="Arial" w:cs="Arial" w:eastAsia="Arial" w:hAnsi="Arial"/>
          <w:sz w:val="18"/>
          <w:szCs w:val="18"/>
          <w:color w:val="auto"/>
        </w:rPr>
      </w:pPr>
    </w:p>
    <w:p>
      <w:pPr>
        <w:ind w:left="980" w:right="120" w:hanging="324"/>
        <w:spacing w:after="0" w:line="277"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$381,000 decrease for our TRCC/Rock Outlet Center joint venture as a result of tenant bankruptcies and lease terminations which resulted in accelerated amortization of tenant allowances, many driven by COVID-19.</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$163,000 decrease for our Five West Travel Plaza joint venture as a result of selling the building and land during the fourth quarter of 2019.</w:t>
      </w:r>
    </w:p>
    <w:p>
      <w:pPr>
        <w:spacing w:after="0" w:line="126" w:lineRule="exact"/>
        <w:rPr>
          <w:rFonts w:ascii="Arial" w:cs="Arial" w:eastAsia="Arial" w:hAnsi="Arial"/>
          <w:sz w:val="16"/>
          <w:szCs w:val="16"/>
          <w:color w:val="auto"/>
        </w:rPr>
      </w:pPr>
    </w:p>
    <w:p>
      <w:pPr>
        <w:ind w:left="980" w:right="380" w:hanging="324"/>
        <w:spacing w:after="0" w:line="277"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$383,000 improvement in TRC-MRC 3 as a result of the timing of contractual rental revenues when compared to the prior year period. During 2019, the leased up operating property had not begun to recognize contractual rent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tbl>
      <w:tblPr>
        <w:tblLayout w:type="fixed"/>
        <w:tblInd w:w="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8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460" w:type="dxa"/>
            <w:vAlign w:val="bottom"/>
          </w:tcPr>
          <w:p>
            <w:pPr>
              <w:spacing w:after="0"/>
              <w:rPr>
                <w:sz w:val="20"/>
                <w:szCs w:val="20"/>
                <w:color w:val="auto"/>
              </w:rPr>
            </w:pPr>
          </w:p>
        </w:tc>
        <w:tc>
          <w:tcPr>
            <w:tcW w:w="196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0"/>
                <w:szCs w:val="20"/>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Equity in earnings (loss)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Petro Travel Plaza Holdings, LLC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Five West Parcel, LLC</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18-19 West, LLC</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TRCC/Rock Outlet Center, LLC</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TRC-MRC 1, LLC</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TRC-MRC 2, LLC</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TRC-MRC 3, LLC</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 equity in earnings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right="360" w:hanging="332"/>
        <w:spacing w:after="0" w:line="342"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Equity in earnings were $3,629,000 for the nine months ended September 30, 2020, a decrease of $1,417,000, or 28%, from $5,046,000 during the same period in 2019. The decline is attributed to the same factors discussed within the segment's quarterly operating results discussed above.</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conjunction with providing relief to certain tenants, the TRCC/Rock Outlet Center has agreed to defer rent for certain tenants due to the closure of the outlet center from March 20, 2020 through May 27, 2020. The following table sets forth information regarding the minimum rents billed and deferred to-date at the TRCC/Rock Outlet Center property level for the nine months ended September 30, 2020. TRCC/Rock Outlet Center is continuing to work with tenants to document temporary rent payment relief through rent deferrals. We continue to assess the probability of collecting outstanding receivables related to the 9 tenants that are currently in on-going negotiations. Management will continue to monitor each negotiation diligently, and when determined collectability is not probable, will reserve accordingly.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1"/>
              </w:rPr>
              <w:t>Rent Relief due to</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Deferred Rent to</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Deferred Rent to</w:t>
            </w:r>
          </w:p>
        </w:tc>
        <w:tc>
          <w:tcPr>
            <w:tcW w:w="0" w:type="dxa"/>
            <w:vAlign w:val="bottom"/>
          </w:tcPr>
          <w:p>
            <w:pPr>
              <w:spacing w:after="0"/>
              <w:rPr>
                <w:sz w:val="1"/>
                <w:szCs w:val="1"/>
                <w:color w:val="auto"/>
              </w:rPr>
            </w:pPr>
          </w:p>
        </w:tc>
      </w:tr>
      <w:tr>
        <w:trPr>
          <w:trHeight w:val="176"/>
        </w:trPr>
        <w:tc>
          <w:tcPr>
            <w:tcW w:w="3440" w:type="dxa"/>
            <w:vAlign w:val="bottom"/>
            <w:vMerge w:val="restart"/>
          </w:tcPr>
          <w:p>
            <w:pPr>
              <w:ind w:left="20"/>
              <w:spacing w:after="0"/>
              <w:rPr>
                <w:sz w:val="20"/>
                <w:szCs w:val="20"/>
                <w:color w:val="auto"/>
              </w:rPr>
            </w:pPr>
            <w:r>
              <w:rPr>
                <w:rFonts w:ascii="Arial" w:cs="Arial" w:eastAsia="Arial" w:hAnsi="Arial"/>
                <w:sz w:val="18"/>
                <w:szCs w:val="18"/>
                <w:color w:val="auto"/>
                <w:w w:val="99"/>
              </w:rPr>
              <w:t>($ in thousands, except number of tenants)</w:t>
            </w:r>
          </w:p>
        </w:tc>
        <w:tc>
          <w:tcPr>
            <w:tcW w:w="420" w:type="dxa"/>
            <w:vAlign w:val="bottom"/>
          </w:tcPr>
          <w:p>
            <w:pPr>
              <w:spacing w:after="0"/>
              <w:rPr>
                <w:sz w:val="15"/>
                <w:szCs w:val="15"/>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8"/>
                <w:szCs w:val="18"/>
                <w:color w:val="auto"/>
              </w:rPr>
              <w:t>Tenants</w:t>
            </w:r>
            <w:r>
              <w:rPr>
                <w:rFonts w:ascii="Arial" w:cs="Arial" w:eastAsia="Arial" w:hAnsi="Arial"/>
                <w:sz w:val="23"/>
                <w:szCs w:val="23"/>
                <w:color w:val="auto"/>
                <w:vertAlign w:val="superscript"/>
              </w:rPr>
              <w:t>2</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color w:val="auto"/>
              </w:rPr>
              <w:t>Rent Billing</w:t>
            </w:r>
            <w:r>
              <w:rPr>
                <w:rFonts w:ascii="Arial" w:cs="Arial" w:eastAsia="Arial" w:hAnsi="Arial"/>
                <w:sz w:val="23"/>
                <w:szCs w:val="23"/>
                <w:color w:val="auto"/>
                <w:vertAlign w:val="superscript"/>
              </w:rPr>
              <w:t>1</w:t>
            </w:r>
          </w:p>
        </w:tc>
        <w:tc>
          <w:tcPr>
            <w:tcW w:w="16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be Collected in</w:t>
            </w:r>
          </w:p>
        </w:tc>
        <w:tc>
          <w:tcPr>
            <w:tcW w:w="12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be Collected in</w:t>
            </w: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COVID-19</w:t>
            </w:r>
          </w:p>
        </w:tc>
        <w:tc>
          <w:tcPr>
            <w:tcW w:w="12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Deferral Agreements</w:t>
            </w:r>
          </w:p>
        </w:tc>
        <w:tc>
          <w:tcPr>
            <w:tcW w:w="4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186</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Rent Abatement Agreements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840"/>
              <w:spacing w:after="0" w:line="230" w:lineRule="exact"/>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240" w:type="dxa"/>
            <w:vAlign w:val="bottom"/>
          </w:tcPr>
          <w:p>
            <w:pPr>
              <w:jc w:val="right"/>
              <w:spacing w:after="0" w:line="230" w:lineRule="exact"/>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On-Going Deferral Negotiations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40" w:type="dxa"/>
            <w:vAlign w:val="bottom"/>
            <w:gridSpan w:val="3"/>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332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w w:val="93"/>
              </w:rPr>
              <w:t>Percentage of Rent Deferred or Abated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Amounts shown represent rent billing for tenants that had or are undergoing lease renegotiations for the nine months ended September 30, 2020.</w:t>
      </w:r>
    </w:p>
    <w:p>
      <w:pPr>
        <w:spacing w:after="0" w:line="28" w:lineRule="exact"/>
        <w:rPr>
          <w:sz w:val="20"/>
          <w:szCs w:val="20"/>
          <w:color w:val="auto"/>
        </w:rPr>
      </w:pPr>
    </w:p>
    <w:p>
      <w:pPr>
        <w:ind w:left="100" w:hanging="74"/>
        <w:spacing w:after="0"/>
        <w:tabs>
          <w:tab w:leader="none" w:pos="100" w:val="left"/>
        </w:tabs>
        <w:numPr>
          <w:ilvl w:val="0"/>
          <w:numId w:val="31"/>
        </w:numPr>
        <w:rPr>
          <w:rFonts w:ascii="Arial" w:cs="Arial" w:eastAsia="Arial" w:hAnsi="Arial"/>
          <w:sz w:val="9"/>
          <w:szCs w:val="9"/>
          <w:color w:val="auto"/>
        </w:rPr>
      </w:pPr>
      <w:r>
        <w:rPr>
          <w:rFonts w:ascii="Arial" w:cs="Arial" w:eastAsia="Arial" w:hAnsi="Arial"/>
          <w:sz w:val="14"/>
          <w:szCs w:val="14"/>
          <w:color w:val="auto"/>
        </w:rPr>
        <w:t>Excludes percentage rent tenants.</w:t>
      </w:r>
    </w:p>
    <w:p>
      <w:pPr>
        <w:spacing w:after="0" w:line="28" w:lineRule="exact"/>
        <w:rPr>
          <w:rFonts w:ascii="Arial" w:cs="Arial" w:eastAsia="Arial" w:hAnsi="Arial"/>
          <w:sz w:val="9"/>
          <w:szCs w:val="9"/>
          <w:color w:val="auto"/>
        </w:rPr>
      </w:pPr>
    </w:p>
    <w:p>
      <w:pPr>
        <w:ind w:left="2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Not applicable for rent abatement.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"Non-GAAP Financial Measures" for further financial discussion of the results of our joint ventures.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General Outlook</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operations of the Company are seasonal and future results of operations cannot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4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COVID-19 pandemic and resulting global economic disruptions have impacted our operations and are expected to continue to impact our operations for the foreseeable future. For a detailed discussion of the pandemic and its expected effects, refer to the section above titled "The COVID-19 Pandemic" and "Results of Operations by Segment."</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2019, or Annual Report, and to Part I, Item 1A - "Risk Factors" of our Annual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4" w:name="page45"/>
    <w:bookmarkEnd w:id="44"/>
    <w:p>
      <w:pPr>
        <w:ind w:right="140"/>
        <w:spacing w:after="0" w:line="277" w:lineRule="auto"/>
        <w:rPr>
          <w:sz w:val="20"/>
          <w:szCs w:val="20"/>
          <w:color w:val="auto"/>
        </w:rPr>
      </w:pPr>
      <w:r>
        <w:rPr>
          <w:rFonts w:ascii="Arial" w:cs="Arial" w:eastAsia="Arial" w:hAnsi="Arial"/>
          <w:sz w:val="18"/>
          <w:szCs w:val="18"/>
          <w:color w:val="auto"/>
        </w:rPr>
        <w:t>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Income Taxes</w:t>
      </w:r>
    </w:p>
    <w:p>
      <w:pPr>
        <w:spacing w:after="0" w:line="1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the nine months ended September 30, 2020, the Company had net income tax expense of $1,111,000 compared to $320,000 for the nine months ended September 30, 2019. The effective tax rates approximated 229% and 27% for the nine months ended September 30, 2020 and 2019, respectively. As of September 30, 2020, income tax receivables were $274,000. The Company classifies interest and penalties incurred on tax payments as income tax expenses. The Company recognized income tax expense primarily as a result of permanent differences related to Section 162(m) limitations and discrete tax expense associated with stock compensation. The Section 162(m) compensation deduction limitations occurred as a result of changes in tax law arising from the 2017 Tax Cuts Jobs Act, which did not impact the Company until this year.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Cash Flow and Liquidity</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6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To enhance shareholder value over the long-term,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cash, cash equivalents and marketable securities totaled $50,354,000 at September 30, 2020, a decrease of $15,836,000 from $66,190,000 as of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 activities for the nine months ended September 30,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3"/>
              </w:rPr>
              <w:t>7,588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710"/>
              <w:spacing w:after="0"/>
              <w:rPr>
                <w:sz w:val="20"/>
                <w:szCs w:val="20"/>
                <w:color w:val="auto"/>
              </w:rPr>
            </w:pPr>
            <w:r>
              <w:rPr>
                <w:rFonts w:ascii="Arial" w:cs="Arial" w:eastAsia="Arial" w:hAnsi="Arial"/>
                <w:sz w:val="18"/>
                <w:szCs w:val="18"/>
                <w:color w:val="auto"/>
                <w:w w:val="93"/>
              </w:rPr>
              <w:t>6,812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(8,512)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(5,351)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During the first nine months of 2020, the Company's operations provided $7,588,000. The primary drivers was distributions of $6,269,000 from our unconsolidated joint ventures. Additionally, we collected on a portion of our outstanding receivables related to farming.</w:t>
      </w:r>
    </w:p>
    <w:p>
      <w:pPr>
        <w:spacing w:after="0" w:line="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first nine months of 2019, the Company's operations provided $555,000. The primary drivers were $3,656,000 in receivables collections offset by payments on current liabilities of $2,952,000.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first nine months of 2020, investing activities provided $6,812,000. The Company made capital expenditures, inclusive of capitalized interest and payroll (exclusive of stock compensation), of $15,407,000, which includes predevelopment activities for our master planned communities; $3,117,000 consisting of planning and permitting primarily related to the preparation of final maps for Phase 1 of MV; expenditures relating to litigation of $1,560,000 for Grapevine, and costs related to litigation defense for Centennial of $2,424,000. At TRCC, we spent $4,441,000 on water treatment infrastructure improvements and general planning. Within our farming segment, we spent $3,741,000 developing new almond orchards, which includes cultural costs for 2020 for orchards not currently in production, and replacing machinery and equipment. Also within investing activities, we had investment security maturities of $30,452,000, of which $5,610,000 was reinvested. The Company also sold building and land in April 2020 that was previously operated by a fast food tenant to its joint venture, Petro Travel Plaza, LLC for $2,000,000. Lastly, the Company used $2,633,000 to acquire long-term water assets.</w:t>
      </w:r>
    </w:p>
    <w:p>
      <w:pPr>
        <w:spacing w:after="0" w:line="4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During the first nine months of 2019 investing activities used $8,512,000. The Company made capital expenditures, inclusive of capitalized interest and payroll (exclusive of stock compensation), of $19,195,000 which includes predevelopment activities for our master planned communities, consisting of general planning and permitting of $3,096,000 for MV; expenditures relating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5" w:name="page46"/>
    <w:bookmarkEnd w:id="45"/>
    <w:p>
      <w:pPr>
        <w:ind w:right="80"/>
        <w:spacing w:after="0" w:line="275" w:lineRule="auto"/>
        <w:rPr>
          <w:sz w:val="20"/>
          <w:szCs w:val="20"/>
          <w:color w:val="auto"/>
        </w:rPr>
      </w:pPr>
      <w:r>
        <w:rPr>
          <w:rFonts w:ascii="Arial" w:cs="Arial" w:eastAsia="Arial" w:hAnsi="Arial"/>
          <w:sz w:val="17"/>
          <w:szCs w:val="17"/>
          <w:color w:val="auto"/>
        </w:rPr>
        <w:t>to re-entitlement and litigation of $2,969,000 for Grapevine, and costs related to obtaining final approval of the specific plan for Centennial of $3,437,000. At TRCC, we spent $7,106,000 on water treatment infrastructure improvements, general planning, and the construction of a new commercial multi-tenant building. Within our farming segment, we spent $2,301,000 developing new almond orchards and replacing machinery and equipment. Also within investing activities, we had investment security maturities of $37,274,000 of which we reinvested $20,425,000. The Company also contributed $3,100,000 to two joint ventures. Lastly, the Company used $3,553,000 to acquire long-term water assets.</w:t>
      </w:r>
    </w:p>
    <w:p>
      <w:pPr>
        <w:spacing w:after="0" w:line="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we move forward, we will continue to use cash from operations, proceeds from the maturity of securities, and anticipated distributions from joint ventures to fund real estate project investments, including the investments summarized below.</w:t>
      </w:r>
    </w:p>
    <w:p>
      <w:pPr>
        <w:spacing w:after="0" w:line="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estimated capital investment, inclusive of capitalized interest and payroll, for the remainder of 2020 is primarily related to our real estate projects. These estimated investments include approximately $1,899,000 of infrastructure development at TRCC-East to support continued commercial retail and industrial development and to expand water facilities to support future anticipated absorption. We also plan to invest approximately $331,000 to continue the development of new almond orchards and replacing farm equipment. The farm investments are part of a long-term farm management program to redevelop declining orchards and vineyards to maintain and improve future farm revenues. Lastly, we expect to invest up to $2,951,000 for land planning, litigation, mapping, federal and state agency permitting activities, and development activities at MV, Centennial, and Grapevine during the remainder of 2020.</w:t>
      </w:r>
    </w:p>
    <w:p>
      <w:pPr>
        <w:spacing w:after="0" w:line="7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nine months ended September 30, 2020 and 2019, was $2,059,000 and $2,116,000, respectively and is classified within real estate development. We also capitalized payroll costs related to development, pre-construction, and construction projects which aggregated $2,742,000 and $2,877,000 for the nine months ended September 30, 2020 and 2019, respectively. Expenditures for repairs and maintenance are expensed as incurred.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the first nine months of 2020, financing activities used $5,351,000, which was attributable to long-term debt service of $3,767,000 and tax payments on vested share grants of $1,584,000.</w:t>
      </w:r>
    </w:p>
    <w:p>
      <w:pPr>
        <w:spacing w:after="0" w:line="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first nine months of 2019, financing activities provided $1,162,000 as a result of drawing $5,000,000 on the Company's RLC. This was offset by long-term debt service of $2,994,000 and tax payments on vested share grants of $844,000.</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The ongoing pandemic, COVID-19, continues to have a negative impact on traffic, consumer spend and demand for fuel, which have a direct impact on our operations, we also continue to experience lower oil royalties, which can negatively impact our cash flows. In response to this, we will continue to evaluate our operations for expense reductions and cash savings. Based on our experience, and assuming the impacts of the COVID-19 do not materially worsen, we believe we will have adequate cash flows, cash balances, and availability on our line of credit (discussed below) over the next twelve months to fund internal operations. COVID-19 has not impacted our ability to access traditional funding sources.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5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Capital Structure and Financial Condition</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September 30, 2020, total capitalization at book value was $503,136,000, consisting of $58,129,000 of debt and $445,007,000 of equity, resulting in a debt-to-total-capitalization ratio of approximately 11.6%.</w:t>
      </w:r>
    </w:p>
    <w:p>
      <w:pPr>
        <w:spacing w:after="0" w:line="49" w:lineRule="exact"/>
        <w:rPr>
          <w:sz w:val="20"/>
          <w:szCs w:val="20"/>
          <w:color w:val="auto"/>
        </w:rPr>
      </w:pPr>
    </w:p>
    <w:p>
      <w:pPr>
        <w:ind w:right="2140"/>
        <w:spacing w:after="0" w:line="275" w:lineRule="auto"/>
        <w:rPr>
          <w:sz w:val="20"/>
          <w:szCs w:val="20"/>
          <w:color w:val="auto"/>
        </w:rPr>
      </w:pPr>
      <w:r>
        <w:rPr>
          <w:rFonts w:ascii="Arial" w:cs="Arial" w:eastAsia="Arial" w:hAnsi="Arial"/>
          <w:sz w:val="17"/>
          <w:szCs w:val="17"/>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5, 2024.</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ind w:right="80"/>
        <w:spacing w:after="0" w:line="255" w:lineRule="auto"/>
        <w:rPr>
          <w:sz w:val="20"/>
          <w:szCs w:val="20"/>
          <w:color w:val="auto"/>
        </w:rPr>
      </w:pPr>
      <w:r>
        <w:rPr>
          <w:rFonts w:ascii="Arial" w:cs="Arial" w:eastAsia="Arial" w:hAnsi="Arial"/>
          <w:sz w:val="18"/>
          <w:szCs w:val="18"/>
          <w:color w:val="auto"/>
        </w:rPr>
        <w:t>The Amended Term Note had a $55,879,000 balance as of September 30, 2020.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RLC had no outstanding balance as of September 30, 2020 and December 31, 2019. At the Company’s option, the interest rate on this line of credit can float at 1.50% over a selected LIBOR rate or can be fixed at 1.50% above LIBOR for a fixed rate term. During the term of this RLC (which matures in October 2024), we can borrow at any time and partially or wholly repay any outstanding borrowings and then re-borrow, as necessary.</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September 30, 2020 and December 31, 2019, we were in compliance with the financial covenants.</w:t>
      </w:r>
    </w:p>
    <w:p>
      <w:pPr>
        <w:spacing w:after="0" w:line="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Amended Credit Facility contains customary events of default, including: failure to make required payments; failure to comply with terms of the Amended Credit Facility; bankruptcy and insolvency; and a change in control without consent of bank (which consent will not be unreasonably withheld). The Amended Credit Facility contains other customary terms and conditions, including representations and warranties, which are typical for credit facilities of this type.</w:t>
      </w:r>
    </w:p>
    <w:p>
      <w:pPr>
        <w:spacing w:after="0" w:line="52"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We also have a $4,750,000 promissory note agreement whose principal and interest due monthly began October 1, 2013. The interest rate on this promissory note is 4.25% per annum, with principal and interest payments ending on September 1, 2028. The balance as of September 30, 2020 was $2,250,000.</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drawdowns against our line of credit, proceeds from the reimbursement of public infrastructure costs through CFD bond debt (described below under “Off-Balance Sheet Arrangements”), and the issuance of additional common stock.</w:t>
      </w:r>
    </w:p>
    <w:p>
      <w:pPr>
        <w:spacing w:after="0" w:line="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May 2019, we filed an updated shelf registration statement on Form S-3, which went effective in May 2019. Under the shelf registration statement, we may offer and sell in the future one or more offerings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we have a strong liquidity position at September 30, 2020 with $50,354,000 in cash and securities and $35,000,000 available on our RLC to meet any short-term liquidity needs, we have taken steps to maximize positive cash flow, in case a lack of liquidity in the economy resulting from the responses to the COVID-19 pandemic limits our access to third party funding. We are doing this by responsibly limiting cash expenditures to the extent practical. See Note 3 (Marketable Securities) and Note 7 (Line of Credit and Long-Term Debt) of the Notes to Unaudited Consolidated Financial Statements for more information.</w:t>
      </w:r>
    </w:p>
    <w:p>
      <w:pPr>
        <w:spacing w:after="0" w:line="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6EBF"/>
        </w:rPr>
        <w:t>Contractual Cash Obligations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our contractual cash obligations and commercial commitments as of September 30, 2020, to be paid over the next five years and thereafter:</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color w:val="auto"/>
                <w:w w:val="90"/>
              </w:rPr>
              <w:t>Payments Due by Period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One Year or Less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Years 2-3</w:t>
            </w: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Years 4-5</w:t>
            </w:r>
          </w:p>
        </w:tc>
        <w:tc>
          <w:tcPr>
            <w:tcW w:w="20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8"/>
              </w:rPr>
              <w:t>Thereafter</w:t>
            </w: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Estimated water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208,413</w:t>
            </w:r>
          </w:p>
        </w:tc>
      </w:tr>
      <w:tr>
        <w:trPr>
          <w:trHeight w:val="229"/>
        </w:trPr>
        <w:tc>
          <w:tcPr>
            <w:tcW w:w="388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34,904</w:t>
            </w: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on long-term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r>
      <w:tr>
        <w:trPr>
          <w:trHeight w:val="229"/>
        </w:trPr>
        <w:tc>
          <w:tcPr>
            <w:tcW w:w="3880" w:type="dxa"/>
            <w:vAlign w:val="bottom"/>
          </w:tcPr>
          <w:p>
            <w:pPr>
              <w:ind w:left="120"/>
              <w:spacing w:after="0"/>
              <w:rPr>
                <w:sz w:val="20"/>
                <w:szCs w:val="20"/>
                <w:color w:val="auto"/>
              </w:rPr>
            </w:pPr>
            <w:r>
              <w:rPr>
                <w:rFonts w:ascii="Arial" w:cs="Arial" w:eastAsia="Arial" w:hAnsi="Arial"/>
                <w:sz w:val="18"/>
                <w:szCs w:val="18"/>
                <w:color w:val="auto"/>
              </w:rPr>
              <w:t>Cash contract commitments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29"/>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Defined Benefit Plan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SERP</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29"/>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Tejon Ranch Conservancy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Financing fees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8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5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contributed $165,000 to our defined benefit plan in 2020.</w:t>
      </w:r>
    </w:p>
    <w:p>
      <w:pPr>
        <w:spacing w:after="0" w:line="50"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006EBF"/>
              </w:rPr>
              <w:t>Off-Balance Sheet Arrangements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8460" w:type="dxa"/>
            <w:vAlign w:val="bottom"/>
            <w:gridSpan w:val="10"/>
          </w:tcPr>
          <w:p>
            <w:pPr>
              <w:spacing w:after="0"/>
              <w:rPr>
                <w:sz w:val="20"/>
                <w:szCs w:val="20"/>
                <w:color w:val="auto"/>
              </w:rPr>
            </w:pPr>
            <w:r>
              <w:rPr>
                <w:rFonts w:ascii="Arial" w:cs="Arial" w:eastAsia="Arial" w:hAnsi="Arial"/>
                <w:sz w:val="18"/>
                <w:szCs w:val="18"/>
                <w:color w:val="auto"/>
                <w:w w:val="98"/>
              </w:rPr>
              <w:t>The following table shows contingent obligations we have with respect to certain bonds issued by the CFDs: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color w:val="auto"/>
              </w:rPr>
              <w:t>Amount of Commitment Expiration Per Period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&lt; 1 year</w:t>
            </w: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2 -3 Years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4 -5 Years</w:t>
            </w:r>
          </w:p>
        </w:tc>
        <w:tc>
          <w:tcPr>
            <w:tcW w:w="1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After 5 Years</w:t>
            </w: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Other Commercial Commitments: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Standby letter of credit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ind w:left="120"/>
              <w:spacing w:after="0"/>
              <w:rPr>
                <w:sz w:val="20"/>
                <w:szCs w:val="20"/>
                <w:color w:val="auto"/>
              </w:rPr>
            </w:pPr>
            <w:r>
              <w:rPr>
                <w:rFonts w:ascii="Arial" w:cs="Arial" w:eastAsia="Arial" w:hAnsi="Arial"/>
                <w:sz w:val="18"/>
                <w:szCs w:val="18"/>
                <w:color w:val="auto"/>
              </w:rPr>
              <w:t>Total other commercial commitments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1"/>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the sale of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September 30, 2020, that the letter of credit will likely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as of September 30, 2020.</w:t>
      </w:r>
    </w:p>
    <w:p>
      <w:pPr>
        <w:spacing w:after="0" w:line="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September 30, 2020, aggregate outstanding debt of unconsolidated joint ventures was $134,249,000. We provided a guarantee on $119,215,000 of this debt, relating to our joint ventures with Rockefeller and Majestic. Because of positive cash flow generation within the Rockefeller and Majestic joint ventures, we, as of September 30, 2020, do not currently expect the guarantee to be called upon. We do not provide a guarantee on the $15,034,000 of debt related to our joint venture with TA/Petro.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006EBF"/>
        </w:rPr>
        <w:t>Non-GAAP Financial Measures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Pr>
          <w:p>
            <w:pPr>
              <w:spacing w:after="0"/>
              <w:rPr>
                <w:sz w:val="20"/>
                <w:szCs w:val="20"/>
                <w:color w:val="auto"/>
              </w:rPr>
            </w:pPr>
          </w:p>
        </w:tc>
        <w:tc>
          <w:tcPr>
            <w:tcW w:w="3060" w:type="dxa"/>
            <w:vAlign w:val="bottom"/>
            <w:gridSpan w:val="4"/>
          </w:tcPr>
          <w:p>
            <w:pPr>
              <w:jc w:val="right"/>
              <w:ind w:right="290"/>
              <w:spacing w:after="0"/>
              <w:rPr>
                <w:sz w:val="20"/>
                <w:szCs w:val="20"/>
                <w:color w:val="auto"/>
              </w:rPr>
            </w:pPr>
            <w:r>
              <w:rPr>
                <w:rFonts w:ascii="Arial" w:cs="Arial" w:eastAsia="Arial" w:hAnsi="Arial"/>
                <w:sz w:val="18"/>
                <w:szCs w:val="18"/>
                <w:color w:val="auto"/>
                <w:w w:val="94"/>
              </w:rPr>
              <w:t>Nine Months Ended September 30,</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Interest,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175"/>
        </w:trPr>
        <w:tc>
          <w:tcPr>
            <w:tcW w:w="4460" w:type="dxa"/>
            <w:vAlign w:val="bottom"/>
          </w:tcPr>
          <w:p>
            <w:pPr>
              <w:ind w:left="120"/>
              <w:spacing w:after="0" w:line="176" w:lineRule="exact"/>
              <w:rPr>
                <w:sz w:val="20"/>
                <w:szCs w:val="20"/>
                <w:color w:val="auto"/>
              </w:rPr>
            </w:pPr>
            <w:r>
              <w:rPr>
                <w:rFonts w:ascii="Arial" w:cs="Arial" w:eastAsia="Arial" w:hAnsi="Arial"/>
                <w:sz w:val="18"/>
                <w:szCs w:val="18"/>
                <w:color w:val="auto"/>
                <w:w w:val="97"/>
              </w:rPr>
              <w:t>Our share of interest expense from unconsolidated joint</w:t>
            </w: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ventures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176"/>
        </w:trPr>
        <w:tc>
          <w:tcPr>
            <w:tcW w:w="44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Our share of depreciation and amortization from</w:t>
            </w: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unconsolidated joint ventures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compensation expense</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8"/>
                <w:szCs w:val="18"/>
                <w:color w:val="auto"/>
                <w:w w:val="94"/>
              </w:rPr>
              <w:t>Three Months Ended September 30,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Commercial/Industrial operating income</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220" w:type="dxa"/>
            <w:vAlign w:val="bottom"/>
          </w:tcPr>
          <w:p>
            <w:pPr>
              <w:ind w:left="120"/>
              <w:spacing w:after="0" w:line="176" w:lineRule="exact"/>
              <w:rPr>
                <w:sz w:val="20"/>
                <w:szCs w:val="20"/>
                <w:color w:val="auto"/>
              </w:rPr>
            </w:pPr>
            <w:r>
              <w:rPr>
                <w:rFonts w:ascii="Arial" w:cs="Arial" w:eastAsia="Arial" w:hAnsi="Arial"/>
                <w:sz w:val="18"/>
                <w:szCs w:val="18"/>
                <w:color w:val="auto"/>
              </w:rPr>
              <w:t>Plus: Commercial/Industrial depreciation and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2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Plus: General, administrative, cost of sales and other</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Other revenues including land sales</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Total Commercial/Industrial net operating income</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2,216</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5,497</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7"/>
          </w:tcPr>
          <w:p>
            <w:pPr>
              <w:jc w:val="right"/>
              <w:ind w:right="440"/>
              <w:spacing w:after="0"/>
              <w:rPr>
                <w:sz w:val="20"/>
                <w:szCs w:val="20"/>
                <w:color w:val="auto"/>
              </w:rPr>
            </w:pPr>
            <w:r>
              <w:rPr>
                <w:rFonts w:ascii="Arial" w:cs="Arial" w:eastAsia="Arial" w:hAnsi="Arial"/>
                <w:sz w:val="18"/>
                <w:szCs w:val="18"/>
                <w:color w:val="auto"/>
                <w:w w:val="92"/>
              </w:rPr>
              <w:t>Three Months Ended September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7"/>
          </w:tcPr>
          <w:p>
            <w:pPr>
              <w:jc w:val="right"/>
              <w:ind w:right="480"/>
              <w:spacing w:after="0"/>
              <w:rPr>
                <w:sz w:val="20"/>
                <w:szCs w:val="20"/>
                <w:color w:val="auto"/>
              </w:rPr>
            </w:pPr>
            <w:r>
              <w:rPr>
                <w:rFonts w:ascii="Arial" w:cs="Arial" w:eastAsia="Arial" w:hAnsi="Arial"/>
                <w:sz w:val="18"/>
                <w:szCs w:val="18"/>
                <w:color w:val="auto"/>
                <w:w w:val="94"/>
              </w:rPr>
              <w:t>Nine Months Ended September 30,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operating income</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Pastoria Energy Facility</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TRCC</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 leases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commercial leases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Total Commercial/Industrial net operating income</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12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of unconsolidated joint ventures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7"/>
              </w:rPr>
              <w:t>1,724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of unconsolidated joint ventures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7"/>
              </w:rPr>
              <w:t>1,288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of unconsolidated joint ventures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7"/>
              </w:rPr>
              <w:t>3,012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Depreciation and amortization of unconsolidated joint</w:t>
            </w:r>
          </w:p>
        </w:tc>
        <w:tc>
          <w:tcPr>
            <w:tcW w:w="240" w:type="dxa"/>
            <w:vAlign w:val="bottom"/>
          </w:tcPr>
          <w:p>
            <w:pPr>
              <w:spacing w:after="0"/>
              <w:rPr>
                <w:sz w:val="15"/>
                <w:szCs w:val="15"/>
                <w:color w:val="auto"/>
              </w:rPr>
            </w:pPr>
          </w:p>
        </w:tc>
        <w:tc>
          <w:tcPr>
            <w:tcW w:w="1380" w:type="dxa"/>
            <w:vAlign w:val="bottom"/>
            <w:vMerge w:val="restart"/>
          </w:tcPr>
          <w:p>
            <w:pPr>
              <w:ind w:left="920"/>
              <w:spacing w:after="0"/>
              <w:rPr>
                <w:sz w:val="20"/>
                <w:szCs w:val="20"/>
                <w:color w:val="auto"/>
              </w:rPr>
            </w:pPr>
            <w:r>
              <w:rPr>
                <w:rFonts w:ascii="Arial" w:cs="Arial" w:eastAsia="Arial" w:hAnsi="Arial"/>
                <w:sz w:val="18"/>
                <w:szCs w:val="18"/>
                <w:color w:val="auto"/>
                <w:w w:val="97"/>
              </w:rPr>
              <w:t>2,204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6,072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5,920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ventures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 of unconsolidated joint ventures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7"/>
              </w:rPr>
              <w:t>5,216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ind w:left="9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Risks</w:t>
      </w:r>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3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RLC had no outstanding balance as of September 30, 2020.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exposed to interest rate risk on our long-term debt. Long-term debt consists of two term loans, one of which was for $55,879,000 as of September 30, 2020 and is tied to LIBOR plus a margin of 1.70%. The interest rate for the term of this loan has been fixed through the use of an interest rate swap that fixed the rate at 4.16%. The outstanding balance on the second term loan as of September 30, 2020 was $2,250,000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 data)</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Thereafter</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940" w:type="dxa"/>
            <w:vAlign w:val="bottom"/>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$11,395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$2,775</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$14,170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$14,199</w:t>
            </w:r>
          </w:p>
        </w:tc>
        <w:tc>
          <w:tcPr>
            <w:tcW w:w="0" w:type="dxa"/>
            <w:vAlign w:val="bottom"/>
          </w:tcPr>
          <w:p>
            <w:pPr>
              <w:spacing w:after="0"/>
              <w:rPr>
                <w:sz w:val="1"/>
                <w:szCs w:val="1"/>
                <w:color w:val="auto"/>
              </w:rPr>
            </w:pPr>
          </w:p>
        </w:tc>
      </w:tr>
      <w:tr>
        <w:trPr>
          <w:trHeight w:val="230"/>
        </w:trPr>
        <w:tc>
          <w:tcPr>
            <w:tcW w:w="2820" w:type="dxa"/>
            <w:vAlign w:val="bottom"/>
          </w:tcPr>
          <w:p>
            <w:pPr>
              <w:ind w:left="120"/>
              <w:spacing w:after="0"/>
              <w:rPr>
                <w:sz w:val="20"/>
                <w:szCs w:val="20"/>
                <w:color w:val="auto"/>
              </w:rPr>
            </w:pPr>
            <w:r>
              <w:rPr>
                <w:rFonts w:ascii="Arial" w:cs="Arial" w:eastAsia="Arial" w:hAnsi="Arial"/>
                <w:sz w:val="18"/>
                <w:szCs w:val="18"/>
                <w:color w:val="auto"/>
              </w:rPr>
              <w:t>Weighted average interest rate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1.94%</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0.99%</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1.76%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Long-term debt ($4.75M note)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$59</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$244</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$265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$277</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$1,151</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$2,250</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$2,250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line="176" w:lineRule="exact"/>
              <w:rPr>
                <w:sz w:val="20"/>
                <w:szCs w:val="20"/>
                <w:color w:val="auto"/>
              </w:rPr>
            </w:pPr>
            <w:r>
              <w:rPr>
                <w:rFonts w:ascii="Arial" w:cs="Arial" w:eastAsia="Arial" w:hAnsi="Arial"/>
                <w:sz w:val="18"/>
                <w:szCs w:val="18"/>
                <w:color w:val="auto"/>
              </w:rPr>
              <w:t>Long-term debt (Amended Term</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$992</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$4,051</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$4,221</w:t>
            </w:r>
          </w:p>
        </w:tc>
        <w:tc>
          <w:tcPr>
            <w:tcW w:w="10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7"/>
              </w:rPr>
              <w:t>$4,429</w:t>
            </w:r>
          </w:p>
        </w:tc>
        <w:tc>
          <w:tcPr>
            <w:tcW w:w="10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0"/>
              </w:rPr>
              <w:t>$4,624</w:t>
            </w:r>
          </w:p>
        </w:tc>
        <w:tc>
          <w:tcPr>
            <w:tcW w:w="12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$37,562</w:t>
            </w:r>
          </w:p>
        </w:tc>
        <w:tc>
          <w:tcPr>
            <w:tcW w:w="10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2"/>
              </w:rPr>
              <w:t>$55,879</w:t>
            </w:r>
          </w:p>
        </w:tc>
        <w:tc>
          <w:tcPr>
            <w:tcW w:w="1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2"/>
              </w:rPr>
              <w:t>$55,879</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Loan)</w:t>
            </w: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 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percentage data)</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Thereafter</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$900</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$39,084</w:t>
            </w:r>
          </w:p>
        </w:tc>
        <w:tc>
          <w:tcPr>
            <w:tcW w:w="0" w:type="dxa"/>
            <w:vAlign w:val="bottom"/>
          </w:tcPr>
          <w:p>
            <w:pPr>
              <w:spacing w:after="0"/>
              <w:rPr>
                <w:sz w:val="1"/>
                <w:szCs w:val="1"/>
                <w:color w:val="auto"/>
              </w:rPr>
            </w:pPr>
          </w:p>
        </w:tc>
      </w:tr>
      <w:tr>
        <w:trPr>
          <w:trHeight w:val="229"/>
        </w:trPr>
        <w:tc>
          <w:tcPr>
            <w:tcW w:w="2400" w:type="dxa"/>
            <w:vAlign w:val="bottom"/>
          </w:tcPr>
          <w:p>
            <w:pPr>
              <w:ind w:left="100"/>
              <w:spacing w:after="0"/>
              <w:rPr>
                <w:sz w:val="20"/>
                <w:szCs w:val="20"/>
                <w:color w:val="auto"/>
              </w:rPr>
            </w:pPr>
            <w:r>
              <w:rPr>
                <w:rFonts w:ascii="Arial" w:cs="Arial" w:eastAsia="Arial" w:hAnsi="Arial"/>
                <w:sz w:val="18"/>
                <w:szCs w:val="18"/>
                <w:color w:val="auto"/>
                <w:w w:val="92"/>
              </w:rPr>
              <w:t>Weighted average interest rate</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2.03%</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2.06%</w:t>
            </w:r>
          </w:p>
        </w:tc>
        <w:tc>
          <w:tcPr>
            <w:tcW w:w="12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2.03%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w w:val="99"/>
              </w:rPr>
              <w:t>Long-term debt ($4.75M note)</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$302</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$315</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$328</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$343</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$357</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$1,484</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$3,129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$3,129</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w w:val="99"/>
              </w:rPr>
              <w:t>Long-term debt ($70.0M note)</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$3,881</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$4,051</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$4,221</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$4,429</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$4,624</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$37,562</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$58,768</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$58,768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Exposure</w:t>
      </w:r>
    </w:p>
    <w:p>
      <w:pPr>
        <w:spacing w:after="0" w:line="10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$9,731,000 of accounts receivable outstanding at September 30, 2020, $1,370,000, or 14%, is at risk to changing prices. Of the amount at risk to changing prices, $898,000 is attributable to pistachios and $471,000 is attributable to almonds.</w:t>
      </w:r>
    </w:p>
    <w:p>
      <w:pPr>
        <w:spacing w:after="0" w:line="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price estimated for the remaining accounts receivable for pistachios recorded at September 30, 2020 was $2.04 per pound and $1.98 per pound at December 31, 2019. For each $0.01 change in the price per pound of pistachios, our receivable for pistachios increases or decreases by $4,400. Although the final price per pound of pistachios, and therefore the extent of the risk is presently unknown, pricing over the past three years has ranged from $1.98 to $2.04. With respect to almonds, the price estimated for the remaining receivable at September 30, 2020 was $2.63 per pound, as compared to $2.63 per pound at December 31, 2019. For each $0.01 change in the price of almonds, our receivable for almonds increases or decreases by $1,800. The range of final prices over the last three years for almonds has ranged from $2.57 to $2.63 per pound.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6EBF"/>
        </w:rPr>
        <w:t>ITEM 4. CONTROLS AND PROCEDURES</w:t>
      </w:r>
    </w:p>
    <w:p>
      <w:pPr>
        <w:spacing w:after="0" w:line="121"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69"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12 (Commitments and Contingencies) in the Notes to Unaudited Consolidated Financial Statements in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1A. Risk Factors</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i w:val="1"/>
          <w:iCs w:val="1"/>
          <w:color w:val="auto"/>
        </w:rPr>
        <w:t>The following supplements and updates the risk factors in Part I, Item 1A “Risk Factors” in our Annual Report on Form 10-K for the year ended December 31, 2019, as updated by the risk factors in Part II, Item 1A "Risk Factors" in our Quarterly Report for the quarterly period ended March 31, 2020 and June 30, 2020.. If any of the risks discussed in these filings occur, our results of operations could be adversely affected. Some statements in this Quarterly Report on Form 10-Q, including statements in the following risk factor constitute forward-looking statements. Please refer to Part I, Item 2 of this Quarterly Report on Form 10-Q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 could be adversely affected by the ongoing COVID-19 pandemic.</w:t>
      </w:r>
    </w:p>
    <w:p>
      <w:pPr>
        <w:spacing w:after="0" w:line="10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March 2020, the World Health Organization declared the outbreak of COVID-19 a pandemic. This outbreak, which has spread widely throughout the United States and nearly all other regions of the world, has prompted federal, state and local governmental authorities in the United States to declare states of emergency and institute preventative measures to contain and/or mitigate the public health effects. These preventative measures, which include quarantines, shelter-in-place orders and similar mandates that substantially restrict daily activities for many individuals, as well as orders calling for the closure and/or curtailment of operations for many businesses, have caused and continue to cause significant disruption to businesses in affected areas, as well as the financial markets both globally and in the United States, more broadly. In California, the gradual re-opening and redeployment of quarantine measures has had an adverse impact on our operations and those of our commercial tenants.</w:t>
      </w:r>
    </w:p>
    <w:p>
      <w:pPr>
        <w:spacing w:after="0" w:line="4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In response to the COVID-19 pandemic and measures taken by applicable governmental authorities, beginning in mid-March 2020 and continuing with California's blueprint for reducing COVID-19, which was released in August 2020, our employees are required to wear masks when working in our offices,</w:t>
      </w:r>
    </w:p>
    <w:p>
      <w:pPr>
        <w:ind w:right="160"/>
        <w:spacing w:after="0" w:line="275" w:lineRule="auto"/>
        <w:rPr>
          <w:sz w:val="20"/>
          <w:szCs w:val="20"/>
          <w:color w:val="auto"/>
        </w:rPr>
      </w:pPr>
      <w:r>
        <w:rPr>
          <w:rFonts w:ascii="Arial" w:cs="Arial" w:eastAsia="Arial" w:hAnsi="Arial"/>
          <w:sz w:val="17"/>
          <w:szCs w:val="17"/>
          <w:color w:val="auto"/>
        </w:rPr>
        <w:t>while also maintaining proper safe social distancing. Subject to the use of appropriate risk mitigation and safety practices, we are continuing our business operations while adhering to California's blueprint criteria for activities within the state, which include in-door dining and retail shopping restrictions. We believe these measures were advisable and in the best interests of our employees, suppliers, customers and communities. Further, in the event any of our employees, and/or employees of our service providers or trade partners, contract COVID-19 or are otherwise compelled to self-quarantine, we may experience shortages in labor and services that we require for our operations.</w:t>
      </w:r>
    </w:p>
    <w:p>
      <w:pPr>
        <w:spacing w:after="0" w:line="5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 majority of our segments were exempt from the application of “stay-at-home” orders, yet are able to continue operating under California's blueprint as discussed above. Decreases in traffic and minimal indoor options have led our gas stations and quick service restaurants to reduce hours and manage labor as cost saving measures, which impacted their revenues. Some of our commercial tenants have sought and received rent deferrals and may seek further relief to the extent pandemic-related restrictions continue to significantly impact their operations.</w:t>
      </w:r>
    </w:p>
    <w:p>
      <w:pPr>
        <w:spacing w:after="0" w:line="50" w:lineRule="exact"/>
        <w:rPr>
          <w:sz w:val="20"/>
          <w:szCs w:val="20"/>
          <w:color w:val="auto"/>
        </w:rPr>
      </w:pPr>
    </w:p>
    <w:p>
      <w:pPr>
        <w:jc w:val="both"/>
        <w:ind w:right="320"/>
        <w:spacing w:after="0" w:line="275" w:lineRule="auto"/>
        <w:rPr>
          <w:sz w:val="20"/>
          <w:szCs w:val="20"/>
          <w:color w:val="auto"/>
        </w:rPr>
      </w:pPr>
      <w:r>
        <w:rPr>
          <w:rFonts w:ascii="Arial" w:cs="Arial" w:eastAsia="Arial" w:hAnsi="Arial"/>
          <w:sz w:val="17"/>
          <w:szCs w:val="17"/>
          <w:color w:val="auto"/>
        </w:rPr>
        <w:t>We may also be materially and adversely affected by the disruptions to U.S. and local economies that result from the COVID-19 pandemic, including reduced consumer confidence, unemployment levels, wage growth and fluctuating interest rates. The COVID-19 pandemic has resulted in substantial volatility in U.S. and international debt and equity markets and has caused significant decreases in the market prices of equity securities, including our common stock. The possibility of a prolonged recession or economic downturn could result in, among other things, a decrease in demand for consumer goods and a diminished value in our real estate investments, including potential impairments.</w:t>
      </w:r>
    </w:p>
    <w:p>
      <w:pPr>
        <w:spacing w:after="0" w:line="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Ultimately, the effects of the COVID-19 pandemic on our business and results of operation will depend upon future developments, including the severity of COVID-19 and the duration of the outbreak; the duration of social distancing and shelter-in-place orders; further mitigation strategies taken by applicable government authorities; the availability of a vaccine, adequate testing and treatments and the prevalence of widespread immunity to COVID-19; the impacts on our supply chain; the health of our employees, service providers and trade partners; and the reactions of U.S. and global markets and their effects on consumer confidence and spending. Such adverse effects, however, may continue to include decreases in the following: oil prices, commodity prices, and traffic, which our commerce center is highly dependent on, and which impacted our results of operations during the third quarter of 2020. Volume of activity within TRCC did begin to improve in late summer and early fall, which has begun to help our tenants. The impact of COVID-19 may also exacerbate other risks discussed in Part I, Item 1A “Risk Factors” in our Annual Report on Form 10-K, any of which could have a material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6EBF"/>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3. 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5.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6EBF"/>
            </w:tcBorders>
            <w:gridSpan w:val="2"/>
          </w:tcPr>
          <w:p>
            <w:pPr>
              <w:spacing w:after="0"/>
              <w:rPr>
                <w:sz w:val="20"/>
                <w:szCs w:val="20"/>
                <w:color w:val="auto"/>
              </w:rPr>
            </w:pPr>
            <w:r>
              <w:rPr>
                <w:rFonts w:ascii="Arial" w:cs="Arial" w:eastAsia="Arial" w:hAnsi="Arial"/>
                <w:sz w:val="18"/>
                <w:szCs w:val="18"/>
                <w:b w:val="1"/>
                <w:bCs w:val="1"/>
                <w:color w:val="006EBF"/>
                <w:w w:val="92"/>
              </w:rPr>
              <w:t>Item 6. Exhibits:</w:t>
            </w:r>
          </w:p>
        </w:tc>
        <w:tc>
          <w:tcPr>
            <w:tcW w:w="8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c>
          <w:tcPr>
            <w:tcW w:w="8760" w:type="dxa"/>
            <w:vAlign w:val="bottom"/>
            <w:gridSpan w:val="2"/>
          </w:tcPr>
          <w:p>
            <w:pPr>
              <w:ind w:left="80"/>
              <w:spacing w:after="0"/>
              <w:rPr>
                <w:rFonts w:ascii="Arial" w:cs="Arial" w:eastAsia="Arial" w:hAnsi="Arial"/>
                <w:sz w:val="18"/>
                <w:szCs w:val="18"/>
                <w:color w:val="auto"/>
              </w:rPr>
            </w:pPr>
            <w:hyperlink r:id="rId73">
              <w:r>
                <w:rPr>
                  <w:rFonts w:ascii="Arial" w:cs="Arial" w:eastAsia="Arial" w:hAnsi="Arial"/>
                  <w:sz w:val="18"/>
                  <w:szCs w:val="18"/>
                  <w:color w:val="auto"/>
                </w:rPr>
                <w:t>Restated Certificate of Incorporation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8760" w:type="dxa"/>
            <w:vAlign w:val="bottom"/>
            <w:gridSpan w:val="2"/>
          </w:tcPr>
          <w:p>
            <w:pPr>
              <w:ind w:left="80"/>
              <w:spacing w:after="0"/>
              <w:rPr>
                <w:rFonts w:ascii="Arial" w:cs="Arial" w:eastAsia="Arial" w:hAnsi="Arial"/>
                <w:sz w:val="18"/>
                <w:szCs w:val="18"/>
                <w:color w:val="auto"/>
              </w:rPr>
            </w:pPr>
            <w:hyperlink r:id="rId74">
              <w:r>
                <w:rPr>
                  <w:rFonts w:ascii="Arial" w:cs="Arial" w:eastAsia="Arial" w:hAnsi="Arial"/>
                  <w:sz w:val="18"/>
                  <w:szCs w:val="18"/>
                  <w:color w:val="auto"/>
                </w:rPr>
                <w:t>Amended and Restated Bylaws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c>
          <w:tcPr>
            <w:tcW w:w="8760" w:type="dxa"/>
            <w:vAlign w:val="bottom"/>
            <w:gridSpan w:val="2"/>
          </w:tcPr>
          <w:p>
            <w:pPr>
              <w:ind w:left="80"/>
              <w:spacing w:after="0"/>
              <w:rPr>
                <w:rFonts w:ascii="Arial" w:cs="Arial" w:eastAsia="Arial" w:hAnsi="Arial"/>
                <w:sz w:val="18"/>
                <w:szCs w:val="18"/>
                <w:color w:val="auto"/>
              </w:rPr>
            </w:pPr>
            <w:hyperlink r:id="rId75">
              <w:r>
                <w:rPr>
                  <w:rFonts w:ascii="Arial" w:cs="Arial" w:eastAsia="Arial" w:hAnsi="Arial"/>
                  <w:sz w:val="18"/>
                  <w:szCs w:val="18"/>
                  <w:color w:val="auto"/>
                </w:rPr>
                <w:t>Registration and Reimbursement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5</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c>
          <w:tcPr>
            <w:tcW w:w="8760" w:type="dxa"/>
            <w:vAlign w:val="bottom"/>
            <w:gridSpan w:val="2"/>
          </w:tcPr>
          <w:p>
            <w:pPr>
              <w:ind w:left="80"/>
              <w:spacing w:after="0"/>
              <w:rPr>
                <w:rFonts w:ascii="Arial" w:cs="Arial" w:eastAsia="Arial" w:hAnsi="Arial"/>
                <w:sz w:val="18"/>
                <w:szCs w:val="18"/>
                <w:color w:val="auto"/>
              </w:rPr>
            </w:pPr>
            <w:hyperlink r:id="rId76">
              <w:r>
                <w:rPr>
                  <w:rFonts w:ascii="Arial" w:cs="Arial" w:eastAsia="Arial" w:hAnsi="Arial"/>
                  <w:sz w:val="18"/>
                  <w:szCs w:val="18"/>
                  <w:color w:val="auto"/>
                </w:rPr>
                <w:t>Form of Indenture for Debt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37</w:t>
            </w:r>
          </w:p>
        </w:tc>
        <w:tc>
          <w:tcPr>
            <w:tcW w:w="0" w:type="dxa"/>
            <w:vAlign w:val="bottom"/>
          </w:tcPr>
          <w:p>
            <w:pPr>
              <w:spacing w:after="0"/>
              <w:rPr>
                <w:sz w:val="1"/>
                <w:szCs w:val="1"/>
                <w:color w:val="auto"/>
              </w:rPr>
            </w:pPr>
          </w:p>
        </w:tc>
      </w:tr>
      <w:tr>
        <w:trPr>
          <w:trHeight w:val="176"/>
        </w:trPr>
        <w:tc>
          <w:tcPr>
            <w:tcW w:w="118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10.1</w:t>
            </w:r>
          </w:p>
        </w:tc>
        <w:tc>
          <w:tcPr>
            <w:tcW w:w="87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Water Service Contract with Wheeler Ridge-Maricopa Water Storage District (without exhibits), amendments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FN 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760" w:type="dxa"/>
            <w:vAlign w:val="bottom"/>
            <w:gridSpan w:val="2"/>
          </w:tcPr>
          <w:p>
            <w:pPr>
              <w:ind w:left="80"/>
              <w:spacing w:after="0"/>
              <w:rPr>
                <w:sz w:val="20"/>
                <w:szCs w:val="20"/>
                <w:color w:val="auto"/>
              </w:rPr>
            </w:pPr>
            <w:r>
              <w:rPr>
                <w:rFonts w:ascii="Arial" w:cs="Arial" w:eastAsia="Arial" w:hAnsi="Arial"/>
                <w:sz w:val="18"/>
                <w:szCs w:val="18"/>
                <w:color w:val="auto"/>
              </w:rPr>
              <w:t>originally filed under Item 11 to Registrant's Annual Report on Form 10-K</w:t>
            </w: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*Severance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*Director Compensation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10.9</w:t>
            </w:r>
          </w:p>
        </w:tc>
        <w:tc>
          <w:tcPr>
            <w:tcW w:w="8760" w:type="dxa"/>
            <w:vAlign w:val="bottom"/>
            <w:gridSpan w:val="2"/>
          </w:tcPr>
          <w:p>
            <w:pPr>
              <w:ind w:left="80"/>
              <w:spacing w:after="0"/>
              <w:rPr>
                <w:rFonts w:ascii="Arial" w:cs="Arial" w:eastAsia="Arial" w:hAnsi="Arial"/>
                <w:sz w:val="18"/>
                <w:szCs w:val="18"/>
                <w:color w:val="auto"/>
              </w:rPr>
            </w:pPr>
            <w:hyperlink r:id="rId78">
              <w:r>
                <w:rPr>
                  <w:rFonts w:ascii="Arial" w:cs="Arial" w:eastAsia="Arial" w:hAnsi="Arial"/>
                  <w:sz w:val="18"/>
                  <w:szCs w:val="18"/>
                  <w:color w:val="auto"/>
                </w:rPr>
                <w:t>*Amended and Restated Non-Employee Director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8</w:t>
            </w:r>
          </w:p>
        </w:tc>
        <w:tc>
          <w:tcPr>
            <w:tcW w:w="0" w:type="dxa"/>
            <w:vAlign w:val="bottom"/>
          </w:tcPr>
          <w:p>
            <w:pPr>
              <w:spacing w:after="0"/>
              <w:rPr>
                <w:sz w:val="1"/>
                <w:szCs w:val="1"/>
                <w:color w:val="auto"/>
              </w:rPr>
            </w:pPr>
          </w:p>
        </w:tc>
      </w:tr>
      <w:tr>
        <w:trPr>
          <w:trHeight w:val="337"/>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*Stock Option Agreement Pursuant to the Non-Employee Director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10.10</w:t>
            </w:r>
          </w:p>
        </w:tc>
        <w:tc>
          <w:tcPr>
            <w:tcW w:w="8760" w:type="dxa"/>
            <w:vAlign w:val="bottom"/>
            <w:gridSpan w:val="2"/>
          </w:tcPr>
          <w:p>
            <w:pPr>
              <w:ind w:left="80"/>
              <w:spacing w:after="0"/>
              <w:rPr>
                <w:rFonts w:ascii="Arial" w:cs="Arial" w:eastAsia="Arial" w:hAnsi="Arial"/>
                <w:sz w:val="18"/>
                <w:szCs w:val="18"/>
                <w:color w:val="auto"/>
              </w:rPr>
            </w:pPr>
            <w:hyperlink r:id="rId79">
              <w:r>
                <w:rPr>
                  <w:rFonts w:ascii="Arial" w:cs="Arial" w:eastAsia="Arial" w:hAnsi="Arial"/>
                  <w:sz w:val="18"/>
                  <w:szCs w:val="18"/>
                  <w:color w:val="auto"/>
                </w:rPr>
                <w:t>*Amended and Restated 1998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9</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10.10(1)</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*Stock Option Agreement Pursuant to the 1998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10.12</w:t>
            </w:r>
          </w:p>
        </w:tc>
        <w:tc>
          <w:tcPr>
            <w:tcW w:w="8760" w:type="dxa"/>
            <w:vAlign w:val="bottom"/>
            <w:gridSpan w:val="2"/>
          </w:tcPr>
          <w:p>
            <w:pPr>
              <w:ind w:left="80"/>
              <w:spacing w:after="0"/>
              <w:rPr>
                <w:rFonts w:ascii="Arial" w:cs="Arial" w:eastAsia="Arial" w:hAnsi="Arial"/>
                <w:sz w:val="18"/>
                <w:szCs w:val="18"/>
                <w:color w:val="auto"/>
              </w:rPr>
            </w:pPr>
            <w:hyperlink r:id="rId80">
              <w:r>
                <w:rPr>
                  <w:rFonts w:ascii="Arial" w:cs="Arial" w:eastAsia="Arial" w:hAnsi="Arial"/>
                  <w:sz w:val="18"/>
                  <w:szCs w:val="18"/>
                  <w:color w:val="auto"/>
                </w:rPr>
                <w:t>Ground Lease with Pastoria Energy Facility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10</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10.15</w:t>
            </w:r>
          </w:p>
        </w:tc>
        <w:tc>
          <w:tcPr>
            <w:tcW w:w="8760" w:type="dxa"/>
            <w:vAlign w:val="bottom"/>
            <w:gridSpan w:val="2"/>
          </w:tcPr>
          <w:p>
            <w:pPr>
              <w:ind w:left="80"/>
              <w:spacing w:after="0"/>
              <w:rPr>
                <w:rFonts w:ascii="Arial" w:cs="Arial" w:eastAsia="Arial" w:hAnsi="Arial"/>
                <w:sz w:val="18"/>
                <w:szCs w:val="18"/>
                <w:color w:val="auto"/>
              </w:rPr>
            </w:pPr>
            <w:hyperlink r:id="rId81">
              <w:r>
                <w:rPr>
                  <w:rFonts w:ascii="Arial" w:cs="Arial" w:eastAsia="Arial" w:hAnsi="Arial"/>
                  <w:sz w:val="18"/>
                  <w:szCs w:val="18"/>
                  <w:color w:val="auto"/>
                </w:rPr>
                <w:t>Form of Securities Purchase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11</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10.16</w:t>
            </w:r>
          </w:p>
        </w:tc>
        <w:tc>
          <w:tcPr>
            <w:tcW w:w="8760" w:type="dxa"/>
            <w:vAlign w:val="bottom"/>
            <w:gridSpan w:val="2"/>
          </w:tcPr>
          <w:p>
            <w:pPr>
              <w:ind w:left="80"/>
              <w:spacing w:after="0"/>
              <w:rPr>
                <w:rFonts w:ascii="Arial" w:cs="Arial" w:eastAsia="Arial" w:hAnsi="Arial"/>
                <w:sz w:val="18"/>
                <w:szCs w:val="18"/>
                <w:color w:val="auto"/>
              </w:rPr>
            </w:pPr>
            <w:hyperlink r:id="rId82">
              <w:r>
                <w:rPr>
                  <w:rFonts w:ascii="Arial" w:cs="Arial" w:eastAsia="Arial" w:hAnsi="Arial"/>
                  <w:sz w:val="18"/>
                  <w:szCs w:val="18"/>
                  <w:color w:val="auto"/>
                </w:rPr>
                <w:t>Form of Registration Rights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10.17</w:t>
            </w:r>
          </w:p>
        </w:tc>
        <w:tc>
          <w:tcPr>
            <w:tcW w:w="8760" w:type="dxa"/>
            <w:vAlign w:val="bottom"/>
            <w:gridSpan w:val="2"/>
          </w:tcPr>
          <w:p>
            <w:pPr>
              <w:ind w:left="80"/>
              <w:spacing w:after="0"/>
              <w:rPr>
                <w:rFonts w:ascii="Arial" w:cs="Arial" w:eastAsia="Arial" w:hAnsi="Arial"/>
                <w:sz w:val="18"/>
                <w:szCs w:val="18"/>
                <w:color w:val="auto"/>
              </w:rPr>
            </w:pPr>
            <w:hyperlink r:id="rId83">
              <w:r>
                <w:rPr>
                  <w:rFonts w:ascii="Arial" w:cs="Arial" w:eastAsia="Arial" w:hAnsi="Arial"/>
                  <w:sz w:val="18"/>
                  <w:szCs w:val="18"/>
                  <w:color w:val="auto"/>
                </w:rPr>
                <w:t>*2004 Stock Incentive Program</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10.18</w:t>
            </w:r>
          </w:p>
        </w:tc>
        <w:tc>
          <w:tcPr>
            <w:tcW w:w="8760" w:type="dxa"/>
            <w:vAlign w:val="bottom"/>
            <w:gridSpan w:val="2"/>
          </w:tcPr>
          <w:p>
            <w:pPr>
              <w:ind w:left="80"/>
              <w:spacing w:after="0"/>
              <w:rPr>
                <w:rFonts w:ascii="Arial" w:cs="Arial" w:eastAsia="Arial" w:hAnsi="Arial"/>
                <w:sz w:val="18"/>
                <w:szCs w:val="18"/>
                <w:color w:val="auto"/>
              </w:rPr>
            </w:pPr>
            <w:hyperlink r:id="rId84">
              <w:r>
                <w:rPr>
                  <w:rFonts w:ascii="Arial" w:cs="Arial" w:eastAsia="Arial" w:hAnsi="Arial"/>
                  <w:sz w:val="18"/>
                  <w:szCs w:val="18"/>
                  <w:color w:val="auto"/>
                </w:rPr>
                <w:t>*Form of Restricted Stock Agreement for Directors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10.19</w:t>
            </w:r>
          </w:p>
        </w:tc>
        <w:tc>
          <w:tcPr>
            <w:tcW w:w="8760" w:type="dxa"/>
            <w:vAlign w:val="bottom"/>
            <w:gridSpan w:val="2"/>
          </w:tcPr>
          <w:p>
            <w:pPr>
              <w:ind w:left="80"/>
              <w:spacing w:after="0"/>
              <w:rPr>
                <w:rFonts w:ascii="Arial" w:cs="Arial" w:eastAsia="Arial" w:hAnsi="Arial"/>
                <w:sz w:val="18"/>
                <w:szCs w:val="18"/>
                <w:color w:val="auto"/>
              </w:rPr>
            </w:pPr>
            <w:hyperlink r:id="rId85">
              <w:r>
                <w:rPr>
                  <w:rFonts w:ascii="Arial" w:cs="Arial" w:eastAsia="Arial" w:hAnsi="Arial"/>
                  <w:sz w:val="18"/>
                  <w:szCs w:val="18"/>
                  <w:color w:val="auto"/>
                </w:rPr>
                <w:t>*Form of Restricted Stock Unit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10.23</w:t>
            </w:r>
          </w:p>
        </w:tc>
        <w:tc>
          <w:tcPr>
            <w:tcW w:w="8760" w:type="dxa"/>
            <w:vAlign w:val="bottom"/>
            <w:gridSpan w:val="2"/>
          </w:tcPr>
          <w:p>
            <w:pPr>
              <w:ind w:left="80"/>
              <w:spacing w:after="0"/>
              <w:rPr>
                <w:rFonts w:ascii="Arial" w:cs="Arial" w:eastAsia="Arial" w:hAnsi="Arial"/>
                <w:sz w:val="18"/>
                <w:szCs w:val="18"/>
                <w:color w:val="auto"/>
              </w:rPr>
            </w:pPr>
            <w:hyperlink r:id="rId86">
              <w:r>
                <w:rPr>
                  <w:rFonts w:ascii="Arial" w:cs="Arial" w:eastAsia="Arial" w:hAnsi="Arial"/>
                  <w:sz w:val="18"/>
                  <w:szCs w:val="18"/>
                  <w:color w:val="auto"/>
                </w:rPr>
                <w:t>Limited Liability Company Agreement of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14</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10.24</w:t>
            </w:r>
          </w:p>
        </w:tc>
        <w:tc>
          <w:tcPr>
            <w:tcW w:w="8760" w:type="dxa"/>
            <w:vAlign w:val="bottom"/>
            <w:gridSpan w:val="2"/>
          </w:tcPr>
          <w:p>
            <w:pPr>
              <w:ind w:left="80"/>
              <w:spacing w:after="0"/>
              <w:rPr>
                <w:rFonts w:ascii="Arial" w:cs="Arial" w:eastAsia="Arial" w:hAnsi="Arial"/>
                <w:sz w:val="18"/>
                <w:szCs w:val="18"/>
                <w:color w:val="auto"/>
              </w:rPr>
            </w:pPr>
            <w:hyperlink r:id="rId87">
              <w:r>
                <w:rPr>
                  <w:rFonts w:ascii="Arial" w:cs="Arial" w:eastAsia="Arial" w:hAnsi="Arial"/>
                  <w:sz w:val="18"/>
                  <w:szCs w:val="18"/>
                  <w:color w:val="auto"/>
                </w:rPr>
                <w:t>Tejon Ranch Conservation and Land Use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15</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10.25</w:t>
            </w:r>
          </w:p>
        </w:tc>
        <w:tc>
          <w:tcPr>
            <w:tcW w:w="8760" w:type="dxa"/>
            <w:vAlign w:val="bottom"/>
            <w:gridSpan w:val="2"/>
          </w:tcPr>
          <w:p>
            <w:pPr>
              <w:ind w:left="80"/>
              <w:spacing w:after="0"/>
              <w:rPr>
                <w:rFonts w:ascii="Arial" w:cs="Arial" w:eastAsia="Arial" w:hAnsi="Arial"/>
                <w:sz w:val="18"/>
                <w:szCs w:val="18"/>
                <w:color w:val="auto"/>
              </w:rPr>
            </w:pPr>
            <w:hyperlink r:id="rId88">
              <w:r>
                <w:rPr>
                  <w:rFonts w:ascii="Arial" w:cs="Arial" w:eastAsia="Arial" w:hAnsi="Arial"/>
                  <w:sz w:val="18"/>
                  <w:szCs w:val="18"/>
                  <w:color w:val="auto"/>
                </w:rPr>
                <w:t>Second Amended and Restated Limited Liability Agreement of Centennial Founders,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16</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10.26</w:t>
            </w:r>
          </w:p>
        </w:tc>
        <w:tc>
          <w:tcPr>
            <w:tcW w:w="8760" w:type="dxa"/>
            <w:vAlign w:val="bottom"/>
            <w:gridSpan w:val="2"/>
          </w:tcPr>
          <w:p>
            <w:pPr>
              <w:ind w:left="80"/>
              <w:spacing w:after="0"/>
              <w:rPr>
                <w:rFonts w:ascii="Arial" w:cs="Arial" w:eastAsia="Arial" w:hAnsi="Arial"/>
                <w:sz w:val="18"/>
                <w:szCs w:val="18"/>
                <w:color w:val="auto"/>
              </w:rPr>
            </w:pPr>
            <w:hyperlink r:id="rId89">
              <w:r>
                <w:rPr>
                  <w:rFonts w:ascii="Arial" w:cs="Arial" w:eastAsia="Arial" w:hAnsi="Arial"/>
                  <w:sz w:val="18"/>
                  <w:szCs w:val="18"/>
                  <w:color w:val="auto"/>
                </w:rPr>
                <w:t>*Executive Employment Agreement - Allen E. Lyda</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17</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10.27</w:t>
            </w:r>
          </w:p>
        </w:tc>
        <w:tc>
          <w:tcPr>
            <w:tcW w:w="8760" w:type="dxa"/>
            <w:vAlign w:val="bottom"/>
            <w:gridSpan w:val="2"/>
          </w:tcPr>
          <w:p>
            <w:pPr>
              <w:ind w:left="80"/>
              <w:spacing w:after="0"/>
              <w:rPr>
                <w:rFonts w:ascii="Arial" w:cs="Arial" w:eastAsia="Arial" w:hAnsi="Arial"/>
                <w:sz w:val="18"/>
                <w:szCs w:val="18"/>
                <w:color w:val="auto"/>
              </w:rPr>
            </w:pPr>
            <w:hyperlink r:id="rId90">
              <w:r>
                <w:rPr>
                  <w:rFonts w:ascii="Arial" w:cs="Arial" w:eastAsia="Arial" w:hAnsi="Arial"/>
                  <w:sz w:val="18"/>
                  <w:szCs w:val="18"/>
                  <w:color w:val="auto"/>
                </w:rPr>
                <w:t>Limited Liability Company Agreement of TRCC/Rock Outlet Center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18</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10.28</w:t>
            </w:r>
          </w:p>
        </w:tc>
        <w:tc>
          <w:tcPr>
            <w:tcW w:w="8760" w:type="dxa"/>
            <w:vAlign w:val="bottom"/>
            <w:gridSpan w:val="2"/>
          </w:tcPr>
          <w:p>
            <w:pPr>
              <w:ind w:left="80"/>
              <w:spacing w:after="0"/>
              <w:rPr>
                <w:rFonts w:ascii="Arial" w:cs="Arial" w:eastAsia="Arial" w:hAnsi="Arial"/>
                <w:sz w:val="18"/>
                <w:szCs w:val="18"/>
                <w:color w:val="auto"/>
              </w:rPr>
            </w:pPr>
            <w:hyperlink r:id="rId91">
              <w:r>
                <w:rPr>
                  <w:rFonts w:ascii="Arial" w:cs="Arial" w:eastAsia="Arial" w:hAnsi="Arial"/>
                  <w:sz w:val="18"/>
                  <w:szCs w:val="18"/>
                  <w:color w:val="auto"/>
                </w:rPr>
                <w:t>Warrant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19</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10.29</w:t>
            </w:r>
          </w:p>
        </w:tc>
        <w:tc>
          <w:tcPr>
            <w:tcW w:w="8760" w:type="dxa"/>
            <w:vAlign w:val="bottom"/>
            <w:gridSpan w:val="2"/>
          </w:tcPr>
          <w:p>
            <w:pPr>
              <w:ind w:left="80"/>
              <w:spacing w:after="0"/>
              <w:rPr>
                <w:rFonts w:ascii="Arial" w:cs="Arial" w:eastAsia="Arial" w:hAnsi="Arial"/>
                <w:sz w:val="18"/>
                <w:szCs w:val="18"/>
                <w:color w:val="auto"/>
              </w:rPr>
            </w:pPr>
            <w:hyperlink r:id="rId92">
              <w:r>
                <w:rPr>
                  <w:rFonts w:ascii="Arial" w:cs="Arial" w:eastAsia="Arial" w:hAnsi="Arial"/>
                  <w:sz w:val="18"/>
                  <w:szCs w:val="18"/>
                  <w:color w:val="auto"/>
                </w:rPr>
                <w:t>Amendments to Limited Liability Company Agreement of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20</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10.30</w:t>
            </w:r>
          </w:p>
        </w:tc>
        <w:tc>
          <w:tcPr>
            <w:tcW w:w="8760" w:type="dxa"/>
            <w:vAlign w:val="bottom"/>
            <w:gridSpan w:val="2"/>
          </w:tcPr>
          <w:p>
            <w:pPr>
              <w:ind w:left="80"/>
              <w:spacing w:after="0"/>
              <w:rPr>
                <w:rFonts w:ascii="Arial" w:cs="Arial" w:eastAsia="Arial" w:hAnsi="Arial"/>
                <w:sz w:val="18"/>
                <w:szCs w:val="18"/>
                <w:color w:val="auto"/>
              </w:rPr>
            </w:pPr>
            <w:hyperlink r:id="rId93">
              <w:r>
                <w:rPr>
                  <w:rFonts w:ascii="Arial" w:cs="Arial" w:eastAsia="Arial" w:hAnsi="Arial"/>
                  <w:sz w:val="18"/>
                  <w:szCs w:val="18"/>
                  <w:color w:val="auto"/>
                </w:rPr>
                <w:t>Membership Interest Purchase Agreement -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21</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10.31</w:t>
            </w:r>
          </w:p>
        </w:tc>
        <w:tc>
          <w:tcPr>
            <w:tcW w:w="8760" w:type="dxa"/>
            <w:vAlign w:val="bottom"/>
            <w:gridSpan w:val="2"/>
          </w:tcPr>
          <w:p>
            <w:pPr>
              <w:ind w:left="80"/>
              <w:spacing w:after="0"/>
              <w:rPr>
                <w:rFonts w:ascii="Arial" w:cs="Arial" w:eastAsia="Arial" w:hAnsi="Arial"/>
                <w:sz w:val="18"/>
                <w:szCs w:val="18"/>
                <w:color w:val="auto"/>
              </w:rPr>
            </w:pPr>
            <w:hyperlink r:id="rId94">
              <w:r>
                <w:rPr>
                  <w:rFonts w:ascii="Arial" w:cs="Arial" w:eastAsia="Arial" w:hAnsi="Arial"/>
                  <w:sz w:val="18"/>
                  <w:szCs w:val="18"/>
                  <w:color w:val="auto"/>
                </w:rPr>
                <w:t>Amended and Restated Credit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10.32</w:t>
            </w:r>
          </w:p>
        </w:tc>
        <w:tc>
          <w:tcPr>
            <w:tcW w:w="8760" w:type="dxa"/>
            <w:vAlign w:val="bottom"/>
            <w:gridSpan w:val="2"/>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Term Note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10.33</w:t>
            </w:r>
          </w:p>
        </w:tc>
        <w:tc>
          <w:tcPr>
            <w:tcW w:w="8760" w:type="dxa"/>
            <w:vAlign w:val="bottom"/>
            <w:gridSpan w:val="2"/>
          </w:tcPr>
          <w:p>
            <w:pPr>
              <w:ind w:left="80"/>
              <w:spacing w:after="0"/>
              <w:rPr>
                <w:rFonts w:ascii="Arial" w:cs="Arial" w:eastAsia="Arial" w:hAnsi="Arial"/>
                <w:sz w:val="18"/>
                <w:szCs w:val="18"/>
                <w:color w:val="auto"/>
              </w:rPr>
            </w:pPr>
            <w:hyperlink r:id="rId96">
              <w:r>
                <w:rPr>
                  <w:rFonts w:ascii="Arial" w:cs="Arial" w:eastAsia="Arial" w:hAnsi="Arial"/>
                  <w:sz w:val="18"/>
                  <w:szCs w:val="18"/>
                  <w:color w:val="auto"/>
                </w:rPr>
                <w:t>Revolving Line of Credit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10.34</w:t>
            </w:r>
          </w:p>
        </w:tc>
        <w:tc>
          <w:tcPr>
            <w:tcW w:w="8760" w:type="dxa"/>
            <w:vAlign w:val="bottom"/>
            <w:gridSpan w:val="2"/>
          </w:tcPr>
          <w:p>
            <w:pPr>
              <w:ind w:left="80"/>
              <w:spacing w:after="0"/>
              <w:rPr>
                <w:rFonts w:ascii="Arial" w:cs="Arial" w:eastAsia="Arial" w:hAnsi="Arial"/>
                <w:sz w:val="18"/>
                <w:szCs w:val="18"/>
                <w:color w:val="auto"/>
              </w:rPr>
            </w:pPr>
            <w:hyperlink r:id="rId97">
              <w:r>
                <w:rPr>
                  <w:rFonts w:ascii="Arial" w:cs="Arial" w:eastAsia="Arial" w:hAnsi="Arial"/>
                  <w:sz w:val="18"/>
                  <w:szCs w:val="18"/>
                  <w:color w:val="auto"/>
                </w:rPr>
                <w:t>Amendments to Lease Agreement with Pastoria Energy Facility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23</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10.35</w:t>
            </w:r>
          </w:p>
        </w:tc>
        <w:tc>
          <w:tcPr>
            <w:tcW w:w="8760" w:type="dxa"/>
            <w:vAlign w:val="bottom"/>
            <w:gridSpan w:val="2"/>
          </w:tcPr>
          <w:p>
            <w:pPr>
              <w:ind w:left="80"/>
              <w:spacing w:after="0"/>
              <w:rPr>
                <w:rFonts w:ascii="Arial" w:cs="Arial" w:eastAsia="Arial" w:hAnsi="Arial"/>
                <w:sz w:val="18"/>
                <w:szCs w:val="18"/>
                <w:color w:val="auto"/>
              </w:rPr>
            </w:pPr>
            <w:hyperlink r:id="rId98">
              <w:r>
                <w:rPr>
                  <w:rFonts w:ascii="Arial" w:cs="Arial" w:eastAsia="Arial" w:hAnsi="Arial"/>
                  <w:sz w:val="18"/>
                  <w:szCs w:val="18"/>
                  <w:color w:val="auto"/>
                </w:rPr>
                <w:t>Water Supply Agreement with Pastoria Energy Facility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24</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10.37</w:t>
            </w:r>
          </w:p>
        </w:tc>
        <w:tc>
          <w:tcPr>
            <w:tcW w:w="8760" w:type="dxa"/>
            <w:vAlign w:val="bottom"/>
            <w:gridSpan w:val="2"/>
          </w:tcPr>
          <w:p>
            <w:pPr>
              <w:ind w:left="80"/>
              <w:spacing w:after="0"/>
              <w:rPr>
                <w:rFonts w:ascii="Arial" w:cs="Arial" w:eastAsia="Arial" w:hAnsi="Arial"/>
                <w:sz w:val="18"/>
                <w:szCs w:val="18"/>
                <w:color w:val="auto"/>
              </w:rPr>
            </w:pPr>
            <w:hyperlink r:id="rId99">
              <w:r>
                <w:rPr>
                  <w:rFonts w:ascii="Arial" w:cs="Arial" w:eastAsia="Arial" w:hAnsi="Arial"/>
                  <w:sz w:val="18"/>
                  <w:szCs w:val="18"/>
                  <w:color w:val="auto"/>
                </w:rPr>
                <w:t>Limited Liability Company Agreement of TRC-MRC 2,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26</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10.38</w:t>
            </w:r>
          </w:p>
        </w:tc>
        <w:tc>
          <w:tcPr>
            <w:tcW w:w="8760" w:type="dxa"/>
            <w:vAlign w:val="bottom"/>
            <w:gridSpan w:val="2"/>
          </w:tcPr>
          <w:p>
            <w:pPr>
              <w:ind w:left="80"/>
              <w:spacing w:after="0"/>
              <w:rPr>
                <w:rFonts w:ascii="Arial" w:cs="Arial" w:eastAsia="Arial" w:hAnsi="Arial"/>
                <w:sz w:val="18"/>
                <w:szCs w:val="18"/>
                <w:color w:val="auto"/>
              </w:rPr>
            </w:pPr>
            <w:hyperlink r:id="rId100">
              <w:r>
                <w:rPr>
                  <w:rFonts w:ascii="Arial" w:cs="Arial" w:eastAsia="Arial" w:hAnsi="Arial"/>
                  <w:sz w:val="18"/>
                  <w:szCs w:val="18"/>
                  <w:color w:val="auto"/>
                </w:rPr>
                <w:t>Limited Liability Company Agreement of TRC-MRC 1,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10.39</w:t>
            </w:r>
          </w:p>
        </w:tc>
        <w:tc>
          <w:tcPr>
            <w:tcW w:w="8760" w:type="dxa"/>
            <w:vAlign w:val="bottom"/>
            <w:gridSpan w:val="2"/>
          </w:tcPr>
          <w:p>
            <w:pPr>
              <w:ind w:left="80"/>
              <w:spacing w:after="0"/>
              <w:rPr>
                <w:rFonts w:ascii="Arial" w:cs="Arial" w:eastAsia="Arial" w:hAnsi="Arial"/>
                <w:sz w:val="18"/>
                <w:szCs w:val="18"/>
                <w:color w:val="auto"/>
              </w:rPr>
            </w:pPr>
            <w:hyperlink r:id="rId101">
              <w:r>
                <w:rPr>
                  <w:rFonts w:ascii="Arial" w:cs="Arial" w:eastAsia="Arial" w:hAnsi="Arial"/>
                  <w:sz w:val="18"/>
                  <w:szCs w:val="18"/>
                  <w:color w:val="auto"/>
                </w:rPr>
                <w:t>Centennial Founders LLC, Redemption and Withdrawal Agreement - Lewis Tejon Member,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28</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60" w:type="dxa"/>
            <w:vAlign w:val="bottom"/>
            <w:gridSpan w:val="2"/>
          </w:tcPr>
          <w:p>
            <w:pPr>
              <w:ind w:left="4360"/>
              <w:spacing w:after="0"/>
              <w:rPr>
                <w:sz w:val="20"/>
                <w:szCs w:val="20"/>
                <w:color w:val="auto"/>
              </w:rPr>
            </w:pPr>
            <w:r>
              <w:rPr>
                <w:rFonts w:ascii="Arial" w:cs="Arial" w:eastAsia="Arial" w:hAnsi="Arial"/>
                <w:sz w:val="18"/>
                <w:szCs w:val="18"/>
                <w:color w:val="auto"/>
              </w:rPr>
              <w:t>56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tbl>
      <w:tblPr>
        <w:tblLayout w:type="fixed"/>
        <w:tblInd w:w="440" w:type="dxa"/>
        <w:tblCellMar>
          <w:top w:w="0" w:type="dxa"/>
          <w:left w:w="0" w:type="dxa"/>
          <w:bottom w:w="0" w:type="dxa"/>
          <w:right w:w="0" w:type="dxa"/>
        </w:tblCellMar>
      </w:tblPr>
      <w:tr>
        <w:trPr>
          <w:trHeight w:val="207"/>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10.40</w:t>
            </w:r>
          </w:p>
        </w:tc>
        <w:tc>
          <w:tcPr>
            <w:tcW w:w="8580" w:type="dxa"/>
            <w:vAlign w:val="bottom"/>
          </w:tcPr>
          <w:p>
            <w:pPr>
              <w:ind w:left="80"/>
              <w:spacing w:after="0"/>
              <w:rPr>
                <w:rFonts w:ascii="Arial" w:cs="Arial" w:eastAsia="Arial" w:hAnsi="Arial"/>
                <w:sz w:val="18"/>
                <w:szCs w:val="18"/>
                <w:color w:val="auto"/>
              </w:rPr>
            </w:pPr>
            <w:hyperlink r:id="rId104">
              <w:r>
                <w:rPr>
                  <w:rFonts w:ascii="Arial" w:cs="Arial" w:eastAsia="Arial" w:hAnsi="Arial"/>
                  <w:sz w:val="18"/>
                  <w:szCs w:val="18"/>
                  <w:color w:val="auto"/>
                </w:rPr>
                <w:t>First Amendment to Second Amended and Restated Limited Liability Company Agreement of Centennial</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29</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r:id="rId104">
              <w:r>
                <w:rPr>
                  <w:rFonts w:ascii="Arial" w:cs="Arial" w:eastAsia="Arial" w:hAnsi="Arial"/>
                  <w:sz w:val="18"/>
                  <w:szCs w:val="18"/>
                  <w:color w:val="auto"/>
                </w:rPr>
                <w:t>Founders, LLC</w:t>
              </w:r>
            </w:hyperlink>
          </w:p>
        </w:tc>
        <w:tc>
          <w:tcPr>
            <w:tcW w:w="1400" w:type="dxa"/>
            <w:vAlign w:val="bottom"/>
          </w:tcPr>
          <w:p>
            <w:pPr>
              <w:spacing w:after="0"/>
              <w:rPr>
                <w:sz w:val="19"/>
                <w:szCs w:val="19"/>
                <w:color w:val="auto"/>
              </w:rPr>
            </w:pP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10.41</w:t>
            </w:r>
          </w:p>
        </w:tc>
        <w:tc>
          <w:tcPr>
            <w:tcW w:w="8580" w:type="dxa"/>
            <w:vAlign w:val="bottom"/>
          </w:tcPr>
          <w:p>
            <w:pPr>
              <w:ind w:left="80"/>
              <w:spacing w:after="0" w:line="176" w:lineRule="exact"/>
              <w:rPr>
                <w:rFonts w:ascii="Arial" w:cs="Arial" w:eastAsia="Arial" w:hAnsi="Arial"/>
                <w:sz w:val="18"/>
                <w:szCs w:val="18"/>
                <w:color w:val="auto"/>
                <w:w w:val="98"/>
              </w:rPr>
            </w:pPr>
            <w:hyperlink r:id="rId105">
              <w:r>
                <w:rPr>
                  <w:rFonts w:ascii="Arial" w:cs="Arial" w:eastAsia="Arial" w:hAnsi="Arial"/>
                  <w:sz w:val="18"/>
                  <w:szCs w:val="18"/>
                  <w:color w:val="auto"/>
                  <w:w w:val="98"/>
                </w:rPr>
                <w:t>Second Amendment to Second Amended and Restated Limited Liability Company Agreement of Centennial</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FN 30</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r:id="rId105">
              <w:r>
                <w:rPr>
                  <w:rFonts w:ascii="Arial" w:cs="Arial" w:eastAsia="Arial" w:hAnsi="Arial"/>
                  <w:sz w:val="18"/>
                  <w:szCs w:val="18"/>
                  <w:color w:val="auto"/>
                </w:rPr>
                <w:t>Founders, LLC</w:t>
              </w:r>
            </w:hyperlink>
          </w:p>
        </w:tc>
        <w:tc>
          <w:tcPr>
            <w:tcW w:w="1400" w:type="dxa"/>
            <w:vAlign w:val="bottom"/>
          </w:tcPr>
          <w:p>
            <w:pPr>
              <w:spacing w:after="0"/>
              <w:rPr>
                <w:sz w:val="19"/>
                <w:szCs w:val="19"/>
                <w:color w:val="auto"/>
              </w:rPr>
            </w:pP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8580" w:type="dxa"/>
            <w:vAlign w:val="bottom"/>
          </w:tcPr>
          <w:p>
            <w:pPr>
              <w:ind w:left="80"/>
              <w:spacing w:after="0"/>
              <w:rPr>
                <w:rFonts w:ascii="Arial" w:cs="Arial" w:eastAsia="Arial" w:hAnsi="Arial"/>
                <w:sz w:val="18"/>
                <w:szCs w:val="18"/>
                <w:color w:val="auto"/>
              </w:rPr>
            </w:pPr>
            <w:hyperlink r:id="rId106">
              <w:r>
                <w:rPr>
                  <w:rFonts w:ascii="Arial" w:cs="Arial" w:eastAsia="Arial" w:hAnsi="Arial"/>
                  <w:sz w:val="18"/>
                  <w:szCs w:val="18"/>
                  <w:color w:val="auto"/>
                </w:rPr>
                <w:t>Limited Liability Company Agreement of TRC-MRC 3,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31</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10.43</w:t>
            </w:r>
          </w:p>
        </w:tc>
        <w:tc>
          <w:tcPr>
            <w:tcW w:w="8580" w:type="dxa"/>
            <w:vAlign w:val="bottom"/>
          </w:tcPr>
          <w:p>
            <w:pPr>
              <w:ind w:left="80"/>
              <w:spacing w:after="0" w:line="176" w:lineRule="exact"/>
              <w:rPr>
                <w:rFonts w:ascii="Arial" w:cs="Arial" w:eastAsia="Arial" w:hAnsi="Arial"/>
                <w:sz w:val="18"/>
                <w:szCs w:val="18"/>
                <w:color w:val="auto"/>
                <w:w w:val="99"/>
              </w:rPr>
            </w:pPr>
            <w:hyperlink r:id="rId107">
              <w:r>
                <w:rPr>
                  <w:rFonts w:ascii="Arial" w:cs="Arial" w:eastAsia="Arial" w:hAnsi="Arial"/>
                  <w:sz w:val="18"/>
                  <w:szCs w:val="18"/>
                  <w:color w:val="auto"/>
                  <w:w w:val="99"/>
                </w:rPr>
                <w:t>Fourth Amendment to Second Amended and Restated Limited Liability Company Agreement of Centennial</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FN 32</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r:id="rId107">
              <w:r>
                <w:rPr>
                  <w:rFonts w:ascii="Arial" w:cs="Arial" w:eastAsia="Arial" w:hAnsi="Arial"/>
                  <w:sz w:val="18"/>
                  <w:szCs w:val="18"/>
                  <w:color w:val="auto"/>
                </w:rPr>
                <w:t>Founders, LLC</w:t>
              </w:r>
            </w:hyperlink>
          </w:p>
        </w:tc>
        <w:tc>
          <w:tcPr>
            <w:tcW w:w="1400" w:type="dxa"/>
            <w:vAlign w:val="bottom"/>
          </w:tcPr>
          <w:p>
            <w:pPr>
              <w:spacing w:after="0"/>
              <w:rPr>
                <w:sz w:val="19"/>
                <w:szCs w:val="19"/>
                <w:color w:val="auto"/>
              </w:rPr>
            </w:pP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8580" w:type="dxa"/>
            <w:vAlign w:val="bottom"/>
          </w:tcPr>
          <w:p>
            <w:pPr>
              <w:ind w:left="80"/>
              <w:spacing w:after="0"/>
              <w:rPr>
                <w:rFonts w:ascii="Arial" w:cs="Arial" w:eastAsia="Arial" w:hAnsi="Arial"/>
                <w:sz w:val="18"/>
                <w:szCs w:val="18"/>
                <w:color w:val="auto"/>
              </w:rPr>
            </w:pPr>
            <w:hyperlink r:id="rId108">
              <w:r>
                <w:rPr>
                  <w:rFonts w:ascii="Arial" w:cs="Arial" w:eastAsia="Arial" w:hAnsi="Arial"/>
                  <w:sz w:val="18"/>
                  <w:szCs w:val="18"/>
                  <w:color w:val="auto"/>
                </w:rPr>
                <w:t>Centennial Founders, LLC Redemption and Withdrawal Agreement - CalAtlantic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33</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8580" w:type="dxa"/>
            <w:vAlign w:val="bottom"/>
          </w:tcPr>
          <w:p>
            <w:pPr>
              <w:ind w:left="80"/>
              <w:spacing w:after="0"/>
              <w:rPr>
                <w:rFonts w:ascii="Arial" w:cs="Arial" w:eastAsia="Arial" w:hAnsi="Arial"/>
                <w:sz w:val="18"/>
                <w:szCs w:val="18"/>
                <w:color w:val="auto"/>
              </w:rPr>
            </w:pPr>
            <w:hyperlink r:id="rId109">
              <w:r>
                <w:rPr>
                  <w:rFonts w:ascii="Arial" w:cs="Arial" w:eastAsia="Arial" w:hAnsi="Arial"/>
                  <w:sz w:val="18"/>
                  <w:szCs w:val="18"/>
                  <w:color w:val="auto"/>
                </w:rPr>
                <w:t>Amended Revolving Line of Credit</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34</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8580" w:type="dxa"/>
            <w:vAlign w:val="bottom"/>
          </w:tcPr>
          <w:p>
            <w:pPr>
              <w:ind w:left="80"/>
              <w:spacing w:after="0"/>
              <w:rPr>
                <w:rFonts w:ascii="Arial" w:cs="Arial" w:eastAsia="Arial" w:hAnsi="Arial"/>
                <w:sz w:val="18"/>
                <w:szCs w:val="18"/>
                <w:color w:val="auto"/>
              </w:rPr>
            </w:pPr>
            <w:hyperlink r:id="rId110">
              <w:r>
                <w:rPr>
                  <w:rFonts w:ascii="Arial" w:cs="Arial" w:eastAsia="Arial" w:hAnsi="Arial"/>
                  <w:sz w:val="18"/>
                  <w:szCs w:val="18"/>
                  <w:color w:val="auto"/>
                </w:rPr>
                <w:t>Amended Term Note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35</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10.47</w:t>
            </w:r>
          </w:p>
        </w:tc>
        <w:tc>
          <w:tcPr>
            <w:tcW w:w="8580" w:type="dxa"/>
            <w:vAlign w:val="bottom"/>
          </w:tcPr>
          <w:p>
            <w:pPr>
              <w:ind w:left="80"/>
              <w:spacing w:after="0"/>
              <w:rPr>
                <w:rFonts w:ascii="Arial" w:cs="Arial" w:eastAsia="Arial" w:hAnsi="Arial"/>
                <w:sz w:val="18"/>
                <w:szCs w:val="18"/>
                <w:color w:val="auto"/>
              </w:rPr>
            </w:pPr>
            <w:hyperlink r:id="rId111">
              <w:r>
                <w:rPr>
                  <w:rFonts w:ascii="Arial" w:cs="Arial" w:eastAsia="Arial" w:hAnsi="Arial"/>
                  <w:sz w:val="18"/>
                  <w:szCs w:val="18"/>
                  <w:color w:val="auto"/>
                </w:rPr>
                <w:t>*Executive Officer Severance Agreement - Gregory S. Bielli</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38</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8580" w:type="dxa"/>
            <w:vAlign w:val="bottom"/>
          </w:tcPr>
          <w:p>
            <w:pPr>
              <w:ind w:left="80"/>
              <w:spacing w:after="0"/>
              <w:rPr>
                <w:rFonts w:ascii="Arial" w:cs="Arial" w:eastAsia="Arial" w:hAnsi="Arial"/>
                <w:sz w:val="18"/>
                <w:szCs w:val="18"/>
                <w:color w:val="auto"/>
              </w:rPr>
            </w:pPr>
            <w:hyperlink r:id="rId112">
              <w:r>
                <w:rPr>
                  <w:rFonts w:ascii="Arial" w:cs="Arial" w:eastAsia="Arial" w:hAnsi="Arial"/>
                  <w:sz w:val="18"/>
                  <w:szCs w:val="18"/>
                  <w:color w:val="auto"/>
                </w:rPr>
                <w:t>Letter dated March 19, 2019 from Ernst &amp; Young LLP to the Securities and Exchange Commission</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36</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8580" w:type="dxa"/>
            <w:vAlign w:val="bottom"/>
          </w:tcPr>
          <w:p>
            <w:pPr>
              <w:ind w:left="80"/>
              <w:spacing w:after="0"/>
              <w:rPr>
                <w:rFonts w:ascii="Arial" w:cs="Arial" w:eastAsia="Arial" w:hAnsi="Arial"/>
                <w:sz w:val="18"/>
                <w:szCs w:val="18"/>
                <w:color w:val="auto"/>
              </w:rPr>
            </w:pPr>
            <w:hyperlink w:anchor="page61">
              <w:r>
                <w:rPr>
                  <w:rFonts w:ascii="Arial" w:cs="Arial" w:eastAsia="Arial" w:hAnsi="Arial"/>
                  <w:sz w:val="18"/>
                  <w:szCs w:val="18"/>
                  <w:color w:val="auto"/>
                </w:rPr>
                <w:t>Certification as adopted pursuant to Section 302 of the Sarbanes-Oxley Act of 2002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8580" w:type="dxa"/>
            <w:vAlign w:val="bottom"/>
          </w:tcPr>
          <w:p>
            <w:pPr>
              <w:ind w:left="80"/>
              <w:spacing w:after="0"/>
              <w:rPr>
                <w:rFonts w:ascii="Arial" w:cs="Arial" w:eastAsia="Arial" w:hAnsi="Arial"/>
                <w:sz w:val="18"/>
                <w:szCs w:val="18"/>
                <w:color w:val="auto"/>
              </w:rPr>
            </w:pPr>
            <w:hyperlink w:anchor="page62">
              <w:r>
                <w:rPr>
                  <w:rFonts w:ascii="Arial" w:cs="Arial" w:eastAsia="Arial" w:hAnsi="Arial"/>
                  <w:sz w:val="18"/>
                  <w:szCs w:val="18"/>
                  <w:color w:val="auto"/>
                </w:rPr>
                <w:t>Certification Pursuant to Section 302 of the Sarbanes-Oxley Act of 2002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32</w:t>
            </w:r>
          </w:p>
        </w:tc>
        <w:tc>
          <w:tcPr>
            <w:tcW w:w="8580" w:type="dxa"/>
            <w:vAlign w:val="bottom"/>
          </w:tcPr>
          <w:p>
            <w:pPr>
              <w:ind w:left="80"/>
              <w:spacing w:after="0" w:line="176" w:lineRule="exact"/>
              <w:rPr>
                <w:rFonts w:ascii="Arial" w:cs="Arial" w:eastAsia="Arial" w:hAnsi="Arial"/>
                <w:sz w:val="18"/>
                <w:szCs w:val="18"/>
                <w:color w:val="auto"/>
                <w:w w:val="94"/>
              </w:rPr>
            </w:pPr>
            <w:hyperlink w:anchor="page63">
              <w:r>
                <w:rPr>
                  <w:rFonts w:ascii="Arial" w:cs="Arial" w:eastAsia="Arial" w:hAnsi="Arial"/>
                  <w:sz w:val="18"/>
                  <w:szCs w:val="18"/>
                  <w:color w:val="auto"/>
                  <w:w w:val="94"/>
                </w:rPr>
                <w:t>Certification Pursuant to 18 U.S.C. Section 1350, as Adopted Pursuant to Section 906 of the Sarbanes-Oxley Act</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w:anchor="page63">
              <w:r>
                <w:rPr>
                  <w:rFonts w:ascii="Arial" w:cs="Arial" w:eastAsia="Arial" w:hAnsi="Arial"/>
                  <w:sz w:val="18"/>
                  <w:szCs w:val="18"/>
                  <w:color w:val="auto"/>
                </w:rPr>
                <w:t>of 2002</w:t>
              </w:r>
            </w:hyperlink>
          </w:p>
        </w:tc>
        <w:tc>
          <w:tcPr>
            <w:tcW w:w="1400" w:type="dxa"/>
            <w:vAlign w:val="bottom"/>
          </w:tcPr>
          <w:p>
            <w:pPr>
              <w:spacing w:after="0"/>
              <w:rPr>
                <w:sz w:val="19"/>
                <w:szCs w:val="19"/>
                <w:color w:val="auto"/>
              </w:rPr>
            </w:pPr>
          </w:p>
        </w:tc>
      </w:tr>
      <w:tr>
        <w:trPr>
          <w:trHeight w:val="176"/>
        </w:trPr>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101.INS</w:t>
            </w:r>
          </w:p>
        </w:tc>
        <w:tc>
          <w:tcPr>
            <w:tcW w:w="8580" w:type="dxa"/>
            <w:vAlign w:val="bottom"/>
          </w:tcPr>
          <w:p>
            <w:pPr>
              <w:ind w:left="80"/>
              <w:spacing w:after="0" w:line="176"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w:t>
            </w: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c>
          <w:tcPr>
            <w:tcW w:w="1400" w:type="dxa"/>
            <w:vAlign w:val="bottom"/>
          </w:tcPr>
          <w:p>
            <w:pPr>
              <w:spacing w:after="0"/>
              <w:rPr>
                <w:sz w:val="19"/>
                <w:szCs w:val="19"/>
                <w:color w:val="auto"/>
              </w:rPr>
            </w:pPr>
          </w:p>
        </w:tc>
      </w:tr>
      <w:tr>
        <w:trPr>
          <w:trHeight w:val="229"/>
        </w:trPr>
        <w:tc>
          <w:tcPr>
            <w:tcW w:w="74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ind w:left="1020" w:right="3400" w:hanging="179"/>
        <w:spacing w:after="0" w:line="292" w:lineRule="auto"/>
        <w:tabs>
          <w:tab w:leader="none" w:pos="12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compensatory plan or arrangement.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ind w:left="20"/>
              <w:spacing w:after="0"/>
              <w:rPr>
                <w:sz w:val="20"/>
                <w:szCs w:val="20"/>
                <w:color w:val="auto"/>
              </w:rPr>
            </w:pPr>
            <w:r>
              <w:rPr>
                <w:rFonts w:ascii="Arial" w:cs="Arial" w:eastAsia="Arial" w:hAnsi="Arial"/>
                <w:sz w:val="18"/>
                <w:szCs w:val="18"/>
                <w:color w:val="auto"/>
              </w:rPr>
              <w:t>FN 1</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99.1 to our</w:t>
            </w:r>
          </w:p>
        </w:tc>
      </w:tr>
      <w:tr>
        <w:trPr>
          <w:trHeight w:val="175"/>
        </w:trPr>
        <w:tc>
          <w:tcPr>
            <w:tcW w:w="760" w:type="dxa"/>
            <w:vAlign w:val="bottom"/>
          </w:tcPr>
          <w:p>
            <w:pPr>
              <w:spacing w:after="0"/>
              <w:rPr>
                <w:sz w:val="15"/>
                <w:szCs w:val="15"/>
                <w:color w:val="auto"/>
              </w:rPr>
            </w:pP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6"/>
              </w:rPr>
              <w:t>Current Report on Form 8-K filed May 26, 2020, is incorporated herein by reference. This Exhibit was not filed with the Securities and</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Exchange Commission in an electronic format.</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2</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99.1 to our</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May 26, 2020, is incorporated herein by 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5</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as Exhibit 4.1 to our Current</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December 20, 2005, is incorporated herein by 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6</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under Item 14 to our Annual</w:t>
            </w:r>
          </w:p>
        </w:tc>
      </w:tr>
      <w:tr>
        <w:trPr>
          <w:trHeight w:val="175"/>
        </w:trPr>
        <w:tc>
          <w:tcPr>
            <w:tcW w:w="760" w:type="dxa"/>
            <w:vAlign w:val="bottom"/>
          </w:tcPr>
          <w:p>
            <w:pPr>
              <w:spacing w:after="0"/>
              <w:rPr>
                <w:sz w:val="15"/>
                <w:szCs w:val="15"/>
                <w:color w:val="auto"/>
              </w:rPr>
            </w:pP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7"/>
              </w:rPr>
              <w:t>Report on Form 10-K for the year ended December 31, 1994, is incorporated herein by reference. This Exhibit was not filed with the</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Securities and Exchange Commission in an electronic format.</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7</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under Item 14 to our Annual</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1997, is incorporated herein by 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8</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10.9 to our</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2008, is incorporated herein by 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9</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10.10 to our</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2008, is incorporated herein by 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10</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10.16 to our</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2001, is incorporated herein by 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11</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as Exhibit 4.1 to our Current</w:t>
            </w:r>
          </w:p>
        </w:tc>
      </w:tr>
      <w:tr>
        <w:trPr>
          <w:trHeight w:val="229"/>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May 7, 2004, is incorporated herein by reference.</w:t>
            </w: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FN 12</w:t>
            </w:r>
          </w:p>
        </w:tc>
        <w:tc>
          <w:tcPr>
            <w:tcW w:w="10480" w:type="dxa"/>
            <w:vAlign w:val="bottom"/>
          </w:tcPr>
          <w:p>
            <w:pPr>
              <w:ind w:left="26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as Exhibit 4.2 to our Current</w:t>
            </w:r>
          </w:p>
        </w:tc>
      </w:tr>
      <w:tr>
        <w:trPr>
          <w:trHeight w:val="230"/>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May 7, 2004, is incorporated herein by reference.</w:t>
            </w:r>
          </w:p>
        </w:tc>
      </w:tr>
      <w:tr>
        <w:trPr>
          <w:trHeight w:val="863"/>
        </w:trPr>
        <w:tc>
          <w:tcPr>
            <w:tcW w:w="760" w:type="dxa"/>
            <w:vAlign w:val="bottom"/>
          </w:tcPr>
          <w:p>
            <w:pPr>
              <w:spacing w:after="0"/>
              <w:rPr>
                <w:sz w:val="24"/>
                <w:szCs w:val="24"/>
                <w:color w:val="auto"/>
              </w:rPr>
            </w:pPr>
          </w:p>
        </w:tc>
        <w:tc>
          <w:tcPr>
            <w:tcW w:w="10480" w:type="dxa"/>
            <w:vAlign w:val="bottom"/>
          </w:tcPr>
          <w:p>
            <w:pPr>
              <w:ind w:left="4780"/>
              <w:spacing w:after="0"/>
              <w:rPr>
                <w:sz w:val="20"/>
                <w:szCs w:val="20"/>
                <w:color w:val="auto"/>
              </w:rPr>
            </w:pPr>
            <w:r>
              <w:rPr>
                <w:rFonts w:ascii="Arial" w:cs="Arial" w:eastAsia="Arial" w:hAnsi="Arial"/>
                <w:sz w:val="18"/>
                <w:szCs w:val="18"/>
                <w:color w:val="auto"/>
              </w:rPr>
              <w:t>57</w:t>
            </w:r>
          </w:p>
        </w:tc>
      </w:tr>
      <w:tr>
        <w:trPr>
          <w:trHeight w:val="115"/>
        </w:trPr>
        <w:tc>
          <w:tcPr>
            <w:tcW w:w="760" w:type="dxa"/>
            <w:vAlign w:val="bottom"/>
            <w:tcBorders>
              <w:bottom w:val="single" w:sz="8" w:color="9A9A9A"/>
            </w:tcBorders>
          </w:tcPr>
          <w:p>
            <w:pPr>
              <w:spacing w:after="0"/>
              <w:rPr>
                <w:sz w:val="10"/>
                <w:szCs w:val="10"/>
                <w:color w:val="auto"/>
              </w:rPr>
            </w:pPr>
          </w:p>
        </w:tc>
        <w:tc>
          <w:tcPr>
            <w:tcW w:w="10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7" w:name="page58"/>
    <w:bookmarkEnd w:id="57"/>
    <w:p>
      <w:pPr>
        <w:ind w:left="780" w:hanging="998"/>
        <w:spacing w:after="0" w:line="235" w:lineRule="auto"/>
        <w:tabs>
          <w:tab w:leader="none" w:pos="760" w:val="left"/>
        </w:tabs>
        <w:rPr>
          <w:sz w:val="20"/>
          <w:szCs w:val="20"/>
          <w:color w:val="auto"/>
        </w:rPr>
      </w:pPr>
      <w:r>
        <w:rPr>
          <w:rFonts w:ascii="Arial" w:cs="Arial" w:eastAsia="Arial" w:hAnsi="Arial"/>
          <w:sz w:val="18"/>
          <w:szCs w:val="18"/>
          <w:color w:val="auto"/>
        </w:rPr>
        <w:t>FN 13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Exhibits 10.21-10.23 to our Annual Report on Form 10-K for the year ended December 31, 2004, is incorporated herein by reference.</w:t>
      </w: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14</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10.24 to our Current Report on Form 8-K filed on May 24, 2006,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15</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10.28 to our Current Report on Form 8-K filed on June 23, 2008,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16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10.25 to our Quarterly Report on Form 10-Q for the period ended June 30, 2009, is incorporated herein by reference.</w:t>
      </w:r>
    </w:p>
    <w:p>
      <w:pPr>
        <w:spacing w:after="0" w:line="1" w:lineRule="exact"/>
        <w:rPr>
          <w:sz w:val="20"/>
          <w:szCs w:val="20"/>
          <w:color w:val="auto"/>
        </w:rPr>
      </w:pPr>
    </w:p>
    <w:p>
      <w:pPr>
        <w:ind w:left="780" w:right="260" w:hanging="998"/>
        <w:spacing w:after="0" w:line="264" w:lineRule="auto"/>
        <w:tabs>
          <w:tab w:leader="none" w:pos="760" w:val="left"/>
        </w:tabs>
        <w:rPr>
          <w:sz w:val="20"/>
          <w:szCs w:val="20"/>
          <w:color w:val="auto"/>
        </w:rPr>
      </w:pPr>
      <w:r>
        <w:rPr>
          <w:rFonts w:ascii="Arial" w:cs="Arial" w:eastAsia="Arial" w:hAnsi="Arial"/>
          <w:sz w:val="18"/>
          <w:szCs w:val="18"/>
          <w:color w:val="auto"/>
        </w:rPr>
        <w:t>FN 17</w:t>
      </w:r>
      <w:r>
        <w:rPr>
          <w:sz w:val="20"/>
          <w:szCs w:val="20"/>
          <w:color w:val="auto"/>
        </w:rPr>
        <w:tab/>
      </w:r>
      <w:r>
        <w:rPr>
          <w:rFonts w:ascii="Arial" w:cs="Arial" w:eastAsia="Arial" w:hAnsi="Arial"/>
          <w:sz w:val="16"/>
          <w:szCs w:val="16"/>
          <w:color w:val="auto"/>
        </w:rPr>
        <w:t>This document, filed with the Securities and Exchange Commission in Washington, D.C. (file number 1-07183) as Exhibit 10.26 to our Quarterly Report on Form 10-Q filed on May 8, 2013, for the period ending March 31, 2013, is incorporated herein by reference.</w:t>
      </w: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18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10.27 to our Current Report on Form 8-K filed on June 4, 2013, is incorporated herein by reference.</w:t>
      </w:r>
    </w:p>
    <w:p>
      <w:pPr>
        <w:spacing w:after="0" w:line="1" w:lineRule="exact"/>
        <w:rPr>
          <w:sz w:val="20"/>
          <w:szCs w:val="20"/>
          <w:color w:val="auto"/>
        </w:rPr>
      </w:pPr>
    </w:p>
    <w:p>
      <w:pPr>
        <w:ind w:left="780" w:right="340" w:hanging="998"/>
        <w:spacing w:after="0" w:line="234" w:lineRule="auto"/>
        <w:tabs>
          <w:tab w:leader="none" w:pos="760" w:val="left"/>
        </w:tabs>
        <w:rPr>
          <w:sz w:val="20"/>
          <w:szCs w:val="20"/>
          <w:color w:val="auto"/>
        </w:rPr>
      </w:pPr>
      <w:r>
        <w:rPr>
          <w:rFonts w:ascii="Arial" w:cs="Arial" w:eastAsia="Arial" w:hAnsi="Arial"/>
          <w:sz w:val="18"/>
          <w:szCs w:val="18"/>
          <w:color w:val="auto"/>
        </w:rPr>
        <w:t>FN 19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10.1 to our Current Report on Form 8-K filed on August 8, 2013, is incorporated herein by reference.</w:t>
      </w:r>
    </w:p>
    <w:p>
      <w:pPr>
        <w:spacing w:after="0" w:line="1" w:lineRule="exact"/>
        <w:rPr>
          <w:sz w:val="20"/>
          <w:szCs w:val="20"/>
          <w:color w:val="auto"/>
        </w:rPr>
      </w:pPr>
    </w:p>
    <w:p>
      <w:pPr>
        <w:ind w:left="780" w:right="260" w:hanging="998"/>
        <w:spacing w:after="0" w:line="248" w:lineRule="auto"/>
        <w:tabs>
          <w:tab w:leader="none" w:pos="760" w:val="left"/>
        </w:tabs>
        <w:rPr>
          <w:sz w:val="20"/>
          <w:szCs w:val="20"/>
          <w:color w:val="auto"/>
        </w:rPr>
      </w:pPr>
      <w:r>
        <w:rPr>
          <w:rFonts w:ascii="Arial" w:cs="Arial" w:eastAsia="Arial" w:hAnsi="Arial"/>
          <w:sz w:val="18"/>
          <w:szCs w:val="18"/>
          <w:color w:val="auto"/>
        </w:rPr>
        <w:t>FN 20</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10.29 to our Amended Annual Report on Form 10-K/A for the year ended December 31, 2013,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21</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10.30 to our Current Report on Form 8-K filed on July 16, 2014, is incorporated herein by reference.</w:t>
      </w:r>
    </w:p>
    <w:p>
      <w:pPr>
        <w:spacing w:after="0" w:line="1" w:lineRule="exact"/>
        <w:rPr>
          <w:sz w:val="20"/>
          <w:szCs w:val="20"/>
          <w:color w:val="auto"/>
        </w:rPr>
      </w:pPr>
    </w:p>
    <w:p>
      <w:pPr>
        <w:ind w:left="780" w:hanging="998"/>
        <w:spacing w:after="0" w:line="234" w:lineRule="auto"/>
        <w:tabs>
          <w:tab w:leader="none" w:pos="760" w:val="left"/>
        </w:tabs>
        <w:rPr>
          <w:sz w:val="20"/>
          <w:szCs w:val="20"/>
          <w:color w:val="auto"/>
        </w:rPr>
      </w:pPr>
      <w:r>
        <w:rPr>
          <w:rFonts w:ascii="Arial" w:cs="Arial" w:eastAsia="Arial" w:hAnsi="Arial"/>
          <w:sz w:val="18"/>
          <w:szCs w:val="18"/>
          <w:color w:val="auto"/>
        </w:rPr>
        <w:t>FN 22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Exhibits 10.31-10.33 to our Current Report on Form 8-K filed on October 17, 2014,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23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10.34 to our Annual Report on Form 10-K for the year ended December 31, 2014,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24</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10.35 to our Quarterly Report on Form 10-Q for the period ended June 30, 2015,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26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10.37 to our Quarterly Report on Form 10-Q for the period ended June 30, 2016, is incorporated herein by reference.</w:t>
      </w:r>
    </w:p>
    <w:p>
      <w:pPr>
        <w:spacing w:after="0" w:line="1" w:lineRule="exact"/>
        <w:rPr>
          <w:sz w:val="20"/>
          <w:szCs w:val="20"/>
          <w:color w:val="auto"/>
        </w:rPr>
      </w:pPr>
    </w:p>
    <w:p>
      <w:pPr>
        <w:ind w:left="780" w:right="260" w:hanging="998"/>
        <w:spacing w:after="0" w:line="248" w:lineRule="auto"/>
        <w:tabs>
          <w:tab w:leader="none" w:pos="760" w:val="left"/>
        </w:tabs>
        <w:rPr>
          <w:sz w:val="20"/>
          <w:szCs w:val="20"/>
          <w:color w:val="auto"/>
        </w:rPr>
      </w:pPr>
      <w:r>
        <w:rPr>
          <w:rFonts w:ascii="Arial" w:cs="Arial" w:eastAsia="Arial" w:hAnsi="Arial"/>
          <w:sz w:val="18"/>
          <w:szCs w:val="18"/>
          <w:color w:val="auto"/>
        </w:rPr>
        <w:t>FN 27</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10.38 to our Quarterly Report on Form 10-Q for the period ended September 30, 2016,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28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10.39 to our Annual Report on Form 10-K for the year ended December 31, 2016,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29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10.40 to our Annual Report on Form 10-K for the year ended December 31, 2016,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30</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10.41 to our Annual Report on Form 10-K for the year ended December 31, 2016, is incorporated herein by reference.</w:t>
      </w:r>
    </w:p>
    <w:p>
      <w:pPr>
        <w:spacing w:after="0" w:line="1" w:lineRule="exact"/>
        <w:rPr>
          <w:sz w:val="20"/>
          <w:szCs w:val="20"/>
          <w:color w:val="auto"/>
        </w:rPr>
      </w:pPr>
    </w:p>
    <w:p>
      <w:pPr>
        <w:ind w:left="780" w:right="260" w:hanging="998"/>
        <w:spacing w:after="0" w:line="248" w:lineRule="auto"/>
        <w:tabs>
          <w:tab w:leader="none" w:pos="760" w:val="left"/>
        </w:tabs>
        <w:rPr>
          <w:sz w:val="20"/>
          <w:szCs w:val="20"/>
          <w:color w:val="auto"/>
        </w:rPr>
      </w:pPr>
      <w:r>
        <w:rPr>
          <w:rFonts w:ascii="Arial" w:cs="Arial" w:eastAsia="Arial" w:hAnsi="Arial"/>
          <w:sz w:val="18"/>
          <w:szCs w:val="18"/>
          <w:color w:val="auto"/>
        </w:rPr>
        <w:t>FN 31</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10.42 to our Quarterly Report on Form 10-Q for the period ended September 30, 2018,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32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10.43 to our Annual Report on Form 10-K for the year ended December 31, 2018, is incorporated herein by reference.</w:t>
      </w:r>
    </w:p>
    <w:p>
      <w:pPr>
        <w:spacing w:after="0" w:line="1" w:lineRule="exact"/>
        <w:rPr>
          <w:sz w:val="20"/>
          <w:szCs w:val="20"/>
          <w:color w:val="auto"/>
        </w:rPr>
      </w:pPr>
    </w:p>
    <w:p>
      <w:pPr>
        <w:ind w:left="780" w:right="260" w:hanging="998"/>
        <w:spacing w:after="0" w:line="234" w:lineRule="auto"/>
        <w:tabs>
          <w:tab w:leader="none" w:pos="760" w:val="left"/>
        </w:tabs>
        <w:rPr>
          <w:sz w:val="20"/>
          <w:szCs w:val="20"/>
          <w:color w:val="auto"/>
        </w:rPr>
      </w:pPr>
      <w:r>
        <w:rPr>
          <w:rFonts w:ascii="Arial" w:cs="Arial" w:eastAsia="Arial" w:hAnsi="Arial"/>
          <w:sz w:val="18"/>
          <w:szCs w:val="18"/>
          <w:color w:val="auto"/>
        </w:rPr>
        <w:t>FN 33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10.44 to our Annual Report on Form 10-K for the year ended December 31, 2018, is incorporated herein by reference.</w:t>
      </w:r>
    </w:p>
    <w:p>
      <w:pPr>
        <w:spacing w:after="0" w:line="1" w:lineRule="exact"/>
        <w:rPr>
          <w:sz w:val="20"/>
          <w:szCs w:val="20"/>
          <w:color w:val="auto"/>
        </w:rPr>
      </w:pPr>
    </w:p>
    <w:p>
      <w:pPr>
        <w:ind w:left="780" w:right="260" w:hanging="998"/>
        <w:spacing w:after="0" w:line="257" w:lineRule="auto"/>
        <w:tabs>
          <w:tab w:leader="none" w:pos="760" w:val="left"/>
        </w:tabs>
        <w:rPr>
          <w:sz w:val="20"/>
          <w:szCs w:val="20"/>
          <w:color w:val="auto"/>
        </w:rPr>
      </w:pPr>
      <w:r>
        <w:rPr>
          <w:rFonts w:ascii="Arial" w:cs="Arial" w:eastAsia="Arial" w:hAnsi="Arial"/>
          <w:sz w:val="18"/>
          <w:szCs w:val="18"/>
          <w:color w:val="auto"/>
        </w:rPr>
        <w:t>FN 34</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10.45 to our Quarterly Report on Form 10-Q for the period ending September 30, 2019,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60" w:top="1030" w:right="559" w:bottom="1440" w:gutter="0" w:footer="0" w:header="0"/>
        </w:sectPr>
      </w:pPr>
    </w:p>
    <w:bookmarkStart w:id="58" w:name="page59"/>
    <w:bookmarkEnd w:id="58"/>
    <w:p>
      <w:pPr>
        <w:ind w:left="540" w:right="100" w:hanging="957"/>
        <w:spacing w:after="0" w:line="249" w:lineRule="auto"/>
        <w:tabs>
          <w:tab w:leader="none" w:pos="520" w:val="left"/>
        </w:tabs>
        <w:rPr>
          <w:sz w:val="20"/>
          <w:szCs w:val="20"/>
          <w:color w:val="auto"/>
        </w:rPr>
      </w:pPr>
      <w:r>
        <w:rPr>
          <w:rFonts w:ascii="Arial" w:cs="Arial" w:eastAsia="Arial" w:hAnsi="Arial"/>
          <w:sz w:val="18"/>
          <w:szCs w:val="18"/>
          <w:color w:val="auto"/>
        </w:rPr>
        <w:t>FN 35</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10.46 to our Quarterly Report on Form 10-Q for the period ending September 30, 2019, is incorporated herein by reference.</w:t>
      </w:r>
    </w:p>
    <w:p>
      <w:pPr>
        <w:ind w:left="540" w:right="180" w:hanging="957"/>
        <w:spacing w:after="0" w:line="234" w:lineRule="auto"/>
        <w:tabs>
          <w:tab w:leader="none" w:pos="520" w:val="left"/>
        </w:tabs>
        <w:rPr>
          <w:sz w:val="20"/>
          <w:szCs w:val="20"/>
          <w:color w:val="auto"/>
        </w:rPr>
      </w:pPr>
      <w:r>
        <w:rPr>
          <w:rFonts w:ascii="Arial" w:cs="Arial" w:eastAsia="Arial" w:hAnsi="Arial"/>
          <w:sz w:val="18"/>
          <w:szCs w:val="18"/>
          <w:color w:val="auto"/>
        </w:rPr>
        <w:t>FN 36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99.1 to our Current Report on Form 8-K filed on March 21, 2019, is incorporated herein by reference.</w:t>
      </w:r>
    </w:p>
    <w:p>
      <w:pPr>
        <w:spacing w:after="0" w:line="1" w:lineRule="exact"/>
        <w:rPr>
          <w:sz w:val="20"/>
          <w:szCs w:val="20"/>
          <w:color w:val="auto"/>
        </w:rPr>
      </w:pPr>
    </w:p>
    <w:p>
      <w:pPr>
        <w:ind w:left="540" w:hanging="957"/>
        <w:spacing w:after="0" w:line="234" w:lineRule="auto"/>
        <w:tabs>
          <w:tab w:leader="none" w:pos="520" w:val="left"/>
        </w:tabs>
        <w:rPr>
          <w:sz w:val="20"/>
          <w:szCs w:val="20"/>
          <w:color w:val="auto"/>
        </w:rPr>
      </w:pPr>
      <w:r>
        <w:rPr>
          <w:rFonts w:ascii="Arial" w:cs="Arial" w:eastAsia="Arial" w:hAnsi="Arial"/>
          <w:sz w:val="18"/>
          <w:szCs w:val="18"/>
          <w:color w:val="auto"/>
        </w:rPr>
        <w:t>FN 37</w:t>
      </w:r>
      <w:r>
        <w:rPr>
          <w:sz w:val="20"/>
          <w:szCs w:val="20"/>
          <w:color w:val="auto"/>
        </w:rPr>
        <w:tab/>
      </w:r>
      <w:r>
        <w:rPr>
          <w:rFonts w:ascii="Arial" w:cs="Arial" w:eastAsia="Arial" w:hAnsi="Arial"/>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1" w:lineRule="exact"/>
        <w:rPr>
          <w:sz w:val="20"/>
          <w:szCs w:val="20"/>
          <w:color w:val="auto"/>
        </w:rPr>
      </w:pPr>
    </w:p>
    <w:p>
      <w:pPr>
        <w:ind w:left="540" w:right="100" w:hanging="957"/>
        <w:spacing w:after="0" w:line="234" w:lineRule="auto"/>
        <w:tabs>
          <w:tab w:leader="none" w:pos="520" w:val="left"/>
        </w:tabs>
        <w:rPr>
          <w:sz w:val="20"/>
          <w:szCs w:val="20"/>
          <w:color w:val="auto"/>
        </w:rPr>
      </w:pPr>
      <w:r>
        <w:rPr>
          <w:rFonts w:ascii="Arial" w:cs="Arial" w:eastAsia="Arial" w:hAnsi="Arial"/>
          <w:sz w:val="18"/>
          <w:szCs w:val="18"/>
          <w:color w:val="auto"/>
        </w:rPr>
        <w:t>FN 38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10.47 to our Annual Report on Form 10-K for the year ended December 31, 2019,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760" w:top="1030" w:right="7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TEJON RANCH CO.</w:t>
            </w:r>
          </w:p>
        </w:tc>
      </w:tr>
      <w:tr>
        <w:trPr>
          <w:trHeight w:val="74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November 3, 2020</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tcPr>
          <w:p>
            <w:pPr>
              <w:ind w:left="100"/>
              <w:spacing w:after="0"/>
              <w:rPr>
                <w:sz w:val="20"/>
                <w:szCs w:val="20"/>
                <w:color w:val="auto"/>
              </w:rPr>
            </w:pPr>
            <w:r>
              <w:rPr>
                <w:rFonts w:ascii="Arial" w:cs="Arial" w:eastAsia="Arial" w:hAnsi="Arial"/>
                <w:sz w:val="18"/>
                <w:szCs w:val="18"/>
                <w:color w:val="auto"/>
              </w:rPr>
              <w:t>Gregory S. Bielli</w:t>
            </w:r>
          </w:p>
        </w:tc>
      </w:tr>
      <w:tr>
        <w:trPr>
          <w:trHeight w:val="222"/>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620" w:type="dxa"/>
            <w:vAlign w:val="bottom"/>
          </w:tcPr>
          <w:p>
            <w:pPr>
              <w:spacing w:after="0"/>
              <w:rPr>
                <w:sz w:val="19"/>
                <w:szCs w:val="19"/>
                <w:color w:val="auto"/>
              </w:rPr>
            </w:pPr>
          </w:p>
        </w:tc>
        <w:tc>
          <w:tcPr>
            <w:tcW w:w="5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Gregory S. Bielli</w:t>
            </w:r>
          </w:p>
        </w:tc>
      </w:tr>
      <w:tr>
        <w:trPr>
          <w:trHeight w:val="229"/>
        </w:trPr>
        <w:tc>
          <w:tcPr>
            <w:tcW w:w="29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November 3, 2020</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tcPr>
          <w:p>
            <w:pPr>
              <w:ind w:left="100"/>
              <w:spacing w:after="0"/>
              <w:rPr>
                <w:sz w:val="20"/>
                <w:szCs w:val="20"/>
                <w:color w:val="auto"/>
              </w:rPr>
            </w:pPr>
            <w:r>
              <w:rPr>
                <w:rFonts w:ascii="Arial" w:cs="Arial" w:eastAsia="Arial" w:hAnsi="Arial"/>
                <w:sz w:val="18"/>
                <w:szCs w:val="18"/>
                <w:color w:val="auto"/>
              </w:rPr>
              <w:t>Robert D. Velasquez</w:t>
            </w:r>
          </w:p>
        </w:tc>
      </w:tr>
      <w:tr>
        <w:trPr>
          <w:trHeight w:val="222"/>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620" w:type="dxa"/>
            <w:vAlign w:val="bottom"/>
          </w:tcPr>
          <w:p>
            <w:pPr>
              <w:spacing w:after="0"/>
              <w:rPr>
                <w:sz w:val="19"/>
                <w:szCs w:val="19"/>
                <w:color w:val="auto"/>
              </w:rPr>
            </w:pPr>
          </w:p>
        </w:tc>
        <w:tc>
          <w:tcPr>
            <w:tcW w:w="5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Robert D. Velasquez</w:t>
            </w:r>
          </w:p>
        </w:tc>
      </w:tr>
      <w:tr>
        <w:trPr>
          <w:trHeight w:val="229"/>
        </w:trPr>
        <w:tc>
          <w:tcPr>
            <w:tcW w:w="29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Senior Vice President of Finance and Chief Financial Officer</w:t>
            </w:r>
          </w:p>
        </w:tc>
      </w:tr>
      <w:tr>
        <w:trPr>
          <w:trHeight w:val="230"/>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891" w:right="3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Dated:   November 3, 2020</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S. Bielli</w:t>
            </w:r>
          </w:p>
        </w:tc>
      </w:tr>
      <w:tr>
        <w:trPr>
          <w:trHeight w:val="222"/>
        </w:trPr>
        <w:tc>
          <w:tcPr>
            <w:tcW w:w="5920" w:type="dxa"/>
            <w:vAlign w:val="bottom"/>
          </w:tcPr>
          <w:p>
            <w:pPr>
              <w:spacing w:after="0"/>
              <w:rPr>
                <w:sz w:val="19"/>
                <w:szCs w:val="19"/>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Gregory S. Bielli</w:t>
            </w:r>
          </w:p>
        </w:tc>
      </w:tr>
      <w:tr>
        <w:trPr>
          <w:trHeight w:val="230"/>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20"/>
          </w:cols>
          <w:pgMar w:left="320" w:top="891" w:right="3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Dated:   November 3, 2020</w:t>
            </w:r>
          </w:p>
        </w:tc>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D. Velasquez</w:t>
            </w:r>
          </w:p>
        </w:tc>
      </w:tr>
      <w:tr>
        <w:trPr>
          <w:trHeight w:val="222"/>
        </w:trPr>
        <w:tc>
          <w:tcPr>
            <w:tcW w:w="4240" w:type="dxa"/>
            <w:vAlign w:val="bottom"/>
          </w:tcPr>
          <w:p>
            <w:pPr>
              <w:spacing w:after="0"/>
              <w:rPr>
                <w:sz w:val="19"/>
                <w:szCs w:val="19"/>
                <w:color w:val="auto"/>
              </w:rPr>
            </w:pPr>
          </w:p>
        </w:tc>
        <w:tc>
          <w:tcPr>
            <w:tcW w:w="6960" w:type="dxa"/>
            <w:vAlign w:val="bottom"/>
          </w:tcPr>
          <w:p>
            <w:pPr>
              <w:ind w:left="900"/>
              <w:spacing w:after="0"/>
              <w:rPr>
                <w:sz w:val="20"/>
                <w:szCs w:val="20"/>
                <w:color w:val="auto"/>
              </w:rPr>
            </w:pPr>
            <w:r>
              <w:rPr>
                <w:rFonts w:ascii="Arial" w:cs="Arial" w:eastAsia="Arial" w:hAnsi="Arial"/>
                <w:sz w:val="18"/>
                <w:szCs w:val="18"/>
                <w:color w:val="auto"/>
              </w:rPr>
              <w:t>Robert D. Velasquez</w:t>
            </w:r>
          </w:p>
        </w:tc>
      </w:tr>
      <w:tr>
        <w:trPr>
          <w:trHeight w:val="230"/>
        </w:trPr>
        <w:tc>
          <w:tcPr>
            <w:tcW w:w="4240" w:type="dxa"/>
            <w:vAlign w:val="bottom"/>
          </w:tcPr>
          <w:p>
            <w:pPr>
              <w:spacing w:after="0"/>
              <w:rPr>
                <w:sz w:val="20"/>
                <w:szCs w:val="20"/>
                <w:color w:val="auto"/>
              </w:rPr>
            </w:pPr>
          </w:p>
        </w:tc>
        <w:tc>
          <w:tcPr>
            <w:tcW w:w="6960" w:type="dxa"/>
            <w:vAlign w:val="bottom"/>
          </w:tcPr>
          <w:p>
            <w:pPr>
              <w:ind w:left="900"/>
              <w:spacing w:after="0"/>
              <w:rPr>
                <w:sz w:val="20"/>
                <w:szCs w:val="20"/>
                <w:color w:val="auto"/>
              </w:rPr>
            </w:pPr>
            <w:r>
              <w:rPr>
                <w:rFonts w:ascii="Arial" w:cs="Arial" w:eastAsia="Arial" w:hAnsi="Arial"/>
                <w:sz w:val="18"/>
                <w:szCs w:val="18"/>
                <w:color w:val="auto"/>
              </w:rPr>
              <w:t>Senior Vice President of Finance and Chief Financial Officer</w:t>
            </w:r>
          </w:p>
        </w:tc>
      </w:tr>
    </w:tbl>
    <w:p>
      <w:pPr>
        <w:sectPr>
          <w:pgSz w:w="11900" w:h="16838" w:orient="portrait"/>
          <w:cols w:equalWidth="0" w:num="1">
            <w:col w:w="11220"/>
          </w:cols>
          <w:pgMar w:left="320" w:top="891" w:right="359" w:bottom="1440" w:gutter="0" w:footer="0" w:header="0"/>
        </w:sectPr>
      </w:pPr>
    </w:p>
    <w:bookmarkStart w:id="62" w:name="page63"/>
    <w:bookmarkEnd w:id="62"/>
    <w:p>
      <w:pPr>
        <w:ind w:left="51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97" w:lineRule="exact"/>
        <w:rPr>
          <w:sz w:val="20"/>
          <w:szCs w:val="20"/>
          <w:color w:val="auto"/>
        </w:rPr>
      </w:pPr>
    </w:p>
    <w:p>
      <w:pPr>
        <w:ind w:left="660" w:right="720" w:hanging="328"/>
        <w:spacing w:after="0" w:line="258"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September 30, 2020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8" w:lineRule="exact"/>
        <w:rPr>
          <w:sz w:val="20"/>
          <w:szCs w:val="20"/>
          <w:color w:val="auto"/>
        </w:rPr>
      </w:pPr>
    </w:p>
    <w:p>
      <w:pPr>
        <w:ind w:left="20"/>
        <w:spacing w:after="0"/>
        <w:tabs>
          <w:tab w:leader="none" w:pos="3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3, 2020</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691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Bielli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69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D. Velasquez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of Finance and Chief Financial Officer</w:t>
      </w:r>
    </w:p>
    <w:sectPr>
      <w:pgSz w:w="11900" w:h="16838" w:orient="portrait"/>
      <w:cols w:equalWidth="0" w:num="1">
        <w:col w:w="11080"/>
      </w:cols>
      <w:pgMar w:left="320" w:top="89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bullet"/>
      <w:start w:val="1"/>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7"/>
    </w:lvl>
  </w:abstractNum>
  <w:abstractNum w:abstractNumId="6">
    <w:nsid w:val="721DA317"/>
    <w:multiLevelType w:val="hybridMultilevel"/>
    <w:lvl w:ilvl="0">
      <w:lvlJc w:val="left"/>
      <w:lvlText w:val="%1."/>
      <w:numFmt w:val="decimal"/>
      <w:start w:val="8"/>
    </w:lvl>
  </w:abstractNum>
  <w:abstractNum w:abstractNumId="7">
    <w:nsid w:val="2443A858"/>
    <w:multiLevelType w:val="hybridMultilevel"/>
    <w:lvl w:ilvl="0">
      <w:lvlJc w:val="left"/>
      <w:lvlText w:val="%1."/>
      <w:numFmt w:val="decimal"/>
      <w:start w:val="9"/>
    </w:lvl>
  </w:abstractNum>
  <w:abstractNum w:abstractNumId="8">
    <w:nsid w:val="2D1D5AE9"/>
    <w:multiLevelType w:val="hybridMultilevel"/>
    <w:lvl w:ilvl="0">
      <w:lvlJc w:val="left"/>
      <w:lvlText w:val="%1."/>
      <w:numFmt w:val="decimal"/>
      <w:start w:val="10"/>
    </w:lvl>
  </w:abstractNum>
  <w:abstractNum w:abstractNumId="9">
    <w:nsid w:val="6763845E"/>
    <w:multiLevelType w:val="hybridMultilevel"/>
    <w:lvl w:ilvl="0">
      <w:lvlJc w:val="left"/>
      <w:lvlText w:val="%1."/>
      <w:numFmt w:val="decimal"/>
      <w:start w:val="11"/>
    </w:lvl>
  </w:abstractNum>
  <w:abstractNum w:abstractNumId="10">
    <w:nsid w:val="75A2A8D4"/>
    <w:multiLevelType w:val="hybridMultilevel"/>
    <w:lvl w:ilvl="0">
      <w:lvlJc w:val="left"/>
      <w:lvlText w:val="%1."/>
      <w:numFmt w:val="decimal"/>
      <w:start w:val="12"/>
    </w:lvl>
  </w:abstractNum>
  <w:abstractNum w:abstractNumId="11">
    <w:nsid w:val="8EDBDAB"/>
    <w:multiLevelType w:val="hybridMultilevel"/>
    <w:lvl w:ilvl="0">
      <w:lvlJc w:val="left"/>
      <w:lvlText w:val="•"/>
      <w:numFmt w:val="bullet"/>
      <w:start w:val="1"/>
    </w:lvl>
    <w:lvl w:ilvl="1">
      <w:lvlJc w:val="left"/>
      <w:lvlText w:val="◦"/>
      <w:numFmt w:val="bullet"/>
      <w:start w:val="1"/>
    </w:lvl>
  </w:abstractNum>
  <w:abstractNum w:abstractNumId="12">
    <w:nsid w:val="79838C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4353D0CD"/>
    <w:multiLevelType w:val="hybridMultilevel"/>
    <w:lvl w:ilvl="0">
      <w:lvlJc w:val="left"/>
      <w:lvlText w:val="•"/>
      <w:numFmt w:val="bullet"/>
      <w:start w:val="1"/>
    </w:lvl>
    <w:lvl w:ilvl="1">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5"/>
    </w:lvl>
    <w:lvl w:ilvl="1">
      <w:lvlJc w:val="left"/>
      <w:lvlText w:val="***"/>
      <w:numFmt w:val="bullet"/>
      <w:start w:val="1"/>
    </w:lvl>
  </w:abstractNum>
  <w:abstractNum w:abstractNumId="17">
    <w:nsid w:val="71F32454"/>
    <w:multiLevelType w:val="hybridMultilevel"/>
    <w:lvl w:ilvl="0">
      <w:lvlJc w:val="left"/>
      <w:lvlText w:val="•"/>
      <w:numFmt w:val="bullet"/>
      <w:start w:val="1"/>
    </w:lvl>
    <w:lvl w:ilvl="1">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lvl w:ilvl="1">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1"/>
      <w:numFmt w:val="bullet"/>
      <w:start w:val="1"/>
    </w:lvl>
  </w:abstractNum>
  <w:abstractNum w:abstractNumId="27">
    <w:nsid w:val="22221A70"/>
    <w:multiLevelType w:val="hybridMultilevel"/>
    <w:lvl w:ilvl="0">
      <w:lvlJc w:val="left"/>
      <w:lvlText w:val="•"/>
      <w:numFmt w:val="bullet"/>
      <w:start w:val="1"/>
    </w:lvl>
    <w:lvl w:ilvl="1">
      <w:lvlJc w:val="left"/>
      <w:lvlText w:val="1"/>
      <w:numFmt w:val="bullet"/>
      <w:start w:val="1"/>
    </w:lvl>
  </w:abstractNum>
  <w:abstractNum w:abstractNumId="28">
    <w:nsid w:val="4516DDE9"/>
    <w:multiLevelType w:val="hybridMultilevel"/>
    <w:lvl w:ilvl="0">
      <w:lvlJc w:val="left"/>
      <w:lvlText w:val="•"/>
      <w:numFmt w:val="bullet"/>
      <w:start w:val="1"/>
    </w:lvl>
    <w:lvl w:ilvl="1">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2"/>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73" Type="http://schemas.openxmlformats.org/officeDocument/2006/relationships/hyperlink" Target="http://www.sec.gov/Archives/edgar/data/96869/000119312519119877/d718363dex41.htm" TargetMode="External"/><Relationship Id="rId74" Type="http://schemas.openxmlformats.org/officeDocument/2006/relationships/hyperlink" Target="http://www.sec.gov/Archives/edgar/data/96869/000119312517288540/d451235dex991.htm" TargetMode="External"/><Relationship Id="rId75" Type="http://schemas.openxmlformats.org/officeDocument/2006/relationships/hyperlink" Target="http://www.sec.gov/Archives/edgar/data/96869/000119312505245123/dex41.htm" TargetMode="External"/><Relationship Id="rId76" Type="http://schemas.openxmlformats.org/officeDocument/2006/relationships/hyperlink" Target="http://www.sec.gov/Archives/edgar/data/96869/000119312519119877/d718363dex46.htm" TargetMode="External"/><Relationship Id="rId77" Type="http://schemas.openxmlformats.org/officeDocument/2006/relationships/hyperlink" Target="http://www.sec.gov/Archives/edgar/data/96869/0000096869-98-000002.txt" TargetMode="External"/><Relationship Id="rId78" Type="http://schemas.openxmlformats.org/officeDocument/2006/relationships/hyperlink" Target="http://www.sec.gov/Archives/edgar/data/96869/000119312509042772/dex109.htm" TargetMode="External"/><Relationship Id="rId79" Type="http://schemas.openxmlformats.org/officeDocument/2006/relationships/hyperlink" Target="http://www.sec.gov/Archives/edgar/data/96869/000119312509042772/dex1010.htm" TargetMode="External"/><Relationship Id="rId80" Type="http://schemas.openxmlformats.org/officeDocument/2006/relationships/hyperlink" Target="http://www.sec.gov/Archives/edgar/data/96869/000102140802004535/dex1016.txt" TargetMode="External"/><Relationship Id="rId81" Type="http://schemas.openxmlformats.org/officeDocument/2006/relationships/hyperlink" Target="http://www.sec.gov/Archives/edgar/data/96869/000119312504082310/dex41.htm" TargetMode="External"/><Relationship Id="rId82" Type="http://schemas.openxmlformats.org/officeDocument/2006/relationships/hyperlink" Target="http://www.sec.gov/Archives/edgar/data/96869/000119312504082310/dex42.htm" TargetMode="External"/><Relationship Id="rId83" Type="http://schemas.openxmlformats.org/officeDocument/2006/relationships/hyperlink" Target="http://www.sec.gov/Archives/edgar/data/96869/000119312505051499/dex1021.htm" TargetMode="External"/><Relationship Id="rId84" Type="http://schemas.openxmlformats.org/officeDocument/2006/relationships/hyperlink" Target="http://www.sec.gov/Archives/edgar/data/96869/000119312505051499/dex1023.htm" TargetMode="External"/><Relationship Id="rId85" Type="http://schemas.openxmlformats.org/officeDocument/2006/relationships/hyperlink" Target="http://www.sec.gov/Archives/edgar/data/96869/000119312505051499/dex1022.htm" TargetMode="External"/><Relationship Id="rId86" Type="http://schemas.openxmlformats.org/officeDocument/2006/relationships/hyperlink" Target="http://www.sec.gov/Archives/edgar/data/96869/000119312506118520/dex1024.htm" TargetMode="External"/><Relationship Id="rId87" Type="http://schemas.openxmlformats.org/officeDocument/2006/relationships/hyperlink" Target="http://www.sec.gov/Archives/edgar/data/96869/000119312508138009/dex1028.htm" TargetMode="External"/><Relationship Id="rId88" Type="http://schemas.openxmlformats.org/officeDocument/2006/relationships/hyperlink" Target="http://www.sec.gov/Archives/edgar/data/96869/000119312509170594/dex1025.htm" TargetMode="External"/><Relationship Id="rId89" Type="http://schemas.openxmlformats.org/officeDocument/2006/relationships/hyperlink" Target="http://www.sec.gov/Archives/edgar/data/96869/000144530513001209/exhibit1026-execagreementa.htm" TargetMode="External"/><Relationship Id="rId90" Type="http://schemas.openxmlformats.org/officeDocument/2006/relationships/hyperlink" Target="http://www.sec.gov/Archives/edgar/data/96869/000119312513246605/d549609dex1027.htm" TargetMode="External"/><Relationship Id="rId91" Type="http://schemas.openxmlformats.org/officeDocument/2006/relationships/hyperlink" Target="http://www.sec.gov/Archives/edgar/data/96869/000119312513326495/d581835dex101.htm" TargetMode="External"/><Relationship Id="rId92" Type="http://schemas.openxmlformats.org/officeDocument/2006/relationships/hyperlink" Target="http://www.sec.gov/Archives/edgar/data/96869/000009686914000009/exhibit1029tmvamendments20.htm" TargetMode="External"/><Relationship Id="rId93" Type="http://schemas.openxmlformats.org/officeDocument/2006/relationships/hyperlink" Target="http://www.sec.gov/Archives/edgar/data/96869/000119312514270067/d758856dex1030.htm" TargetMode="External"/><Relationship Id="rId94" Type="http://schemas.openxmlformats.org/officeDocument/2006/relationships/hyperlink" Target="http://www.sec.gov/Archives/edgar/data/96869/000119312514375013/d806135dex1031.htm" TargetMode="External"/><Relationship Id="rId95" Type="http://schemas.openxmlformats.org/officeDocument/2006/relationships/hyperlink" Target="http://www.sec.gov/Archives/edgar/data/96869/000119312514375013/d806135dex1032.htm" TargetMode="External"/><Relationship Id="rId96" Type="http://schemas.openxmlformats.org/officeDocument/2006/relationships/hyperlink" Target="http://www.sec.gov/Archives/edgar/data/96869/000119312514375013/d806135dex1033.htm" TargetMode="External"/><Relationship Id="rId97" Type="http://schemas.openxmlformats.org/officeDocument/2006/relationships/hyperlink" Target="http://www.sec.gov/Archives/edgar/data/96869/000009686915000003/exhibit1034calpineagreemen.htm" TargetMode="External"/><Relationship Id="rId98" Type="http://schemas.openxmlformats.org/officeDocument/2006/relationships/hyperlink" Target="http://www.sec.gov/Archives/edgar/data/96869/000009686915000010/ex1035q32015.htm" TargetMode="External"/><Relationship Id="rId99" Type="http://schemas.openxmlformats.org/officeDocument/2006/relationships/hyperlink" Target="http://www.sec.gov/Archives/edgar/data/96869/000009686916000017/ex1037limitedliabilityagre.htm" TargetMode="External"/><Relationship Id="rId100" Type="http://schemas.openxmlformats.org/officeDocument/2006/relationships/hyperlink" Target="http://www.sec.gov/Archives/edgar/data/96869/000009686916000019/ex1038llagreementoftrc-mrc1.htm" TargetMode="External"/><Relationship Id="rId101" Type="http://schemas.openxmlformats.org/officeDocument/2006/relationships/hyperlink" Target="http://www.sec.gov/Archives/edgar/data/96869/000009686917000002/exhibit1039centennialredem.htm" TargetMode="External"/><Relationship Id="rId104" Type="http://schemas.openxmlformats.org/officeDocument/2006/relationships/hyperlink" Target="http://www.sec.gov/Archives/edgar/data/96869/000009686917000002/exhibit1040firstamendmentt.htm" TargetMode="External"/><Relationship Id="rId105" Type="http://schemas.openxmlformats.org/officeDocument/2006/relationships/hyperlink" Target="http://www.sec.gov/Archives/edgar/data/96869/000009686917000002/exhibit1041secondamendment.htm" TargetMode="External"/><Relationship Id="rId106" Type="http://schemas.openxmlformats.org/officeDocument/2006/relationships/hyperlink" Target="http://www.sec.gov/Archives/edgar/data/96869/000009686918000015/ex1042trcmrc3llc.htm" TargetMode="External"/><Relationship Id="rId107" Type="http://schemas.openxmlformats.org/officeDocument/2006/relationships/hyperlink" Target="http://www.sec.gov/Archives/edgar/data/96869/000009686919000004/exhibit1043201810k.htm" TargetMode="External"/><Relationship Id="rId108" Type="http://schemas.openxmlformats.org/officeDocument/2006/relationships/hyperlink" Target="http://www.sec.gov/Archives/edgar/data/96869/000009686919000004/exhibit1044201810k.htm" TargetMode="External"/><Relationship Id="rId109" Type="http://schemas.openxmlformats.org/officeDocument/2006/relationships/hyperlink" Target="http://www.sec.gov/Archives/edgar/data/96869/000009686919000014/ex1046aloc.htm" TargetMode="External"/><Relationship Id="rId110" Type="http://schemas.openxmlformats.org/officeDocument/2006/relationships/hyperlink" Target="http://www.sec.gov/Archives/edgar/data/96869/000009686919000014/ex1045atn.htm" TargetMode="External"/><Relationship Id="rId111" Type="http://schemas.openxmlformats.org/officeDocument/2006/relationships/hyperlink" Target="http://www.sec.gov/Archives/edgar/data/96869/000009686920000007/exhibit1047-gregbseverance.htm" TargetMode="External"/><Relationship Id="rId112" Type="http://schemas.openxmlformats.org/officeDocument/2006/relationships/hyperlink" Target="http://www.sec.gov/Archives/edgar/data/96869/000119312519082018/d69508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2020-11-03T14:24:40Z</dcterms:created>
  <dcterms:modified xsi:type="dcterms:W3CDTF">2020-11-03T14:24:40Z</dcterms:modified>
</cp:coreProperties>
</file>