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11"/>
          <w:szCs w:val="11"/>
          <w:color w:val="auto"/>
        </w:rPr>
        <w:t>(Mark One)</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x </w:t>
      </w:r>
      <w:r>
        <w:rPr>
          <w:rFonts w:ascii="Arial" w:cs="Arial" w:eastAsia="Arial" w:hAnsi="Arial"/>
          <w:sz w:val="13"/>
          <w:szCs w:val="13"/>
          <w:b w:val="1"/>
          <w:bCs w:val="1"/>
          <w:color w:val="auto"/>
        </w:rPr>
        <w:t>ANNUAL REPORT PURSUANT TO SECTION 13 OR 15(d) OF THE SECURITIES EXCHANGE ACT OF 1934</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fiscal year ended December 31, 2019</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52" w:lineRule="exact"/>
        <w:rPr>
          <w:sz w:val="24"/>
          <w:szCs w:val="24"/>
          <w:color w:val="auto"/>
        </w:rPr>
      </w:pPr>
    </w:p>
    <w:p>
      <w:pPr>
        <w:ind w:left="2640" w:hanging="150"/>
        <w:spacing w:after="0"/>
        <w:tabs>
          <w:tab w:leader="none" w:pos="26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46" w:lineRule="exact"/>
        <w:rPr>
          <w:sz w:val="24"/>
          <w:szCs w:val="24"/>
          <w:color w:val="auto"/>
        </w:rPr>
      </w:pPr>
    </w:p>
    <w:p>
      <w:pPr>
        <w:ind w:left="3800"/>
        <w:spacing w:after="0"/>
        <w:tabs>
          <w:tab w:leader="none" w:pos="5640" w:val="left"/>
          <w:tab w:leader="none" w:pos="610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11"/>
          <w:szCs w:val="11"/>
          <w:b w:val="1"/>
          <w:bCs w:val="1"/>
          <w:color w:val="auto"/>
        </w:rPr>
        <w:t>to</w:t>
      </w:r>
      <w:r>
        <w:rPr>
          <w:sz w:val="20"/>
          <w:szCs w:val="20"/>
          <w:color w:val="auto"/>
        </w:rPr>
        <w:tab/>
      </w:r>
      <w:r>
        <w:rPr>
          <w:rFonts w:ascii="Arial" w:cs="Arial" w:eastAsia="Arial" w:hAnsi="Arial"/>
          <w:sz w:val="10"/>
          <w:szCs w:val="10"/>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3284855</wp:posOffset>
            </wp:positionH>
            <wp:positionV relativeFrom="paragraph">
              <wp:posOffset>18415</wp:posOffset>
            </wp:positionV>
            <wp:extent cx="572770" cy="572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2770" cy="572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TEJON RANCH CO.</w:t>
      </w:r>
    </w:p>
    <w:p>
      <w:pPr>
        <w:spacing w:after="0" w:line="59" w:lineRule="exact"/>
        <w:rPr>
          <w:sz w:val="24"/>
          <w:szCs w:val="24"/>
          <w:color w:val="auto"/>
        </w:rPr>
      </w:pPr>
    </w:p>
    <w:tbl>
      <w:tblPr>
        <w:tblLayout w:type="fixed"/>
        <w:tblInd w:w="820" w:type="dxa"/>
        <w:tblCellMar>
          <w:top w:w="0" w:type="dxa"/>
          <w:left w:w="0" w:type="dxa"/>
          <w:bottom w:w="0" w:type="dxa"/>
          <w:right w:w="0" w:type="dxa"/>
        </w:tblCellMar>
      </w:tblPr>
      <w:tr>
        <w:trPr>
          <w:trHeight w:val="184"/>
        </w:trPr>
        <w:tc>
          <w:tcPr>
            <w:tcW w:w="6380" w:type="dxa"/>
            <w:vAlign w:val="bottom"/>
          </w:tcPr>
          <w:p>
            <w:pPr>
              <w:ind w:left="3220"/>
              <w:spacing w:after="0"/>
              <w:rPr>
                <w:sz w:val="20"/>
                <w:szCs w:val="20"/>
                <w:color w:val="auto"/>
              </w:rPr>
            </w:pPr>
            <w:r>
              <w:rPr>
                <w:rFonts w:ascii="Arial" w:cs="Arial" w:eastAsia="Arial" w:hAnsi="Arial"/>
                <w:sz w:val="14"/>
                <w:szCs w:val="14"/>
                <w:b w:val="1"/>
                <w:bCs w:val="1"/>
                <w:color w:val="auto"/>
                <w:w w:val="91"/>
              </w:rPr>
              <w:t>(Exact name of registrant as specified in its charter)</w:t>
            </w:r>
          </w:p>
        </w:tc>
        <w:tc>
          <w:tcPr>
            <w:tcW w:w="3020" w:type="dxa"/>
            <w:vAlign w:val="bottom"/>
          </w:tcPr>
          <w:p>
            <w:pPr>
              <w:spacing w:after="0"/>
              <w:rPr>
                <w:sz w:val="16"/>
                <w:szCs w:val="16"/>
                <w:color w:val="auto"/>
              </w:rPr>
            </w:pPr>
          </w:p>
        </w:tc>
      </w:tr>
      <w:tr>
        <w:trPr>
          <w:trHeight w:val="212"/>
        </w:trPr>
        <w:tc>
          <w:tcPr>
            <w:tcW w:w="6380" w:type="dxa"/>
            <w:vAlign w:val="bottom"/>
          </w:tcPr>
          <w:p>
            <w:pPr>
              <w:jc w:val="center"/>
              <w:ind w:right="2929"/>
              <w:spacing w:after="0"/>
              <w:rPr>
                <w:sz w:val="20"/>
                <w:szCs w:val="20"/>
                <w:color w:val="auto"/>
              </w:rPr>
            </w:pPr>
            <w:r>
              <w:rPr>
                <w:rFonts w:ascii="Arial" w:cs="Arial" w:eastAsia="Arial" w:hAnsi="Arial"/>
                <w:sz w:val="14"/>
                <w:szCs w:val="14"/>
                <w:b w:val="1"/>
                <w:bCs w:val="1"/>
                <w:color w:val="auto"/>
                <w:w w:val="94"/>
              </w:rPr>
              <w:t>Delaware</w:t>
            </w:r>
          </w:p>
        </w:tc>
        <w:tc>
          <w:tcPr>
            <w:tcW w:w="3020" w:type="dxa"/>
            <w:vAlign w:val="bottom"/>
          </w:tcPr>
          <w:p>
            <w:pPr>
              <w:jc w:val="right"/>
              <w:ind w:right="1069"/>
              <w:spacing w:after="0"/>
              <w:rPr>
                <w:sz w:val="20"/>
                <w:szCs w:val="20"/>
                <w:color w:val="auto"/>
              </w:rPr>
            </w:pPr>
            <w:r>
              <w:rPr>
                <w:rFonts w:ascii="Arial" w:cs="Arial" w:eastAsia="Arial" w:hAnsi="Arial"/>
                <w:sz w:val="14"/>
                <w:szCs w:val="14"/>
                <w:b w:val="1"/>
                <w:bCs w:val="1"/>
                <w:color w:val="auto"/>
              </w:rPr>
              <w:t>77-0196136</w:t>
            </w:r>
          </w:p>
        </w:tc>
      </w:tr>
      <w:tr>
        <w:trPr>
          <w:trHeight w:val="212"/>
        </w:trPr>
        <w:tc>
          <w:tcPr>
            <w:tcW w:w="6380" w:type="dxa"/>
            <w:vAlign w:val="bottom"/>
          </w:tcPr>
          <w:p>
            <w:pPr>
              <w:jc w:val="center"/>
              <w:ind w:right="2929"/>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3020" w:type="dxa"/>
            <w:vAlign w:val="bottom"/>
          </w:tcPr>
          <w:p>
            <w:pPr>
              <w:jc w:val="center"/>
              <w:spacing w:after="0"/>
              <w:rPr>
                <w:sz w:val="20"/>
                <w:szCs w:val="20"/>
                <w:color w:val="auto"/>
              </w:rPr>
            </w:pPr>
            <w:r>
              <w:rPr>
                <w:rFonts w:ascii="Arial" w:cs="Arial" w:eastAsia="Arial" w:hAnsi="Arial"/>
                <w:sz w:val="14"/>
                <w:szCs w:val="14"/>
                <w:color w:val="auto"/>
                <w:w w:val="95"/>
              </w:rPr>
              <w:t>(I.R.S. Employer Identification No.)</w:t>
            </w:r>
          </w:p>
        </w:tc>
      </w:tr>
      <w:tr>
        <w:trPr>
          <w:trHeight w:val="308"/>
        </w:trPr>
        <w:tc>
          <w:tcPr>
            <w:tcW w:w="6380" w:type="dxa"/>
            <w:vAlign w:val="bottom"/>
          </w:tcPr>
          <w:p>
            <w:pPr>
              <w:jc w:val="center"/>
              <w:ind w:right="2929"/>
              <w:spacing w:after="0"/>
              <w:rPr>
                <w:sz w:val="20"/>
                <w:szCs w:val="20"/>
                <w:color w:val="auto"/>
              </w:rPr>
            </w:pPr>
            <w:r>
              <w:rPr>
                <w:rFonts w:ascii="Arial" w:cs="Arial" w:eastAsia="Arial" w:hAnsi="Arial"/>
                <w:sz w:val="14"/>
                <w:szCs w:val="14"/>
                <w:b w:val="1"/>
                <w:bCs w:val="1"/>
                <w:color w:val="auto"/>
                <w:w w:val="92"/>
              </w:rPr>
              <w:t>P.O. Box 1000, Tejon Ranch, California 93243</w:t>
            </w:r>
          </w:p>
        </w:tc>
        <w:tc>
          <w:tcPr>
            <w:tcW w:w="3020" w:type="dxa"/>
            <w:vAlign w:val="bottom"/>
          </w:tcPr>
          <w:p>
            <w:pPr>
              <w:jc w:val="right"/>
              <w:ind w:right="969"/>
              <w:spacing w:after="0"/>
              <w:rPr>
                <w:sz w:val="20"/>
                <w:szCs w:val="20"/>
                <w:color w:val="auto"/>
              </w:rPr>
            </w:pPr>
            <w:r>
              <w:rPr>
                <w:rFonts w:ascii="Arial" w:cs="Arial" w:eastAsia="Arial" w:hAnsi="Arial"/>
                <w:sz w:val="14"/>
                <w:szCs w:val="14"/>
                <w:b w:val="1"/>
                <w:bCs w:val="1"/>
                <w:color w:val="auto"/>
              </w:rPr>
              <w:t>(661) 248-3000</w:t>
            </w:r>
          </w:p>
        </w:tc>
      </w:tr>
      <w:tr>
        <w:trPr>
          <w:trHeight w:val="212"/>
        </w:trPr>
        <w:tc>
          <w:tcPr>
            <w:tcW w:w="6380" w:type="dxa"/>
            <w:vAlign w:val="bottom"/>
          </w:tcPr>
          <w:p>
            <w:pPr>
              <w:jc w:val="center"/>
              <w:ind w:right="2929"/>
              <w:spacing w:after="0"/>
              <w:rPr>
                <w:sz w:val="20"/>
                <w:szCs w:val="20"/>
                <w:color w:val="auto"/>
              </w:rPr>
            </w:pPr>
            <w:r>
              <w:rPr>
                <w:rFonts w:ascii="Arial" w:cs="Arial" w:eastAsia="Arial" w:hAnsi="Arial"/>
                <w:sz w:val="14"/>
                <w:szCs w:val="14"/>
                <w:color w:val="auto"/>
                <w:w w:val="93"/>
              </w:rPr>
              <w:t>(Address of principal executive offices) (Zip Code)</w:t>
            </w:r>
          </w:p>
        </w:tc>
        <w:tc>
          <w:tcPr>
            <w:tcW w:w="3020" w:type="dxa"/>
            <w:vAlign w:val="bottom"/>
          </w:tcPr>
          <w:p>
            <w:pPr>
              <w:jc w:val="center"/>
              <w:spacing w:after="0"/>
              <w:rPr>
                <w:sz w:val="20"/>
                <w:szCs w:val="20"/>
                <w:color w:val="auto"/>
              </w:rPr>
            </w:pPr>
            <w:r>
              <w:rPr>
                <w:rFonts w:ascii="Arial" w:cs="Arial" w:eastAsia="Arial" w:hAnsi="Arial"/>
                <w:sz w:val="14"/>
                <w:szCs w:val="14"/>
                <w:color w:val="auto"/>
                <w:w w:val="90"/>
              </w:rPr>
              <w:t>(Registrant’s telephone number, including area code)</w:t>
            </w:r>
          </w:p>
        </w:tc>
      </w:tr>
    </w:tbl>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ind w:left="360"/>
              <w:spacing w:after="0"/>
              <w:rPr>
                <w:sz w:val="20"/>
                <w:szCs w:val="20"/>
                <w:color w:val="auto"/>
              </w:rPr>
            </w:pPr>
            <w:r>
              <w:rPr>
                <w:rFonts w:ascii="Arial" w:cs="Arial" w:eastAsia="Arial" w:hAnsi="Arial"/>
                <w:sz w:val="14"/>
                <w:szCs w:val="14"/>
                <w:b w:val="1"/>
                <w:bCs w:val="1"/>
                <w:color w:val="auto"/>
              </w:rPr>
              <w:t>Trading</w:t>
            </w:r>
          </w:p>
        </w:tc>
        <w:tc>
          <w:tcPr>
            <w:tcW w:w="4680" w:type="dxa"/>
            <w:vAlign w:val="bottom"/>
          </w:tcPr>
          <w:p>
            <w:pPr>
              <w:spacing w:after="0"/>
              <w:rPr>
                <w:sz w:val="14"/>
                <w:szCs w:val="14"/>
                <w:color w:val="auto"/>
              </w:rPr>
            </w:pPr>
          </w:p>
        </w:tc>
      </w:tr>
      <w:tr>
        <w:trPr>
          <w:trHeight w:val="184"/>
        </w:trPr>
        <w:tc>
          <w:tcPr>
            <w:tcW w:w="60" w:type="dxa"/>
            <w:vAlign w:val="bottom"/>
          </w:tcPr>
          <w:p>
            <w:pPr>
              <w:spacing w:after="0"/>
              <w:rPr>
                <w:sz w:val="16"/>
                <w:szCs w:val="16"/>
                <w:color w:val="auto"/>
              </w:rPr>
            </w:pPr>
          </w:p>
        </w:tc>
        <w:tc>
          <w:tcPr>
            <w:tcW w:w="3340" w:type="dxa"/>
            <w:vAlign w:val="bottom"/>
          </w:tcPr>
          <w:p>
            <w:pPr>
              <w:jc w:val="center"/>
              <w:ind w:left="1489"/>
              <w:spacing w:after="0"/>
              <w:rPr>
                <w:sz w:val="20"/>
                <w:szCs w:val="20"/>
                <w:color w:val="auto"/>
              </w:rPr>
            </w:pPr>
            <w:r>
              <w:rPr>
                <w:rFonts w:ascii="Arial" w:cs="Arial" w:eastAsia="Arial" w:hAnsi="Arial"/>
                <w:sz w:val="14"/>
                <w:szCs w:val="14"/>
                <w:b w:val="1"/>
                <w:bCs w:val="1"/>
                <w:color w:val="auto"/>
                <w:w w:val="91"/>
              </w:rPr>
              <w:t>Title of Each Class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Symbol(s)</w:t>
            </w:r>
          </w:p>
        </w:tc>
        <w:tc>
          <w:tcPr>
            <w:tcW w:w="4680" w:type="dxa"/>
            <w:vAlign w:val="bottom"/>
          </w:tcPr>
          <w:p>
            <w:pPr>
              <w:jc w:val="center"/>
              <w:ind w:right="153"/>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2"/>
        </w:trPr>
        <w:tc>
          <w:tcPr>
            <w:tcW w:w="6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3340" w:type="dxa"/>
            <w:vAlign w:val="bottom"/>
          </w:tcPr>
          <w:p>
            <w:pPr>
              <w:jc w:val="center"/>
              <w:ind w:left="1489"/>
              <w:spacing w:after="0"/>
              <w:rPr>
                <w:sz w:val="20"/>
                <w:szCs w:val="20"/>
                <w:color w:val="auto"/>
              </w:rPr>
            </w:pPr>
            <w:r>
              <w:rPr>
                <w:rFonts w:ascii="Arial" w:cs="Arial" w:eastAsia="Arial" w:hAnsi="Arial"/>
                <w:sz w:val="14"/>
                <w:szCs w:val="14"/>
                <w:color w:val="auto"/>
                <w:w w:val="94"/>
              </w:rPr>
              <w:t>Common Stock</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4"/>
                <w:szCs w:val="14"/>
                <w:color w:val="auto"/>
                <w:w w:val="97"/>
              </w:rPr>
              <w:t>TRC</w:t>
            </w:r>
          </w:p>
        </w:tc>
        <w:tc>
          <w:tcPr>
            <w:tcW w:w="4680" w:type="dxa"/>
            <w:vAlign w:val="bottom"/>
          </w:tcPr>
          <w:p>
            <w:pPr>
              <w:jc w:val="center"/>
              <w:ind w:right="153"/>
              <w:spacing w:after="0"/>
              <w:rPr>
                <w:sz w:val="20"/>
                <w:szCs w:val="20"/>
                <w:color w:val="auto"/>
              </w:rPr>
            </w:pPr>
            <w:r>
              <w:rPr>
                <w:rFonts w:ascii="Arial" w:cs="Arial" w:eastAsia="Arial" w:hAnsi="Arial"/>
                <w:sz w:val="14"/>
                <w:szCs w:val="14"/>
                <w:color w:val="auto"/>
                <w:w w:val="92"/>
              </w:rPr>
              <w:t>New York Stock Exchange</w:t>
            </w:r>
          </w:p>
        </w:tc>
      </w:tr>
      <w:tr>
        <w:trPr>
          <w:trHeight w:val="308"/>
        </w:trPr>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780" w:type="dxa"/>
            <w:vAlign w:val="bottom"/>
            <w:gridSpan w:val="6"/>
          </w:tcPr>
          <w:p>
            <w:pPr>
              <w:jc w:val="center"/>
              <w:ind w:right="3273"/>
              <w:spacing w:after="0"/>
              <w:rPr>
                <w:sz w:val="20"/>
                <w:szCs w:val="20"/>
                <w:color w:val="auto"/>
              </w:rPr>
            </w:pPr>
            <w:r>
              <w:rPr>
                <w:rFonts w:ascii="Arial" w:cs="Arial" w:eastAsia="Arial" w:hAnsi="Arial"/>
                <w:sz w:val="14"/>
                <w:szCs w:val="14"/>
                <w:b w:val="1"/>
                <w:bCs w:val="1"/>
                <w:color w:val="auto"/>
                <w:w w:val="89"/>
              </w:rPr>
              <w:t>Securities registered pursuant to Section 12(g) of the Act: None</w:t>
            </w:r>
          </w:p>
        </w:tc>
      </w:tr>
      <w:tr>
        <w:trPr>
          <w:trHeight w:val="318"/>
        </w:trPr>
        <w:tc>
          <w:tcPr>
            <w:tcW w:w="6500" w:type="dxa"/>
            <w:vAlign w:val="bottom"/>
            <w:gridSpan w:val="7"/>
          </w:tcPr>
          <w:p>
            <w:pPr>
              <w:spacing w:after="0" w:line="150" w:lineRule="exact"/>
              <w:rPr>
                <w:sz w:val="20"/>
                <w:szCs w:val="20"/>
                <w:color w:val="auto"/>
              </w:rPr>
            </w:pPr>
            <w:r>
              <w:rPr>
                <w:rFonts w:ascii="Arial" w:cs="Arial" w:eastAsia="Arial" w:hAnsi="Arial"/>
                <w:sz w:val="13"/>
                <w:szCs w:val="13"/>
                <w:color w:val="auto"/>
                <w:w w:val="90"/>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0"/>
              </w:rPr>
              <w:t>☐</w:t>
            </w:r>
          </w:p>
        </w:tc>
        <w:tc>
          <w:tcPr>
            <w:tcW w:w="4680" w:type="dxa"/>
            <w:vAlign w:val="bottom"/>
          </w:tcPr>
          <w:p>
            <w:pPr>
              <w:spacing w:after="0"/>
              <w:rPr>
                <w:sz w:val="20"/>
                <w:szCs w:val="20"/>
                <w:color w:val="auto"/>
              </w:rPr>
            </w:pPr>
            <w:r>
              <w:rPr>
                <w:rFonts w:ascii="Arial" w:cs="Arial" w:eastAsia="Arial" w:hAnsi="Arial"/>
                <w:sz w:val="13"/>
                <w:szCs w:val="13"/>
                <w:color w:val="auto"/>
              </w:rPr>
              <w:t>No x</w:t>
            </w:r>
          </w:p>
        </w:tc>
      </w:tr>
      <w:tr>
        <w:trPr>
          <w:trHeight w:val="244"/>
        </w:trPr>
        <w:tc>
          <w:tcPr>
            <w:tcW w:w="6500" w:type="dxa"/>
            <w:vAlign w:val="bottom"/>
            <w:gridSpan w:val="7"/>
          </w:tcPr>
          <w:p>
            <w:pPr>
              <w:spacing w:after="0" w:line="150" w:lineRule="exact"/>
              <w:rPr>
                <w:sz w:val="20"/>
                <w:szCs w:val="20"/>
                <w:color w:val="auto"/>
              </w:rPr>
            </w:pPr>
            <w:r>
              <w:rPr>
                <w:rFonts w:ascii="Arial" w:cs="Arial" w:eastAsia="Arial" w:hAnsi="Arial"/>
                <w:sz w:val="13"/>
                <w:szCs w:val="13"/>
                <w:color w:val="auto"/>
                <w:w w:val="89"/>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w w:val="89"/>
              </w:rPr>
              <w:t>☐</w:t>
            </w:r>
          </w:p>
        </w:tc>
        <w:tc>
          <w:tcPr>
            <w:tcW w:w="4680" w:type="dxa"/>
            <w:vAlign w:val="bottom"/>
          </w:tcPr>
          <w:p>
            <w:pPr>
              <w:ind w:left="120"/>
              <w:spacing w:after="0"/>
              <w:rPr>
                <w:sz w:val="20"/>
                <w:szCs w:val="20"/>
                <w:color w:val="auto"/>
              </w:rPr>
            </w:pPr>
            <w:r>
              <w:rPr>
                <w:rFonts w:ascii="Arial" w:cs="Arial" w:eastAsia="Arial" w:hAnsi="Arial"/>
                <w:sz w:val="13"/>
                <w:szCs w:val="13"/>
                <w:color w:val="auto"/>
              </w:rPr>
              <w:t>No x</w:t>
            </w:r>
          </w:p>
        </w:tc>
      </w:tr>
    </w:tbl>
    <w:p>
      <w:pPr>
        <w:spacing w:after="0" w:line="69" w:lineRule="exact"/>
        <w:rPr>
          <w:sz w:val="24"/>
          <w:szCs w:val="24"/>
          <w:color w:val="auto"/>
        </w:rPr>
      </w:pPr>
    </w:p>
    <w:p>
      <w:pPr>
        <w:jc w:val="both"/>
        <w:ind w:right="4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69" w:lineRule="exact"/>
        <w:rPr>
          <w:sz w:val="24"/>
          <w:szCs w:val="24"/>
          <w:color w:val="auto"/>
        </w:rPr>
      </w:pPr>
    </w:p>
    <w:p>
      <w:pPr>
        <w:ind w:right="6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69" w:lineRule="exact"/>
        <w:rPr>
          <w:sz w:val="24"/>
          <w:szCs w:val="24"/>
          <w:color w:val="auto"/>
        </w:rPr>
      </w:pPr>
    </w:p>
    <w:p>
      <w:pPr>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1920" w:type="dxa"/>
        <w:tblCellMar>
          <w:top w:w="0" w:type="dxa"/>
          <w:left w:w="0" w:type="dxa"/>
          <w:bottom w:w="0" w:type="dxa"/>
          <w:right w:w="0" w:type="dxa"/>
        </w:tblCellMar>
      </w:tblPr>
      <w:tr>
        <w:trPr>
          <w:trHeight w:val="200"/>
        </w:trPr>
        <w:tc>
          <w:tcPr>
            <w:tcW w:w="15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8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120" w:type="dxa"/>
            <w:vAlign w:val="bottom"/>
          </w:tcPr>
          <w:p>
            <w:pPr>
              <w:ind w:left="1300"/>
              <w:spacing w:after="0"/>
              <w:rPr>
                <w:sz w:val="20"/>
                <w:szCs w:val="20"/>
                <w:color w:val="auto"/>
              </w:rPr>
            </w:pPr>
            <w:r>
              <w:rPr>
                <w:rFonts w:ascii="Arial" w:cs="Arial" w:eastAsia="Arial" w:hAnsi="Arial"/>
                <w:sz w:val="13"/>
                <w:szCs w:val="13"/>
                <w:color w:val="auto"/>
              </w:rPr>
              <w:t>Accelerated filer</w:t>
            </w:r>
          </w:p>
        </w:tc>
        <w:tc>
          <w:tcPr>
            <w:tcW w:w="540" w:type="dxa"/>
            <w:vAlign w:val="bottom"/>
          </w:tcPr>
          <w:p>
            <w:pPr>
              <w:ind w:left="440"/>
              <w:spacing w:after="0"/>
              <w:rPr>
                <w:sz w:val="20"/>
                <w:szCs w:val="20"/>
                <w:color w:val="auto"/>
              </w:rPr>
            </w:pPr>
            <w:r>
              <w:rPr>
                <w:rFonts w:ascii="Arial" w:cs="Arial" w:eastAsia="Arial" w:hAnsi="Arial"/>
                <w:sz w:val="13"/>
                <w:szCs w:val="13"/>
                <w:color w:val="auto"/>
              </w:rPr>
              <w:t>x</w:t>
            </w:r>
          </w:p>
        </w:tc>
      </w:tr>
      <w:tr>
        <w:trPr>
          <w:trHeight w:val="212"/>
        </w:trPr>
        <w:tc>
          <w:tcPr>
            <w:tcW w:w="1540" w:type="dxa"/>
            <w:vAlign w:val="bottom"/>
          </w:tcPr>
          <w:p>
            <w:pPr>
              <w:spacing w:after="0"/>
              <w:rPr>
                <w:sz w:val="20"/>
                <w:szCs w:val="20"/>
                <w:color w:val="auto"/>
              </w:rPr>
            </w:pPr>
            <w:r>
              <w:rPr>
                <w:rFonts w:ascii="Arial" w:cs="Arial" w:eastAsia="Arial" w:hAnsi="Arial"/>
                <w:sz w:val="13"/>
                <w:szCs w:val="13"/>
                <w:color w:val="auto"/>
              </w:rPr>
              <w:t>Non-accelerated filer</w:t>
            </w:r>
          </w:p>
        </w:tc>
        <w:tc>
          <w:tcPr>
            <w:tcW w:w="18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3120" w:type="dxa"/>
            <w:vAlign w:val="bottom"/>
          </w:tcPr>
          <w:p>
            <w:pPr>
              <w:ind w:left="1300"/>
              <w:spacing w:after="0"/>
              <w:rPr>
                <w:sz w:val="20"/>
                <w:szCs w:val="20"/>
                <w:color w:val="auto"/>
              </w:rPr>
            </w:pPr>
            <w:r>
              <w:rPr>
                <w:rFonts w:ascii="Arial" w:cs="Arial" w:eastAsia="Arial" w:hAnsi="Arial"/>
                <w:sz w:val="13"/>
                <w:szCs w:val="13"/>
                <w:color w:val="auto"/>
              </w:rPr>
              <w:t>Smaller reporting company</w:t>
            </w:r>
          </w:p>
        </w:tc>
        <w:tc>
          <w:tcPr>
            <w:tcW w:w="540" w:type="dxa"/>
            <w:vAlign w:val="bottom"/>
          </w:tcPr>
          <w:p>
            <w:pPr>
              <w:ind w:left="440"/>
              <w:spacing w:after="0"/>
              <w:rPr>
                <w:sz w:val="20"/>
                <w:szCs w:val="20"/>
                <w:color w:val="auto"/>
              </w:rPr>
            </w:pPr>
            <w:r>
              <w:rPr>
                <w:rFonts w:ascii="Arial" w:cs="Arial" w:eastAsia="Arial" w:hAnsi="Arial"/>
                <w:sz w:val="13"/>
                <w:szCs w:val="13"/>
                <w:color w:val="auto"/>
              </w:rPr>
              <w:t>x</w:t>
            </w:r>
          </w:p>
        </w:tc>
      </w:tr>
      <w:tr>
        <w:trPr>
          <w:trHeight w:val="212"/>
        </w:trPr>
        <w:tc>
          <w:tcPr>
            <w:tcW w:w="1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20" w:type="dxa"/>
            <w:vAlign w:val="bottom"/>
          </w:tcPr>
          <w:p>
            <w:pPr>
              <w:ind w:left="1300"/>
              <w:spacing w:after="0"/>
              <w:rPr>
                <w:sz w:val="20"/>
                <w:szCs w:val="20"/>
                <w:color w:val="auto"/>
              </w:rPr>
            </w:pPr>
            <w:r>
              <w:rPr>
                <w:rFonts w:ascii="Arial" w:cs="Arial" w:eastAsia="Arial" w:hAnsi="Arial"/>
                <w:sz w:val="13"/>
                <w:szCs w:val="13"/>
                <w:color w:val="auto"/>
              </w:rPr>
              <w:t>Emerging growth company</w:t>
            </w:r>
          </w:p>
        </w:tc>
        <w:tc>
          <w:tcPr>
            <w:tcW w:w="540" w:type="dxa"/>
            <w:vAlign w:val="bottom"/>
          </w:tcPr>
          <w:p>
            <w:pPr>
              <w:ind w:left="4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6" w:lineRule="exact"/>
        <w:rPr>
          <w:sz w:val="24"/>
          <w:szCs w:val="24"/>
          <w:color w:val="auto"/>
        </w:rPr>
      </w:pPr>
    </w:p>
    <w:p>
      <w:pPr>
        <w:ind w:right="18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29" w:lineRule="exact"/>
        <w:rPr>
          <w:sz w:val="24"/>
          <w:szCs w:val="24"/>
          <w:color w:val="auto"/>
        </w:rPr>
      </w:pPr>
    </w:p>
    <w:p>
      <w:pPr>
        <w:spacing w:after="0" w:line="150" w:lineRule="exact"/>
        <w:tabs>
          <w:tab w:leader="none" w:pos="630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No x</w:t>
      </w:r>
    </w:p>
    <w:p>
      <w:pPr>
        <w:spacing w:after="0" w:line="140" w:lineRule="exact"/>
        <w:rPr>
          <w:sz w:val="24"/>
          <w:szCs w:val="24"/>
          <w:color w:val="auto"/>
        </w:rPr>
      </w:pPr>
    </w:p>
    <w:p>
      <w:pPr>
        <w:ind w:right="20"/>
        <w:spacing w:after="0" w:line="274" w:lineRule="auto"/>
        <w:rPr>
          <w:sz w:val="20"/>
          <w:szCs w:val="20"/>
          <w:color w:val="auto"/>
        </w:rPr>
      </w:pPr>
      <w:r>
        <w:rPr>
          <w:rFonts w:ascii="Arial" w:cs="Arial" w:eastAsia="Arial" w:hAnsi="Arial"/>
          <w:sz w:val="13"/>
          <w:szCs w:val="13"/>
          <w:color w:val="auto"/>
        </w:rPr>
        <w:t>The aggregate market value of registrant’s Common Stock, par value $.50 per share, held by persons other than those who may be deemed to be affiliates of registrant on June 28, 2019 was $431,894,139 based on the last reported sale price on the New York Stock Exchange as of the close of business on that date.</w:t>
      </w:r>
    </w:p>
    <w:p>
      <w:pPr>
        <w:spacing w:after="0" w:line="189" w:lineRule="exact"/>
        <w:rPr>
          <w:sz w:val="24"/>
          <w:szCs w:val="24"/>
          <w:color w:val="auto"/>
        </w:rPr>
      </w:pPr>
    </w:p>
    <w:p>
      <w:pPr>
        <w:ind w:left="2880"/>
        <w:spacing w:after="0"/>
        <w:rPr>
          <w:sz w:val="20"/>
          <w:szCs w:val="20"/>
          <w:color w:val="auto"/>
        </w:rPr>
      </w:pPr>
      <w:r>
        <w:rPr>
          <w:rFonts w:ascii="Arial" w:cs="Arial" w:eastAsia="Arial" w:hAnsi="Arial"/>
          <w:sz w:val="13"/>
          <w:szCs w:val="13"/>
          <w:color w:val="auto"/>
        </w:rPr>
        <w:t>The number of the Company’s outstanding shares of Common Stock on February 29, 2020 was 26,104,569.</w:t>
      </w:r>
    </w:p>
    <w:p>
      <w:pPr>
        <w:spacing w:after="0" w:line="122" w:lineRule="exact"/>
        <w:rPr>
          <w:sz w:val="24"/>
          <w:szCs w:val="24"/>
          <w:color w:val="auto"/>
        </w:rPr>
      </w:pPr>
    </w:p>
    <w:p>
      <w:pPr>
        <w:ind w:left="41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Portions of the Proxy Statement for the Annual Meeting of Stockholders relating to the directors and executive officers of the Company are incorporated by reference into Part III.</w:t>
      </w:r>
    </w:p>
    <w:p>
      <w:pPr>
        <w:sectPr>
          <w:pgSz w:w="11900" w:h="16838" w:orient="portrait"/>
          <w:cols w:equalWidth="0" w:num="1">
            <w:col w:w="11220"/>
          </w:cols>
          <w:pgMar w:left="320" w:top="252"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20" w:type="dxa"/>
            <w:vAlign w:val="bottom"/>
          </w:tcPr>
          <w:p>
            <w:pPr>
              <w:ind w:left="3940"/>
              <w:spacing w:after="0"/>
              <w:rPr>
                <w:sz w:val="20"/>
                <w:szCs w:val="20"/>
                <w:color w:val="auto"/>
              </w:rPr>
            </w:pPr>
            <w:r>
              <w:rPr>
                <w:rFonts w:ascii="Arial" w:cs="Arial" w:eastAsia="Arial" w:hAnsi="Arial"/>
                <w:sz w:val="14"/>
                <w:szCs w:val="14"/>
                <w:b w:val="1"/>
                <w:bCs w:val="1"/>
                <w:color w:val="auto"/>
              </w:rPr>
              <w:t>TABLE OF CONTENTS</w:t>
            </w:r>
          </w:p>
        </w:tc>
        <w:tc>
          <w:tcPr>
            <w:tcW w:w="700" w:type="dxa"/>
            <w:vAlign w:val="bottom"/>
          </w:tcPr>
          <w:p>
            <w:pPr>
              <w:spacing w:after="0"/>
              <w:rPr>
                <w:sz w:val="16"/>
                <w:szCs w:val="16"/>
                <w:color w:val="auto"/>
              </w:rPr>
            </w:pPr>
          </w:p>
        </w:tc>
      </w:tr>
      <w:tr>
        <w:trPr>
          <w:trHeight w:val="648"/>
        </w:trPr>
        <w:tc>
          <w:tcPr>
            <w:tcW w:w="920" w:type="dxa"/>
            <w:vAlign w:val="bottom"/>
            <w:gridSpan w:val="5"/>
          </w:tcPr>
          <w:p>
            <w:pPr>
              <w:spacing w:after="0"/>
              <w:rPr>
                <w:rFonts w:ascii="Arial" w:cs="Arial" w:eastAsia="Arial" w:hAnsi="Arial"/>
                <w:sz w:val="14"/>
                <w:szCs w:val="14"/>
                <w:b w:val="1"/>
                <w:bCs w:val="1"/>
                <w:color w:val="auto"/>
              </w:rPr>
            </w:pPr>
            <w:hyperlink w:anchor="page3">
              <w:r>
                <w:rPr>
                  <w:rFonts w:ascii="Arial" w:cs="Arial" w:eastAsia="Arial" w:hAnsi="Arial"/>
                  <w:sz w:val="14"/>
                  <w:szCs w:val="14"/>
                  <w:b w:val="1"/>
                  <w:bCs w:val="1"/>
                  <w:color w:val="auto"/>
                </w:rPr>
                <w:t>PART I</w:t>
              </w:r>
            </w:hyperlink>
          </w:p>
        </w:tc>
        <w:tc>
          <w:tcPr>
            <w:tcW w:w="9620" w:type="dxa"/>
            <w:vAlign w:val="bottom"/>
          </w:tcPr>
          <w:p>
            <w:pPr>
              <w:spacing w:after="0"/>
              <w:rPr>
                <w:sz w:val="24"/>
                <w:szCs w:val="24"/>
                <w:color w:val="auto"/>
              </w:rPr>
            </w:pPr>
          </w:p>
        </w:tc>
        <w:tc>
          <w:tcPr>
            <w:tcW w:w="700" w:type="dxa"/>
            <w:vAlign w:val="bottom"/>
          </w:tcPr>
          <w:p>
            <w:pPr>
              <w:jc w:val="right"/>
              <w:spacing w:after="0"/>
              <w:rPr>
                <w:rFonts w:ascii="Arial" w:cs="Arial" w:eastAsia="Arial" w:hAnsi="Arial"/>
                <w:sz w:val="14"/>
                <w:szCs w:val="14"/>
                <w:color w:val="auto"/>
              </w:rPr>
            </w:pPr>
            <w:hyperlink w:anchor="page3">
              <w:r>
                <w:rPr>
                  <w:rFonts w:ascii="Arial" w:cs="Arial" w:eastAsia="Arial" w:hAnsi="Arial"/>
                  <w:sz w:val="14"/>
                  <w:szCs w:val="14"/>
                  <w:color w:val="auto"/>
                </w:rPr>
                <w:t>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4"/>
        </w:trPr>
        <w:tc>
          <w:tcPr>
            <w:tcW w:w="920" w:type="dxa"/>
            <w:vAlign w:val="bottom"/>
            <w:gridSpan w:val="5"/>
          </w:tcPr>
          <w:p>
            <w:pPr>
              <w:spacing w:after="0"/>
              <w:rPr>
                <w:rFonts w:ascii="Arial" w:cs="Arial" w:eastAsia="Arial" w:hAnsi="Arial"/>
                <w:sz w:val="14"/>
                <w:szCs w:val="14"/>
                <w:color w:val="auto"/>
              </w:rPr>
            </w:pPr>
            <w:hyperlink w:anchor="page4">
              <w:r>
                <w:rPr>
                  <w:rFonts w:ascii="Arial" w:cs="Arial" w:eastAsia="Arial" w:hAnsi="Arial"/>
                  <w:sz w:val="14"/>
                  <w:szCs w:val="14"/>
                  <w:color w:val="auto"/>
                </w:rPr>
                <w:t>ITEM 1.</w:t>
              </w:r>
            </w:hyperlink>
          </w:p>
        </w:tc>
        <w:tc>
          <w:tcPr>
            <w:tcW w:w="9620" w:type="dxa"/>
            <w:vAlign w:val="bottom"/>
          </w:tcPr>
          <w:p>
            <w:pPr>
              <w:ind w:left="100"/>
              <w:spacing w:after="0"/>
              <w:rPr>
                <w:rFonts w:ascii="Arial" w:cs="Arial" w:eastAsia="Arial" w:hAnsi="Arial"/>
                <w:sz w:val="14"/>
                <w:szCs w:val="14"/>
                <w:color w:val="auto"/>
              </w:rPr>
            </w:pPr>
            <w:hyperlink w:anchor="page4">
              <w:r>
                <w:rPr>
                  <w:rFonts w:ascii="Arial" w:cs="Arial" w:eastAsia="Arial" w:hAnsi="Arial"/>
                  <w:sz w:val="14"/>
                  <w:szCs w:val="14"/>
                  <w:color w:val="auto"/>
                </w:rPr>
                <w:t>BUSINESS</w:t>
              </w:r>
            </w:hyperlink>
          </w:p>
        </w:tc>
        <w:tc>
          <w:tcPr>
            <w:tcW w:w="700" w:type="dxa"/>
            <w:vAlign w:val="bottom"/>
          </w:tcPr>
          <w:p>
            <w:pPr>
              <w:jc w:val="right"/>
              <w:spacing w:after="0"/>
              <w:rPr>
                <w:rFonts w:ascii="Arial" w:cs="Arial" w:eastAsia="Arial" w:hAnsi="Arial"/>
                <w:sz w:val="14"/>
                <w:szCs w:val="14"/>
                <w:color w:val="auto"/>
              </w:rPr>
            </w:pPr>
            <w:hyperlink w:anchor="page4">
              <w:r>
                <w:rPr>
                  <w:rFonts w:ascii="Arial" w:cs="Arial" w:eastAsia="Arial" w:hAnsi="Arial"/>
                  <w:sz w:val="14"/>
                  <w:szCs w:val="14"/>
                  <w:color w:val="auto"/>
                </w:rPr>
                <w:t>4</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23">
              <w:r>
                <w:rPr>
                  <w:rFonts w:ascii="Arial" w:cs="Arial" w:eastAsia="Arial" w:hAnsi="Arial"/>
                  <w:sz w:val="14"/>
                  <w:szCs w:val="14"/>
                  <w:color w:val="auto"/>
                </w:rPr>
                <w:t>ITEM 1A.</w:t>
              </w:r>
            </w:hyperlink>
          </w:p>
        </w:tc>
        <w:tc>
          <w:tcPr>
            <w:tcW w:w="9620" w:type="dxa"/>
            <w:vAlign w:val="bottom"/>
          </w:tcPr>
          <w:p>
            <w:pPr>
              <w:ind w:left="100"/>
              <w:spacing w:after="0"/>
              <w:rPr>
                <w:rFonts w:ascii="Arial" w:cs="Arial" w:eastAsia="Arial" w:hAnsi="Arial"/>
                <w:sz w:val="14"/>
                <w:szCs w:val="14"/>
                <w:color w:val="auto"/>
              </w:rPr>
            </w:pPr>
            <w:hyperlink w:anchor="page23">
              <w:r>
                <w:rPr>
                  <w:rFonts w:ascii="Arial" w:cs="Arial" w:eastAsia="Arial" w:hAnsi="Arial"/>
                  <w:sz w:val="14"/>
                  <w:szCs w:val="14"/>
                  <w:color w:val="auto"/>
                </w:rPr>
                <w:t>RISK FACTORS</w:t>
              </w:r>
            </w:hyperlink>
          </w:p>
        </w:tc>
        <w:tc>
          <w:tcPr>
            <w:tcW w:w="700" w:type="dxa"/>
            <w:vAlign w:val="bottom"/>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23</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30">
              <w:r>
                <w:rPr>
                  <w:rFonts w:ascii="Arial" w:cs="Arial" w:eastAsia="Arial" w:hAnsi="Arial"/>
                  <w:sz w:val="14"/>
                  <w:szCs w:val="14"/>
                  <w:color w:val="auto"/>
                </w:rPr>
                <w:t>ITEM 1B.</w:t>
              </w:r>
            </w:hyperlink>
          </w:p>
        </w:tc>
        <w:tc>
          <w:tcPr>
            <w:tcW w:w="9620" w:type="dxa"/>
            <w:vAlign w:val="bottom"/>
          </w:tcPr>
          <w:p>
            <w:pPr>
              <w:ind w:left="100"/>
              <w:spacing w:after="0"/>
              <w:rPr>
                <w:rFonts w:ascii="Arial" w:cs="Arial" w:eastAsia="Arial" w:hAnsi="Arial"/>
                <w:sz w:val="14"/>
                <w:szCs w:val="14"/>
                <w:color w:val="auto"/>
              </w:rPr>
            </w:pPr>
            <w:hyperlink w:anchor="page30">
              <w:r>
                <w:rPr>
                  <w:rFonts w:ascii="Arial" w:cs="Arial" w:eastAsia="Arial" w:hAnsi="Arial"/>
                  <w:sz w:val="14"/>
                  <w:szCs w:val="14"/>
                  <w:color w:val="auto"/>
                </w:rPr>
                <w:t>UNRESOLVED STAFF COMMENTS</w:t>
              </w:r>
            </w:hyperlink>
          </w:p>
        </w:tc>
        <w:tc>
          <w:tcPr>
            <w:tcW w:w="700" w:type="dxa"/>
            <w:vAlign w:val="bottom"/>
          </w:tcPr>
          <w:p>
            <w:pPr>
              <w:jc w:val="right"/>
              <w:spacing w:after="0"/>
              <w:rPr>
                <w:rFonts w:ascii="Arial" w:cs="Arial" w:eastAsia="Arial" w:hAnsi="Arial"/>
                <w:sz w:val="14"/>
                <w:szCs w:val="14"/>
                <w:color w:val="auto"/>
              </w:rPr>
            </w:pPr>
            <w:hyperlink w:anchor="page30">
              <w:r>
                <w:rPr>
                  <w:rFonts w:ascii="Arial" w:cs="Arial" w:eastAsia="Arial" w:hAnsi="Arial"/>
                  <w:sz w:val="14"/>
                  <w:szCs w:val="14"/>
                  <w:color w:val="auto"/>
                </w:rPr>
                <w:t>30</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30">
              <w:r>
                <w:rPr>
                  <w:rFonts w:ascii="Arial" w:cs="Arial" w:eastAsia="Arial" w:hAnsi="Arial"/>
                  <w:sz w:val="14"/>
                  <w:szCs w:val="14"/>
                  <w:color w:val="auto"/>
                </w:rPr>
                <w:t>ITEM 2.</w:t>
              </w:r>
            </w:hyperlink>
          </w:p>
        </w:tc>
        <w:tc>
          <w:tcPr>
            <w:tcW w:w="9620" w:type="dxa"/>
            <w:vAlign w:val="bottom"/>
          </w:tcPr>
          <w:p>
            <w:pPr>
              <w:ind w:left="100"/>
              <w:spacing w:after="0"/>
              <w:rPr>
                <w:rFonts w:ascii="Arial" w:cs="Arial" w:eastAsia="Arial" w:hAnsi="Arial"/>
                <w:sz w:val="14"/>
                <w:szCs w:val="14"/>
                <w:color w:val="auto"/>
              </w:rPr>
            </w:pPr>
            <w:hyperlink w:anchor="page30">
              <w:r>
                <w:rPr>
                  <w:rFonts w:ascii="Arial" w:cs="Arial" w:eastAsia="Arial" w:hAnsi="Arial"/>
                  <w:sz w:val="14"/>
                  <w:szCs w:val="14"/>
                  <w:color w:val="auto"/>
                </w:rPr>
                <w:t>PROPERTIES</w:t>
              </w:r>
            </w:hyperlink>
          </w:p>
        </w:tc>
        <w:tc>
          <w:tcPr>
            <w:tcW w:w="700" w:type="dxa"/>
            <w:vAlign w:val="bottom"/>
          </w:tcPr>
          <w:p>
            <w:pPr>
              <w:jc w:val="right"/>
              <w:spacing w:after="0"/>
              <w:rPr>
                <w:rFonts w:ascii="Arial" w:cs="Arial" w:eastAsia="Arial" w:hAnsi="Arial"/>
                <w:sz w:val="14"/>
                <w:szCs w:val="14"/>
                <w:color w:val="auto"/>
              </w:rPr>
            </w:pPr>
            <w:hyperlink w:anchor="page30">
              <w:r>
                <w:rPr>
                  <w:rFonts w:ascii="Arial" w:cs="Arial" w:eastAsia="Arial" w:hAnsi="Arial"/>
                  <w:sz w:val="14"/>
                  <w:szCs w:val="14"/>
                  <w:color w:val="auto"/>
                </w:rPr>
                <w:t>30</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33">
              <w:r>
                <w:rPr>
                  <w:rFonts w:ascii="Arial" w:cs="Arial" w:eastAsia="Arial" w:hAnsi="Arial"/>
                  <w:sz w:val="14"/>
                  <w:szCs w:val="14"/>
                  <w:color w:val="auto"/>
                </w:rPr>
                <w:t>ITEM 3.</w:t>
              </w:r>
            </w:hyperlink>
          </w:p>
        </w:tc>
        <w:tc>
          <w:tcPr>
            <w:tcW w:w="9620" w:type="dxa"/>
            <w:vAlign w:val="bottom"/>
          </w:tcPr>
          <w:p>
            <w:pPr>
              <w:ind w:left="100"/>
              <w:spacing w:after="0"/>
              <w:rPr>
                <w:rFonts w:ascii="Arial" w:cs="Arial" w:eastAsia="Arial" w:hAnsi="Arial"/>
                <w:sz w:val="14"/>
                <w:szCs w:val="14"/>
                <w:color w:val="auto"/>
              </w:rPr>
            </w:pPr>
            <w:hyperlink w:anchor="page33">
              <w:r>
                <w:rPr>
                  <w:rFonts w:ascii="Arial" w:cs="Arial" w:eastAsia="Arial" w:hAnsi="Arial"/>
                  <w:sz w:val="14"/>
                  <w:szCs w:val="14"/>
                  <w:color w:val="auto"/>
                </w:rPr>
                <w:t>LEGAL PROCEEDINGS</w:t>
              </w:r>
            </w:hyperlink>
          </w:p>
        </w:tc>
        <w:tc>
          <w:tcPr>
            <w:tcW w:w="700" w:type="dxa"/>
            <w:vAlign w:val="bottom"/>
          </w:tcPr>
          <w:p>
            <w:pPr>
              <w:jc w:val="right"/>
              <w:spacing w:after="0"/>
              <w:rPr>
                <w:rFonts w:ascii="Arial" w:cs="Arial" w:eastAsia="Arial" w:hAnsi="Arial"/>
                <w:sz w:val="14"/>
                <w:szCs w:val="14"/>
                <w:color w:val="auto"/>
              </w:rPr>
            </w:pPr>
            <w:hyperlink w:anchor="page33">
              <w:r>
                <w:rPr>
                  <w:rFonts w:ascii="Arial" w:cs="Arial" w:eastAsia="Arial" w:hAnsi="Arial"/>
                  <w:sz w:val="14"/>
                  <w:szCs w:val="14"/>
                  <w:color w:val="auto"/>
                </w:rPr>
                <w:t>33</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33">
              <w:r>
                <w:rPr>
                  <w:rFonts w:ascii="Arial" w:cs="Arial" w:eastAsia="Arial" w:hAnsi="Arial"/>
                  <w:sz w:val="14"/>
                  <w:szCs w:val="14"/>
                  <w:color w:val="auto"/>
                </w:rPr>
                <w:t>ITEM 4.</w:t>
              </w:r>
            </w:hyperlink>
          </w:p>
        </w:tc>
        <w:tc>
          <w:tcPr>
            <w:tcW w:w="9620" w:type="dxa"/>
            <w:vAlign w:val="bottom"/>
          </w:tcPr>
          <w:p>
            <w:pPr>
              <w:ind w:left="100"/>
              <w:spacing w:after="0"/>
              <w:rPr>
                <w:rFonts w:ascii="Arial" w:cs="Arial" w:eastAsia="Arial" w:hAnsi="Arial"/>
                <w:sz w:val="14"/>
                <w:szCs w:val="14"/>
                <w:color w:val="auto"/>
              </w:rPr>
            </w:pPr>
            <w:hyperlink w:anchor="page33">
              <w:r>
                <w:rPr>
                  <w:rFonts w:ascii="Arial" w:cs="Arial" w:eastAsia="Arial" w:hAnsi="Arial"/>
                  <w:sz w:val="14"/>
                  <w:szCs w:val="14"/>
                  <w:color w:val="auto"/>
                </w:rPr>
                <w:t>MINE SAFETY DISCLOSURES</w:t>
              </w:r>
            </w:hyperlink>
          </w:p>
        </w:tc>
        <w:tc>
          <w:tcPr>
            <w:tcW w:w="700" w:type="dxa"/>
            <w:vAlign w:val="bottom"/>
          </w:tcPr>
          <w:p>
            <w:pPr>
              <w:jc w:val="right"/>
              <w:spacing w:after="0"/>
              <w:rPr>
                <w:rFonts w:ascii="Arial" w:cs="Arial" w:eastAsia="Arial" w:hAnsi="Arial"/>
                <w:sz w:val="14"/>
                <w:szCs w:val="14"/>
                <w:color w:val="auto"/>
              </w:rPr>
            </w:pPr>
            <w:hyperlink w:anchor="page33">
              <w:r>
                <w:rPr>
                  <w:rFonts w:ascii="Arial" w:cs="Arial" w:eastAsia="Arial" w:hAnsi="Arial"/>
                  <w:sz w:val="14"/>
                  <w:szCs w:val="14"/>
                  <w:color w:val="auto"/>
                </w:rPr>
                <w:t>33</w:t>
              </w:r>
            </w:hyperlink>
          </w:p>
        </w:tc>
      </w:tr>
      <w:tr>
        <w:trPr>
          <w:trHeight w:val="435"/>
        </w:trPr>
        <w:tc>
          <w:tcPr>
            <w:tcW w:w="920" w:type="dxa"/>
            <w:vAlign w:val="bottom"/>
            <w:gridSpan w:val="5"/>
          </w:tcPr>
          <w:p>
            <w:pPr>
              <w:spacing w:after="0"/>
              <w:rPr>
                <w:rFonts w:ascii="Arial" w:cs="Arial" w:eastAsia="Arial" w:hAnsi="Arial"/>
                <w:sz w:val="14"/>
                <w:szCs w:val="14"/>
                <w:b w:val="1"/>
                <w:bCs w:val="1"/>
                <w:color w:val="auto"/>
              </w:rPr>
            </w:pPr>
            <w:hyperlink w:anchor="page34">
              <w:r>
                <w:rPr>
                  <w:rFonts w:ascii="Arial" w:cs="Arial" w:eastAsia="Arial" w:hAnsi="Arial"/>
                  <w:sz w:val="14"/>
                  <w:szCs w:val="14"/>
                  <w:b w:val="1"/>
                  <w:bCs w:val="1"/>
                  <w:color w:val="auto"/>
                </w:rPr>
                <w:t>PART II</w:t>
              </w:r>
            </w:hyperlink>
          </w:p>
        </w:tc>
        <w:tc>
          <w:tcPr>
            <w:tcW w:w="9620" w:type="dxa"/>
            <w:vAlign w:val="bottom"/>
          </w:tcPr>
          <w:p>
            <w:pPr>
              <w:spacing w:after="0"/>
              <w:rPr>
                <w:sz w:val="24"/>
                <w:szCs w:val="24"/>
                <w:color w:val="auto"/>
              </w:rPr>
            </w:pPr>
          </w:p>
        </w:tc>
        <w:tc>
          <w:tcPr>
            <w:tcW w:w="700" w:type="dxa"/>
            <w:vAlign w:val="bottom"/>
          </w:tcPr>
          <w:p>
            <w:pPr>
              <w:jc w:val="right"/>
              <w:spacing w:after="0"/>
              <w:rPr>
                <w:rFonts w:ascii="Arial" w:cs="Arial" w:eastAsia="Arial" w:hAnsi="Arial"/>
                <w:sz w:val="14"/>
                <w:szCs w:val="14"/>
                <w:color w:val="auto"/>
              </w:rPr>
            </w:pPr>
            <w:hyperlink w:anchor="page34">
              <w:r>
                <w:rPr>
                  <w:rFonts w:ascii="Arial" w:cs="Arial" w:eastAsia="Arial" w:hAnsi="Arial"/>
                  <w:sz w:val="14"/>
                  <w:szCs w:val="14"/>
                  <w:color w:val="auto"/>
                </w:rPr>
                <w:t>34</w:t>
              </w:r>
            </w:hyperlink>
          </w:p>
        </w:tc>
      </w:tr>
      <w:tr>
        <w:trPr>
          <w:trHeight w:val="224"/>
        </w:trPr>
        <w:tc>
          <w:tcPr>
            <w:tcW w:w="520" w:type="dxa"/>
            <w:vAlign w:val="bottom"/>
            <w:tcBorders>
              <w:top w:val="single" w:sz="8" w:color="auto"/>
            </w:tcBorders>
            <w:gridSpan w:val="2"/>
          </w:tcPr>
          <w:p>
            <w:pPr>
              <w:spacing w:after="0"/>
              <w:rPr>
                <w:rFonts w:ascii="Arial" w:cs="Arial" w:eastAsia="Arial" w:hAnsi="Arial"/>
                <w:sz w:val="14"/>
                <w:szCs w:val="14"/>
                <w:color w:val="auto"/>
              </w:rPr>
            </w:pPr>
            <w:hyperlink w:anchor="page34">
              <w:r>
                <w:rPr>
                  <w:rFonts w:ascii="Arial" w:cs="Arial" w:eastAsia="Arial" w:hAnsi="Arial"/>
                  <w:sz w:val="14"/>
                  <w:szCs w:val="14"/>
                  <w:color w:val="auto"/>
                </w:rPr>
                <w:t>ITEM 5.</w:t>
              </w:r>
            </w:hyperlink>
          </w:p>
        </w:tc>
        <w:tc>
          <w:tcPr>
            <w:tcW w:w="400" w:type="dxa"/>
            <w:vAlign w:val="bottom"/>
            <w:gridSpan w:val="3"/>
          </w:tcPr>
          <w:p>
            <w:pPr>
              <w:spacing w:after="0"/>
              <w:rPr>
                <w:sz w:val="19"/>
                <w:szCs w:val="19"/>
                <w:color w:val="auto"/>
              </w:rPr>
            </w:pPr>
          </w:p>
        </w:tc>
        <w:tc>
          <w:tcPr>
            <w:tcW w:w="9620" w:type="dxa"/>
            <w:vAlign w:val="bottom"/>
          </w:tcPr>
          <w:p>
            <w:pPr>
              <w:ind w:left="100"/>
              <w:spacing w:after="0"/>
              <w:rPr>
                <w:rFonts w:ascii="Arial" w:cs="Arial" w:eastAsia="Arial" w:hAnsi="Arial"/>
                <w:sz w:val="14"/>
                <w:szCs w:val="14"/>
                <w:color w:val="auto"/>
              </w:rPr>
            </w:pPr>
            <w:hyperlink w:anchor="page34">
              <w:r>
                <w:rPr>
                  <w:rFonts w:ascii="Arial" w:cs="Arial" w:eastAsia="Arial" w:hAnsi="Arial"/>
                  <w:sz w:val="14"/>
                  <w:szCs w:val="14"/>
                  <w:color w:val="auto"/>
                </w:rPr>
                <w:t>MARKET FOR REGISTRANT’S COMMON EQUITY, RELATED STOCKHOLDER MATTERS AND ISSUER PURCHASES OF EQUITY SECURITIES</w:t>
              </w:r>
            </w:hyperlink>
          </w:p>
        </w:tc>
        <w:tc>
          <w:tcPr>
            <w:tcW w:w="700" w:type="dxa"/>
            <w:vAlign w:val="bottom"/>
          </w:tcPr>
          <w:p>
            <w:pPr>
              <w:jc w:val="right"/>
              <w:spacing w:after="0"/>
              <w:rPr>
                <w:rFonts w:ascii="Arial" w:cs="Arial" w:eastAsia="Arial" w:hAnsi="Arial"/>
                <w:sz w:val="14"/>
                <w:szCs w:val="14"/>
                <w:color w:val="auto"/>
              </w:rPr>
            </w:pPr>
            <w:hyperlink w:anchor="page34">
              <w:r>
                <w:rPr>
                  <w:rFonts w:ascii="Arial" w:cs="Arial" w:eastAsia="Arial" w:hAnsi="Arial"/>
                  <w:sz w:val="14"/>
                  <w:szCs w:val="14"/>
                  <w:color w:val="auto"/>
                </w:rPr>
                <w:t>34</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34">
              <w:r>
                <w:rPr>
                  <w:rFonts w:ascii="Arial" w:cs="Arial" w:eastAsia="Arial" w:hAnsi="Arial"/>
                  <w:sz w:val="14"/>
                  <w:szCs w:val="14"/>
                  <w:color w:val="auto"/>
                </w:rPr>
                <w:t>ITEM 6.</w:t>
              </w:r>
            </w:hyperlink>
          </w:p>
        </w:tc>
        <w:tc>
          <w:tcPr>
            <w:tcW w:w="9620" w:type="dxa"/>
            <w:vAlign w:val="bottom"/>
          </w:tcPr>
          <w:p>
            <w:pPr>
              <w:ind w:left="100"/>
              <w:spacing w:after="0"/>
              <w:rPr>
                <w:rFonts w:ascii="Arial" w:cs="Arial" w:eastAsia="Arial" w:hAnsi="Arial"/>
                <w:sz w:val="14"/>
                <w:szCs w:val="14"/>
                <w:color w:val="auto"/>
              </w:rPr>
            </w:pPr>
            <w:hyperlink w:anchor="page34">
              <w:r>
                <w:rPr>
                  <w:rFonts w:ascii="Arial" w:cs="Arial" w:eastAsia="Arial" w:hAnsi="Arial"/>
                  <w:sz w:val="14"/>
                  <w:szCs w:val="14"/>
                  <w:color w:val="auto"/>
                </w:rPr>
                <w:t>SELECTED FINANCIAL DATA</w:t>
              </w:r>
            </w:hyperlink>
          </w:p>
        </w:tc>
        <w:tc>
          <w:tcPr>
            <w:tcW w:w="700" w:type="dxa"/>
            <w:vAlign w:val="bottom"/>
          </w:tcPr>
          <w:p>
            <w:pPr>
              <w:jc w:val="right"/>
              <w:spacing w:after="0"/>
              <w:rPr>
                <w:rFonts w:ascii="Arial" w:cs="Arial" w:eastAsia="Arial" w:hAnsi="Arial"/>
                <w:sz w:val="14"/>
                <w:szCs w:val="14"/>
                <w:color w:val="auto"/>
              </w:rPr>
            </w:pPr>
            <w:hyperlink w:anchor="page34">
              <w:r>
                <w:rPr>
                  <w:rFonts w:ascii="Arial" w:cs="Arial" w:eastAsia="Arial" w:hAnsi="Arial"/>
                  <w:sz w:val="14"/>
                  <w:szCs w:val="14"/>
                  <w:color w:val="auto"/>
                </w:rPr>
                <w:t>34</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35">
              <w:r>
                <w:rPr>
                  <w:rFonts w:ascii="Arial" w:cs="Arial" w:eastAsia="Arial" w:hAnsi="Arial"/>
                  <w:sz w:val="14"/>
                  <w:szCs w:val="14"/>
                  <w:color w:val="auto"/>
                </w:rPr>
                <w:t>ITEM 7.</w:t>
              </w:r>
            </w:hyperlink>
          </w:p>
        </w:tc>
        <w:tc>
          <w:tcPr>
            <w:tcW w:w="9620" w:type="dxa"/>
            <w:vAlign w:val="bottom"/>
          </w:tcPr>
          <w:p>
            <w:pPr>
              <w:ind w:left="100"/>
              <w:spacing w:after="0"/>
              <w:rPr>
                <w:rFonts w:ascii="Arial" w:cs="Arial" w:eastAsia="Arial" w:hAnsi="Arial"/>
                <w:sz w:val="14"/>
                <w:szCs w:val="14"/>
                <w:color w:val="auto"/>
              </w:rPr>
            </w:pPr>
            <w:hyperlink w:anchor="page35">
              <w:r>
                <w:rPr>
                  <w:rFonts w:ascii="Arial" w:cs="Arial" w:eastAsia="Arial" w:hAnsi="Arial"/>
                  <w:sz w:val="14"/>
                  <w:szCs w:val="14"/>
                  <w:color w:val="auto"/>
                </w:rPr>
                <w:t>MANAGEMENT’S DISCUSSION AND ANALYSIS OF FINANCIAL CONDITION AND RESULTS OF OPERATIONS</w:t>
              </w:r>
            </w:hyperlink>
          </w:p>
        </w:tc>
        <w:tc>
          <w:tcPr>
            <w:tcW w:w="700" w:type="dxa"/>
            <w:vAlign w:val="bottom"/>
          </w:tcPr>
          <w:p>
            <w:pPr>
              <w:jc w:val="right"/>
              <w:spacing w:after="0"/>
              <w:rPr>
                <w:rFonts w:ascii="Arial" w:cs="Arial" w:eastAsia="Arial" w:hAnsi="Arial"/>
                <w:sz w:val="14"/>
                <w:szCs w:val="14"/>
                <w:color w:val="auto"/>
              </w:rPr>
            </w:pPr>
            <w:hyperlink w:anchor="page35">
              <w:r>
                <w:rPr>
                  <w:rFonts w:ascii="Arial" w:cs="Arial" w:eastAsia="Arial" w:hAnsi="Arial"/>
                  <w:sz w:val="14"/>
                  <w:szCs w:val="14"/>
                  <w:color w:val="auto"/>
                </w:rPr>
                <w:t>35</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55">
              <w:r>
                <w:rPr>
                  <w:rFonts w:ascii="Arial" w:cs="Arial" w:eastAsia="Arial" w:hAnsi="Arial"/>
                  <w:sz w:val="14"/>
                  <w:szCs w:val="14"/>
                  <w:color w:val="auto"/>
                </w:rPr>
                <w:t>ITEM 7A.</w:t>
              </w:r>
            </w:hyperlink>
          </w:p>
        </w:tc>
        <w:tc>
          <w:tcPr>
            <w:tcW w:w="9620" w:type="dxa"/>
            <w:vAlign w:val="bottom"/>
          </w:tcPr>
          <w:p>
            <w:pPr>
              <w:ind w:left="100"/>
              <w:spacing w:after="0"/>
              <w:rPr>
                <w:rFonts w:ascii="Arial" w:cs="Arial" w:eastAsia="Arial" w:hAnsi="Arial"/>
                <w:sz w:val="14"/>
                <w:szCs w:val="14"/>
                <w:color w:val="auto"/>
              </w:rPr>
            </w:pPr>
            <w:hyperlink w:anchor="page55">
              <w:r>
                <w:rPr>
                  <w:rFonts w:ascii="Arial" w:cs="Arial" w:eastAsia="Arial" w:hAnsi="Arial"/>
                  <w:sz w:val="14"/>
                  <w:szCs w:val="14"/>
                  <w:color w:val="auto"/>
                </w:rPr>
                <w:t>QUANTITATIVE AND QUALITATIVE DISCLOSURES ABOUT MARKET RISK</w:t>
              </w:r>
            </w:hyperlink>
          </w:p>
        </w:tc>
        <w:tc>
          <w:tcPr>
            <w:tcW w:w="700" w:type="dxa"/>
            <w:vAlign w:val="bottom"/>
          </w:tcPr>
          <w:p>
            <w:pPr>
              <w:jc w:val="right"/>
              <w:spacing w:after="0"/>
              <w:rPr>
                <w:rFonts w:ascii="Arial" w:cs="Arial" w:eastAsia="Arial" w:hAnsi="Arial"/>
                <w:sz w:val="14"/>
                <w:szCs w:val="14"/>
                <w:color w:val="auto"/>
              </w:rPr>
            </w:pPr>
            <w:hyperlink w:anchor="page55">
              <w:r>
                <w:rPr>
                  <w:rFonts w:ascii="Arial" w:cs="Arial" w:eastAsia="Arial" w:hAnsi="Arial"/>
                  <w:sz w:val="14"/>
                  <w:szCs w:val="14"/>
                  <w:color w:val="auto"/>
                </w:rPr>
                <w:t>55</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57">
              <w:r>
                <w:rPr>
                  <w:rFonts w:ascii="Arial" w:cs="Arial" w:eastAsia="Arial" w:hAnsi="Arial"/>
                  <w:sz w:val="14"/>
                  <w:szCs w:val="14"/>
                  <w:color w:val="auto"/>
                </w:rPr>
                <w:t>ITEM 8.</w:t>
              </w:r>
            </w:hyperlink>
          </w:p>
        </w:tc>
        <w:tc>
          <w:tcPr>
            <w:tcW w:w="9620" w:type="dxa"/>
            <w:vAlign w:val="bottom"/>
          </w:tcPr>
          <w:p>
            <w:pPr>
              <w:ind w:left="100"/>
              <w:spacing w:after="0"/>
              <w:rPr>
                <w:rFonts w:ascii="Arial" w:cs="Arial" w:eastAsia="Arial" w:hAnsi="Arial"/>
                <w:sz w:val="14"/>
                <w:szCs w:val="14"/>
                <w:color w:val="auto"/>
              </w:rPr>
            </w:pPr>
            <w:hyperlink w:anchor="page57">
              <w:r>
                <w:rPr>
                  <w:rFonts w:ascii="Arial" w:cs="Arial" w:eastAsia="Arial" w:hAnsi="Arial"/>
                  <w:sz w:val="14"/>
                  <w:szCs w:val="14"/>
                  <w:color w:val="auto"/>
                </w:rPr>
                <w:t>FINANCIAL STATEMENTS AND SUPPLEMENTARY DATA</w:t>
              </w:r>
            </w:hyperlink>
          </w:p>
        </w:tc>
        <w:tc>
          <w:tcPr>
            <w:tcW w:w="700" w:type="dxa"/>
            <w:vAlign w:val="bottom"/>
          </w:tcPr>
          <w:p>
            <w:pPr>
              <w:jc w:val="right"/>
              <w:spacing w:after="0"/>
              <w:rPr>
                <w:rFonts w:ascii="Arial" w:cs="Arial" w:eastAsia="Arial" w:hAnsi="Arial"/>
                <w:sz w:val="14"/>
                <w:szCs w:val="14"/>
                <w:color w:val="auto"/>
              </w:rPr>
            </w:pPr>
            <w:hyperlink w:anchor="page57">
              <w:r>
                <w:rPr>
                  <w:rFonts w:ascii="Arial" w:cs="Arial" w:eastAsia="Arial" w:hAnsi="Arial"/>
                  <w:sz w:val="14"/>
                  <w:szCs w:val="14"/>
                  <w:color w:val="auto"/>
                </w:rPr>
                <w:t>57</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57">
              <w:r>
                <w:rPr>
                  <w:rFonts w:ascii="Arial" w:cs="Arial" w:eastAsia="Arial" w:hAnsi="Arial"/>
                  <w:sz w:val="14"/>
                  <w:szCs w:val="14"/>
                  <w:color w:val="auto"/>
                </w:rPr>
                <w:t>ITEM 9.</w:t>
              </w:r>
            </w:hyperlink>
          </w:p>
        </w:tc>
        <w:tc>
          <w:tcPr>
            <w:tcW w:w="9620" w:type="dxa"/>
            <w:vAlign w:val="bottom"/>
          </w:tcPr>
          <w:p>
            <w:pPr>
              <w:ind w:left="100"/>
              <w:spacing w:after="0"/>
              <w:rPr>
                <w:rFonts w:ascii="Arial" w:cs="Arial" w:eastAsia="Arial" w:hAnsi="Arial"/>
                <w:sz w:val="14"/>
                <w:szCs w:val="14"/>
                <w:color w:val="auto"/>
              </w:rPr>
            </w:pPr>
            <w:hyperlink w:anchor="page57">
              <w:r>
                <w:rPr>
                  <w:rFonts w:ascii="Arial" w:cs="Arial" w:eastAsia="Arial" w:hAnsi="Arial"/>
                  <w:sz w:val="14"/>
                  <w:szCs w:val="14"/>
                  <w:color w:val="auto"/>
                </w:rPr>
                <w:t>CHANGES IN AND DISAGREEMENTS WITH ACCOUNTANTS ON ACCOUNTING AND FINANCIAL DISCLOSURE</w:t>
              </w:r>
            </w:hyperlink>
          </w:p>
        </w:tc>
        <w:tc>
          <w:tcPr>
            <w:tcW w:w="700" w:type="dxa"/>
            <w:vAlign w:val="bottom"/>
          </w:tcPr>
          <w:p>
            <w:pPr>
              <w:jc w:val="right"/>
              <w:spacing w:after="0"/>
              <w:rPr>
                <w:rFonts w:ascii="Arial" w:cs="Arial" w:eastAsia="Arial" w:hAnsi="Arial"/>
                <w:sz w:val="14"/>
                <w:szCs w:val="14"/>
                <w:color w:val="auto"/>
              </w:rPr>
            </w:pPr>
            <w:hyperlink w:anchor="page57">
              <w:r>
                <w:rPr>
                  <w:rFonts w:ascii="Arial" w:cs="Arial" w:eastAsia="Arial" w:hAnsi="Arial"/>
                  <w:sz w:val="14"/>
                  <w:szCs w:val="14"/>
                  <w:color w:val="auto"/>
                </w:rPr>
                <w:t>57</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58">
              <w:r>
                <w:rPr>
                  <w:rFonts w:ascii="Arial" w:cs="Arial" w:eastAsia="Arial" w:hAnsi="Arial"/>
                  <w:sz w:val="14"/>
                  <w:szCs w:val="14"/>
                  <w:color w:val="auto"/>
                </w:rPr>
                <w:t>ITEM 9A.</w:t>
              </w:r>
            </w:hyperlink>
          </w:p>
        </w:tc>
        <w:tc>
          <w:tcPr>
            <w:tcW w:w="9620" w:type="dxa"/>
            <w:vAlign w:val="bottom"/>
          </w:tcPr>
          <w:p>
            <w:pPr>
              <w:ind w:left="100"/>
              <w:spacing w:after="0"/>
              <w:rPr>
                <w:rFonts w:ascii="Arial" w:cs="Arial" w:eastAsia="Arial" w:hAnsi="Arial"/>
                <w:sz w:val="14"/>
                <w:szCs w:val="14"/>
                <w:color w:val="auto"/>
              </w:rPr>
            </w:pPr>
            <w:hyperlink w:anchor="page58">
              <w:r>
                <w:rPr>
                  <w:rFonts w:ascii="Arial" w:cs="Arial" w:eastAsia="Arial" w:hAnsi="Arial"/>
                  <w:sz w:val="14"/>
                  <w:szCs w:val="14"/>
                  <w:color w:val="auto"/>
                </w:rPr>
                <w:t>CONTROLS AND PROCEDURES</w:t>
              </w:r>
            </w:hyperlink>
          </w:p>
        </w:tc>
        <w:tc>
          <w:tcPr>
            <w:tcW w:w="700" w:type="dxa"/>
            <w:vAlign w:val="bottom"/>
          </w:tcPr>
          <w:p>
            <w:pPr>
              <w:jc w:val="right"/>
              <w:spacing w:after="0"/>
              <w:rPr>
                <w:rFonts w:ascii="Arial" w:cs="Arial" w:eastAsia="Arial" w:hAnsi="Arial"/>
                <w:sz w:val="14"/>
                <w:szCs w:val="14"/>
                <w:color w:val="auto"/>
              </w:rPr>
            </w:pPr>
            <w:hyperlink w:anchor="page58">
              <w:r>
                <w:rPr>
                  <w:rFonts w:ascii="Arial" w:cs="Arial" w:eastAsia="Arial" w:hAnsi="Arial"/>
                  <w:sz w:val="14"/>
                  <w:szCs w:val="14"/>
                  <w:color w:val="auto"/>
                </w:rPr>
                <w:t>58</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58">
              <w:r>
                <w:rPr>
                  <w:rFonts w:ascii="Arial" w:cs="Arial" w:eastAsia="Arial" w:hAnsi="Arial"/>
                  <w:sz w:val="14"/>
                  <w:szCs w:val="14"/>
                  <w:color w:val="auto"/>
                </w:rPr>
                <w:t>ITEM 9B.</w:t>
              </w:r>
            </w:hyperlink>
          </w:p>
        </w:tc>
        <w:tc>
          <w:tcPr>
            <w:tcW w:w="9620" w:type="dxa"/>
            <w:vAlign w:val="bottom"/>
          </w:tcPr>
          <w:p>
            <w:pPr>
              <w:ind w:left="100"/>
              <w:spacing w:after="0"/>
              <w:rPr>
                <w:rFonts w:ascii="Arial" w:cs="Arial" w:eastAsia="Arial" w:hAnsi="Arial"/>
                <w:sz w:val="14"/>
                <w:szCs w:val="14"/>
                <w:color w:val="auto"/>
              </w:rPr>
            </w:pPr>
            <w:hyperlink w:anchor="page58">
              <w:r>
                <w:rPr>
                  <w:rFonts w:ascii="Arial" w:cs="Arial" w:eastAsia="Arial" w:hAnsi="Arial"/>
                  <w:sz w:val="14"/>
                  <w:szCs w:val="14"/>
                  <w:color w:val="auto"/>
                </w:rPr>
                <w:t>OTHER INFORMATION</w:t>
              </w:r>
            </w:hyperlink>
          </w:p>
        </w:tc>
        <w:tc>
          <w:tcPr>
            <w:tcW w:w="700" w:type="dxa"/>
            <w:vAlign w:val="bottom"/>
          </w:tcPr>
          <w:p>
            <w:pPr>
              <w:jc w:val="right"/>
              <w:spacing w:after="0"/>
              <w:rPr>
                <w:rFonts w:ascii="Arial" w:cs="Arial" w:eastAsia="Arial" w:hAnsi="Arial"/>
                <w:sz w:val="14"/>
                <w:szCs w:val="14"/>
                <w:color w:val="auto"/>
              </w:rPr>
            </w:pPr>
            <w:hyperlink w:anchor="page58">
              <w:r>
                <w:rPr>
                  <w:rFonts w:ascii="Arial" w:cs="Arial" w:eastAsia="Arial" w:hAnsi="Arial"/>
                  <w:sz w:val="14"/>
                  <w:szCs w:val="14"/>
                  <w:color w:val="auto"/>
                </w:rPr>
                <w:t>58</w:t>
              </w:r>
            </w:hyperlink>
          </w:p>
        </w:tc>
      </w:tr>
      <w:tr>
        <w:trPr>
          <w:trHeight w:val="435"/>
        </w:trPr>
        <w:tc>
          <w:tcPr>
            <w:tcW w:w="580" w:type="dxa"/>
            <w:vAlign w:val="bottom"/>
            <w:tcBorders>
              <w:bottom w:val="single" w:sz="8" w:color="auto"/>
            </w:tcBorders>
            <w:gridSpan w:val="4"/>
          </w:tcPr>
          <w:p>
            <w:pPr>
              <w:spacing w:after="0"/>
              <w:rPr>
                <w:rFonts w:ascii="Arial" w:cs="Arial" w:eastAsia="Arial" w:hAnsi="Arial"/>
                <w:sz w:val="14"/>
                <w:szCs w:val="14"/>
                <w:b w:val="1"/>
                <w:bCs w:val="1"/>
                <w:color w:val="auto"/>
              </w:rPr>
            </w:pPr>
            <w:hyperlink w:anchor="page58">
              <w:r>
                <w:rPr>
                  <w:rFonts w:ascii="Arial" w:cs="Arial" w:eastAsia="Arial" w:hAnsi="Arial"/>
                  <w:sz w:val="14"/>
                  <w:szCs w:val="14"/>
                  <w:b w:val="1"/>
                  <w:bCs w:val="1"/>
                  <w:color w:val="auto"/>
                </w:rPr>
                <w:t>PART III</w:t>
              </w:r>
            </w:hyperlink>
          </w:p>
        </w:tc>
        <w:tc>
          <w:tcPr>
            <w:tcW w:w="34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700" w:type="dxa"/>
            <w:vAlign w:val="bottom"/>
          </w:tcPr>
          <w:p>
            <w:pPr>
              <w:jc w:val="right"/>
              <w:spacing w:after="0"/>
              <w:rPr>
                <w:rFonts w:ascii="Arial" w:cs="Arial" w:eastAsia="Arial" w:hAnsi="Arial"/>
                <w:sz w:val="14"/>
                <w:szCs w:val="14"/>
                <w:color w:val="auto"/>
              </w:rPr>
            </w:pPr>
            <w:hyperlink w:anchor="page58">
              <w:r>
                <w:rPr>
                  <w:rFonts w:ascii="Arial" w:cs="Arial" w:eastAsia="Arial" w:hAnsi="Arial"/>
                  <w:sz w:val="14"/>
                  <w:szCs w:val="14"/>
                  <w:color w:val="auto"/>
                </w:rPr>
                <w:t>58</w:t>
              </w:r>
            </w:hyperlink>
          </w:p>
        </w:tc>
      </w:tr>
      <w:tr>
        <w:trPr>
          <w:trHeight w:val="224"/>
        </w:trPr>
        <w:tc>
          <w:tcPr>
            <w:tcW w:w="920" w:type="dxa"/>
            <w:vAlign w:val="bottom"/>
            <w:gridSpan w:val="5"/>
          </w:tcPr>
          <w:p>
            <w:pPr>
              <w:spacing w:after="0"/>
              <w:rPr>
                <w:rFonts w:ascii="Arial" w:cs="Arial" w:eastAsia="Arial" w:hAnsi="Arial"/>
                <w:sz w:val="14"/>
                <w:szCs w:val="14"/>
                <w:color w:val="auto"/>
              </w:rPr>
            </w:pPr>
            <w:hyperlink w:anchor="page58">
              <w:r>
                <w:rPr>
                  <w:rFonts w:ascii="Arial" w:cs="Arial" w:eastAsia="Arial" w:hAnsi="Arial"/>
                  <w:sz w:val="14"/>
                  <w:szCs w:val="14"/>
                  <w:color w:val="auto"/>
                </w:rPr>
                <w:t>ITEM 10.</w:t>
              </w:r>
            </w:hyperlink>
          </w:p>
        </w:tc>
        <w:tc>
          <w:tcPr>
            <w:tcW w:w="9620" w:type="dxa"/>
            <w:vAlign w:val="bottom"/>
          </w:tcPr>
          <w:p>
            <w:pPr>
              <w:ind w:left="100"/>
              <w:spacing w:after="0"/>
              <w:rPr>
                <w:rFonts w:ascii="Arial" w:cs="Arial" w:eastAsia="Arial" w:hAnsi="Arial"/>
                <w:sz w:val="14"/>
                <w:szCs w:val="14"/>
                <w:color w:val="auto"/>
              </w:rPr>
            </w:pPr>
            <w:hyperlink w:anchor="page58">
              <w:r>
                <w:rPr>
                  <w:rFonts w:ascii="Arial" w:cs="Arial" w:eastAsia="Arial" w:hAnsi="Arial"/>
                  <w:sz w:val="14"/>
                  <w:szCs w:val="14"/>
                  <w:color w:val="auto"/>
                </w:rPr>
                <w:t>DIRECTORS, EXECUTIVE OFFICERS AND CORPORATE GOVERNANCE</w:t>
              </w:r>
            </w:hyperlink>
          </w:p>
        </w:tc>
        <w:tc>
          <w:tcPr>
            <w:tcW w:w="700" w:type="dxa"/>
            <w:vAlign w:val="bottom"/>
          </w:tcPr>
          <w:p>
            <w:pPr>
              <w:jc w:val="right"/>
              <w:spacing w:after="0"/>
              <w:rPr>
                <w:rFonts w:ascii="Arial" w:cs="Arial" w:eastAsia="Arial" w:hAnsi="Arial"/>
                <w:sz w:val="14"/>
                <w:szCs w:val="14"/>
                <w:color w:val="auto"/>
              </w:rPr>
            </w:pPr>
            <w:hyperlink w:anchor="page58">
              <w:r>
                <w:rPr>
                  <w:rFonts w:ascii="Arial" w:cs="Arial" w:eastAsia="Arial" w:hAnsi="Arial"/>
                  <w:sz w:val="14"/>
                  <w:szCs w:val="14"/>
                  <w:color w:val="auto"/>
                </w:rPr>
                <w:t>58</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58">
              <w:r>
                <w:rPr>
                  <w:rFonts w:ascii="Arial" w:cs="Arial" w:eastAsia="Arial" w:hAnsi="Arial"/>
                  <w:sz w:val="14"/>
                  <w:szCs w:val="14"/>
                  <w:color w:val="auto"/>
                </w:rPr>
                <w:t>ITEM 11.</w:t>
              </w:r>
            </w:hyperlink>
          </w:p>
        </w:tc>
        <w:tc>
          <w:tcPr>
            <w:tcW w:w="9620" w:type="dxa"/>
            <w:vAlign w:val="bottom"/>
          </w:tcPr>
          <w:p>
            <w:pPr>
              <w:ind w:left="100"/>
              <w:spacing w:after="0"/>
              <w:rPr>
                <w:rFonts w:ascii="Arial" w:cs="Arial" w:eastAsia="Arial" w:hAnsi="Arial"/>
                <w:sz w:val="14"/>
                <w:szCs w:val="14"/>
                <w:color w:val="auto"/>
              </w:rPr>
            </w:pPr>
            <w:hyperlink w:anchor="page58">
              <w:r>
                <w:rPr>
                  <w:rFonts w:ascii="Arial" w:cs="Arial" w:eastAsia="Arial" w:hAnsi="Arial"/>
                  <w:sz w:val="14"/>
                  <w:szCs w:val="14"/>
                  <w:color w:val="auto"/>
                </w:rPr>
                <w:t>EXECUTIVE COMPENSATION</w:t>
              </w:r>
            </w:hyperlink>
          </w:p>
        </w:tc>
        <w:tc>
          <w:tcPr>
            <w:tcW w:w="700" w:type="dxa"/>
            <w:vAlign w:val="bottom"/>
          </w:tcPr>
          <w:p>
            <w:pPr>
              <w:jc w:val="right"/>
              <w:spacing w:after="0"/>
              <w:rPr>
                <w:rFonts w:ascii="Arial" w:cs="Arial" w:eastAsia="Arial" w:hAnsi="Arial"/>
                <w:sz w:val="14"/>
                <w:szCs w:val="14"/>
                <w:color w:val="auto"/>
              </w:rPr>
            </w:pPr>
            <w:hyperlink w:anchor="page58">
              <w:r>
                <w:rPr>
                  <w:rFonts w:ascii="Arial" w:cs="Arial" w:eastAsia="Arial" w:hAnsi="Arial"/>
                  <w:sz w:val="14"/>
                  <w:szCs w:val="14"/>
                  <w:color w:val="auto"/>
                </w:rPr>
                <w:t>58</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58">
              <w:r>
                <w:rPr>
                  <w:rFonts w:ascii="Arial" w:cs="Arial" w:eastAsia="Arial" w:hAnsi="Arial"/>
                  <w:sz w:val="14"/>
                  <w:szCs w:val="14"/>
                  <w:color w:val="auto"/>
                </w:rPr>
                <w:t>ITEM 12.</w:t>
              </w:r>
            </w:hyperlink>
          </w:p>
        </w:tc>
        <w:tc>
          <w:tcPr>
            <w:tcW w:w="9620" w:type="dxa"/>
            <w:vAlign w:val="bottom"/>
          </w:tcPr>
          <w:p>
            <w:pPr>
              <w:ind w:left="100"/>
              <w:spacing w:after="0"/>
              <w:rPr>
                <w:rFonts w:ascii="Arial" w:cs="Arial" w:eastAsia="Arial" w:hAnsi="Arial"/>
                <w:sz w:val="14"/>
                <w:szCs w:val="14"/>
                <w:color w:val="auto"/>
              </w:rPr>
            </w:pPr>
            <w:hyperlink w:anchor="page58">
              <w:r>
                <w:rPr>
                  <w:rFonts w:ascii="Arial" w:cs="Arial" w:eastAsia="Arial" w:hAnsi="Arial"/>
                  <w:sz w:val="14"/>
                  <w:szCs w:val="14"/>
                  <w:color w:val="auto"/>
                </w:rPr>
                <w:t>SECURITY OWNERSHIP OF CERTAIN BENEFICIAL OWNERS AND MANAGEMENT AND RELATED STOCKHOLDER MATTERS</w:t>
              </w:r>
            </w:hyperlink>
          </w:p>
        </w:tc>
        <w:tc>
          <w:tcPr>
            <w:tcW w:w="700" w:type="dxa"/>
            <w:vAlign w:val="bottom"/>
          </w:tcPr>
          <w:p>
            <w:pPr>
              <w:jc w:val="right"/>
              <w:spacing w:after="0"/>
              <w:rPr>
                <w:rFonts w:ascii="Arial" w:cs="Arial" w:eastAsia="Arial" w:hAnsi="Arial"/>
                <w:sz w:val="14"/>
                <w:szCs w:val="14"/>
                <w:color w:val="auto"/>
              </w:rPr>
            </w:pPr>
            <w:hyperlink w:anchor="page58">
              <w:r>
                <w:rPr>
                  <w:rFonts w:ascii="Arial" w:cs="Arial" w:eastAsia="Arial" w:hAnsi="Arial"/>
                  <w:sz w:val="14"/>
                  <w:szCs w:val="14"/>
                  <w:color w:val="auto"/>
                </w:rPr>
                <w:t>58</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59">
              <w:r>
                <w:rPr>
                  <w:rFonts w:ascii="Arial" w:cs="Arial" w:eastAsia="Arial" w:hAnsi="Arial"/>
                  <w:sz w:val="14"/>
                  <w:szCs w:val="14"/>
                  <w:color w:val="auto"/>
                </w:rPr>
                <w:t>ITEM 13.</w:t>
              </w:r>
            </w:hyperlink>
          </w:p>
        </w:tc>
        <w:tc>
          <w:tcPr>
            <w:tcW w:w="9620" w:type="dxa"/>
            <w:vAlign w:val="bottom"/>
          </w:tcPr>
          <w:p>
            <w:pPr>
              <w:ind w:left="100"/>
              <w:spacing w:after="0"/>
              <w:rPr>
                <w:rFonts w:ascii="Arial" w:cs="Arial" w:eastAsia="Arial" w:hAnsi="Arial"/>
                <w:sz w:val="14"/>
                <w:szCs w:val="14"/>
                <w:color w:val="auto"/>
              </w:rPr>
            </w:pPr>
            <w:hyperlink w:anchor="page59">
              <w:r>
                <w:rPr>
                  <w:rFonts w:ascii="Arial" w:cs="Arial" w:eastAsia="Arial" w:hAnsi="Arial"/>
                  <w:sz w:val="14"/>
                  <w:szCs w:val="14"/>
                  <w:color w:val="auto"/>
                </w:rPr>
                <w:t>CERTAIN RELATIONSHIPS AND RELATED TRANSACTIONS, AND DIRECTOR INDEPENDENCE</w:t>
              </w:r>
            </w:hyperlink>
          </w:p>
        </w:tc>
        <w:tc>
          <w:tcPr>
            <w:tcW w:w="700" w:type="dxa"/>
            <w:vAlign w:val="bottom"/>
          </w:tcPr>
          <w:p>
            <w:pPr>
              <w:jc w:val="right"/>
              <w:spacing w:after="0"/>
              <w:rPr>
                <w:rFonts w:ascii="Arial" w:cs="Arial" w:eastAsia="Arial" w:hAnsi="Arial"/>
                <w:sz w:val="14"/>
                <w:szCs w:val="14"/>
                <w:color w:val="auto"/>
              </w:rPr>
            </w:pPr>
            <w:hyperlink w:anchor="page59">
              <w:r>
                <w:rPr>
                  <w:rFonts w:ascii="Arial" w:cs="Arial" w:eastAsia="Arial" w:hAnsi="Arial"/>
                  <w:sz w:val="14"/>
                  <w:szCs w:val="14"/>
                  <w:color w:val="auto"/>
                </w:rPr>
                <w:t>59</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59">
              <w:r>
                <w:rPr>
                  <w:rFonts w:ascii="Arial" w:cs="Arial" w:eastAsia="Arial" w:hAnsi="Arial"/>
                  <w:sz w:val="14"/>
                  <w:szCs w:val="14"/>
                  <w:color w:val="auto"/>
                </w:rPr>
                <w:t>ITEM 14.</w:t>
              </w:r>
            </w:hyperlink>
          </w:p>
        </w:tc>
        <w:tc>
          <w:tcPr>
            <w:tcW w:w="9620" w:type="dxa"/>
            <w:vAlign w:val="bottom"/>
          </w:tcPr>
          <w:p>
            <w:pPr>
              <w:ind w:left="100"/>
              <w:spacing w:after="0"/>
              <w:rPr>
                <w:rFonts w:ascii="Arial" w:cs="Arial" w:eastAsia="Arial" w:hAnsi="Arial"/>
                <w:sz w:val="14"/>
                <w:szCs w:val="14"/>
                <w:color w:val="auto"/>
              </w:rPr>
            </w:pPr>
            <w:hyperlink w:anchor="page59">
              <w:r>
                <w:rPr>
                  <w:rFonts w:ascii="Arial" w:cs="Arial" w:eastAsia="Arial" w:hAnsi="Arial"/>
                  <w:sz w:val="14"/>
                  <w:szCs w:val="14"/>
                  <w:color w:val="auto"/>
                </w:rPr>
                <w:t>PRINCIPAL ACCOUNTANT FEES AND SERVICES</w:t>
              </w:r>
            </w:hyperlink>
          </w:p>
        </w:tc>
        <w:tc>
          <w:tcPr>
            <w:tcW w:w="700" w:type="dxa"/>
            <w:vAlign w:val="bottom"/>
          </w:tcPr>
          <w:p>
            <w:pPr>
              <w:jc w:val="right"/>
              <w:spacing w:after="0"/>
              <w:rPr>
                <w:rFonts w:ascii="Arial" w:cs="Arial" w:eastAsia="Arial" w:hAnsi="Arial"/>
                <w:sz w:val="14"/>
                <w:szCs w:val="14"/>
                <w:color w:val="auto"/>
              </w:rPr>
            </w:pPr>
            <w:hyperlink w:anchor="page59">
              <w:r>
                <w:rPr>
                  <w:rFonts w:ascii="Arial" w:cs="Arial" w:eastAsia="Arial" w:hAnsi="Arial"/>
                  <w:sz w:val="14"/>
                  <w:szCs w:val="14"/>
                  <w:color w:val="auto"/>
                </w:rPr>
                <w:t>59</w:t>
              </w:r>
            </w:hyperlink>
          </w:p>
        </w:tc>
      </w:tr>
      <w:tr>
        <w:trPr>
          <w:trHeight w:val="435"/>
        </w:trPr>
        <w:tc>
          <w:tcPr>
            <w:tcW w:w="920" w:type="dxa"/>
            <w:vAlign w:val="bottom"/>
            <w:gridSpan w:val="5"/>
          </w:tcPr>
          <w:p>
            <w:pPr>
              <w:spacing w:after="0"/>
              <w:rPr>
                <w:rFonts w:ascii="Arial" w:cs="Arial" w:eastAsia="Arial" w:hAnsi="Arial"/>
                <w:sz w:val="14"/>
                <w:szCs w:val="14"/>
                <w:b w:val="1"/>
                <w:bCs w:val="1"/>
                <w:color w:val="auto"/>
              </w:rPr>
            </w:pPr>
            <w:hyperlink w:anchor="page60">
              <w:r>
                <w:rPr>
                  <w:rFonts w:ascii="Arial" w:cs="Arial" w:eastAsia="Arial" w:hAnsi="Arial"/>
                  <w:sz w:val="14"/>
                  <w:szCs w:val="14"/>
                  <w:b w:val="1"/>
                  <w:bCs w:val="1"/>
                  <w:color w:val="auto"/>
                </w:rPr>
                <w:t>PART IV</w:t>
              </w:r>
            </w:hyperlink>
          </w:p>
        </w:tc>
        <w:tc>
          <w:tcPr>
            <w:tcW w:w="9620" w:type="dxa"/>
            <w:vAlign w:val="bottom"/>
          </w:tcPr>
          <w:p>
            <w:pPr>
              <w:spacing w:after="0"/>
              <w:rPr>
                <w:sz w:val="24"/>
                <w:szCs w:val="24"/>
                <w:color w:val="auto"/>
              </w:rPr>
            </w:pPr>
          </w:p>
        </w:tc>
        <w:tc>
          <w:tcPr>
            <w:tcW w:w="700" w:type="dxa"/>
            <w:vAlign w:val="bottom"/>
          </w:tcPr>
          <w:p>
            <w:pPr>
              <w:jc w:val="right"/>
              <w:spacing w:after="0"/>
              <w:rPr>
                <w:rFonts w:ascii="Arial" w:cs="Arial" w:eastAsia="Arial" w:hAnsi="Arial"/>
                <w:sz w:val="14"/>
                <w:szCs w:val="14"/>
                <w:color w:val="auto"/>
              </w:rPr>
            </w:pPr>
            <w:hyperlink w:anchor="page60">
              <w:r>
                <w:rPr>
                  <w:rFonts w:ascii="Arial" w:cs="Arial" w:eastAsia="Arial" w:hAnsi="Arial"/>
                  <w:sz w:val="14"/>
                  <w:szCs w:val="14"/>
                  <w:color w:val="auto"/>
                </w:rPr>
                <w:t>60</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4"/>
        </w:trPr>
        <w:tc>
          <w:tcPr>
            <w:tcW w:w="920" w:type="dxa"/>
            <w:vAlign w:val="bottom"/>
            <w:gridSpan w:val="5"/>
          </w:tcPr>
          <w:p>
            <w:pPr>
              <w:spacing w:after="0"/>
              <w:rPr>
                <w:rFonts w:ascii="Arial" w:cs="Arial" w:eastAsia="Arial" w:hAnsi="Arial"/>
                <w:sz w:val="14"/>
                <w:szCs w:val="14"/>
                <w:color w:val="auto"/>
              </w:rPr>
            </w:pPr>
            <w:hyperlink w:anchor="page60">
              <w:r>
                <w:rPr>
                  <w:rFonts w:ascii="Arial" w:cs="Arial" w:eastAsia="Arial" w:hAnsi="Arial"/>
                  <w:sz w:val="14"/>
                  <w:szCs w:val="14"/>
                  <w:color w:val="auto"/>
                </w:rPr>
                <w:t>ITEM 15.</w:t>
              </w:r>
            </w:hyperlink>
          </w:p>
        </w:tc>
        <w:tc>
          <w:tcPr>
            <w:tcW w:w="9620" w:type="dxa"/>
            <w:vAlign w:val="bottom"/>
          </w:tcPr>
          <w:p>
            <w:pPr>
              <w:ind w:left="100"/>
              <w:spacing w:after="0"/>
              <w:rPr>
                <w:rFonts w:ascii="Arial" w:cs="Arial" w:eastAsia="Arial" w:hAnsi="Arial"/>
                <w:sz w:val="14"/>
                <w:szCs w:val="14"/>
                <w:color w:val="auto"/>
              </w:rPr>
            </w:pPr>
            <w:hyperlink w:anchor="page60">
              <w:r>
                <w:rPr>
                  <w:rFonts w:ascii="Arial" w:cs="Arial" w:eastAsia="Arial" w:hAnsi="Arial"/>
                  <w:sz w:val="14"/>
                  <w:szCs w:val="14"/>
                  <w:color w:val="auto"/>
                </w:rPr>
                <w:t>EXHIBITS AND FINANCIAL STATEMENT SCHEDULES</w:t>
              </w:r>
            </w:hyperlink>
          </w:p>
        </w:tc>
        <w:tc>
          <w:tcPr>
            <w:tcW w:w="700" w:type="dxa"/>
            <w:vAlign w:val="bottom"/>
          </w:tcPr>
          <w:p>
            <w:pPr>
              <w:jc w:val="right"/>
              <w:spacing w:after="0"/>
              <w:rPr>
                <w:rFonts w:ascii="Arial" w:cs="Arial" w:eastAsia="Arial" w:hAnsi="Arial"/>
                <w:sz w:val="14"/>
                <w:szCs w:val="14"/>
                <w:color w:val="auto"/>
              </w:rPr>
            </w:pPr>
            <w:hyperlink w:anchor="page60">
              <w:r>
                <w:rPr>
                  <w:rFonts w:ascii="Arial" w:cs="Arial" w:eastAsia="Arial" w:hAnsi="Arial"/>
                  <w:sz w:val="14"/>
                  <w:szCs w:val="14"/>
                  <w:color w:val="auto"/>
                </w:rPr>
                <w:t>60</w:t>
              </w:r>
            </w:hyperlink>
          </w:p>
        </w:tc>
      </w:tr>
      <w:tr>
        <w:trPr>
          <w:trHeight w:val="212"/>
        </w:trPr>
        <w:tc>
          <w:tcPr>
            <w:tcW w:w="920" w:type="dxa"/>
            <w:vAlign w:val="bottom"/>
            <w:gridSpan w:val="5"/>
          </w:tcPr>
          <w:p>
            <w:pPr>
              <w:spacing w:after="0"/>
              <w:rPr>
                <w:rFonts w:ascii="Arial" w:cs="Arial" w:eastAsia="Arial" w:hAnsi="Arial"/>
                <w:sz w:val="14"/>
                <w:szCs w:val="14"/>
                <w:color w:val="auto"/>
              </w:rPr>
            </w:pPr>
            <w:hyperlink w:anchor="page63">
              <w:r>
                <w:rPr>
                  <w:rFonts w:ascii="Arial" w:cs="Arial" w:eastAsia="Arial" w:hAnsi="Arial"/>
                  <w:sz w:val="14"/>
                  <w:szCs w:val="14"/>
                  <w:color w:val="auto"/>
                </w:rPr>
                <w:t>ITEM 16.</w:t>
              </w:r>
            </w:hyperlink>
          </w:p>
        </w:tc>
        <w:tc>
          <w:tcPr>
            <w:tcW w:w="9620" w:type="dxa"/>
            <w:vAlign w:val="bottom"/>
          </w:tcPr>
          <w:p>
            <w:pPr>
              <w:ind w:left="100"/>
              <w:spacing w:after="0"/>
              <w:rPr>
                <w:rFonts w:ascii="Arial" w:cs="Arial" w:eastAsia="Arial" w:hAnsi="Arial"/>
                <w:sz w:val="14"/>
                <w:szCs w:val="14"/>
                <w:color w:val="auto"/>
              </w:rPr>
            </w:pPr>
            <w:hyperlink w:anchor="page63">
              <w:r>
                <w:rPr>
                  <w:rFonts w:ascii="Arial" w:cs="Arial" w:eastAsia="Arial" w:hAnsi="Arial"/>
                  <w:sz w:val="14"/>
                  <w:szCs w:val="14"/>
                  <w:color w:val="auto"/>
                </w:rPr>
                <w:t>FORM 10-K SUMMARY</w:t>
              </w:r>
            </w:hyperlink>
          </w:p>
        </w:tc>
        <w:tc>
          <w:tcPr>
            <w:tcW w:w="700" w:type="dxa"/>
            <w:vAlign w:val="bottom"/>
          </w:tcPr>
          <w:p>
            <w:pPr>
              <w:jc w:val="right"/>
              <w:spacing w:after="0"/>
              <w:rPr>
                <w:rFonts w:ascii="Arial" w:cs="Arial" w:eastAsia="Arial" w:hAnsi="Arial"/>
                <w:sz w:val="14"/>
                <w:szCs w:val="14"/>
                <w:color w:val="auto"/>
              </w:rPr>
            </w:pPr>
            <w:hyperlink w:anchor="page60">
              <w:r>
                <w:rPr>
                  <w:rFonts w:ascii="Arial" w:cs="Arial" w:eastAsia="Arial" w:hAnsi="Arial"/>
                  <w:sz w:val="14"/>
                  <w:szCs w:val="14"/>
                  <w:color w:val="auto"/>
                </w:rPr>
                <w:t>60</w:t>
              </w:r>
            </w:hyperlink>
          </w:p>
        </w:tc>
      </w:tr>
      <w:tr>
        <w:trPr>
          <w:trHeight w:val="435"/>
        </w:trPr>
        <w:tc>
          <w:tcPr>
            <w:tcW w:w="920" w:type="dxa"/>
            <w:vAlign w:val="bottom"/>
            <w:tcBorders>
              <w:bottom w:val="single" w:sz="8" w:color="auto"/>
            </w:tcBorders>
            <w:gridSpan w:val="5"/>
          </w:tcPr>
          <w:p>
            <w:pPr>
              <w:spacing w:after="0"/>
              <w:rPr>
                <w:rFonts w:ascii="Arial" w:cs="Arial" w:eastAsia="Arial" w:hAnsi="Arial"/>
                <w:sz w:val="14"/>
                <w:szCs w:val="14"/>
                <w:b w:val="1"/>
                <w:bCs w:val="1"/>
                <w:color w:val="auto"/>
                <w:w w:val="97"/>
              </w:rPr>
            </w:pPr>
            <w:hyperlink w:anchor="page64">
              <w:r>
                <w:rPr>
                  <w:rFonts w:ascii="Arial" w:cs="Arial" w:eastAsia="Arial" w:hAnsi="Arial"/>
                  <w:sz w:val="14"/>
                  <w:szCs w:val="14"/>
                  <w:b w:val="1"/>
                  <w:bCs w:val="1"/>
                  <w:color w:val="auto"/>
                  <w:w w:val="97"/>
                </w:rPr>
                <w:t>SIGNATURES</w:t>
              </w:r>
            </w:hyperlink>
          </w:p>
        </w:tc>
        <w:tc>
          <w:tcPr>
            <w:tcW w:w="9620" w:type="dxa"/>
            <w:vAlign w:val="bottom"/>
          </w:tcPr>
          <w:p>
            <w:pPr>
              <w:spacing w:after="0"/>
              <w:rPr>
                <w:sz w:val="24"/>
                <w:szCs w:val="24"/>
                <w:color w:val="auto"/>
              </w:rPr>
            </w:pPr>
          </w:p>
        </w:tc>
        <w:tc>
          <w:tcPr>
            <w:tcW w:w="700" w:type="dxa"/>
            <w:vAlign w:val="bottom"/>
          </w:tcPr>
          <w:p>
            <w:pPr>
              <w:jc w:val="right"/>
              <w:spacing w:after="0"/>
              <w:rPr>
                <w:rFonts w:ascii="Arial" w:cs="Arial" w:eastAsia="Arial" w:hAnsi="Arial"/>
                <w:sz w:val="14"/>
                <w:szCs w:val="14"/>
                <w:color w:val="auto"/>
              </w:rPr>
            </w:pPr>
            <w:hyperlink w:anchor="page64">
              <w:r>
                <w:rPr>
                  <w:rFonts w:ascii="Arial" w:cs="Arial" w:eastAsia="Arial" w:hAnsi="Arial"/>
                  <w:sz w:val="14"/>
                  <w:szCs w:val="14"/>
                  <w:color w:val="auto"/>
                </w:rPr>
                <w:t>64</w:t>
              </w:r>
            </w:hyperlink>
          </w:p>
        </w:tc>
      </w:tr>
      <w:tr>
        <w:trPr>
          <w:trHeight w:val="224"/>
        </w:trPr>
        <w:tc>
          <w:tcPr>
            <w:tcW w:w="10540" w:type="dxa"/>
            <w:vAlign w:val="bottom"/>
            <w:gridSpan w:val="6"/>
          </w:tcPr>
          <w:p>
            <w:pPr>
              <w:spacing w:after="0"/>
              <w:rPr>
                <w:rFonts w:ascii="Arial" w:cs="Arial" w:eastAsia="Arial" w:hAnsi="Arial"/>
                <w:sz w:val="14"/>
                <w:szCs w:val="14"/>
                <w:color w:val="auto"/>
              </w:rPr>
            </w:pPr>
            <w:hyperlink w:anchor="page67">
              <w:r>
                <w:rPr>
                  <w:rFonts w:ascii="Arial" w:cs="Arial" w:eastAsia="Arial" w:hAnsi="Arial"/>
                  <w:sz w:val="14"/>
                  <w:szCs w:val="14"/>
                  <w:color w:val="auto"/>
                </w:rPr>
                <w:t>ITEM 15(a)(1) - FINANCIAL STATEMENTS</w:t>
              </w:r>
            </w:hyperlink>
          </w:p>
        </w:tc>
        <w:tc>
          <w:tcPr>
            <w:tcW w:w="700" w:type="dxa"/>
            <w:vAlign w:val="bottom"/>
          </w:tcPr>
          <w:p>
            <w:pPr>
              <w:jc w:val="right"/>
              <w:spacing w:after="0"/>
              <w:rPr>
                <w:rFonts w:ascii="Arial" w:cs="Arial" w:eastAsia="Arial" w:hAnsi="Arial"/>
                <w:sz w:val="14"/>
                <w:szCs w:val="14"/>
                <w:color w:val="auto"/>
              </w:rPr>
            </w:pPr>
            <w:hyperlink w:anchor="page67">
              <w:r>
                <w:rPr>
                  <w:rFonts w:ascii="Arial" w:cs="Arial" w:eastAsia="Arial" w:hAnsi="Arial"/>
                  <w:sz w:val="14"/>
                  <w:szCs w:val="14"/>
                  <w:color w:val="auto"/>
                </w:rPr>
                <w:t>67</w:t>
              </w:r>
            </w:hyperlink>
          </w:p>
        </w:tc>
      </w:tr>
      <w:tr>
        <w:trPr>
          <w:trHeight w:val="212"/>
        </w:trPr>
        <w:tc>
          <w:tcPr>
            <w:tcW w:w="10540" w:type="dxa"/>
            <w:vAlign w:val="bottom"/>
            <w:gridSpan w:val="6"/>
          </w:tcPr>
          <w:p>
            <w:pPr>
              <w:spacing w:after="0"/>
              <w:rPr>
                <w:rFonts w:ascii="Arial" w:cs="Arial" w:eastAsia="Arial" w:hAnsi="Arial"/>
                <w:sz w:val="14"/>
                <w:szCs w:val="14"/>
                <w:color w:val="auto"/>
              </w:rPr>
            </w:pPr>
            <w:hyperlink w:anchor="page67">
              <w:r>
                <w:rPr>
                  <w:rFonts w:ascii="Arial" w:cs="Arial" w:eastAsia="Arial" w:hAnsi="Arial"/>
                  <w:sz w:val="14"/>
                  <w:szCs w:val="14"/>
                  <w:color w:val="auto"/>
                </w:rPr>
                <w:t>ITEM 15(a)(2) - FINANCIAL STATEMENT SCHEDULES</w:t>
              </w:r>
            </w:hyperlink>
          </w:p>
        </w:tc>
        <w:tc>
          <w:tcPr>
            <w:tcW w:w="700" w:type="dxa"/>
            <w:vAlign w:val="bottom"/>
          </w:tcPr>
          <w:p>
            <w:pPr>
              <w:jc w:val="right"/>
              <w:spacing w:after="0"/>
              <w:rPr>
                <w:rFonts w:ascii="Arial" w:cs="Arial" w:eastAsia="Arial" w:hAnsi="Arial"/>
                <w:sz w:val="14"/>
                <w:szCs w:val="14"/>
                <w:color w:val="auto"/>
              </w:rPr>
            </w:pPr>
            <w:hyperlink w:anchor="page67">
              <w:r>
                <w:rPr>
                  <w:rFonts w:ascii="Arial" w:cs="Arial" w:eastAsia="Arial" w:hAnsi="Arial"/>
                  <w:sz w:val="14"/>
                  <w:szCs w:val="14"/>
                  <w:color w:val="auto"/>
                </w:rPr>
                <w:t>67</w:t>
              </w:r>
            </w:hyperlink>
          </w:p>
        </w:tc>
      </w:tr>
      <w:tr>
        <w:trPr>
          <w:trHeight w:val="361"/>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tcPr>
          <w:p>
            <w:pPr>
              <w:ind w:left="4660"/>
              <w:spacing w:after="0"/>
              <w:rPr>
                <w:sz w:val="20"/>
                <w:szCs w:val="20"/>
                <w:color w:val="auto"/>
              </w:rPr>
            </w:pPr>
            <w:r>
              <w:rPr>
                <w:rFonts w:ascii="Arial" w:cs="Arial" w:eastAsia="Arial" w:hAnsi="Arial"/>
                <w:sz w:val="14"/>
                <w:szCs w:val="14"/>
                <w:color w:val="auto"/>
              </w:rPr>
              <w:t>2</w:t>
            </w:r>
          </w:p>
        </w:tc>
        <w:tc>
          <w:tcPr>
            <w:tcW w:w="700" w:type="dxa"/>
            <w:vAlign w:val="bottom"/>
          </w:tcPr>
          <w:p>
            <w:pPr>
              <w:spacing w:after="0"/>
              <w:rPr>
                <w:sz w:val="24"/>
                <w:szCs w:val="24"/>
                <w:color w:val="auto"/>
              </w:rPr>
            </w:pPr>
          </w:p>
        </w:tc>
      </w:tr>
    </w:tbl>
    <w:p>
      <w:pPr>
        <w:sectPr>
          <w:pgSz w:w="11900" w:h="16838" w:orient="portrait"/>
          <w:cols w:equalWidth="0" w:num="1">
            <w:col w:w="11240"/>
          </w:cols>
          <w:pgMar w:left="320" w:top="2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u w:val="single" w:color="auto"/>
          <w:color w:val="auto"/>
        </w:rPr>
        <w:t>PART I</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3"/>
          <w:szCs w:val="13"/>
          <w:i w:val="1"/>
          <w:iCs w:val="1"/>
          <w:color w:val="auto"/>
        </w:rPr>
        <w:t>This annual report on Form 10-K contains forward-looking statements, including statements regarding strategic alliances, the almond, pistachio and grape industries, the future plantings of permanent crops, future yields and prices, and water availability for our crops and real estate operations, future prices, production and demand for oil and other minerals, future development of our property, future revenue and income of our jointly-owned travel plaza and other joint venture operations, potential losses to the Company as a result of pending environmental proceedings, the adequacy of future cash flows to fund our operations, market value risks associated with investment and risk management activities and with respect to inventory, accounts receivable and our own outstanding indebtedness, ongoing negotiations and other future events and conditions. In some cases, these statements are identifiable through the use of words such as “anticipate,” “believe,” “estimate,” “expect,” “intend,” “plan,” “project,” “target,” “can,” “could,” “may,” “will,” “should,” “would,” “likely,” and similar expressions such as “in the process,” “designed to,” or “envisioned to,” .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performances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market and economic forces, availability of financing for land development activities,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Part I, Item 1A, “Risk Factors” of this report.</w:t>
      </w:r>
    </w:p>
    <w:p>
      <w:pPr>
        <w:spacing w:after="0" w:line="20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As used in this annual report on Form 10-K, references to the “Company,” “Tejon,” “TRC,” “we,” “us,” and “our” refer to Tejon Ranch Co. and its consolidated subsidiaries. The following discussion should be read in conjunction with the consolidated financial statements and the accompanying notes appearing elsewhere in this annual report on Form 10-K.</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300" w:top="295" w:right="339" w:bottom="1440" w:gutter="0" w:footer="0" w:header="0"/>
        </w:sectPr>
      </w:pPr>
    </w:p>
    <w:bookmarkStart w:id="3" w:name="page4"/>
    <w:bookmarkEnd w:id="3"/>
    <w:p>
      <w:pPr>
        <w:spacing w:after="0"/>
        <w:tabs>
          <w:tab w:leader="none" w:pos="680" w:val="left"/>
        </w:tabs>
        <w:rPr>
          <w:sz w:val="20"/>
          <w:szCs w:val="20"/>
          <w:color w:val="auto"/>
        </w:rPr>
      </w:pPr>
      <w:r>
        <w:rPr>
          <w:rFonts w:ascii="Arial" w:cs="Arial" w:eastAsia="Arial" w:hAnsi="Arial"/>
          <w:sz w:val="14"/>
          <w:szCs w:val="14"/>
          <w:b w:val="1"/>
          <w:bCs w:val="1"/>
          <w:color w:val="006EBF"/>
        </w:rPr>
        <w:t>ITEM 1.</w:t>
      </w:r>
      <w:r>
        <w:rPr>
          <w:sz w:val="20"/>
          <w:szCs w:val="20"/>
          <w:color w:val="auto"/>
        </w:rPr>
        <w:tab/>
      </w:r>
      <w:r>
        <w:rPr>
          <w:rFonts w:ascii="Arial" w:cs="Arial" w:eastAsia="Arial" w:hAnsi="Arial"/>
          <w:sz w:val="13"/>
          <w:szCs w:val="13"/>
          <w:b w:val="1"/>
          <w:bCs w:val="1"/>
          <w:color w:val="006EBF"/>
        </w:rPr>
        <w:t>BUSINESS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Company Overview</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a diversified real estate development and agribusiness company committed to responsibly using our land and resources to meet the housing, employment, and lifestyle needs of Californians and create value for our shareholders. Current operations consist of land planning and entitlement, land development, commercial land sales and leasing, leasing of land for mineral royalties, water asset management and sales, grazing leases, farming, and ranch operations.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These activities are performed through our five reporting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93345</wp:posOffset>
            </wp:positionV>
            <wp:extent cx="4594860" cy="175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9486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Our prime asset is approximately 270,000 acres of contiguous, largely undeveloped land that, at its most southerly border, is 60 miles north of downtown Los Angeles and, at its most northerly border, is 15 miles east of Bakersfield. We create value by securing entitlements for our land, facilitating infrastructure development, strategic land planning, monetization of land through development and/or sales, and conservation in order to maximize the highest and best use for our land. We are involved in eight joint ventures, that either own, develop, and/or operate real estate properties. We enter into joint ventures as a means to facilitate the development of portions of our land.</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00"/>
          </w:cols>
          <w:pgMar w:left="300" w:top="358" w:right="4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1473835</wp:posOffset>
            </wp:positionH>
            <wp:positionV relativeFrom="page">
              <wp:posOffset>277495</wp:posOffset>
            </wp:positionV>
            <wp:extent cx="4608195" cy="3900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608195" cy="390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Business Objectives and Strategies</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Our primary business objective is to maximize long-term shareholder value through the monetization of our land-based assets. A key element of our strategy is to entitle and then develop large-scale mixed use master planned residential and commercial/industrial real estate projects to serve the growing populations of Southern and Central California. Our mixed use master planned residential developments have been approved to collectively include up to 34,783 housing units, and more than 35 million square feet of commercial space. We have obtained entitlements on Mountain Village at Tejon Ranch, or MV. In 2019, the Los Angeles County Board of Supervisors affirmed their final approval of Centennial at Tejon Ranch, or Centennial. Also in 2019, the Kern County Board of Supervisors unanimously reapproved the Grapevine at Tejon Ranch project, or Grapevine. We are currently engaged in construction, commercial sales, and leasing at our fully operational commercial/industrial center Tejon Ranch Commerce Center, or TRCC. All of these efforts are supported by diverse revenue streams generated from other operations including: farming, mineral resources, and our various joint ventures.</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20"/>
          </w:cols>
          <w:pgMar w:left="30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1473835</wp:posOffset>
            </wp:positionH>
            <wp:positionV relativeFrom="page">
              <wp:posOffset>277495</wp:posOffset>
            </wp:positionV>
            <wp:extent cx="4608195" cy="5962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608195" cy="596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1440"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006EBF"/>
        </w:rPr>
        <w:t>Percentage of Total Revenue</w:t>
      </w:r>
      <w:r>
        <w:rPr>
          <w:rFonts w:ascii="Arial" w:cs="Arial" w:eastAsia="Arial" w:hAnsi="Arial"/>
          <w:sz w:val="19"/>
          <w:szCs w:val="19"/>
          <w:b w:val="1"/>
          <w:bCs w:val="1"/>
          <w:color w:val="006EBF"/>
          <w:vertAlign w:val="superscript"/>
        </w:rPr>
        <w:t>1,2</w:t>
      </w:r>
      <w:r>
        <w:rPr>
          <w:rFonts w:ascii="Arial" w:cs="Arial" w:eastAsia="Arial" w:hAnsi="Arial"/>
          <w:sz w:val="14"/>
          <w:szCs w:val="14"/>
          <w:b w:val="1"/>
          <w:bCs w:val="1"/>
          <w:color w:val="006EBF"/>
        </w:rPr>
        <w:t xml:space="preserv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59055</wp:posOffset>
            </wp:positionV>
            <wp:extent cx="6871970" cy="2694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1970" cy="269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0" w:hanging="95"/>
        <w:spacing w:after="0"/>
        <w:tabs>
          <w:tab w:leader="none" w:pos="100" w:val="left"/>
        </w:tabs>
        <w:numPr>
          <w:ilvl w:val="0"/>
          <w:numId w:val="2"/>
        </w:numPr>
        <w:rPr>
          <w:rFonts w:ascii="Arial" w:cs="Arial" w:eastAsia="Arial" w:hAnsi="Arial"/>
          <w:sz w:val="10"/>
          <w:szCs w:val="10"/>
          <w:color w:val="auto"/>
        </w:rPr>
      </w:pPr>
      <w:r>
        <w:rPr>
          <w:rFonts w:ascii="Arial" w:cs="Arial" w:eastAsia="Arial" w:hAnsi="Arial"/>
          <w:sz w:val="10"/>
          <w:szCs w:val="10"/>
          <w:color w:val="auto"/>
        </w:rPr>
        <w:t>Real Estate includes equity in earnings of unconsolidated joint ventures.</w:t>
      </w:r>
    </w:p>
    <w:p>
      <w:pPr>
        <w:spacing w:after="0" w:line="54" w:lineRule="exact"/>
        <w:rPr>
          <w:rFonts w:ascii="Arial" w:cs="Arial" w:eastAsia="Arial" w:hAnsi="Arial"/>
          <w:sz w:val="10"/>
          <w:szCs w:val="10"/>
          <w:color w:val="auto"/>
        </w:rPr>
      </w:pPr>
    </w:p>
    <w:p>
      <w:pPr>
        <w:ind w:left="100" w:hanging="95"/>
        <w:spacing w:after="0"/>
        <w:tabs>
          <w:tab w:leader="none" w:pos="100" w:val="left"/>
        </w:tabs>
        <w:numPr>
          <w:ilvl w:val="0"/>
          <w:numId w:val="2"/>
        </w:numPr>
        <w:rPr>
          <w:rFonts w:ascii="Arial" w:cs="Arial" w:eastAsia="Arial" w:hAnsi="Arial"/>
          <w:sz w:val="10"/>
          <w:szCs w:val="10"/>
          <w:color w:val="auto"/>
        </w:rPr>
      </w:pPr>
      <w:r>
        <w:rPr>
          <w:rFonts w:ascii="Arial" w:cs="Arial" w:eastAsia="Arial" w:hAnsi="Arial"/>
          <w:sz w:val="10"/>
          <w:szCs w:val="10"/>
          <w:color w:val="auto"/>
        </w:rPr>
        <w:t>Charts presented only include the segment revenues, other income components are excluded.</w:t>
      </w:r>
    </w:p>
    <w:p>
      <w:pPr>
        <w:spacing w:after="0" w:line="172"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59"/>
          </w:cols>
          <w:pgMar w:left="300" w:top="719"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1534160</wp:posOffset>
            </wp:positionH>
            <wp:positionV relativeFrom="page">
              <wp:posOffset>277495</wp:posOffset>
            </wp:positionV>
            <wp:extent cx="4486910" cy="5389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86910" cy="538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1440"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The following table shows the revenues from continuing operations, segment profits and identifiable assets of each of our continuing segments for the last three years: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FINANCIAL INFORMATION ABOUT SEGMENTS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 of dollars)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color w:val="auto"/>
                <w:w w:val="98"/>
              </w:rPr>
              <w:t>Year Ended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2019</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Revenues and Other Income</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gridSpan w:val="4"/>
            <w:vMerge w:val="continue"/>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Real Estate—Commercial/Industrial</w:t>
            </w: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16,792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8,970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9,001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Mineral Resources</w:t>
            </w:r>
          </w:p>
        </w:tc>
        <w:tc>
          <w:tcPr>
            <w:tcW w:w="9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9,791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14,395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5,983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Farming</w:t>
            </w: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19,331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18,563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16,434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Ranch operations</w:t>
            </w:r>
          </w:p>
        </w:tc>
        <w:tc>
          <w:tcPr>
            <w:tcW w:w="9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3,609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3,691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3,837</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Segment revenues</w:t>
            </w:r>
          </w:p>
        </w:tc>
        <w:tc>
          <w:tcPr>
            <w:tcW w:w="9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49,523</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45,619</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35,255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Investment income</w:t>
            </w:r>
          </w:p>
        </w:tc>
        <w:tc>
          <w:tcPr>
            <w:tcW w:w="9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1,344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Revenues and other income</w:t>
            </w:r>
          </w:p>
        </w:tc>
        <w:tc>
          <w:tcPr>
            <w:tcW w:w="9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50,762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46,963</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35,717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Equity in earnings of unconsolidated joint ventures</w:t>
            </w:r>
          </w:p>
        </w:tc>
        <w:tc>
          <w:tcPr>
            <w:tcW w:w="9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16,575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3,834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CCEEFF"/>
            </w:tcBorders>
            <w:gridSpan w:val="4"/>
            <w:shd w:val="clear" w:color="auto" w:fill="CCEEFF"/>
          </w:tcPr>
          <w:p>
            <w:pPr>
              <w:spacing w:after="0" w:line="203" w:lineRule="exact"/>
              <w:rPr>
                <w:sz w:val="20"/>
                <w:szCs w:val="20"/>
                <w:color w:val="auto"/>
              </w:rPr>
            </w:pPr>
            <w:r>
              <w:rPr>
                <w:rFonts w:ascii="Arial" w:cs="Arial" w:eastAsia="Arial" w:hAnsi="Arial"/>
                <w:sz w:val="14"/>
                <w:szCs w:val="14"/>
                <w:color w:val="auto"/>
              </w:rPr>
              <w:t xml:space="preserve">Total revenues and other income </w:t>
            </w:r>
            <w:r>
              <w:rPr>
                <w:rFonts w:ascii="Arial" w:cs="Arial" w:eastAsia="Arial" w:hAnsi="Arial"/>
                <w:sz w:val="19"/>
                <w:szCs w:val="19"/>
                <w:color w:val="auto"/>
                <w:vertAlign w:val="superscript"/>
              </w:rPr>
              <w:t>(1)</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67,337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50,797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39,944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gridSpan w:val="4"/>
            <w:vMerge w:val="restart"/>
          </w:tcPr>
          <w:p>
            <w:pPr>
              <w:spacing w:after="0" w:line="139" w:lineRule="exact"/>
              <w:rPr>
                <w:sz w:val="20"/>
                <w:szCs w:val="20"/>
                <w:color w:val="auto"/>
              </w:rPr>
            </w:pPr>
            <w:r>
              <w:rPr>
                <w:rFonts w:ascii="Arial" w:cs="Arial" w:eastAsia="Arial" w:hAnsi="Arial"/>
                <w:sz w:val="13"/>
                <w:szCs w:val="13"/>
                <w:b w:val="1"/>
                <w:bCs w:val="1"/>
                <w:color w:val="auto"/>
              </w:rPr>
              <w:t>Segment Profits (Losses) and Net Income</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vMerge w:val="continue"/>
          </w:tcPr>
          <w:p>
            <w:pPr>
              <w:spacing w:after="0"/>
              <w:rPr>
                <w:sz w:val="8"/>
                <w:szCs w:val="8"/>
                <w:color w:val="auto"/>
              </w:rPr>
            </w:pPr>
          </w:p>
        </w:tc>
        <w:tc>
          <w:tcPr>
            <w:tcW w:w="6280" w:type="dxa"/>
            <w:vAlign w:val="bottom"/>
            <w:gridSpan w:val="4"/>
            <w:vMerge w:val="continue"/>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5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4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Real Estate—Commercial/Industrial</w:t>
            </w: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3,831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2,724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Real Estate—Resort/Residential</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Mineral Resources</w:t>
            </w: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3,973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8,172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Farming</w:t>
            </w:r>
          </w:p>
        </w:tc>
        <w:tc>
          <w:tcPr>
            <w:tcW w:w="9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4,080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Ranch operations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4"/>
          </w:tcPr>
          <w:p>
            <w:pPr>
              <w:spacing w:after="0" w:line="203" w:lineRule="exact"/>
              <w:rPr>
                <w:sz w:val="20"/>
                <w:szCs w:val="20"/>
                <w:color w:val="auto"/>
              </w:rPr>
            </w:pPr>
            <w:r>
              <w:rPr>
                <w:rFonts w:ascii="Arial" w:cs="Arial" w:eastAsia="Arial" w:hAnsi="Arial"/>
                <w:sz w:val="14"/>
                <w:szCs w:val="14"/>
                <w:color w:val="auto"/>
              </w:rPr>
              <w:t xml:space="preserve">Segment profits </w:t>
            </w:r>
            <w:r>
              <w:rPr>
                <w:rFonts w:ascii="Arial" w:cs="Arial" w:eastAsia="Arial" w:hAnsi="Arial"/>
                <w:sz w:val="19"/>
                <w:szCs w:val="19"/>
                <w:color w:val="auto"/>
                <w:vertAlign w:val="superscript"/>
              </w:rPr>
              <w:t>(2)</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7,930</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10,141</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2,195</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Investment income</w:t>
            </w: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1,239</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1,344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Other loss</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Corporate expenses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(9,361)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(9,705)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(Loss) income from operations before equity in earnings of unconsolidated joint ventures</w:t>
            </w:r>
          </w:p>
        </w:tc>
        <w:tc>
          <w:tcPr>
            <w:tcW w:w="9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1,721</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(7,331)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Equity in earnings of unconsolidated joint ventures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16,575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3,834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Income (loss) before income taxes</w:t>
            </w:r>
          </w:p>
        </w:tc>
        <w:tc>
          <w:tcPr>
            <w:tcW w:w="9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14,559</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5,555</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(3,104)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3,980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1,320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Net income (loss)</w:t>
            </w:r>
          </w:p>
        </w:tc>
        <w:tc>
          <w:tcPr>
            <w:tcW w:w="9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10,579</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4,235</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Net loss attributable to non-controlling interest</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Net income (loss) attributable to common stockholders</w:t>
            </w:r>
          </w:p>
        </w:tc>
        <w:tc>
          <w:tcPr>
            <w:tcW w:w="980" w:type="dxa"/>
            <w:vAlign w:val="bottom"/>
            <w:tcBorders>
              <w:top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10,580</w:t>
            </w:r>
          </w:p>
        </w:tc>
        <w:tc>
          <w:tcPr>
            <w:tcW w:w="120" w:type="dxa"/>
            <w:vAlign w:val="bottom"/>
          </w:tcPr>
          <w:p>
            <w:pPr>
              <w:spacing w:after="0"/>
              <w:rPr>
                <w:sz w:val="15"/>
                <w:szCs w:val="15"/>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4,255</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62"/>
        </w:trPr>
        <w:tc>
          <w:tcPr>
            <w:tcW w:w="20" w:type="dxa"/>
            <w:vAlign w:val="bottom"/>
            <w:tcBorders>
              <w:bottom w:val="single" w:sz="8" w:color="CCEEFF"/>
            </w:tcBorders>
          </w:tcPr>
          <w:p>
            <w:pPr>
              <w:spacing w:after="0"/>
              <w:rPr>
                <w:sz w:val="5"/>
                <w:szCs w:val="5"/>
                <w:color w:val="auto"/>
              </w:rPr>
            </w:pPr>
          </w:p>
        </w:tc>
        <w:tc>
          <w:tcPr>
            <w:tcW w:w="154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406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shd w:val="clear" w:color="auto" w:fill="CCEEFF"/>
          </w:tcPr>
          <w:p>
            <w:pPr>
              <w:spacing w:after="0"/>
              <w:rPr>
                <w:sz w:val="9"/>
                <w:szCs w:val="9"/>
                <w:color w:val="auto"/>
              </w:rPr>
            </w:pPr>
          </w:p>
        </w:tc>
        <w:tc>
          <w:tcPr>
            <w:tcW w:w="6280" w:type="dxa"/>
            <w:vAlign w:val="bottom"/>
            <w:gridSpan w:val="4"/>
            <w:shd w:val="clear" w:color="auto" w:fill="CCEEFF"/>
          </w:tcPr>
          <w:p>
            <w:pPr>
              <w:spacing w:after="0" w:line="110" w:lineRule="exact"/>
              <w:rPr>
                <w:sz w:val="20"/>
                <w:szCs w:val="20"/>
                <w:color w:val="auto"/>
              </w:rPr>
            </w:pPr>
            <w:r>
              <w:rPr>
                <w:rFonts w:ascii="Arial" w:cs="Arial" w:eastAsia="Arial" w:hAnsi="Arial"/>
                <w:sz w:val="9"/>
                <w:szCs w:val="9"/>
                <w:b w:val="1"/>
                <w:bCs w:val="1"/>
                <w:color w:val="auto"/>
              </w:rPr>
              <w:t xml:space="preserve">Identifiable Assets by Segment </w:t>
            </w:r>
            <w:r>
              <w:rPr>
                <w:rFonts w:ascii="Arial" w:cs="Arial" w:eastAsia="Arial" w:hAnsi="Arial"/>
                <w:sz w:val="12"/>
                <w:szCs w:val="12"/>
                <w:b w:val="1"/>
                <w:bCs w:val="1"/>
                <w:color w:val="auto"/>
                <w:vertAlign w:val="superscript"/>
              </w:rPr>
              <w:t>(3)</w:t>
            </w:r>
          </w:p>
        </w:tc>
        <w:tc>
          <w:tcPr>
            <w:tcW w:w="9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Real estate—commercial/industrial</w:t>
            </w:r>
          </w:p>
        </w:tc>
        <w:tc>
          <w:tcPr>
            <w:tcW w:w="980" w:type="dxa"/>
            <w:vAlign w:val="bottom"/>
          </w:tcPr>
          <w:p>
            <w:pPr>
              <w:jc w:val="right"/>
              <w:ind w:right="809"/>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76,814</w:t>
            </w:r>
          </w:p>
        </w:tc>
        <w:tc>
          <w:tcPr>
            <w:tcW w:w="12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65,929</w:t>
            </w:r>
          </w:p>
        </w:tc>
        <w:tc>
          <w:tcPr>
            <w:tcW w:w="12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63,065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Real estate—resort/residential</w:t>
            </w: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4"/>
              </w:rPr>
              <w:t>286,801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273,620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258,697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Mineral Resources</w:t>
            </w:r>
          </w:p>
        </w:tc>
        <w:tc>
          <w:tcPr>
            <w:tcW w:w="9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55,049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54,144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48,305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Farming</w:t>
            </w: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41,258</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40,835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36,317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Ranch operations</w:t>
            </w:r>
          </w:p>
        </w:tc>
        <w:tc>
          <w:tcPr>
            <w:tcW w:w="98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2,624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2,973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3,625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Corporate</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76,876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91,547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108,190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80" w:type="dxa"/>
            <w:vAlign w:val="bottom"/>
            <w:gridSpan w:val="4"/>
          </w:tcPr>
          <w:p>
            <w:pPr>
              <w:spacing w:after="0"/>
              <w:rPr>
                <w:sz w:val="20"/>
                <w:szCs w:val="20"/>
                <w:color w:val="auto"/>
              </w:rPr>
            </w:pPr>
            <w:r>
              <w:rPr>
                <w:rFonts w:ascii="Arial" w:cs="Arial" w:eastAsia="Arial" w:hAnsi="Arial"/>
                <w:sz w:val="14"/>
                <w:szCs w:val="14"/>
                <w:color w:val="auto"/>
              </w:rPr>
              <w:t>Total assets</w:t>
            </w:r>
          </w:p>
        </w:tc>
        <w:tc>
          <w:tcPr>
            <w:tcW w:w="980" w:type="dxa"/>
            <w:vAlign w:val="bottom"/>
            <w:tcBorders>
              <w:top w:val="single" w:sz="8" w:color="auto"/>
            </w:tcBorders>
          </w:tcPr>
          <w:p>
            <w:pPr>
              <w:jc w:val="right"/>
              <w:ind w:right="80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94"/>
              </w:rPr>
              <w:t>539,422</w:t>
            </w:r>
          </w:p>
        </w:tc>
        <w:tc>
          <w:tcPr>
            <w:tcW w:w="120" w:type="dxa"/>
            <w:vAlign w:val="bottom"/>
          </w:tcPr>
          <w:p>
            <w:pPr>
              <w:spacing w:after="0"/>
              <w:rPr>
                <w:sz w:val="15"/>
                <w:szCs w:val="15"/>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529,048</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518,199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13970</wp:posOffset>
            </wp:positionV>
            <wp:extent cx="313944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18" w:lineRule="exact"/>
        <w:rPr>
          <w:sz w:val="20"/>
          <w:szCs w:val="20"/>
          <w:color w:val="auto"/>
        </w:rPr>
      </w:pPr>
    </w:p>
    <w:p>
      <w:pPr>
        <w:ind w:left="200" w:hanging="153"/>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Refer to Item 7, Management's Discussion and Analysis of Financial Condition and Results of Operations for additional detail on segment revenues.</w:t>
      </w:r>
    </w:p>
    <w:p>
      <w:pPr>
        <w:spacing w:after="0" w:line="10" w:lineRule="exact"/>
        <w:rPr>
          <w:rFonts w:ascii="Arial" w:cs="Arial" w:eastAsia="Arial" w:hAnsi="Arial"/>
          <w:sz w:val="11"/>
          <w:szCs w:val="11"/>
          <w:color w:val="auto"/>
        </w:rPr>
      </w:pPr>
    </w:p>
    <w:p>
      <w:pPr>
        <w:ind w:left="200" w:hanging="153"/>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color w:val="auto"/>
        </w:rPr>
        <w:t>Segment profits are revenues less operating expenses, excluding investment income and expense, corporate expenses, equity in earnings of unconsolidated joint ventures, and income taxes.</w:t>
      </w:r>
    </w:p>
    <w:p>
      <w:pPr>
        <w:ind w:left="40" w:right="100" w:firstLine="7"/>
        <w:spacing w:after="0" w:line="257" w:lineRule="auto"/>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color w:val="auto"/>
        </w:rPr>
        <w:t>Total Assets by Segment include both assets directly identified with those operations and an allocable share of jointly used assets. Corporate assets consist of cash and cash equivalents, refundable and deferred income taxes, land, buildings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-336550</wp:posOffset>
            </wp:positionV>
            <wp:extent cx="313944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299" w:right="319" w:bottom="1440" w:gutter="0" w:footer="0" w:header="0"/>
        </w:sectPr>
      </w:pPr>
    </w:p>
    <w:bookmarkStart w:id="9" w:name="page10"/>
    <w:bookmarkEnd w:id="9"/>
    <w:p>
      <w:pPr>
        <w:ind w:left="40"/>
        <w:spacing w:after="0"/>
        <w:rPr>
          <w:sz w:val="20"/>
          <w:szCs w:val="20"/>
          <w:color w:val="auto"/>
        </w:rPr>
      </w:pPr>
      <w:r>
        <w:rPr>
          <w:rFonts w:ascii="Arial" w:cs="Arial" w:eastAsia="Arial" w:hAnsi="Arial"/>
          <w:sz w:val="14"/>
          <w:szCs w:val="14"/>
          <w:b w:val="1"/>
          <w:bCs w:val="1"/>
          <w:color w:val="006EBF"/>
        </w:rPr>
        <w:t>Real Estate Development Overview</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Our real estate operations consist of the following activities: real estate development, commercial land sales and leasing, land planning and entitlement, and conservation.</w:t>
      </w:r>
    </w:p>
    <w:p>
      <w:pPr>
        <w:spacing w:after="0" w:line="136" w:lineRule="exact"/>
        <w:rPr>
          <w:sz w:val="20"/>
          <w:szCs w:val="20"/>
          <w:color w:val="auto"/>
        </w:rPr>
      </w:pPr>
    </w:p>
    <w:p>
      <w:pPr>
        <w:ind w:right="200"/>
        <w:spacing w:after="0" w:line="288" w:lineRule="auto"/>
        <w:rPr>
          <w:sz w:val="20"/>
          <w:szCs w:val="20"/>
          <w:color w:val="auto"/>
        </w:rPr>
      </w:pPr>
      <w:r>
        <w:rPr>
          <w:rFonts w:ascii="Arial" w:cs="Arial" w:eastAsia="Arial" w:hAnsi="Arial"/>
          <w:sz w:val="13"/>
          <w:szCs w:val="13"/>
          <w:color w:val="auto"/>
        </w:rPr>
        <w:t>Interstate 5, one of the nation’s most heavily traveled freeways, brings in excess of 88,000 vehicles per day through our land, which includes 16 miles of Interstate 5 frontage on each side of the freeway and the commercial land surrounding three interchanges. The strategic plan for real estate focuses on development opportunities along the Interstate 5 and Highway 138 corridors, which includes TRCC in Kern County, Centennial, a mixed use master planned community on our land in Los Angeles County, MV, a resort and residential community in Kern County, and Grapevine, a mixed use master planned community on our land in Kern County. TRCC includes developments east and west of Interstate 5 at TRCC-East and TRCC-West, respectively.</w:t>
      </w:r>
    </w:p>
    <w:p>
      <w:pPr>
        <w:spacing w:after="0" w:line="89"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The chart below is a continuum of the real estate development process highlighting each project's current status and key milestones to be met in moving through the real estate development process in California. During this process, we may experience delays arising from factors beyond our control. Such factors include litigation and a changing regulatory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49530</wp:posOffset>
            </wp:positionV>
            <wp:extent cx="4608195" cy="258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0819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60"/>
          </w:cols>
          <w:pgMar w:left="300" w:top="295"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1473835</wp:posOffset>
            </wp:positionH>
            <wp:positionV relativeFrom="page">
              <wp:posOffset>277495</wp:posOffset>
            </wp:positionV>
            <wp:extent cx="4608195" cy="3435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608195" cy="343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Operating Segments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Real Estate - Commercial/Industrial</w:t>
      </w:r>
    </w:p>
    <w:p>
      <w:pPr>
        <w:spacing w:after="0" w:line="140" w:lineRule="exact"/>
        <w:rPr>
          <w:sz w:val="20"/>
          <w:szCs w:val="20"/>
          <w:color w:val="auto"/>
        </w:rPr>
      </w:pPr>
    </w:p>
    <w:p>
      <w:pPr>
        <w:ind w:right="120"/>
        <w:spacing w:after="0" w:line="284" w:lineRule="auto"/>
        <w:rPr>
          <w:sz w:val="20"/>
          <w:szCs w:val="20"/>
          <w:color w:val="auto"/>
        </w:rPr>
      </w:pPr>
      <w:r>
        <w:rPr>
          <w:rFonts w:ascii="Arial" w:cs="Arial" w:eastAsia="Arial" w:hAnsi="Arial"/>
          <w:sz w:val="13"/>
          <w:szCs w:val="13"/>
          <w:color w:val="auto"/>
        </w:rPr>
        <w:t>Our real estate commercial/industrial segment includes: planning, and permitting of land for development; construction of infrastructure; the construction of pre-leased buildings; the construction of buildings to be leased or sold; and the sale of land to third parties for their own development. The commercial/industrial segment also includes activities related to communications leases and landscape maintenance fees. At the heart of our real estate commercial/industrial segment is TRCC, a 20 million square foot commercial/industrial development on Interstate 5 just north of the Los Angeles basin. Nearly six million square feet of industrial, commercial and retail space has already been developed, including distribution centers for IKEA, Caterpillar, Famous Footwear, L'Oreal, and Dollar General. TRCC sits on both sides of Interstate 5, giving distributors immediate access to the west coast’s principal north-south goods movement corridor.</w:t>
      </w:r>
    </w:p>
    <w:p>
      <w:pPr>
        <w:spacing w:after="0" w:line="134"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In 2018, the U.S. Department of Commerce expanded the Foreign Trade Zone (FTZ) it previously granted, covering all the industrial sites within TRCC, an area totaling 1,094 acres. The FTZ designation allows the user to secure the many benefits and cost reductions associated with streamlined movement of goods in and out of the zone. This FTZ designation is further supplemented by the Economic Development Incentive Policy, or EDIP, adopted by the Kern County Board of Supervisors. EDIP is aimed to expand and enhance the County's competitiveness by taking affirmative steps to attract new businesses and to encourage the growth and resilience of existing businesses. The EDIP provides incentives such as assistance in obtaining state tax incentives, building supporting infrastructure, and workforce development.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Construction:</w:t>
      </w:r>
    </w:p>
    <w:p>
      <w:pPr>
        <w:spacing w:after="0" w:line="136"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We formed TRC-MRC 3, a joint venture with Majestic Realty Co., or Majestic, a Los Angeles-based commercial/industrial developer, to pursue the development, construction, leasing, and management of a 579,040 square foot industrial building at TRCC-East in 2018. We completed construction of the industrial building in the fourth quarter of 2019. Prior to completion of the building, we entered into a lease for 67% of the rentable space, which we delivered to the lessee in December 2019.</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1440" w:right="319" w:bottom="1440" w:gutter="0" w:footer="0" w:header="0"/>
        </w:sectPr>
      </w:pPr>
    </w:p>
    <w:bookmarkStart w:id="11" w:name="page12"/>
    <w:bookmarkEnd w:id="11"/>
    <w:p>
      <w:pPr>
        <w:ind w:right="80"/>
        <w:spacing w:after="0" w:line="267" w:lineRule="auto"/>
        <w:rPr>
          <w:sz w:val="20"/>
          <w:szCs w:val="20"/>
          <w:color w:val="auto"/>
        </w:rPr>
      </w:pPr>
      <w:r>
        <w:rPr>
          <w:rFonts w:ascii="Arial" w:cs="Arial" w:eastAsia="Arial" w:hAnsi="Arial"/>
          <w:sz w:val="14"/>
          <w:szCs w:val="14"/>
          <w:color w:val="auto"/>
        </w:rPr>
        <w:t>Also in 2019, we completed construction of a 4,900 square foot multi-tenant retail building at TRCC-East to further expand our footprint at TRCC. We contributed this multi-tenant building and underlying land to our joint venture with TravelCenters of America. In return, the Company received a priority distribution of $2.8 million from the joint venture. The joint venture will be managing the food and beverage operations in the building.</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Company's commercial, retail and industrial real estate developments as of December 31, 2019:</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481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right"/>
              <w:ind w:right="209"/>
              <w:spacing w:after="0"/>
              <w:rPr>
                <w:sz w:val="20"/>
                <w:szCs w:val="20"/>
                <w:color w:val="auto"/>
              </w:rPr>
            </w:pPr>
            <w:r>
              <w:rPr>
                <w:rFonts w:ascii="Arial" w:cs="Arial" w:eastAsia="Arial" w:hAnsi="Arial"/>
                <w:sz w:val="14"/>
                <w:szCs w:val="14"/>
                <w:b w:val="1"/>
                <w:bCs w:val="1"/>
                <w:color w:val="auto"/>
                <w:w w:val="93"/>
              </w:rPr>
              <w:t>Total Estimated Cost at</w:t>
            </w:r>
          </w:p>
        </w:tc>
        <w:tc>
          <w:tcPr>
            <w:tcW w:w="1980" w:type="dxa"/>
            <w:vAlign w:val="bottom"/>
          </w:tcPr>
          <w:p>
            <w:pPr>
              <w:spacing w:after="0"/>
              <w:rPr>
                <w:sz w:val="14"/>
                <w:szCs w:val="14"/>
                <w:color w:val="auto"/>
              </w:rPr>
            </w:pPr>
          </w:p>
        </w:tc>
      </w:tr>
      <w:tr>
        <w:trPr>
          <w:trHeight w:val="184"/>
        </w:trPr>
        <w:tc>
          <w:tcPr>
            <w:tcW w:w="3160" w:type="dxa"/>
            <w:vAlign w:val="bottom"/>
          </w:tcPr>
          <w:p>
            <w:pPr>
              <w:ind w:left="1820"/>
              <w:spacing w:after="0"/>
              <w:rPr>
                <w:sz w:val="20"/>
                <w:szCs w:val="20"/>
                <w:color w:val="auto"/>
              </w:rPr>
            </w:pPr>
            <w:r>
              <w:rPr>
                <w:rFonts w:ascii="Arial" w:cs="Arial" w:eastAsia="Arial" w:hAnsi="Arial"/>
                <w:sz w:val="14"/>
                <w:szCs w:val="14"/>
                <w:b w:val="1"/>
                <w:bCs w:val="1"/>
                <w:color w:val="auto"/>
              </w:rPr>
              <w:t>Project</w:t>
            </w:r>
          </w:p>
        </w:tc>
        <w:tc>
          <w:tcPr>
            <w:tcW w:w="1100" w:type="dxa"/>
            <w:vAlign w:val="bottom"/>
          </w:tcPr>
          <w:p>
            <w:pPr>
              <w:spacing w:after="0"/>
              <w:rPr>
                <w:sz w:val="16"/>
                <w:szCs w:val="16"/>
                <w:color w:val="auto"/>
              </w:rPr>
            </w:pPr>
          </w:p>
        </w:tc>
        <w:tc>
          <w:tcPr>
            <w:tcW w:w="1120" w:type="dxa"/>
            <w:vAlign w:val="bottom"/>
          </w:tcPr>
          <w:p>
            <w:pPr>
              <w:jc w:val="right"/>
              <w:ind w:right="189"/>
              <w:spacing w:after="0"/>
              <w:rPr>
                <w:sz w:val="20"/>
                <w:szCs w:val="20"/>
                <w:color w:val="auto"/>
              </w:rPr>
            </w:pPr>
            <w:r>
              <w:rPr>
                <w:rFonts w:ascii="Arial" w:cs="Arial" w:eastAsia="Arial" w:hAnsi="Arial"/>
                <w:sz w:val="14"/>
                <w:szCs w:val="14"/>
                <w:b w:val="1"/>
                <w:bCs w:val="1"/>
                <w:color w:val="auto"/>
              </w:rPr>
              <w:t>Cost to Date</w:t>
            </w:r>
          </w:p>
        </w:tc>
        <w:tc>
          <w:tcPr>
            <w:tcW w:w="14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w w:val="91"/>
              </w:rPr>
              <w:t>Estimated Cost to Complete</w:t>
            </w:r>
          </w:p>
        </w:tc>
        <w:tc>
          <w:tcPr>
            <w:tcW w:w="220" w:type="dxa"/>
            <w:vAlign w:val="bottom"/>
          </w:tcPr>
          <w:p>
            <w:pPr>
              <w:spacing w:after="0"/>
              <w:rPr>
                <w:sz w:val="16"/>
                <w:szCs w:val="16"/>
                <w:color w:val="auto"/>
              </w:rPr>
            </w:pPr>
          </w:p>
        </w:tc>
        <w:tc>
          <w:tcPr>
            <w:tcW w:w="1760" w:type="dxa"/>
            <w:vAlign w:val="bottom"/>
          </w:tcPr>
          <w:p>
            <w:pPr>
              <w:jc w:val="right"/>
              <w:ind w:right="569"/>
              <w:spacing w:after="0"/>
              <w:rPr>
                <w:sz w:val="20"/>
                <w:szCs w:val="20"/>
                <w:color w:val="auto"/>
              </w:rPr>
            </w:pPr>
            <w:r>
              <w:rPr>
                <w:rFonts w:ascii="Arial" w:cs="Arial" w:eastAsia="Arial" w:hAnsi="Arial"/>
                <w:sz w:val="14"/>
                <w:szCs w:val="14"/>
                <w:b w:val="1"/>
                <w:bCs w:val="1"/>
                <w:color w:val="auto"/>
              </w:rPr>
              <w:t>Completion</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Completion Date</w:t>
            </w:r>
          </w:p>
        </w:tc>
      </w:tr>
      <w:tr>
        <w:trPr>
          <w:trHeight w:val="22"/>
        </w:trPr>
        <w:tc>
          <w:tcPr>
            <w:tcW w:w="3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Tejon Ranch Commerce Center</w:t>
            </w:r>
          </w:p>
        </w:tc>
        <w:tc>
          <w:tcPr>
            <w:tcW w:w="11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88,465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71,442</w:t>
            </w:r>
          </w:p>
        </w:tc>
        <w:tc>
          <w:tcPr>
            <w:tcW w:w="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159,907</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TBD</w:t>
            </w:r>
          </w:p>
        </w:tc>
      </w:tr>
      <w:tr>
        <w:trPr>
          <w:trHeight w:val="212"/>
        </w:trPr>
        <w:tc>
          <w:tcPr>
            <w:tcW w:w="3160" w:type="dxa"/>
            <w:vAlign w:val="bottom"/>
            <w:tcBorders>
              <w:bottom w:val="single" w:sz="8" w:color="auto"/>
            </w:tcBorders>
          </w:tcPr>
          <w:p>
            <w:pPr>
              <w:ind w:left="20"/>
              <w:spacing w:after="0" w:line="213" w:lineRule="exact"/>
              <w:rPr>
                <w:sz w:val="20"/>
                <w:szCs w:val="20"/>
                <w:color w:val="auto"/>
              </w:rPr>
            </w:pPr>
            <w:r>
              <w:rPr>
                <w:rFonts w:ascii="Arial" w:cs="Arial" w:eastAsia="Arial" w:hAnsi="Arial"/>
                <w:sz w:val="14"/>
                <w:szCs w:val="14"/>
                <w:color w:val="auto"/>
              </w:rPr>
              <w:t>Less: Reimbursements from TRPFFA</w:t>
            </w:r>
            <w:r>
              <w:rPr>
                <w:rFonts w:ascii="Arial" w:cs="Arial" w:eastAsia="Arial" w:hAnsi="Arial"/>
                <w:sz w:val="19"/>
                <w:szCs w:val="19"/>
                <w:color w:val="auto"/>
                <w:vertAlign w:val="superscript"/>
              </w:rPr>
              <w:t>1</w:t>
            </w: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72,668</w:t>
            </w: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53,950</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126,618</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TBD</w:t>
            </w:r>
          </w:p>
        </w:tc>
      </w:tr>
      <w:tr>
        <w:trPr>
          <w:trHeight w:val="20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TRCC Development Costs, net</w:t>
            </w:r>
          </w:p>
        </w:tc>
        <w:tc>
          <w:tcPr>
            <w:tcW w:w="11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17,492</w:t>
            </w:r>
          </w:p>
        </w:tc>
        <w:tc>
          <w:tcPr>
            <w:tcW w:w="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33,289</w:t>
            </w:r>
          </w:p>
        </w:tc>
        <w:tc>
          <w:tcPr>
            <w:tcW w:w="1980" w:type="dxa"/>
            <w:vAlign w:val="bottom"/>
            <w:tcBorders>
              <w:bottom w:val="single" w:sz="8" w:color="CCEEFF"/>
            </w:tcBorders>
            <w:shd w:val="clear" w:color="auto" w:fill="CCEEFF"/>
          </w:tcPr>
          <w:p>
            <w:pPr>
              <w:spacing w:after="0"/>
              <w:rPr>
                <w:sz w:val="17"/>
                <w:szCs w:val="17"/>
                <w:color w:val="auto"/>
              </w:rPr>
            </w:pPr>
          </w:p>
        </w:tc>
      </w:tr>
      <w:tr>
        <w:trPr>
          <w:trHeight w:val="20"/>
        </w:trPr>
        <w:tc>
          <w:tcPr>
            <w:tcW w:w="3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80" w:right="200" w:hanging="63"/>
        <w:spacing w:after="0" w:line="373" w:lineRule="auto"/>
        <w:rPr>
          <w:sz w:val="20"/>
          <w:szCs w:val="20"/>
          <w:color w:val="auto"/>
        </w:rPr>
      </w:pPr>
      <w:r>
        <w:rPr>
          <w:rFonts w:ascii="Arial" w:cs="Arial" w:eastAsia="Arial" w:hAnsi="Arial"/>
          <w:sz w:val="10"/>
          <w:szCs w:val="10"/>
          <w:color w:val="auto"/>
        </w:rPr>
        <w:t>1The Tejon Ranch Public Facilities Financing Authority, or TRPFFA, is a joint powers authority formed by Kern County and Tejon-Castac Water District, or TCWD, to finance public infrastructure within the Company’s Kern County developments. TRPFFA, through bond sales, will reimburse the Company for qualifying infrastructure costs at TRCC.</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total entitlements for TRCC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1481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ind w:left="20"/>
              <w:spacing w:after="0"/>
              <w:rPr>
                <w:sz w:val="20"/>
                <w:szCs w:val="20"/>
                <w:color w:val="auto"/>
              </w:rPr>
            </w:pPr>
            <w:r>
              <w:rPr>
                <w:rFonts w:ascii="Arial" w:cs="Arial" w:eastAsia="Arial" w:hAnsi="Arial"/>
                <w:sz w:val="14"/>
                <w:szCs w:val="14"/>
                <w:color w:val="auto"/>
              </w:rPr>
              <w:t>(in square feet)</w:t>
            </w:r>
          </w:p>
        </w:tc>
        <w:tc>
          <w:tcPr>
            <w:tcW w:w="3960" w:type="dxa"/>
            <w:vAlign w:val="bottom"/>
          </w:tcPr>
          <w:p>
            <w:pPr>
              <w:jc w:val="right"/>
              <w:ind w:right="1349"/>
              <w:spacing w:after="0"/>
              <w:rPr>
                <w:sz w:val="20"/>
                <w:szCs w:val="20"/>
                <w:color w:val="auto"/>
              </w:rPr>
            </w:pPr>
            <w:r>
              <w:rPr>
                <w:rFonts w:ascii="Arial" w:cs="Arial" w:eastAsia="Arial" w:hAnsi="Arial"/>
                <w:sz w:val="14"/>
                <w:szCs w:val="14"/>
                <w:b w:val="1"/>
                <w:bCs w:val="1"/>
                <w:color w:val="auto"/>
              </w:rPr>
              <w:t>Industrial</w:t>
            </w:r>
          </w:p>
        </w:tc>
        <w:tc>
          <w:tcPr>
            <w:tcW w:w="384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Commercial Retail</w:t>
            </w:r>
          </w:p>
        </w:tc>
      </w:tr>
      <w:tr>
        <w:trPr>
          <w:trHeight w:val="22"/>
        </w:trPr>
        <w:tc>
          <w:tcPr>
            <w:tcW w:w="34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r>
      <w:tr>
        <w:trPr>
          <w:trHeight w:val="18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entitlements received</w:t>
            </w:r>
          </w:p>
        </w:tc>
        <w:tc>
          <w:tcPr>
            <w:tcW w:w="3960" w:type="dxa"/>
            <w:vAlign w:val="bottom"/>
            <w:tcBorders>
              <w:bottom w:val="single" w:sz="8" w:color="CCEEFF"/>
            </w:tcBorders>
            <w:shd w:val="clear" w:color="auto" w:fill="CCEEFF"/>
          </w:tcPr>
          <w:p>
            <w:pPr>
              <w:jc w:val="center"/>
              <w:ind w:left="449"/>
              <w:spacing w:after="0"/>
              <w:rPr>
                <w:sz w:val="20"/>
                <w:szCs w:val="20"/>
                <w:color w:val="auto"/>
              </w:rPr>
            </w:pPr>
            <w:r>
              <w:rPr>
                <w:rFonts w:ascii="Arial" w:cs="Arial" w:eastAsia="Arial" w:hAnsi="Arial"/>
                <w:sz w:val="14"/>
                <w:szCs w:val="14"/>
                <w:color w:val="auto"/>
                <w:w w:val="91"/>
              </w:rPr>
              <w:t>19,300,941</w:t>
            </w:r>
          </w:p>
        </w:tc>
        <w:tc>
          <w:tcPr>
            <w:tcW w:w="3840" w:type="dxa"/>
            <w:vAlign w:val="bottom"/>
            <w:tcBorders>
              <w:bottom w:val="single" w:sz="8" w:color="CCEEFF"/>
            </w:tcBorders>
            <w:shd w:val="clear" w:color="auto" w:fill="CCEEFF"/>
          </w:tcPr>
          <w:p>
            <w:pPr>
              <w:jc w:val="center"/>
              <w:ind w:left="69"/>
              <w:spacing w:after="0"/>
              <w:rPr>
                <w:sz w:val="20"/>
                <w:szCs w:val="20"/>
                <w:color w:val="auto"/>
              </w:rPr>
            </w:pPr>
            <w:r>
              <w:rPr>
                <w:rFonts w:ascii="Arial" w:cs="Arial" w:eastAsia="Arial" w:hAnsi="Arial"/>
                <w:sz w:val="14"/>
                <w:szCs w:val="14"/>
                <w:color w:val="auto"/>
                <w:w w:val="90"/>
              </w:rPr>
              <w:t>956,309</w:t>
            </w:r>
          </w:p>
        </w:tc>
      </w:tr>
      <w:tr>
        <w:trPr>
          <w:trHeight w:val="191"/>
        </w:trPr>
        <w:tc>
          <w:tcPr>
            <w:tcW w:w="3460" w:type="dxa"/>
            <w:vAlign w:val="bottom"/>
          </w:tcPr>
          <w:p>
            <w:pPr>
              <w:ind w:left="20"/>
              <w:spacing w:after="0"/>
              <w:rPr>
                <w:sz w:val="20"/>
                <w:szCs w:val="20"/>
                <w:color w:val="auto"/>
              </w:rPr>
            </w:pPr>
            <w:r>
              <w:rPr>
                <w:rFonts w:ascii="Arial" w:cs="Arial" w:eastAsia="Arial" w:hAnsi="Arial"/>
                <w:sz w:val="14"/>
                <w:szCs w:val="14"/>
                <w:color w:val="auto"/>
              </w:rPr>
              <w:t>Total entitlements used</w:t>
            </w:r>
          </w:p>
        </w:tc>
        <w:tc>
          <w:tcPr>
            <w:tcW w:w="3960" w:type="dxa"/>
            <w:vAlign w:val="bottom"/>
          </w:tcPr>
          <w:p>
            <w:pPr>
              <w:jc w:val="center"/>
              <w:ind w:left="429"/>
              <w:spacing w:after="0"/>
              <w:rPr>
                <w:sz w:val="20"/>
                <w:szCs w:val="20"/>
                <w:color w:val="auto"/>
              </w:rPr>
            </w:pPr>
            <w:r>
              <w:rPr>
                <w:rFonts w:ascii="Arial" w:cs="Arial" w:eastAsia="Arial" w:hAnsi="Arial"/>
                <w:sz w:val="14"/>
                <w:szCs w:val="14"/>
                <w:color w:val="auto"/>
                <w:w w:val="93"/>
              </w:rPr>
              <w:t>5,296,669</w:t>
            </w:r>
          </w:p>
        </w:tc>
        <w:tc>
          <w:tcPr>
            <w:tcW w:w="3840" w:type="dxa"/>
            <w:vAlign w:val="bottom"/>
          </w:tcPr>
          <w:p>
            <w:pPr>
              <w:jc w:val="center"/>
              <w:ind w:left="69"/>
              <w:spacing w:after="0"/>
              <w:rPr>
                <w:sz w:val="20"/>
                <w:szCs w:val="20"/>
                <w:color w:val="auto"/>
              </w:rPr>
            </w:pPr>
            <w:r>
              <w:rPr>
                <w:rFonts w:ascii="Arial" w:cs="Arial" w:eastAsia="Arial" w:hAnsi="Arial"/>
                <w:sz w:val="14"/>
                <w:szCs w:val="14"/>
                <w:color w:val="auto"/>
                <w:w w:val="90"/>
              </w:rPr>
              <w:t>637,695</w:t>
            </w:r>
          </w:p>
        </w:tc>
      </w:tr>
      <w:tr>
        <w:trPr>
          <w:trHeight w:val="22"/>
        </w:trPr>
        <w:tc>
          <w:tcPr>
            <w:tcW w:w="34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r>
      <w:tr>
        <w:trPr>
          <w:trHeight w:val="18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Entitlements available</w:t>
            </w:r>
          </w:p>
        </w:tc>
        <w:tc>
          <w:tcPr>
            <w:tcW w:w="3960" w:type="dxa"/>
            <w:vAlign w:val="bottom"/>
            <w:tcBorders>
              <w:bottom w:val="single" w:sz="8" w:color="CCEEFF"/>
            </w:tcBorders>
            <w:shd w:val="clear" w:color="auto" w:fill="CCEEFF"/>
          </w:tcPr>
          <w:p>
            <w:pPr>
              <w:jc w:val="center"/>
              <w:ind w:left="449"/>
              <w:spacing w:after="0"/>
              <w:rPr>
                <w:sz w:val="20"/>
                <w:szCs w:val="20"/>
                <w:color w:val="auto"/>
              </w:rPr>
            </w:pPr>
            <w:r>
              <w:rPr>
                <w:rFonts w:ascii="Arial" w:cs="Arial" w:eastAsia="Arial" w:hAnsi="Arial"/>
                <w:sz w:val="14"/>
                <w:szCs w:val="14"/>
                <w:color w:val="auto"/>
                <w:w w:val="91"/>
              </w:rPr>
              <w:t>14,004,272</w:t>
            </w:r>
          </w:p>
        </w:tc>
        <w:tc>
          <w:tcPr>
            <w:tcW w:w="3840" w:type="dxa"/>
            <w:vAlign w:val="bottom"/>
            <w:tcBorders>
              <w:bottom w:val="single" w:sz="8" w:color="CCEEFF"/>
            </w:tcBorders>
            <w:shd w:val="clear" w:color="auto" w:fill="CCEEFF"/>
          </w:tcPr>
          <w:p>
            <w:pPr>
              <w:jc w:val="center"/>
              <w:ind w:left="69"/>
              <w:spacing w:after="0"/>
              <w:rPr>
                <w:sz w:val="20"/>
                <w:szCs w:val="20"/>
                <w:color w:val="auto"/>
              </w:rPr>
            </w:pPr>
            <w:r>
              <w:rPr>
                <w:rFonts w:ascii="Arial" w:cs="Arial" w:eastAsia="Arial" w:hAnsi="Arial"/>
                <w:sz w:val="14"/>
                <w:szCs w:val="14"/>
                <w:color w:val="auto"/>
                <w:w w:val="90"/>
              </w:rPr>
              <w:t>318,614</w:t>
            </w:r>
          </w:p>
        </w:tc>
      </w:tr>
      <w:tr>
        <w:trPr>
          <w:trHeight w:val="339"/>
        </w:trPr>
        <w:tc>
          <w:tcPr>
            <w:tcW w:w="3460" w:type="dxa"/>
            <w:vAlign w:val="bottom"/>
          </w:tcPr>
          <w:p>
            <w:pPr>
              <w:spacing w:after="0"/>
              <w:rPr>
                <w:sz w:val="24"/>
                <w:szCs w:val="24"/>
                <w:color w:val="auto"/>
              </w:rPr>
            </w:pPr>
          </w:p>
        </w:tc>
        <w:tc>
          <w:tcPr>
            <w:tcW w:w="3960" w:type="dxa"/>
            <w:vAlign w:val="bottom"/>
          </w:tcPr>
          <w:p>
            <w:pPr>
              <w:jc w:val="right"/>
              <w:ind w:right="1629"/>
              <w:spacing w:after="0"/>
              <w:rPr>
                <w:sz w:val="20"/>
                <w:szCs w:val="20"/>
                <w:color w:val="auto"/>
              </w:rPr>
            </w:pPr>
            <w:r>
              <w:rPr>
                <w:rFonts w:ascii="Arial" w:cs="Arial" w:eastAsia="Arial" w:hAnsi="Arial"/>
                <w:sz w:val="14"/>
                <w:szCs w:val="14"/>
                <w:color w:val="auto"/>
              </w:rPr>
              <w:t>12</w:t>
            </w:r>
          </w:p>
        </w:tc>
        <w:tc>
          <w:tcPr>
            <w:tcW w:w="3840" w:type="dxa"/>
            <w:vAlign w:val="bottom"/>
          </w:tcPr>
          <w:p>
            <w:pPr>
              <w:spacing w:after="0"/>
              <w:rPr>
                <w:sz w:val="24"/>
                <w:szCs w:val="24"/>
                <w:color w:val="auto"/>
              </w:rPr>
            </w:pPr>
          </w:p>
        </w:tc>
      </w:tr>
    </w:tbl>
    <w:p>
      <w:pPr>
        <w:sectPr>
          <w:pgSz w:w="11900" w:h="16838" w:orient="portrait"/>
          <w:cols w:equalWidth="0" w:num="1">
            <w:col w:w="11260"/>
          </w:cols>
          <w:pgMar w:left="300" w:top="426"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1473835</wp:posOffset>
            </wp:positionH>
            <wp:positionV relativeFrom="page">
              <wp:posOffset>277495</wp:posOffset>
            </wp:positionV>
            <wp:extent cx="4608195" cy="5962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608195" cy="596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1440"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color w:val="auto"/>
        </w:rPr>
        <w:t>Commercial/industrial real estate sales:</w:t>
      </w:r>
    </w:p>
    <w:p>
      <w:pPr>
        <w:spacing w:after="0" w:line="13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logistics operators currently located within TRCC have demonstrated success in serving all of California and the western region of the United States, and we are building from their success in our marketing efforts. We will continue to focus our marketing strategy for TRCC on the significant labor and logistical benefits of our site, the pro-business approach of Kern County, and the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a number of decentralized smaller distribution centers. Operators located within TRCC have demonstrated success through utilization of this model. With access to markets of over 40 million people for next-day delivery service, they are also demonstrating success with e-commerce fulfillment.</w:t>
      </w:r>
    </w:p>
    <w:p>
      <w:pPr>
        <w:spacing w:after="0" w:line="107"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We believe that our ability to provide fully-entitled, shovel-ready land parcels to support buildings of any size, especially buildings 1.0 million square feet or larger, can provide us with a potential marketing advantage in the future. We have also expanded our marketing efforts over the last few years to target industrial users in the Santa Clarita Valley of northern Los Angeles County, and the northern part of the San Fernando Valley for whom we may be an attractive provider due to the limited availability of new product and high real estate costs in these locations. Tenants in these geographic areas are typically users of relatively smaller facilities.</w:t>
      </w:r>
    </w:p>
    <w:p>
      <w:pPr>
        <w:spacing w:after="0" w:line="103"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The commercial/industrial real estate sales market is highly competitive, with competition throughout California. The principal factors of competition in this industry are price, availability of labor, proximity to the port complexes of Los Angeles and Long Beach and customer base. A potential disadvantage to our development strategy is our distance from the ports of Los Angeles and Long Beach in comparison to the warehouses and distribution centers located in the West Inland Empire.</w:t>
      </w:r>
    </w:p>
    <w:p>
      <w:pPr>
        <w:spacing w:after="0" w:line="99"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Our most direct regional competitors are in the Inland Empire, a large industrial area located 60 miles east of Los Angeles, which continues its expansion eastward beyond Riverside and San Bernardino into the Perris, Moreno Valley, and Beaumont regions of Southern California. We also face competition within Northern Los Angeles, which is comprised of the San Fernando Valley and Santa Clarita Valley along with areas north of us in the San Joaquin Valley of California. Strong demand for large distribution facilities is driving development farther east in search for large entitled parcels. As development in the Inland Empire continues to move east and farther away from the ports, our distance from the ports is becoming less of a disadvantage.</w:t>
      </w:r>
    </w:p>
    <w:p>
      <w:pPr>
        <w:spacing w:after="0" w:line="8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During 2019, vacancy rates in the Inland Empire decreased to 3.5% compared to 3.9% in 2018. Increased industrial demand has led to a rise in net absorption which registered a very strong 8,187,200 square feet for the fourth quarter of 2019 and stands at 24,124,500 square feet for the year. Despite robust construction, the vacancy rate continued to decline to historic lows as nearly all new supply was absorbed by large tenants seeking modern logistics centers. Average asking rates increased by 14.5% to the current high-water mark for rental rates in this region when compared with 2018. Low vacancy rates and increased industrial demand has put continued upward pressure on rates with no relief in sight for tenants. As lease rates increase in the Inland Empire, we may begin to have greater pricing advantages due to our lower land basis.</w:t>
      </w:r>
    </w:p>
    <w:p>
      <w:pPr>
        <w:spacing w:after="0" w:line="10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During 2019, vacancy rates in the northern Los Angeles industrial market, which includes the San Fernando Valley and Santa Clarita Valley, remain near an all-time low of 1.4%, compared to 1.6% in 2018. Rents have been increasing for the past six years, and will likely continue to rise in future quarters, but at a slower pace. Future quarters will likely see greater construction activity as rents hit new highs and vacancy rates are at historic lows, especially for larger projects.As industrial vacancy rates are at historic lows, industrial users seeking larger spaces are having to go further north into neighboring Kern County and particularly, TRCC which has attracted increased attention as market conditions continue to tighten. In 2019, the Los Angeles and Long Beach Port container traffic remained high at 14.57 million Twenty-Foot Equivalent Units, or TEU's, which was consistent with the past 3 years. TEU is a measure of a ship's cargo carrying capacity. The dimensions of one TEU are equal to that of a standard shipping container measuring 20 feet long by 8 feet tall.</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Joint Ventures: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Our joint venture with TA/Petro owns and operates two travel and truck stop facilities, restaurants, and five separate gas stations with convenience stores within TRCC-West and TRCC-East.</w:t>
      </w:r>
    </w:p>
    <w:p>
      <w:pPr>
        <w:spacing w:after="0" w:line="148"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We are involved in three joint ventures with Majestic to develop, lease, manage, and or acquire industrial buildings within TRCC. The three joint ventures currently own and operate three industrial buildings occupying over 1.7 million rentable square feet.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426" w:right="319" w:bottom="1440" w:gutter="0" w:footer="0" w:header="0"/>
        </w:sectPr>
      </w:pPr>
    </w:p>
    <w:bookmarkStart w:id="14" w:name="page15"/>
    <w:bookmarkEnd w:id="14"/>
    <w:p>
      <w:pPr>
        <w:ind w:right="120"/>
        <w:spacing w:after="0" w:line="260" w:lineRule="auto"/>
        <w:rPr>
          <w:sz w:val="20"/>
          <w:szCs w:val="20"/>
          <w:color w:val="auto"/>
        </w:rPr>
      </w:pPr>
      <w:r>
        <w:rPr>
          <w:rFonts w:ascii="Arial" w:cs="Arial" w:eastAsia="Arial" w:hAnsi="Arial"/>
          <w:sz w:val="14"/>
          <w:szCs w:val="14"/>
          <w:color w:val="auto"/>
        </w:rPr>
        <w:t>We are involved in three joint ventures with Rockefeller Development Group, which includes the following: 18-19 West LLC, which owns 61.5 acres of land for future development within TRCC-West, TRCC/Rock Outlet Center LLC, which operates the Outlets at Tejon and Five West Parcel LLC. In 2019, Five West Parcel, LLC sold the building and land within the joint venture to a third party at a sales price of $29,088,000, recognizing a gain of $17,537,000. Our 18-19 West LLC joint venture entered into a land purchase option with the third-party who purchased the Five West building and land, to purchase lots 18 and 19 at a price of $13.8 million through the option period ending May 21, 2021. If the option is extended to November 21, 2021, the price increases to $15.2 million. The land option expires in the fourth quarter of 2021.</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Leasing:</w:t>
      </w:r>
    </w:p>
    <w:p>
      <w:pPr>
        <w:spacing w:after="0" w:line="136"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Within our commercial/industrial segment, we lease land to various types of tenants. We currently lease land to two auto service stations with convenience stores, 13 fast-food operations, two full-service restaurants, a motel, an antique shop, and a post office.</w:t>
      </w:r>
    </w:p>
    <w:p>
      <w:pPr>
        <w:spacing w:after="0" w:line="90"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In addition, the Company leases several microwave repeater locations, radio and cellular transmitter sites, fiber optic cable routes, and 32 acres of land to Pastoria Energy Facility, L.L.C., or PEF, for an electric power plant.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with respect to lease expirations for our consolidated entities as of December 31, 2019.</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Year of Lease Expiration</w:t>
            </w:r>
          </w:p>
        </w:tc>
        <w:tc>
          <w:tcPr>
            <w:tcW w:w="2260" w:type="dxa"/>
            <w:vAlign w:val="bottom"/>
            <w:gridSpan w:val="2"/>
          </w:tcPr>
          <w:p>
            <w:pPr>
              <w:ind w:left="440"/>
              <w:spacing w:after="0"/>
              <w:rPr>
                <w:sz w:val="20"/>
                <w:szCs w:val="20"/>
                <w:color w:val="auto"/>
              </w:rPr>
            </w:pPr>
            <w:r>
              <w:rPr>
                <w:rFonts w:ascii="Arial" w:cs="Arial" w:eastAsia="Arial" w:hAnsi="Arial"/>
                <w:sz w:val="11"/>
                <w:szCs w:val="11"/>
                <w:color w:val="auto"/>
              </w:rPr>
              <w:t>Number of Expiring Leases</w:t>
            </w:r>
          </w:p>
        </w:tc>
        <w:tc>
          <w:tcPr>
            <w:tcW w:w="2240" w:type="dxa"/>
            <w:vAlign w:val="bottom"/>
            <w:gridSpan w:val="2"/>
          </w:tcPr>
          <w:p>
            <w:pPr>
              <w:ind w:left="520"/>
              <w:spacing w:after="0"/>
              <w:rPr>
                <w:sz w:val="20"/>
                <w:szCs w:val="20"/>
                <w:color w:val="auto"/>
              </w:rPr>
            </w:pPr>
            <w:r>
              <w:rPr>
                <w:rFonts w:ascii="Arial" w:cs="Arial" w:eastAsia="Arial" w:hAnsi="Arial"/>
                <w:sz w:val="11"/>
                <w:szCs w:val="11"/>
                <w:color w:val="auto"/>
              </w:rPr>
              <w:t>RSF of Expiring Leases</w:t>
            </w:r>
          </w:p>
        </w:tc>
        <w:tc>
          <w:tcPr>
            <w:tcW w:w="2220" w:type="dxa"/>
            <w:vAlign w:val="bottom"/>
            <w:gridSpan w:val="2"/>
          </w:tcPr>
          <w:p>
            <w:pPr>
              <w:ind w:left="540"/>
              <w:spacing w:after="0"/>
              <w:rPr>
                <w:sz w:val="20"/>
                <w:szCs w:val="20"/>
                <w:color w:val="auto"/>
              </w:rPr>
            </w:pPr>
            <w:r>
              <w:rPr>
                <w:rFonts w:ascii="Arial" w:cs="Arial" w:eastAsia="Arial" w:hAnsi="Arial"/>
                <w:sz w:val="11"/>
                <w:szCs w:val="11"/>
                <w:color w:val="auto"/>
              </w:rPr>
              <w:t>Annualized Base Rent</w:t>
            </w:r>
            <w:r>
              <w:rPr>
                <w:rFonts w:ascii="Arial" w:cs="Arial" w:eastAsia="Arial" w:hAnsi="Arial"/>
                <w:sz w:val="7"/>
                <w:szCs w:val="7"/>
                <w:color w:val="auto"/>
              </w:rPr>
              <w:t>1</w:t>
            </w:r>
          </w:p>
        </w:tc>
        <w:tc>
          <w:tcPr>
            <w:tcW w:w="2140" w:type="dxa"/>
            <w:vAlign w:val="bottom"/>
          </w:tcPr>
          <w:p>
            <w:pPr>
              <w:ind w:left="220"/>
              <w:spacing w:after="0"/>
              <w:rPr>
                <w:sz w:val="20"/>
                <w:szCs w:val="20"/>
                <w:color w:val="auto"/>
              </w:rPr>
            </w:pPr>
            <w:r>
              <w:rPr>
                <w:rFonts w:ascii="Arial" w:cs="Arial" w:eastAsia="Arial" w:hAnsi="Arial"/>
                <w:sz w:val="11"/>
                <w:szCs w:val="11"/>
                <w:color w:val="auto"/>
              </w:rPr>
              <w:t>Percentage of Annual Minimum Rent</w:t>
            </w:r>
          </w:p>
        </w:tc>
      </w:tr>
      <w:tr>
        <w:trPr>
          <w:trHeight w:val="185"/>
        </w:trPr>
        <w:tc>
          <w:tcPr>
            <w:tcW w:w="2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6"/>
                <w:szCs w:val="16"/>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2,888</w:t>
            </w:r>
          </w:p>
        </w:tc>
        <w:tc>
          <w:tcPr>
            <w:tcW w:w="120" w:type="dxa"/>
            <w:vAlign w:val="bottom"/>
          </w:tcPr>
          <w:p>
            <w:pPr>
              <w:spacing w:after="0"/>
              <w:rPr>
                <w:sz w:val="16"/>
                <w:szCs w:val="16"/>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$173</w:t>
            </w:r>
          </w:p>
        </w:tc>
        <w:tc>
          <w:tcPr>
            <w:tcW w:w="100" w:type="dxa"/>
            <w:vAlign w:val="bottom"/>
          </w:tcPr>
          <w:p>
            <w:pPr>
              <w:spacing w:after="0"/>
              <w:rPr>
                <w:sz w:val="16"/>
                <w:szCs w:val="16"/>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2.88%</w:t>
            </w:r>
          </w:p>
        </w:tc>
      </w:tr>
      <w:tr>
        <w:trPr>
          <w:trHeight w:val="22"/>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2021</w:t>
            </w: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66,622</w:t>
            </w:r>
          </w:p>
        </w:tc>
        <w:tc>
          <w:tcPr>
            <w:tcW w:w="1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$277</w:t>
            </w:r>
          </w:p>
        </w:tc>
        <w:tc>
          <w:tcPr>
            <w:tcW w:w="1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4.61%</w:t>
            </w:r>
          </w:p>
        </w:tc>
      </w:tr>
      <w:tr>
        <w:trPr>
          <w:trHeight w:val="191"/>
        </w:trPr>
        <w:tc>
          <w:tcPr>
            <w:tcW w:w="226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1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3"/>
              </w:rPr>
              <w:t>47,614</w:t>
            </w:r>
          </w:p>
        </w:tc>
        <w:tc>
          <w:tcPr>
            <w:tcW w:w="1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89"/>
              </w:rPr>
              <w:t>$278</w:t>
            </w:r>
          </w:p>
        </w:tc>
        <w:tc>
          <w:tcPr>
            <w:tcW w:w="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0"/>
              </w:rPr>
              <w:t>4.63%</w:t>
            </w:r>
          </w:p>
        </w:tc>
      </w:tr>
      <w:tr>
        <w:trPr>
          <w:trHeight w:val="22"/>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4,640</w:t>
            </w:r>
          </w:p>
        </w:tc>
        <w:tc>
          <w:tcPr>
            <w:tcW w:w="1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$383</w:t>
            </w:r>
          </w:p>
        </w:tc>
        <w:tc>
          <w:tcPr>
            <w:tcW w:w="1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6.38%</w:t>
            </w:r>
          </w:p>
        </w:tc>
      </w:tr>
      <w:tr>
        <w:trPr>
          <w:trHeight w:val="191"/>
        </w:trPr>
        <w:tc>
          <w:tcPr>
            <w:tcW w:w="2260" w:type="dxa"/>
            <w:vAlign w:val="bottom"/>
          </w:tcPr>
          <w:p>
            <w:pPr>
              <w:jc w:val="center"/>
              <w:spacing w:after="0"/>
              <w:rPr>
                <w:sz w:val="20"/>
                <w:szCs w:val="20"/>
                <w:color w:val="auto"/>
              </w:rPr>
            </w:pPr>
            <w:r>
              <w:rPr>
                <w:rFonts w:ascii="Arial" w:cs="Arial" w:eastAsia="Arial" w:hAnsi="Arial"/>
                <w:sz w:val="14"/>
                <w:szCs w:val="14"/>
                <w:color w:val="auto"/>
                <w:w w:val="96"/>
              </w:rPr>
              <w:t>2024</w:t>
            </w:r>
          </w:p>
        </w:tc>
        <w:tc>
          <w:tcPr>
            <w:tcW w:w="120" w:type="dxa"/>
            <w:vAlign w:val="bottom"/>
          </w:tcPr>
          <w:p>
            <w:pPr>
              <w:spacing w:after="0"/>
              <w:rPr>
                <w:sz w:val="16"/>
                <w:szCs w:val="16"/>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22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w:t>
            </w:r>
          </w:p>
        </w:tc>
        <w:tc>
          <w:tcPr>
            <w:tcW w:w="2140" w:type="dxa"/>
            <w:vAlign w:val="bottom"/>
          </w:tcPr>
          <w:p>
            <w:pPr>
              <w:jc w:val="center"/>
              <w:spacing w:after="0"/>
              <w:rPr>
                <w:sz w:val="20"/>
                <w:szCs w:val="20"/>
                <w:color w:val="auto"/>
              </w:rPr>
            </w:pPr>
            <w:r>
              <w:rPr>
                <w:rFonts w:ascii="Arial" w:cs="Arial" w:eastAsia="Arial" w:hAnsi="Arial"/>
                <w:sz w:val="14"/>
                <w:szCs w:val="14"/>
                <w:color w:val="auto"/>
                <w:w w:val="98"/>
              </w:rPr>
              <w:t>—%</w:t>
            </w:r>
          </w:p>
        </w:tc>
      </w:tr>
      <w:tr>
        <w:trPr>
          <w:trHeight w:val="22"/>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57,320</w:t>
            </w:r>
          </w:p>
        </w:tc>
        <w:tc>
          <w:tcPr>
            <w:tcW w:w="1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$328</w:t>
            </w:r>
          </w:p>
        </w:tc>
        <w:tc>
          <w:tcPr>
            <w:tcW w:w="1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5.46%</w:t>
            </w:r>
          </w:p>
        </w:tc>
      </w:tr>
      <w:tr>
        <w:trPr>
          <w:trHeight w:val="191"/>
        </w:trPr>
        <w:tc>
          <w:tcPr>
            <w:tcW w:w="2260" w:type="dxa"/>
            <w:vAlign w:val="bottom"/>
          </w:tcPr>
          <w:p>
            <w:pPr>
              <w:jc w:val="center"/>
              <w:spacing w:after="0"/>
              <w:rPr>
                <w:sz w:val="20"/>
                <w:szCs w:val="20"/>
                <w:color w:val="auto"/>
              </w:rPr>
            </w:pPr>
            <w:r>
              <w:rPr>
                <w:rFonts w:ascii="Arial" w:cs="Arial" w:eastAsia="Arial" w:hAnsi="Arial"/>
                <w:sz w:val="14"/>
                <w:szCs w:val="14"/>
                <w:color w:val="auto"/>
                <w:w w:val="96"/>
              </w:rPr>
              <w:t>2026</w:t>
            </w:r>
          </w:p>
        </w:tc>
        <w:tc>
          <w:tcPr>
            <w:tcW w:w="1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1"/>
              </w:rPr>
              <w:t>4,645</w:t>
            </w:r>
          </w:p>
        </w:tc>
        <w:tc>
          <w:tcPr>
            <w:tcW w:w="1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89"/>
              </w:rPr>
              <w:t>$258</w:t>
            </w:r>
          </w:p>
        </w:tc>
        <w:tc>
          <w:tcPr>
            <w:tcW w:w="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0"/>
              </w:rPr>
              <w:t>4.30%</w:t>
            </w:r>
          </w:p>
        </w:tc>
      </w:tr>
      <w:tr>
        <w:trPr>
          <w:trHeight w:val="22"/>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1,801</w:t>
            </w:r>
          </w:p>
        </w:tc>
        <w:tc>
          <w:tcPr>
            <w:tcW w:w="1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$62</w:t>
            </w:r>
          </w:p>
        </w:tc>
        <w:tc>
          <w:tcPr>
            <w:tcW w:w="1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1.03%</w:t>
            </w:r>
          </w:p>
        </w:tc>
      </w:tr>
      <w:tr>
        <w:trPr>
          <w:trHeight w:val="212"/>
        </w:trPr>
        <w:tc>
          <w:tcPr>
            <w:tcW w:w="2260" w:type="dxa"/>
            <w:vAlign w:val="bottom"/>
          </w:tcPr>
          <w:p>
            <w:pPr>
              <w:jc w:val="center"/>
              <w:spacing w:after="0" w:line="213" w:lineRule="exact"/>
              <w:rPr>
                <w:sz w:val="20"/>
                <w:szCs w:val="20"/>
                <w:color w:val="auto"/>
              </w:rPr>
            </w:pPr>
            <w:r>
              <w:rPr>
                <w:rFonts w:ascii="Arial" w:cs="Arial" w:eastAsia="Arial" w:hAnsi="Arial"/>
                <w:sz w:val="14"/>
                <w:szCs w:val="14"/>
                <w:color w:val="auto"/>
                <w:w w:val="88"/>
              </w:rPr>
              <w:t>2028</w:t>
            </w:r>
            <w:r>
              <w:rPr>
                <w:rFonts w:ascii="Arial" w:cs="Arial" w:eastAsia="Arial" w:hAnsi="Arial"/>
                <w:sz w:val="19"/>
                <w:szCs w:val="19"/>
                <w:color w:val="auto"/>
                <w:w w:val="88"/>
                <w:vertAlign w:val="superscript"/>
              </w:rPr>
              <w:t>2</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2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2120" w:type="dxa"/>
            <w:vAlign w:val="bottom"/>
          </w:tcPr>
          <w:p>
            <w:pPr>
              <w:jc w:val="center"/>
              <w:spacing w:after="0"/>
              <w:rPr>
                <w:sz w:val="20"/>
                <w:szCs w:val="20"/>
                <w:color w:val="auto"/>
              </w:rPr>
            </w:pPr>
            <w:r>
              <w:rPr>
                <w:rFonts w:ascii="Arial" w:cs="Arial" w:eastAsia="Arial" w:hAnsi="Arial"/>
                <w:sz w:val="14"/>
                <w:szCs w:val="14"/>
                <w:color w:val="auto"/>
                <w:w w:val="85"/>
              </w:rPr>
              <w:t>$14</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0"/>
              </w:rPr>
              <w:t>0.23%</w:t>
            </w:r>
          </w:p>
        </w:tc>
      </w:tr>
      <w:tr>
        <w:trPr>
          <w:trHeight w:val="212"/>
        </w:trPr>
        <w:tc>
          <w:tcPr>
            <w:tcW w:w="2260" w:type="dxa"/>
            <w:vAlign w:val="bottom"/>
            <w:shd w:val="clear" w:color="auto" w:fill="CCEEFF"/>
          </w:tcPr>
          <w:p>
            <w:pPr>
              <w:jc w:val="center"/>
              <w:spacing w:after="0" w:line="213" w:lineRule="exact"/>
              <w:rPr>
                <w:sz w:val="20"/>
                <w:szCs w:val="20"/>
                <w:color w:val="auto"/>
              </w:rPr>
            </w:pPr>
            <w:r>
              <w:rPr>
                <w:rFonts w:ascii="Arial" w:cs="Arial" w:eastAsia="Arial" w:hAnsi="Arial"/>
                <w:sz w:val="14"/>
                <w:szCs w:val="14"/>
                <w:color w:val="auto"/>
                <w:w w:val="88"/>
              </w:rPr>
              <w:t>2029</w:t>
            </w:r>
            <w:r>
              <w:rPr>
                <w:rFonts w:ascii="Arial" w:cs="Arial" w:eastAsia="Arial" w:hAnsi="Arial"/>
                <w:sz w:val="19"/>
                <w:szCs w:val="19"/>
                <w:color w:val="auto"/>
                <w:w w:val="88"/>
                <w:vertAlign w:val="superscript"/>
              </w:rPr>
              <w:t>3</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1,394,000</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$3,768</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62.76%</w:t>
            </w:r>
          </w:p>
        </w:tc>
      </w:tr>
      <w:tr>
        <w:trPr>
          <w:trHeight w:val="191"/>
        </w:trPr>
        <w:tc>
          <w:tcPr>
            <w:tcW w:w="2260" w:type="dxa"/>
            <w:vAlign w:val="bottom"/>
          </w:tcPr>
          <w:p>
            <w:pPr>
              <w:jc w:val="center"/>
              <w:spacing w:after="0"/>
              <w:rPr>
                <w:sz w:val="20"/>
                <w:szCs w:val="20"/>
                <w:color w:val="auto"/>
              </w:rPr>
            </w:pPr>
            <w:r>
              <w:rPr>
                <w:rFonts w:ascii="Arial" w:cs="Arial" w:eastAsia="Arial" w:hAnsi="Arial"/>
                <w:sz w:val="14"/>
                <w:szCs w:val="14"/>
                <w:color w:val="auto"/>
                <w:w w:val="96"/>
              </w:rPr>
              <w:t>2030</w:t>
            </w:r>
          </w:p>
        </w:tc>
        <w:tc>
          <w:tcPr>
            <w:tcW w:w="120" w:type="dxa"/>
            <w:vAlign w:val="bottom"/>
          </w:tcPr>
          <w:p>
            <w:pPr>
              <w:spacing w:after="0"/>
              <w:rPr>
                <w:sz w:val="16"/>
                <w:szCs w:val="16"/>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22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w:t>
            </w:r>
          </w:p>
        </w:tc>
        <w:tc>
          <w:tcPr>
            <w:tcW w:w="2140" w:type="dxa"/>
            <w:vAlign w:val="bottom"/>
          </w:tcPr>
          <w:p>
            <w:pPr>
              <w:jc w:val="center"/>
              <w:spacing w:after="0"/>
              <w:rPr>
                <w:sz w:val="20"/>
                <w:szCs w:val="20"/>
                <w:color w:val="auto"/>
              </w:rPr>
            </w:pPr>
            <w:r>
              <w:rPr>
                <w:rFonts w:ascii="Arial" w:cs="Arial" w:eastAsia="Arial" w:hAnsi="Arial"/>
                <w:sz w:val="14"/>
                <w:szCs w:val="14"/>
                <w:color w:val="auto"/>
                <w:w w:val="98"/>
              </w:rPr>
              <w:t>—%</w:t>
            </w:r>
          </w:p>
        </w:tc>
      </w:tr>
      <w:tr>
        <w:trPr>
          <w:trHeight w:val="22"/>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1"/>
        </w:trPr>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Thereafter</w:t>
            </w: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195,915</w:t>
            </w:r>
          </w:p>
        </w:tc>
        <w:tc>
          <w:tcPr>
            <w:tcW w:w="120" w:type="dxa"/>
            <w:vAlign w:val="bottom"/>
            <w:shd w:val="clear" w:color="auto" w:fill="CCEEFF"/>
          </w:tcPr>
          <w:p>
            <w:pPr>
              <w:spacing w:after="0"/>
              <w:rPr>
                <w:sz w:val="16"/>
                <w:szCs w:val="16"/>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$463</w:t>
            </w: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7.71%</w:t>
            </w:r>
          </w:p>
        </w:tc>
      </w:tr>
      <w:tr>
        <w:trPr>
          <w:trHeight w:val="22"/>
        </w:trPr>
        <w:tc>
          <w:tcPr>
            <w:tcW w:w="2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r>
    </w:tbl>
    <w:p>
      <w:pPr>
        <w:spacing w:after="0" w:line="63" w:lineRule="exact"/>
        <w:rPr>
          <w:sz w:val="20"/>
          <w:szCs w:val="20"/>
          <w:color w:val="auto"/>
        </w:rPr>
      </w:pPr>
    </w:p>
    <w:p>
      <w:pPr>
        <w:ind w:left="40"/>
        <w:spacing w:after="0"/>
        <w:rPr>
          <w:sz w:val="20"/>
          <w:szCs w:val="20"/>
          <w:color w:val="auto"/>
        </w:rPr>
      </w:pPr>
      <w:r>
        <w:rPr>
          <w:rFonts w:ascii="Arial" w:cs="Arial" w:eastAsia="Arial" w:hAnsi="Arial"/>
          <w:sz w:val="10"/>
          <w:szCs w:val="10"/>
          <w:color w:val="auto"/>
        </w:rPr>
        <w:t>1 - Annualized base rent is calculated as monthly base rent (cash basis) per the lease, as of the reporting period, multiplied by 12. Annualized base rent shown in thousands.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0"/>
          <w:szCs w:val="10"/>
          <w:color w:val="auto"/>
        </w:rPr>
        <w:t>2 - This lease pertains to a communication lease that does not have defined rentable square feet.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0"/>
          <w:szCs w:val="10"/>
          <w:color w:val="auto"/>
        </w:rPr>
        <w:t>3 - This amount includes 32 acres of the PEF ground lease.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One lease expired during the year-ended December 31, 2019. The lease represented less than 5% of annualized base rent.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Item 7, “Management’s Discussion and Analysis of Financial Condition and Results of Operations” for information regarding our 2019 commercial/industrial activity.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60"/>
          </w:cols>
          <w:pgMar w:left="300" w:top="426"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6EBF"/>
        </w:rPr>
        <w:t>Real Estate - Resort/Residential</w:t>
      </w:r>
    </w:p>
    <w:p>
      <w:pPr>
        <w:spacing w:after="0" w:line="140" w:lineRule="exact"/>
        <w:rPr>
          <w:sz w:val="20"/>
          <w:szCs w:val="20"/>
          <w:color w:val="auto"/>
        </w:rPr>
      </w:pPr>
    </w:p>
    <w:p>
      <w:pPr>
        <w:ind w:right="800"/>
        <w:spacing w:after="0" w:line="281" w:lineRule="auto"/>
        <w:rPr>
          <w:sz w:val="20"/>
          <w:szCs w:val="20"/>
          <w:color w:val="auto"/>
        </w:rPr>
      </w:pPr>
      <w:r>
        <w:rPr>
          <w:rFonts w:ascii="Arial" w:cs="Arial" w:eastAsia="Arial" w:hAnsi="Arial"/>
          <w:sz w:val="14"/>
          <w:szCs w:val="14"/>
          <w:color w:val="auto"/>
        </w:rPr>
        <w:t>Our resort/residential segment activities include land entitlement, land planning and pre-construction engineering, and land stewardship and conservation activities. We have three major resort/residential communities within this segment:</w:t>
      </w:r>
    </w:p>
    <w:p>
      <w:pPr>
        <w:spacing w:after="0" w:line="90" w:lineRule="exact"/>
        <w:rPr>
          <w:sz w:val="20"/>
          <w:szCs w:val="20"/>
          <w:color w:val="auto"/>
        </w:rPr>
      </w:pPr>
    </w:p>
    <w:p>
      <w:pPr>
        <w:ind w:left="520" w:right="40" w:hanging="260"/>
        <w:spacing w:after="0" w:line="28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Mountain Village at Tejon Ranch, which has entitlement approvals, an approved tentative tract map for the first four phases of residential development and an approved commercial site plan for the first phase of commercial development;</w:t>
      </w:r>
    </w:p>
    <w:p>
      <w:pPr>
        <w:spacing w:after="0" w:line="89" w:lineRule="exact"/>
        <w:rPr>
          <w:rFonts w:ascii="Arial" w:cs="Arial" w:eastAsia="Arial" w:hAnsi="Arial"/>
          <w:sz w:val="14"/>
          <w:szCs w:val="14"/>
          <w:color w:val="auto"/>
        </w:rPr>
      </w:pPr>
    </w:p>
    <w:p>
      <w:pPr>
        <w:ind w:left="520" w:right="400" w:hanging="260"/>
        <w:spacing w:after="0" w:line="28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Centennial at Tejon Ranch, which had entitlements approved in December 2018, a decision the Los Angeles County Board of Supervisors affirmed in April 2019, finalizing legislative approvals for the project;</w:t>
      </w:r>
    </w:p>
    <w:p>
      <w:pPr>
        <w:spacing w:after="0" w:line="89" w:lineRule="exact"/>
        <w:rPr>
          <w:rFonts w:ascii="Arial" w:cs="Arial" w:eastAsia="Arial" w:hAnsi="Arial"/>
          <w:sz w:val="14"/>
          <w:szCs w:val="14"/>
          <w:color w:val="auto"/>
        </w:rPr>
      </w:pPr>
    </w:p>
    <w:p>
      <w:pPr>
        <w:ind w:left="520" w:hanging="260"/>
        <w:spacing w:after="0" w:line="262"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Grapevine at Tejon Ranch, which is on land owned within Kern County, received entitlement approvals in 2016. On December 11, 2018, the Kern County Superior Court ruled we had to amend our EIR by preparing supplemental environmental documentation to further analyze the Grapevine project’s internal capture rate (ICR), which is the percent of vehicle trips remaining within the project. On December 10, 2019, the Kern County Board of Supervisors adopted the supplemental re-circulated EIR prepared in response to the court ruling and reapproved the development of Grapevine unanimously.</w:t>
      </w:r>
    </w:p>
    <w:p>
      <w:pPr>
        <w:spacing w:after="0" w:line="103"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The entitlement process precedes the regulatory approvals necessary for land development and routinely takes several years to complete. The Conservation Agreement we entered into with five major environmental organizations in 2008 is designed to minimize opposition from environmental groups to these projects and eliminate or reduce the time spent in litigation once governmental approvals are received. Litigation by environmental and other special interest groups have been a primary cause of delays and increased costs for real estate development projects in California. For discussion on legal matters pertaining to our developments, see Note 14 (Commitments and Contingencies) of the Notes to Consolidated Financial Statements.</w:t>
      </w:r>
    </w:p>
    <w:p>
      <w:pPr>
        <w:spacing w:after="0" w:line="89"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As we embark on our mixed use master planned communities, we understand that it can take up to 25 years, or longer, to complete from commencement of construction. The entitlement process for development of property in California is complex, lengthy (spanning multiple years) and costly, involving numerous federal, state, and county regulatory approvals. We are unable to determine anticipated completion dates for our real estate development projects with certainty because the time for completion is heavily dependent on the regulatory approvals necessary for land development. Also, as a real estate developer, we are cognizant of the micro- and macro-economic factors that have a significant influence on the real estate sector. As a developer, one would be at an economic disadvantage to bring product to market with no willing or able buyers. This ebb and flow of the economy also plays into the timing of our completion date. Costs will also fluctuate over the life of these projects as a result of the cost of labor and raw materials and the timing of approvals and other activity. The uncertainty of estimated costs to completion is compounded by the potential impact of inflation, which will fluctuate with the equally uncertain completion dates for our projects.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60"/>
          </w:cols>
          <w:pgMar w:left="300" w:top="422"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1480185</wp:posOffset>
            </wp:positionH>
            <wp:positionV relativeFrom="page">
              <wp:posOffset>277495</wp:posOffset>
            </wp:positionV>
            <wp:extent cx="4594860" cy="5948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594860" cy="5948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9019"/>
          </w:cols>
          <w:pgMar w:left="1440" w:top="1440"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color w:val="auto"/>
        </w:rPr>
        <w:t>Mountain Village at Tejon Ranch:</w:t>
      </w:r>
    </w:p>
    <w:p>
      <w:pPr>
        <w:spacing w:after="0" w:line="136"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MV is planned to be an exclusive, low-density, resort-based community that will provide owners and guests with a wide variety of recreational opportunities, lodging and spa facilities, putting greens, a range of housing options, and other exclusive services and amenities that are designed to distinguish MV as the resort community of choice for the Southern California market. MV is being developed by Tejon Mountain Village LLC, or TMV LLC, a wholly owned subsidiary of the Company. MV encompasses 26,417 acres, including 5,082 acres for a mixed use master planned community to include housing, retail, and commercial components. MV is entitled for 3,450 homes, 160,000 square feet of commercial development, 750 hotel keys, and 21,335 acres of open space. The first tentative tract map for the project, which includes 752 residential lots, was approved by Kern County in December 2017.</w:t>
      </w:r>
    </w:p>
    <w:p>
      <w:pPr>
        <w:spacing w:after="0" w:line="92" w:lineRule="exact"/>
        <w:rPr>
          <w:sz w:val="20"/>
          <w:szCs w:val="20"/>
          <w:color w:val="auto"/>
        </w:rPr>
      </w:pPr>
    </w:p>
    <w:p>
      <w:pPr>
        <w:jc w:val="both"/>
        <w:ind w:right="40"/>
        <w:spacing w:after="0" w:line="262" w:lineRule="auto"/>
        <w:rPr>
          <w:sz w:val="20"/>
          <w:szCs w:val="20"/>
          <w:color w:val="auto"/>
        </w:rPr>
      </w:pPr>
      <w:r>
        <w:rPr>
          <w:rFonts w:ascii="Arial" w:cs="Arial" w:eastAsia="Arial" w:hAnsi="Arial"/>
          <w:sz w:val="14"/>
          <w:szCs w:val="14"/>
          <w:color w:val="auto"/>
        </w:rPr>
        <w:t>We are working toward delivering the first phase of the 160,000 square foot commercial center that we call Farm Village. Farm Village will serve as the commercial center and community gathering place for MV residents and visitors, as well as the gateway to MV. Farm Village will include fresh culinary offerings, artisan markets, boutique lodging, and an array of trails, gardens, and agriculture that will be intertwined to create the most unique, relaxing and “edu-taining” experience while fulfilling the needs of residents of MV. In April 2018, we obtained commercial site plan approval from Kern County for the first phase of the Farm Village consisting of 53,180 square feet.</w:t>
      </w:r>
    </w:p>
    <w:p>
      <w:pPr>
        <w:spacing w:after="0" w:line="10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MV is fully entitled and all necessary permits have been issued to begin development once the mapping process is complete. Timing of MV development in the coming years will be dependent on the strength of both the economy and the residential real estate market. In moving the project forward, we will focus on the preparation of engineering leading to the final map for the first phases of MV, consumer and market research studies and fine tuning of development business plans as well as defining the capital funding sources for this development. Over the next several years, we expect to explore funding opportunities for future development of MV. Such funding opportunities could come from a variety of sources, such as joint ventures with financial partners, debt financing, or the Company’s issuance of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Centennial at Tejon Ranch:</w:t>
      </w:r>
    </w:p>
    <w:p>
      <w:pPr>
        <w:spacing w:after="0" w:line="136" w:lineRule="exact"/>
        <w:rPr>
          <w:sz w:val="20"/>
          <w:szCs w:val="20"/>
          <w:color w:val="auto"/>
        </w:rPr>
      </w:pPr>
    </w:p>
    <w:p>
      <w:pPr>
        <w:ind w:right="100"/>
        <w:spacing w:after="0" w:line="288" w:lineRule="auto"/>
        <w:rPr>
          <w:sz w:val="20"/>
          <w:szCs w:val="20"/>
          <w:color w:val="auto"/>
        </w:rPr>
      </w:pPr>
      <w:r>
        <w:rPr>
          <w:rFonts w:ascii="Arial" w:cs="Arial" w:eastAsia="Arial" w:hAnsi="Arial"/>
          <w:sz w:val="13"/>
          <w:szCs w:val="13"/>
          <w:color w:val="auto"/>
        </w:rPr>
        <w:t>The Centennial development is a mixed use master planned community development encompassing 12,323 acres of our land within Los Angeles County. Centennial is entitled for 19,333 homes and 10.1 million square feet of commercial development. Centennial will incorporate business districts, schools, retail and entertainment centers, medical facilities and other commercial office and light industrial businesses that, when complete, will create a substantial number of jobs. The project is being developed by Centennial Founders, LLC, a consolidated joint venture in which we have a 92.57% ownership interest as of December 31, 2019. Centennial is envisioned to be an ecologically friendly community that will achieve a jobs-housing balance.</w:t>
      </w:r>
    </w:p>
    <w:p>
      <w:pPr>
        <w:spacing w:after="0" w:line="89"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In December 2018, the Los Angeles County Board of Supervisors took action to approve the Specific Plan and 30 year Development Agreement for Centennial by a vote of 4-1. In April 2019, the Los Angeles County Board of Supervisors' affirmed their final approval of Centennial.</w:t>
      </w:r>
    </w:p>
    <w:p>
      <w:pPr>
        <w:spacing w:after="0" w:line="9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 2016, Lewis Investment Company withdrew from the joint venture. The surviving members (TRC, TRI Pointe Homes and CalAtlantic) absorbed the equity of Lewis Investment Company based on their respective proportionate interest in the joint venture at the time of the withdrawal. In 2018, CalAtlantic also withdrew from the joint venture. The surviving members (TRC and TRI Pointe Homes, Inc.) absorbed the equity of CalAtlantic based on their respective proportionate interest in the joint venture at the time of the withdrawal. Both withdrawals were deemed an equity transaction between members and had no earnings impact to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Grapevine at Tejon Ranch:</w:t>
      </w:r>
    </w:p>
    <w:p>
      <w:pPr>
        <w:spacing w:after="0" w:line="136"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Grapevine is a mixed-use master planned community encompassing 8,010 acres of our lands within Kern County located on the San Joaquin Valley floor, adjacent to TRCC. Grapevine is entitled for 12,000 homes, 5.1 million square feet for commercial development, and more than 3,367 acres of open space and parks. The 4,643 acres designated for mixed use development will include housing, retail, commercial, and industrial components. On December 6, 2016, the Kern County Board of Supervisors unanimously approved the specific plan and the Environmental Impact Report, or EIR, for the development of the Grapevine community, which included approval for land use designation, zoning and a development agreement. On December 11, 2018, the Kern County Superior Court ruled that portions of the EIR required corrections and ordered that the County rescind the Grapevine project approvals until a supplemental environmental analysis addressing the corrections was completed. On December 10, 2019, the Kern County Board of Supervisors adopted the supplemental re-circulated EIR prepared in response to the court ruling, and reapproved the development of Grapevine unanimously.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426" w:right="319" w:bottom="1440" w:gutter="0" w:footer="0" w:header="0"/>
        </w:sectPr>
      </w:pPr>
    </w:p>
    <w:bookmarkStart w:id="18" w:name="page19"/>
    <w:bookmarkEnd w:id="18"/>
    <w:p>
      <w:pPr>
        <w:ind w:right="40"/>
        <w:spacing w:after="0" w:line="262" w:lineRule="auto"/>
        <w:rPr>
          <w:sz w:val="20"/>
          <w:szCs w:val="20"/>
          <w:color w:val="auto"/>
        </w:rPr>
      </w:pPr>
      <w:r>
        <w:rPr>
          <w:rFonts w:ascii="Arial" w:cs="Arial" w:eastAsia="Arial" w:hAnsi="Arial"/>
          <w:sz w:val="14"/>
          <w:szCs w:val="14"/>
          <w:color w:val="auto"/>
        </w:rPr>
        <w:t>The greatest competition for the Centennial and Grapevine communities will come from California developments in the Santa Clarita Valley, Lancaster, Palmdale, and Bakersfield. The developments in these areas will be providing similar housing product as our developments. The principal factors of competition in this industry are product segmentation, pricing of product, amenities offered, and location. We will attempt to differentiate our developments through our unique setting, land planning and different product offerings. MV will compete generally for discretionary dollars that consumers will allocate to recreational and residential homes.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Company's residential real estate developments as of December 31, 2019:</w:t>
      </w:r>
    </w:p>
    <w:p>
      <w:pPr>
        <w:spacing w:after="0" w:line="233" w:lineRule="exact"/>
        <w:rPr>
          <w:sz w:val="20"/>
          <w:szCs w:val="20"/>
          <w:color w:val="auto"/>
        </w:rPr>
      </w:pPr>
    </w:p>
    <w:tbl>
      <w:tblPr>
        <w:tblLayout w:type="fixed"/>
        <w:tblInd w:w="90" w:type="dxa"/>
        <w:tblCellMar>
          <w:top w:w="0" w:type="dxa"/>
          <w:left w:w="0" w:type="dxa"/>
          <w:bottom w:w="0" w:type="dxa"/>
          <w:right w:w="0" w:type="dxa"/>
        </w:tblCellMar>
      </w:tblPr>
      <w:tr>
        <w:trPr>
          <w:trHeight w:val="201"/>
        </w:trPr>
        <w:tc>
          <w:tcPr>
            <w:tcW w:w="3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Community:</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Mountain Village</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Grapevine</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Centennial</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Resort</w:t>
            </w:r>
          </w:p>
        </w:tc>
      </w:tr>
      <w:tr>
        <w:trPr>
          <w:trHeight w:val="212"/>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Location:</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Kern County</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Kern County</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Los Angeles County</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Residential</w:t>
            </w:r>
          </w:p>
        </w:tc>
      </w:tr>
      <w:tr>
        <w:trPr>
          <w:trHeight w:val="23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Project Status</w:t>
            </w:r>
            <w:r>
              <w:rPr>
                <w:rFonts w:ascii="Arial" w:cs="Arial" w:eastAsia="Arial" w:hAnsi="Arial"/>
                <w:sz w:val="19"/>
                <w:szCs w:val="19"/>
                <w:b w:val="1"/>
                <w:bCs w:val="1"/>
                <w:color w:val="auto"/>
                <w:w w:val="90"/>
                <w:vertAlign w:val="superscript"/>
              </w:rPr>
              <w:t>1</w:t>
            </w:r>
            <w:r>
              <w:rPr>
                <w:rFonts w:ascii="Arial" w:cs="Arial" w:eastAsia="Arial" w:hAnsi="Arial"/>
                <w:sz w:val="14"/>
                <w:szCs w:val="14"/>
                <w:b w:val="1"/>
                <w:bCs w:val="1"/>
                <w:color w:val="auto"/>
                <w:w w:val="90"/>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Entitled</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Entitled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Entitled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83"/>
        </w:trPr>
        <w:tc>
          <w:tcPr>
            <w:tcW w:w="36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Entitlement Area (acres):</w:t>
            </w:r>
          </w:p>
        </w:tc>
        <w:tc>
          <w:tcPr>
            <w:tcW w:w="1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26,417</w:t>
            </w:r>
          </w:p>
        </w:tc>
        <w:tc>
          <w:tcPr>
            <w:tcW w:w="1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8,010</w:t>
            </w:r>
          </w:p>
        </w:tc>
        <w:tc>
          <w:tcPr>
            <w:tcW w:w="1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12,323</w:t>
            </w:r>
          </w:p>
        </w:tc>
        <w:tc>
          <w:tcPr>
            <w:tcW w:w="1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46,750</w:t>
            </w:r>
          </w:p>
        </w:tc>
      </w:tr>
      <w:tr>
        <w:trPr>
          <w:trHeight w:val="191"/>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Housing Units: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3,450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12,000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19,333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34,783</w:t>
            </w:r>
          </w:p>
        </w:tc>
      </w:tr>
      <w:tr>
        <w:trPr>
          <w:trHeight w:val="22"/>
        </w:trPr>
        <w:tc>
          <w:tcPr>
            <w:tcW w:w="3600" w:type="dxa"/>
            <w:vAlign w:val="bottom"/>
            <w:tcBorders>
              <w:left w:val="single" w:sz="8" w:color="auto"/>
              <w:right w:val="single" w:sz="8" w:color="auto"/>
            </w:tcBorders>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212"/>
        </w:trPr>
        <w:tc>
          <w:tcPr>
            <w:tcW w:w="3600" w:type="dxa"/>
            <w:vAlign w:val="bottom"/>
            <w:tcBorders>
              <w:left w:val="single" w:sz="8" w:color="auto"/>
              <w:right w:val="single" w:sz="8" w:color="auto"/>
            </w:tcBorders>
            <w:shd w:val="clear" w:color="auto" w:fill="CCEEFF"/>
          </w:tcPr>
          <w:p>
            <w:pPr>
              <w:jc w:val="center"/>
              <w:spacing w:after="0" w:line="213" w:lineRule="exact"/>
              <w:rPr>
                <w:sz w:val="20"/>
                <w:szCs w:val="20"/>
                <w:color w:val="auto"/>
              </w:rPr>
            </w:pPr>
            <w:r>
              <w:rPr>
                <w:rFonts w:ascii="Arial" w:cs="Arial" w:eastAsia="Arial" w:hAnsi="Arial"/>
                <w:sz w:val="14"/>
                <w:szCs w:val="14"/>
                <w:color w:val="auto"/>
                <w:w w:val="92"/>
              </w:rPr>
              <w:t>Commercial Development (sqft)</w:t>
            </w:r>
            <w:r>
              <w:rPr>
                <w:rFonts w:ascii="Arial" w:cs="Arial" w:eastAsia="Arial" w:hAnsi="Arial"/>
                <w:sz w:val="19"/>
                <w:szCs w:val="19"/>
                <w:color w:val="auto"/>
                <w:w w:val="92"/>
                <w:vertAlign w:val="superscript"/>
              </w:rPr>
              <w:t>2</w:t>
            </w:r>
            <w:r>
              <w:rPr>
                <w:rFonts w:ascii="Arial" w:cs="Arial" w:eastAsia="Arial" w:hAnsi="Arial"/>
                <w:sz w:val="14"/>
                <w:szCs w:val="14"/>
                <w:color w:val="auto"/>
                <w:w w:val="92"/>
              </w:rPr>
              <w:t>:</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160,000</w:t>
            </w:r>
          </w:p>
        </w:tc>
        <w:tc>
          <w:tcPr>
            <w:tcW w:w="1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5,100,000</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10,100,000</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15,360,000</w:t>
            </w:r>
          </w:p>
        </w:tc>
      </w:tr>
      <w:tr>
        <w:trPr>
          <w:trHeight w:val="191"/>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Open Areas (acres):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21,335</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3,367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5,624</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30,326</w:t>
            </w:r>
          </w:p>
        </w:tc>
      </w:tr>
      <w:tr>
        <w:trPr>
          <w:trHeight w:val="22"/>
        </w:trPr>
        <w:tc>
          <w:tcPr>
            <w:tcW w:w="3600" w:type="dxa"/>
            <w:vAlign w:val="bottom"/>
            <w:tcBorders>
              <w:left w:val="single" w:sz="8" w:color="auto"/>
              <w:right w:val="single" w:sz="8" w:color="auto"/>
            </w:tcBorders>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r>
      <w:tr>
        <w:trPr>
          <w:trHeight w:val="212"/>
        </w:trPr>
        <w:tc>
          <w:tcPr>
            <w:tcW w:w="3600" w:type="dxa"/>
            <w:vAlign w:val="bottom"/>
            <w:tcBorders>
              <w:left w:val="single" w:sz="8" w:color="auto"/>
              <w:bottom w:val="single" w:sz="8" w:color="auto"/>
              <w:right w:val="single" w:sz="8" w:color="auto"/>
            </w:tcBorders>
            <w:shd w:val="clear" w:color="auto" w:fill="CCEEFF"/>
          </w:tcPr>
          <w:p>
            <w:pPr>
              <w:jc w:val="center"/>
              <w:spacing w:after="0" w:line="213" w:lineRule="exact"/>
              <w:rPr>
                <w:sz w:val="20"/>
                <w:szCs w:val="20"/>
                <w:color w:val="auto"/>
              </w:rPr>
            </w:pPr>
            <w:r>
              <w:rPr>
                <w:rFonts w:ascii="Arial" w:cs="Arial" w:eastAsia="Arial" w:hAnsi="Arial"/>
                <w:sz w:val="14"/>
                <w:szCs w:val="14"/>
                <w:color w:val="auto"/>
                <w:w w:val="87"/>
              </w:rPr>
              <w:t>Costs to Date</w:t>
            </w:r>
            <w:r>
              <w:rPr>
                <w:rFonts w:ascii="Arial" w:cs="Arial" w:eastAsia="Arial" w:hAnsi="Arial"/>
                <w:sz w:val="19"/>
                <w:szCs w:val="19"/>
                <w:color w:val="auto"/>
                <w:w w:val="87"/>
                <w:vertAlign w:val="superscript"/>
              </w:rPr>
              <w:t>3</w:t>
            </w:r>
            <w:r>
              <w:rPr>
                <w:rFonts w:ascii="Arial" w:cs="Arial" w:eastAsia="Arial" w:hAnsi="Arial"/>
                <w:sz w:val="14"/>
                <w:szCs w:val="14"/>
                <w:color w:val="auto"/>
                <w:w w:val="87"/>
              </w:rPr>
              <w:t>:</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$142,567</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$34,813</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$104,491</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$281,871</w:t>
            </w:r>
          </w:p>
        </w:tc>
      </w:tr>
    </w:tbl>
    <w:p>
      <w:pPr>
        <w:spacing w:after="0" w:line="27" w:lineRule="exact"/>
        <w:rPr>
          <w:sz w:val="20"/>
          <w:szCs w:val="20"/>
          <w:color w:val="auto"/>
        </w:rPr>
      </w:pPr>
    </w:p>
    <w:p>
      <w:pPr>
        <w:ind w:left="160" w:hanging="155"/>
        <w:spacing w:after="0"/>
        <w:tabs>
          <w:tab w:leader="none" w:pos="160" w:val="left"/>
        </w:tabs>
        <w:numPr>
          <w:ilvl w:val="0"/>
          <w:numId w:val="5"/>
        </w:numPr>
        <w:rPr>
          <w:rFonts w:ascii="Arial" w:cs="Arial" w:eastAsia="Arial" w:hAnsi="Arial"/>
          <w:sz w:val="11"/>
          <w:szCs w:val="11"/>
          <w:color w:val="auto"/>
        </w:rPr>
      </w:pPr>
      <w:r>
        <w:rPr>
          <w:rFonts w:ascii="Arial" w:cs="Arial" w:eastAsia="Arial" w:hAnsi="Arial"/>
          <w:sz w:val="11"/>
          <w:szCs w:val="11"/>
          <w:color w:val="auto"/>
        </w:rPr>
        <w:t>Estimated completion anticipated to be 25 years, or longer, from commencement of construction. To-date construction has not begun.</w:t>
      </w:r>
    </w:p>
    <w:p>
      <w:pPr>
        <w:spacing w:after="0" w:line="43" w:lineRule="exact"/>
        <w:rPr>
          <w:rFonts w:ascii="Arial" w:cs="Arial" w:eastAsia="Arial" w:hAnsi="Arial"/>
          <w:sz w:val="11"/>
          <w:szCs w:val="11"/>
          <w:color w:val="auto"/>
        </w:rPr>
      </w:pPr>
    </w:p>
    <w:p>
      <w:pPr>
        <w:ind w:left="160" w:hanging="155"/>
        <w:spacing w:after="0"/>
        <w:tabs>
          <w:tab w:leader="none" w:pos="160" w:val="left"/>
        </w:tabs>
        <w:numPr>
          <w:ilvl w:val="0"/>
          <w:numId w:val="5"/>
        </w:numPr>
        <w:rPr>
          <w:rFonts w:ascii="Arial" w:cs="Arial" w:eastAsia="Arial" w:hAnsi="Arial"/>
          <w:sz w:val="11"/>
          <w:szCs w:val="11"/>
          <w:color w:val="auto"/>
        </w:rPr>
      </w:pPr>
      <w:r>
        <w:rPr>
          <w:rFonts w:ascii="Arial" w:cs="Arial" w:eastAsia="Arial" w:hAnsi="Arial"/>
          <w:sz w:val="11"/>
          <w:szCs w:val="11"/>
          <w:color w:val="auto"/>
        </w:rPr>
        <w:t>MV also has approval for up to 750 lodging units and 350,000 square feet of facilities in support of two 18-hole golf courses.</w:t>
      </w:r>
    </w:p>
    <w:p>
      <w:pPr>
        <w:spacing w:after="0" w:line="43" w:lineRule="exact"/>
        <w:rPr>
          <w:rFonts w:ascii="Arial" w:cs="Arial" w:eastAsia="Arial" w:hAnsi="Arial"/>
          <w:sz w:val="11"/>
          <w:szCs w:val="11"/>
          <w:color w:val="auto"/>
        </w:rPr>
      </w:pPr>
    </w:p>
    <w:p>
      <w:pPr>
        <w:ind w:left="200" w:right="260" w:hanging="195"/>
        <w:spacing w:after="0" w:line="276" w:lineRule="auto"/>
        <w:tabs>
          <w:tab w:leader="none" w:pos="169" w:val="left"/>
        </w:tabs>
        <w:numPr>
          <w:ilvl w:val="0"/>
          <w:numId w:val="5"/>
        </w:numPr>
        <w:rPr>
          <w:rFonts w:ascii="Arial" w:cs="Arial" w:eastAsia="Arial" w:hAnsi="Arial"/>
          <w:sz w:val="11"/>
          <w:szCs w:val="11"/>
          <w:color w:val="auto"/>
        </w:rPr>
      </w:pPr>
      <w:r>
        <w:rPr>
          <w:rFonts w:ascii="Arial" w:cs="Arial" w:eastAsia="Arial" w:hAnsi="Arial"/>
          <w:sz w:val="11"/>
          <w:szCs w:val="11"/>
          <w:color w:val="auto"/>
        </w:rPr>
        <w:t>Total estimated project costs are difficult to accurately forecast with any certainty at this time due to finalization of entitlement and mapping processes, as well as final engineering for the developments, and capital funding structure selected. Dollars presented in thousands.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Mineral Resources</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Mineral resources consist of oil and gas royalties, rock and aggregate royalties, royalties from a cement operation leased to National Cement Company of California, Inc., or National, and the management of water assets and water infrastructure. We continue to look for opportunities to grow our mineral resource revenues through expansion of leasing and encouraging new exploration. Within our water assets, we are expanding our resources through new well drilling programs, while at the same time looking for opportunities to continue to purchase water as we have in the past. We look to sell excess water over our internal needs on a temporary basis until that water is needed by us in our real estate and agricultural operations.</w:t>
      </w:r>
    </w:p>
    <w:p>
      <w:pPr>
        <w:spacing w:after="0" w:line="89"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We do not expect increased oil production in 2020 if prices remain at current levels. Water sales opportunities for 2020 will depend on rain and snowfall volume along with California State Water Project, or SWP, allocations. As of March 1, 2020, the 2020 SWP allocation is at 15% of entitled amounts.</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3"/>
          <w:szCs w:val="13"/>
          <w:color w:val="auto"/>
        </w:rPr>
        <w:t>We lease certain portions of our land to oil companies for the exploration and production of oil and gas. We however do not engage in any oil exploration or extraction activities. As of December 31, 2019, 10,332 acres were committed to producing oil and gas leases from which the operators produced and sold approximately 220,000 barrels of oil and 312,000 MCF (each MCF being 1,000 cubic feet) of dry gas during 2019. Our share of production, based upon average royalty rates during the last three years, has been 78, 89, and 108 barrels of oil per day for 2019, 2018, and 2017, respectively. There are 314 active oil wells located on the leased land as of December 31, 2019. Royalty rates on our leases averaged approximately 13.2% of oil production in 2019.</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Estimates of oil and gas reserves on our properties are unknown to us. We do not make such estimates, and our lessees do not make information concerning reserves available to us.</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We have approximately 2,000 acres under lease to National, for the purpose of manufacturing Portland cement from limestone deposits found on the leased acreage. National owns and operates a cement manufacturing plant on our property with a capacity of approximately 1,000,000 tons of cement per year. The amount of payment that we receive under the lease is based upon shipments from the cement plant. In 2019, payments increased despite a small decline in production due to the rising cost of cement caused by an increase in regional construction. The term of this lease expires in 2026, but National has options to extend the term for successive periods of 20 and 19 years. Proceedings under environmental laws relating to the cement plant are in process. The Company is indemnified by the current and former tenants, and at this time, we have no cost related to the issues at the cement plant. See Item 3, “Legal Proceedings,” for a further discussion.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426" w:right="319" w:bottom="1440" w:gutter="0" w:footer="0" w:header="0"/>
        </w:sectPr>
      </w:pPr>
    </w:p>
    <w:bookmarkStart w:id="19" w:name="page20"/>
    <w:bookmarkEnd w:id="19"/>
    <w:p>
      <w:pPr>
        <w:ind w:right="320"/>
        <w:spacing w:after="0" w:line="281" w:lineRule="auto"/>
        <w:rPr>
          <w:sz w:val="20"/>
          <w:szCs w:val="20"/>
          <w:color w:val="auto"/>
        </w:rPr>
      </w:pPr>
      <w:r>
        <w:rPr>
          <w:rFonts w:ascii="Arial" w:cs="Arial" w:eastAsia="Arial" w:hAnsi="Arial"/>
          <w:sz w:val="14"/>
          <w:szCs w:val="14"/>
          <w:color w:val="auto"/>
        </w:rPr>
        <w:t>We also lease 521 acres to Granite Construction and Griffith Construction for the mining of rock and aggregate product that is used in construction of roads and bridges. The royalty revenues we receive under these leases are based upon the amount of product produced at these sites.</w:t>
      </w:r>
    </w:p>
    <w:p>
      <w:pPr>
        <w:spacing w:after="0" w:line="90"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Our royalty interests are contractually defined and based on a percentage of production and are received in cash. Our royalty revenues fluctuate based on changes in the market prices for oil, natural gas, and rock and aggregate product, the inevitable decline in production of existing wells and quarries, and other factors affecting the third-party oil and natural gas exploration and production companies that operate on our lands including the cost of development and production.</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In August 2015, we entered into a water sale agreement with PEF, our current lessee under a power plant lease. PEF may purchase from us up to 3,500 acre feet of water per year through July 2030, with an option to extend the term. PEF is under no obligation to purchase water from us in any year, but is required to pay us an annual option payment equal to 30% of the maximum annual payment. The price of the water under the agreement is $1,154 per acre-foot of annual water in 2020, subject to 3% annual increases for the duration of the lease agreement. The Company's commitments to sell this water can be met through current water sources.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EBF"/>
        </w:rPr>
        <w:t>Farming Operations</w:t>
      </w:r>
    </w:p>
    <w:p>
      <w:pPr>
        <w:spacing w:after="0" w:line="140"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In the San Joaquin Valley, we farm permanent crops including the following acreage: wine grapes— 835; almonds—2,129 (1,384 in production and 745 not in production); and pistachios—1,053. We manage the farming of alfalfa and forage mix on 626 acres in the Antelope Valley, and we periodically lease 720 acres of land that is used for the growing of vegetables but also can be used for the development of permanent crops such as almonds.</w:t>
      </w:r>
    </w:p>
    <w:p>
      <w:pPr>
        <w:spacing w:after="0" w:line="99"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We sell our farm commodities to several commercial buyers. As a producer of these commodities, we are in direct competition with other producers within the United States, or U.S., and throughout the world. Prices we receive for our commodities are determined by total industry production and demand levels. We attempt to improve price margins by producing high quality crops through proven cultural practices and by obtaining better prices through marketing arrangements with handlers.</w:t>
      </w:r>
    </w:p>
    <w:p>
      <w:pPr>
        <w:spacing w:after="0" w:line="99"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Sales of our grape crop typically occur in the third and fourth quarters of the calendar year. Sales of our pistachio and almond crops also typically occur in the third and fourth quarters of the calendar year, but can occur up to a year or more after each crop is harvested.</w:t>
      </w:r>
    </w:p>
    <w:p>
      <w:pPr>
        <w:spacing w:after="0" w:line="90"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In 2019, we sold 63% of our grape crop to one winery, 24% to a second winery and the remainder to two other customers. These sales are under contracts ranging from one to 8 years. In 2019, our almonds were sold to various commercial buyers, with the largest buyer accounting for 42% of our crop. We sold pistachios to three customers with the largest accounting for 49% of our crop. We do not believe that we would be adversely affected by the loss of any or all of these large buyers because of the markets for these commodities, the large number of buyers that would be available to us, and the fact that the prices for these commodities do not vary based on the identity of the buyer or the size of the contract.</w:t>
      </w:r>
    </w:p>
    <w:p>
      <w:pPr>
        <w:spacing w:after="0" w:line="103" w:lineRule="exact"/>
        <w:rPr>
          <w:sz w:val="20"/>
          <w:szCs w:val="20"/>
          <w:color w:val="auto"/>
        </w:rPr>
      </w:pPr>
    </w:p>
    <w:p>
      <w:pPr>
        <w:ind w:right="40"/>
        <w:spacing w:after="0" w:line="309" w:lineRule="auto"/>
        <w:rPr>
          <w:sz w:val="20"/>
          <w:szCs w:val="20"/>
          <w:color w:val="auto"/>
        </w:rPr>
      </w:pPr>
      <w:r>
        <w:rPr>
          <w:rFonts w:ascii="Arial" w:cs="Arial" w:eastAsia="Arial" w:hAnsi="Arial"/>
          <w:sz w:val="12"/>
          <w:szCs w:val="12"/>
          <w:color w:val="auto"/>
        </w:rPr>
        <w:t>Our almond, pistachio, and wine grape crop sales are highly seasonal with a majority of our sales occurring during the third and fourth quarters. Nut and grape crop markets are particularly sensitive to the size of each year’s world crop and the demand for those crops. Large crops in California and abroad can rapidly depress prices. Crop prices, especially almonds, are also adversely affected by a strong U.S. dollar which makes U.S. exports more expensive and decreases demand for the products we produce. The low value of the U.S. dollar in prior years has helped to maintain strong almond prices in overseas markets, but we are now seeing this change as the U.S. dollar has strengthened against the Euro and Chinese Yuan from 2018 through the end of 2019. The full potential impact of an increasing U.S. dollar to our pricing and revenue is difficult to quantify. In 2019, prices for almonds and pistachios are materially consistent with 2018. Lastly, the recent coronavirus outbreak in China may disrupt the flow of trade associated with our crops. It is currently too early to determine what impact, if any, the coronavirus may have on the almond and pistachio industry.</w:t>
      </w:r>
    </w:p>
    <w:p>
      <w:pPr>
        <w:spacing w:after="0" w:line="80" w:lineRule="exact"/>
        <w:rPr>
          <w:sz w:val="20"/>
          <w:szCs w:val="20"/>
          <w:color w:val="auto"/>
        </w:rPr>
      </w:pPr>
    </w:p>
    <w:p>
      <w:pPr>
        <w:ind w:right="620"/>
        <w:spacing w:after="0" w:line="281" w:lineRule="auto"/>
        <w:rPr>
          <w:sz w:val="20"/>
          <w:szCs w:val="20"/>
          <w:color w:val="auto"/>
        </w:rPr>
      </w:pPr>
      <w:r>
        <w:rPr>
          <w:rFonts w:ascii="Arial" w:cs="Arial" w:eastAsia="Arial" w:hAnsi="Arial"/>
          <w:sz w:val="14"/>
          <w:szCs w:val="14"/>
          <w:color w:val="auto"/>
        </w:rPr>
        <w:t>Weather conditions could impact the number of tree and vine dormant hours, which are integral to tree and vine growth. We will not know the impact of current weather conditions on 2020 production until the early summer of 2020.</w:t>
      </w:r>
    </w:p>
    <w:p>
      <w:pPr>
        <w:spacing w:after="0" w:line="90" w:lineRule="exact"/>
        <w:rPr>
          <w:sz w:val="20"/>
          <w:szCs w:val="20"/>
          <w:color w:val="auto"/>
        </w:rPr>
      </w:pPr>
    </w:p>
    <w:p>
      <w:pPr>
        <w:ind w:right="200"/>
        <w:spacing w:after="0" w:line="284" w:lineRule="auto"/>
        <w:rPr>
          <w:sz w:val="20"/>
          <w:szCs w:val="20"/>
          <w:color w:val="auto"/>
        </w:rPr>
      </w:pPr>
      <w:r>
        <w:rPr>
          <w:rFonts w:ascii="Arial" w:cs="Arial" w:eastAsia="Arial" w:hAnsi="Arial"/>
          <w:sz w:val="13"/>
          <w:szCs w:val="13"/>
          <w:color w:val="auto"/>
        </w:rPr>
        <w:t>At this time the State Department of Water Resources has announced that the estimated water supply for 2020 will be at 15% of full entitlement. This allocation is expected to change based upon winter storms. The current 15% allocation of SWP water alone is not enough for us to farm our crops, but our additional water resources, such as groundwater and surface sources, and those of the water districts we are in, should allow us to have sufficient water for our farming needs. It is too early in the year to determine the impact of 2020 water supplies and its impact on 2020 California crop production for almonds, pistachios, and wine grapes. See discussion of water contract entitlement and long-term outlook for water supply under Item 2, “Properties.” Also see Note 6. (Long-Term Water Assets) of the Notes to Consolidated Financial Statements for additional information regarding our water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426"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6EBF"/>
        </w:rPr>
        <w:t>Ranch Operations</w:t>
      </w:r>
    </w:p>
    <w:p>
      <w:pPr>
        <w:spacing w:after="0" w:line="140"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Ranch operations consist of game management revenues and ancillary land uses such as grazing leases and filming. Within game management, we operate our High Desert Hunt Club, a premier upland bird hunting club. The High Desert Hunt Club offers over 6,400 acres and 35 hunting fields, each field providing different terrain and challenges. The hunting season runs from mid-October through March. We also sell individual hunting packages as well as seasonal hunting memberships.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Approximately 256,000 acres are used for two grazing leases, which account for 44% of total revenues from ranch operations at December 31, 2019.</w:t>
      </w:r>
    </w:p>
    <w:p>
      <w:pPr>
        <w:spacing w:after="0" w:line="136" w:lineRule="exact"/>
        <w:rPr>
          <w:sz w:val="20"/>
          <w:szCs w:val="20"/>
          <w:color w:val="auto"/>
        </w:rPr>
      </w:pPr>
    </w:p>
    <w:p>
      <w:pPr>
        <w:ind w:right="360"/>
        <w:spacing w:after="0" w:line="321" w:lineRule="auto"/>
        <w:rPr>
          <w:sz w:val="20"/>
          <w:szCs w:val="20"/>
          <w:color w:val="auto"/>
        </w:rPr>
      </w:pPr>
      <w:r>
        <w:rPr>
          <w:rFonts w:ascii="Arial" w:cs="Arial" w:eastAsia="Arial" w:hAnsi="Arial"/>
          <w:sz w:val="13"/>
          <w:szCs w:val="13"/>
          <w:color w:val="auto"/>
        </w:rPr>
        <w:t>Ranch operations also includes Hunt at Tejon, which offers a wide variety of guided big game hunts, including trophy Rocky Mountain elk, deer, turkey and wild pig. We offer guided hunts and memberships for both the Spring and Fall hunting seasons. At December 31, 2019, game management accounts for 34% of the total revenue from ranch operations.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In addition, the ranch operations segment is in charge of upkeep, maintenance, and security of all 270,000 acres of land.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General Environmental Regulation</w:t>
      </w:r>
    </w:p>
    <w:p>
      <w:pPr>
        <w:spacing w:after="0" w:line="140"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Our operations are subject to federal, state, and local environmental laws and regulations including laws relating to water, air, solid waste, and hazardous substances. Although we believe that we are in material compliance with these requirements, there can be no assurance that we will not incur costs, penalties, and liabilities, including those relating to claims for damages to property or natural resources, resulting from our operations. Environmental liabilities may also arise from claims asserted by adjacent landowners or other third parties. We also expect continued legislation and regulatory development in the area of climate change and greenhouse gases. It is unclear as of this date how any such developments will affect our business. Enactment of new environmental laws or regulations, or changes in existing laws or regulations or the interpretation of these laws or regulations, might require expenditures in the future. We historically have not had material environmental liabilities.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Environmental Sustainability</w:t>
      </w:r>
    </w:p>
    <w:p>
      <w:pPr>
        <w:spacing w:after="0" w:line="140"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Environmental stewardship, or sustainability, is one of Tejon Ranch Co.’s core values, along with quality and visionary innovation. This commitment to sustainability manifests itself in many ways across the Company and its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Climate Change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Company maintains policies intended to both reduce its carbon footprint and proactively sequester, or capture and store, carbon.</w:t>
      </w:r>
    </w:p>
    <w:p>
      <w:pPr>
        <w:spacing w:after="0" w:line="115" w:lineRule="exact"/>
        <w:rPr>
          <w:sz w:val="20"/>
          <w:szCs w:val="20"/>
          <w:color w:val="auto"/>
        </w:rPr>
      </w:pPr>
    </w:p>
    <w:p>
      <w:pPr>
        <w:jc w:val="both"/>
        <w:ind w:left="520" w:right="100" w:hanging="260"/>
        <w:spacing w:after="0" w:line="258"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Since 2008, the Company has voluntarily conserved 240,000 acres of its land covered by trees and other vegetation. A recent analysis conducted for the Company by Dudek Environmental Services determined that this acreage effectively sequesters 3.3 million tons of carbon. That equals the volume of carbon produced in a single year by 2.5 million passenger vehicles-10% of California’s 2019 passenger vehicle fleet.</w:t>
      </w:r>
    </w:p>
    <w:p>
      <w:pPr>
        <w:ind w:left="520" w:right="80" w:hanging="260"/>
        <w:spacing w:after="0" w:line="253"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Solar power is used significantly within TRCC. For example, in 2019 the Company installed a solar covered parking structure at the Outlets at Tejon. The structure covers 1.85 acres and is projected to offset 83% of the center’s electricity needs for shared spaces and produce 1,076,000 kWh of clean energy every year. In addition, the IKEA distribution center at TRCC features a 1.8 MW photovoltaic solar array covering 370,000 square feet of the warehouse’s rooftop. The system handles the power needs of IKEA’s distribution center and provides power into the electric grid as well.</w:t>
      </w:r>
    </w:p>
    <w:p>
      <w:pPr>
        <w:ind w:left="520" w:hanging="260"/>
        <w:spacing w:after="0" w:line="253"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has entered into a lease with Calpine Energy, a power generating company, for the development of a 600-acre industrial-sized solar field. Located immediately adjacent to Calpine’s PEF, a natural gas and steam powered generating plant in the San Joaquin Valley portion of the Ranch, the solar array is expected to produce approximately 100 MW of power once fully operational.</w:t>
      </w: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three master planned mixed use residential communities are also designed to make use of renewable energy sources: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At Grapevine, 50% or more of its energy supply will be produced on site by renewable sources.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All homes in Mountain Village will feature roof-top photovoltaic solar arrays.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Centennial will be net zero-energy, with the entire community being powered with its own clean, renewable energy sources.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422"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color w:val="auto"/>
        </w:rPr>
        <w:t>Air Quality</w:t>
      </w:r>
    </w:p>
    <w:p>
      <w:pPr>
        <w:spacing w:after="0" w:line="115" w:lineRule="exact"/>
        <w:rPr>
          <w:sz w:val="20"/>
          <w:szCs w:val="20"/>
          <w:color w:val="auto"/>
        </w:rPr>
      </w:pPr>
    </w:p>
    <w:p>
      <w:pPr>
        <w:ind w:left="520" w:right="40" w:hanging="260"/>
        <w:spacing w:after="0" w:line="258"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has contracted with the San Joaquin Valley Unified Air Pollution Control District (“SJVUAPCD”) to pre-mitigate air emissions related to the Company’s current development at TRCC-East, and future development at Mountain Village and Grapevine. As of 2019, the SJVUAPCD had fully offset current air emissions at TRCC-East, as well as future emissions projected to occur at full build-out of the project.</w:t>
      </w:r>
    </w:p>
    <w:p>
      <w:pPr>
        <w:ind w:left="520" w:right="40" w:hanging="260"/>
        <w:spacing w:after="0" w:line="253"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Nearly two decades ago, the Company helped establish and has continuously supported Valley Clean Air Now (“VCAN”), a non-profit, 501(c)(3) public charity that advances quantifiable and voluntary solutions addressing air pollution in California’s San Joaquin Valley, a region with some of the worst air quality and highest poverty levels in the United States. The Company continues to support VCAN in its mission to improve public health and quality of life in disadvantaged communities located in the region.</w:t>
      </w:r>
    </w:p>
    <w:p>
      <w:pPr>
        <w:ind w:left="1020" w:hanging="251"/>
        <w:spacing w:after="0" w:line="253"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VCAN’s programs deliver $850 smog repair vouchers and $9,500 in down payment incentives to low-income residents in the region so they can replace high-polluting vehicles with used plug-in or hybrid cars.</w:t>
      </w:r>
    </w:p>
    <w:p>
      <w:pPr>
        <w:ind w:left="1020" w:right="60" w:hanging="251"/>
        <w:spacing w:after="0" w:line="257"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In the past five years, VCAN has helped more than 35,000 households improve their vehicle emissions by completing over 20,000 smog repairs and providing more than 26,000 smog repair vouchers. Additionally, VCAN’s vehicle replacement program has delivered more than 2,000 plug-in electric vehicles. Based on pre- and post-repair emission capture readings, VCAN’s vehicle repair and replacement work has generated 692 tons of oxides of nitrogen (also known as “NOx”), 71 tons of carbon monoxide, and 90 tons of hydro-carbon emission reductions.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Water Conservation</w:t>
      </w:r>
    </w:p>
    <w:p>
      <w:pPr>
        <w:spacing w:after="0" w:line="115" w:lineRule="exact"/>
        <w:rPr>
          <w:sz w:val="20"/>
          <w:szCs w:val="20"/>
          <w:color w:val="auto"/>
        </w:rPr>
      </w:pPr>
    </w:p>
    <w:p>
      <w:pPr>
        <w:ind w:left="520" w:right="340" w:hanging="260"/>
        <w:spacing w:after="0" w:line="260"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At TRCC-East, all water used for irrigation purposes is reclaimed water from the water treatment plant. Landscaping at the Outlets at Tejon consists of drought-tolerant, native planting material.</w:t>
      </w:r>
    </w:p>
    <w:p>
      <w:pPr>
        <w:ind w:left="520" w:right="120" w:hanging="260"/>
        <w:spacing w:after="0" w:line="253"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Each of the Company’s master planned mixed use residential communities will feature state-of-the-art water conservation measures, reclaimed water for irrigation, stormwater capture, and drought-tolerant landscaping.</w:t>
      </w: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Company’s agricultural operations use highly efficient drip irrigation to water its orchards and vineyards.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Customers</w:t>
      </w:r>
    </w:p>
    <w:p>
      <w:pPr>
        <w:spacing w:after="0" w:line="140" w:lineRule="exact"/>
        <w:rPr>
          <w:sz w:val="20"/>
          <w:szCs w:val="20"/>
          <w:color w:val="auto"/>
        </w:rPr>
      </w:pPr>
    </w:p>
    <w:p>
      <w:pPr>
        <w:ind w:right="500"/>
        <w:spacing w:after="0" w:line="281" w:lineRule="auto"/>
        <w:rPr>
          <w:sz w:val="20"/>
          <w:szCs w:val="20"/>
          <w:color w:val="auto"/>
        </w:rPr>
      </w:pPr>
      <w:r>
        <w:rPr>
          <w:rFonts w:ascii="Arial" w:cs="Arial" w:eastAsia="Arial" w:hAnsi="Arial"/>
          <w:sz w:val="14"/>
          <w:szCs w:val="14"/>
          <w:color w:val="auto"/>
        </w:rPr>
        <w:t>During 2019, our PEF power plant lease accounted for 9% of total revenues. In 2018 and 2017, the PEF power plant lease generated 9% and 11% of our total revenues, respectively. No other customer represents 5% or more of our revenues in 2019 and 2018.</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Organization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Tejon Ranch Co. is a Delaware corporation incorporated in 1987 to succeed the business operated as a California corporation since 1936.</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Employees</w:t>
      </w:r>
    </w:p>
    <w:p>
      <w:pPr>
        <w:spacing w:after="0" w:line="140"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At December 31, 2019, we had 106 full-time employees. We believe that we have good relations with our employees. We have adopted a Compliance with State and Federal Statutes, Rules and Regulations Reporting Policy that applies to all of our employees. Its receipt and review by each employee is documented and verified quarterly. None of our employees are covered by a collective bargaining agreement.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Reports</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make available free of charge through our Internet website, www.tejonranch.com, our annual report on Form 10-K, quarterly reports on Form 10-Q, current reports on Form 8-K and amendments to these reports filed or to be furnished pursuant to Section 13(a) of the Securities Exchange Act of 1934, as amended, as soon as reasonably practicable after we electronically file such material with or furnish it to the SEC. We also make available on our website our corporate governance guidelines, charters of our key Board of Directors’ Committees (audit, compensation, nominating and corporate governance, and real estate), and our Code of Business Conduct and Ethics for Directors, Officers, and Employees. These items are also available in printed copy upon request. We intend to disclose in the future any amendments to our Code of Business Conduct and Ethics for Directors, Officers, and Employees, or waivers of such provisions granted to executive officers and directors, on the web site within four business days following the date of such amendment or waiver. Any document we file with the Securities and Exchange Commission, or SEC, may be inspected, without charge, at the SEC’s website: http://www.sec.gov.</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60"/>
          </w:cols>
          <w:pgMar w:left="300" w:top="299"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006EBF"/>
        </w:rPr>
        <w:t>Information about our Executive Officers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each of our executive officers and the offices held as of March 10, 2020, the period the offices have been held, and the age of the executive officer.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Name</w:t>
            </w:r>
          </w:p>
        </w:tc>
        <w:tc>
          <w:tcPr>
            <w:tcW w:w="57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Office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Held since</w:t>
            </w:r>
          </w:p>
        </w:tc>
        <w:tc>
          <w:tcPr>
            <w:tcW w:w="1460" w:type="dxa"/>
            <w:vAlign w:val="bottom"/>
          </w:tcPr>
          <w:p>
            <w:pPr>
              <w:jc w:val="center"/>
              <w:spacing w:after="0"/>
              <w:rPr>
                <w:sz w:val="20"/>
                <w:szCs w:val="20"/>
                <w:color w:val="auto"/>
              </w:rPr>
            </w:pPr>
            <w:r>
              <w:rPr>
                <w:rFonts w:ascii="Arial" w:cs="Arial" w:eastAsia="Arial" w:hAnsi="Arial"/>
                <w:sz w:val="14"/>
                <w:szCs w:val="14"/>
                <w:color w:val="auto"/>
                <w:w w:val="96"/>
              </w:rPr>
              <w:t>Age</w:t>
            </w:r>
          </w:p>
        </w:tc>
      </w:tr>
      <w:tr>
        <w:trPr>
          <w:trHeight w:val="22"/>
        </w:trPr>
        <w:tc>
          <w:tcPr>
            <w:tcW w:w="2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Gregory S. Bielli</w:t>
            </w:r>
          </w:p>
        </w:tc>
        <w:tc>
          <w:tcPr>
            <w:tcW w:w="5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President and Chief Executive Officer, Director</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2013</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59</w:t>
            </w:r>
          </w:p>
        </w:tc>
      </w:tr>
      <w:tr>
        <w:trPr>
          <w:trHeight w:val="191"/>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Allen E. Lyda</w:t>
            </w:r>
          </w:p>
        </w:tc>
        <w:tc>
          <w:tcPr>
            <w:tcW w:w="57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Executive Vice President and Chief Operating Officer</w:t>
            </w:r>
          </w:p>
        </w:tc>
        <w:tc>
          <w:tcPr>
            <w:tcW w:w="146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62</w:t>
            </w:r>
          </w:p>
        </w:tc>
      </w:tr>
      <w:tr>
        <w:trPr>
          <w:trHeight w:val="22"/>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Hugh McMahon</w:t>
            </w:r>
          </w:p>
        </w:tc>
        <w:tc>
          <w:tcPr>
            <w:tcW w:w="5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Executive Vice President, Real Estate</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53</w:t>
            </w:r>
          </w:p>
        </w:tc>
      </w:tr>
      <w:tr>
        <w:trPr>
          <w:trHeight w:val="191"/>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Robert D. Velasquez</w:t>
            </w:r>
          </w:p>
        </w:tc>
        <w:tc>
          <w:tcPr>
            <w:tcW w:w="57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Senior Vice President, Chief Financial Officer</w:t>
            </w:r>
          </w:p>
        </w:tc>
        <w:tc>
          <w:tcPr>
            <w:tcW w:w="146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53</w:t>
            </w:r>
          </w:p>
        </w:tc>
      </w:tr>
      <w:tr>
        <w:trPr>
          <w:trHeight w:val="22"/>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1"/>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Michael R.W. Houston</w:t>
            </w:r>
          </w:p>
        </w:tc>
        <w:tc>
          <w:tcPr>
            <w:tcW w:w="57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Senior Vice President, General Counsel</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45</w:t>
            </w:r>
          </w:p>
        </w:tc>
      </w:tr>
      <w:tr>
        <w:trPr>
          <w:trHeight w:val="22"/>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A description of present and prior positions with us, and business experience is given below.</w:t>
      </w:r>
    </w:p>
    <w:p>
      <w:pPr>
        <w:spacing w:after="0" w:line="136"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Mr. Bielli has been employed by the Company since September 2013. Mr. Bielli joined the Company as President and Chief Operating Officer and became President and Chief Executive Officer on December 17, 2013. Prior to joining the Company, Mr. Bielli was President of Newland Communities' Western Region, a diversified real estate company, and was responsible for overseeing management of all operational aspects of Newland's real estate projects in the region. Mr. Bielli worked with Newland Communities from 2006 through August 2013.</w:t>
      </w:r>
    </w:p>
    <w:p>
      <w:pPr>
        <w:spacing w:after="0" w:line="82" w:lineRule="exact"/>
        <w:rPr>
          <w:sz w:val="20"/>
          <w:szCs w:val="20"/>
          <w:color w:val="auto"/>
        </w:rPr>
      </w:pPr>
    </w:p>
    <w:p>
      <w:pPr>
        <w:ind w:right="140"/>
        <w:spacing w:after="0" w:line="331" w:lineRule="auto"/>
        <w:rPr>
          <w:sz w:val="20"/>
          <w:szCs w:val="20"/>
          <w:color w:val="auto"/>
        </w:rPr>
      </w:pPr>
      <w:r>
        <w:rPr>
          <w:rFonts w:ascii="Arial" w:cs="Arial" w:eastAsia="Arial" w:hAnsi="Arial"/>
          <w:sz w:val="12"/>
          <w:szCs w:val="12"/>
          <w:color w:val="auto"/>
        </w:rPr>
        <w:t>Mr. Lyda has been employed by us since 1990, initially serving as Vice President, Finance and Treasurer. He was elected Assistant Secretary in 1995 and Chief Financial Officer in 1999. Mr. Lyda was promoted to Senior Vice President in 2008, and Executive Vice President in 2012. Mr. Lyda's title was subsequently changed in 2013 to Executive Vice President and Chief Financial Officer to more accurately describe the responsibilities of his office. On January 1, 2019, he was appointed to the role of Chief Operating Officer and ceased serving as the Company's Chief Financial Officer.</w:t>
      </w:r>
    </w:p>
    <w:p>
      <w:pPr>
        <w:spacing w:after="0" w:line="66"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Mr. McMahon joined the Company in November 2001 as Director of Financial Analysis. In 2008, Mr. McMahon became Vice President of Commercial/Industrial Development and in December of 2014, was promoted to Senior Vice President of Commercial/Industrial Development and elected as an officer of the Company. In 2015, he was promoted to Executive Vice President. Mr. McMahon's title was subsequently changed to Executive Vice President, Real Estate.</w:t>
      </w:r>
    </w:p>
    <w:p>
      <w:pPr>
        <w:spacing w:after="0" w:line="99"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Mr. Velasquez joined the Company as Vice President of Finance in 2014. Mr. Velasquez's title was subsequently changed, in 2015, to Vice President of Finance and Chief Accounting Officer to more accurately describe the responsibilities of his office. Prior to joining the Company, Mr. Velasquez served as an Executive Director at Ernst &amp; Young in their audit and assurance practice section. Mr. Velasquez worked with Ernst &amp; Young from 1999 through 2014. Mr. Velasquez holds a B.S. in Business Administration – Option: Accounting from California State University, Los Angeles. Mr. Velasquez is a Certified Public Accountant in the state of California. On January 1, 2018 he was promoted to Senior Vice President, Finance and Chief Accounting Officer. On January 1, 2019, he was appointed Chief Financial Officer.</w:t>
      </w:r>
    </w:p>
    <w:p>
      <w:pPr>
        <w:spacing w:after="0" w:line="104"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Mr. Houston joined the Company in May 2016 as the Senior Vice President, General Counsel. He previously worked for the City of Anaheim, where he served as City Attorney from 2013 through 2016. His background involves extensive experience in corporate governance, municipal law, real estate, land use and environmental issues. Prior to working for the City of Anaheim, he served as a partner for a Newport Beach, CA-based law firm of Cummins &amp; White from 2011 to 2013, and prior to that, was a partner at Rutan &amp; Tucker, LLP, Costa Mesa, CA.</w:t>
      </w:r>
    </w:p>
    <w:p>
      <w:pPr>
        <w:spacing w:after="0" w:line="78"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006EBF"/>
        </w:rPr>
        <w:t>ITEM 1A.</w:t>
      </w:r>
      <w:r>
        <w:rPr>
          <w:sz w:val="20"/>
          <w:szCs w:val="20"/>
          <w:color w:val="auto"/>
        </w:rPr>
        <w:tab/>
      </w:r>
      <w:r>
        <w:rPr>
          <w:rFonts w:ascii="Arial" w:cs="Arial" w:eastAsia="Arial" w:hAnsi="Arial"/>
          <w:sz w:val="13"/>
          <w:szCs w:val="13"/>
          <w:b w:val="1"/>
          <w:bCs w:val="1"/>
          <w:color w:val="006EBF"/>
        </w:rPr>
        <w:t>RISK FACTORS</w:t>
      </w:r>
    </w:p>
    <w:p>
      <w:pPr>
        <w:spacing w:after="0" w:line="140" w:lineRule="exact"/>
        <w:rPr>
          <w:sz w:val="20"/>
          <w:szCs w:val="20"/>
          <w:color w:val="auto"/>
        </w:rPr>
      </w:pPr>
    </w:p>
    <w:p>
      <w:pPr>
        <w:jc w:val="both"/>
        <w:ind w:right="120"/>
        <w:spacing w:after="0" w:line="262" w:lineRule="auto"/>
        <w:rPr>
          <w:sz w:val="20"/>
          <w:szCs w:val="20"/>
          <w:color w:val="auto"/>
        </w:rPr>
      </w:pPr>
      <w:r>
        <w:rPr>
          <w:rFonts w:ascii="Arial" w:cs="Arial" w:eastAsia="Arial" w:hAnsi="Arial"/>
          <w:sz w:val="14"/>
          <w:szCs w:val="14"/>
          <w:color w:val="auto"/>
        </w:rPr>
        <w:t>The risks and uncertainties described below are not the only ones facing the Company. If any of the following risks occur, our business, financial condition, results of operations or future prospects could be materially adversely affected. Our strategy, focused on more aggressive development of our land, involves significant risk and could result in operating losses. The risks that we describe in our public filings are not the only risks that we face. Additional risks and uncertainties not presently known to us, or that we currently consider immaterial, also may materially adversely affect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424242"/>
        </w:rPr>
        <w:t>STRATEGIC RISKS</w:t>
      </w:r>
    </w:p>
    <w:p>
      <w:pPr>
        <w:spacing w:after="0" w:line="169"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Strategic risk relates to the Company's future business plans and strategies, including the risks associated with the macro- and micro- environment in which we operate, including the demand for our products and services, the success of investments in our real estate development, technology and public policy.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60"/>
          </w:cols>
          <w:pgMar w:left="300" w:top="422" w:right="339" w:bottom="1440" w:gutter="0" w:footer="0" w:header="0"/>
        </w:sectPr>
      </w:pPr>
    </w:p>
    <w:bookmarkStart w:id="23" w:name="page24"/>
    <w:bookmarkEnd w:id="23"/>
    <w:p>
      <w:pPr>
        <w:ind w:right="40"/>
        <w:spacing w:after="0" w:line="286" w:lineRule="auto"/>
        <w:rPr>
          <w:sz w:val="20"/>
          <w:szCs w:val="20"/>
          <w:color w:val="auto"/>
        </w:rPr>
      </w:pPr>
      <w:r>
        <w:rPr>
          <w:rFonts w:ascii="Arial" w:cs="Arial" w:eastAsia="Arial" w:hAnsi="Arial"/>
          <w:sz w:val="13"/>
          <w:szCs w:val="13"/>
          <w:b w:val="1"/>
          <w:bCs w:val="1"/>
          <w:color w:val="auto"/>
        </w:rPr>
        <w:t xml:space="preserve">Adverse changes in economic conditions in markets where we conduct our operations and where prospective purchasers of our future homes and commercial products live could reduce the demand for our products and, as a result, could adversely affect our business, results of operations, and financial condition. </w:t>
      </w:r>
      <w:r>
        <w:rPr>
          <w:rFonts w:ascii="Arial" w:cs="Arial" w:eastAsia="Arial" w:hAnsi="Arial"/>
          <w:sz w:val="13"/>
          <w:szCs w:val="13"/>
          <w:color w:val="auto"/>
        </w:rPr>
        <w:t>Adverse changes in economic conditions in markets where we</w:t>
      </w:r>
      <w:r>
        <w:rPr>
          <w:rFonts w:ascii="Arial" w:cs="Arial" w:eastAsia="Arial" w:hAnsi="Arial"/>
          <w:sz w:val="13"/>
          <w:szCs w:val="13"/>
          <w:b w:val="1"/>
          <w:bCs w:val="1"/>
          <w:color w:val="auto"/>
        </w:rPr>
        <w:t xml:space="preserve"> </w:t>
      </w:r>
      <w:r>
        <w:rPr>
          <w:rFonts w:ascii="Arial" w:cs="Arial" w:eastAsia="Arial" w:hAnsi="Arial"/>
          <w:sz w:val="13"/>
          <w:szCs w:val="13"/>
          <w:color w:val="auto"/>
        </w:rPr>
        <w:t>conduct our operations and where prospective purchasers of our real estate products live have had and may in the future have a negative impact on our business. Adverse changes in employment levels, job growth, consumer confidence, interest rates, and population growth, or an oversupply of product for sale or lease may reduce demand and depress prices and cause buyers to cancel their purchase agreements. This, in turn, could adversely affect our results of operations and financial condition.</w:t>
      </w:r>
    </w:p>
    <w:p>
      <w:pPr>
        <w:spacing w:after="0" w:line="85" w:lineRule="exact"/>
        <w:rPr>
          <w:sz w:val="20"/>
          <w:szCs w:val="20"/>
          <w:color w:val="auto"/>
        </w:rPr>
      </w:pPr>
    </w:p>
    <w:p>
      <w:pPr>
        <w:ind w:right="140"/>
        <w:spacing w:after="0" w:line="291" w:lineRule="auto"/>
        <w:rPr>
          <w:sz w:val="20"/>
          <w:szCs w:val="20"/>
          <w:color w:val="auto"/>
        </w:rPr>
      </w:pPr>
      <w:r>
        <w:rPr>
          <w:rFonts w:ascii="Arial" w:cs="Arial" w:eastAsia="Arial" w:hAnsi="Arial"/>
          <w:sz w:val="13"/>
          <w:szCs w:val="13"/>
          <w:b w:val="1"/>
          <w:bCs w:val="1"/>
          <w:color w:val="auto"/>
        </w:rPr>
        <w:t>Higher interest rates and lack of available financing can have significant impacts on the real estate industry</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Higher interest rates generally impact the real estate industry by making it harder</w:t>
      </w:r>
      <w:r>
        <w:rPr>
          <w:rFonts w:ascii="Arial" w:cs="Arial" w:eastAsia="Arial" w:hAnsi="Arial"/>
          <w:sz w:val="13"/>
          <w:szCs w:val="13"/>
          <w:b w:val="1"/>
          <w:bCs w:val="1"/>
          <w:color w:val="auto"/>
        </w:rPr>
        <w:t xml:space="preserve"> </w:t>
      </w:r>
      <w:r>
        <w:rPr>
          <w:rFonts w:ascii="Arial" w:cs="Arial" w:eastAsia="Arial" w:hAnsi="Arial"/>
          <w:sz w:val="13"/>
          <w:szCs w:val="13"/>
          <w:color w:val="auto"/>
        </w:rPr>
        <w:t>for buyers to qualify for financing, which can lead to a decrease in the demand for residential, commercial or industrial sites. Any decrease in demand will negatively impact our proposed developments.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92"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b w:val="1"/>
          <w:bCs w:val="1"/>
          <w:color w:val="auto"/>
        </w:rPr>
        <w:t>We are subject to various land use regulations and require governmental approvals and permits for our developments that could be denied</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In planning and developing our land, we are</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Many states, cities and counties (including neighboring Ventura County) have in the past approved various “slow growth” or “urban limit line” measures. If that were to occur in the jurisdictions governing the Company’s land use, our future real estate development activities could be significantly adversely affected.</w:t>
      </w:r>
    </w:p>
    <w:p>
      <w:pPr>
        <w:spacing w:after="0" w:line="88"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b w:val="1"/>
          <w:bCs w:val="1"/>
          <w:color w:val="auto"/>
        </w:rPr>
        <w:t>Third-party litigation could increase the time and cost of our development efforts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land use approval processes we must follow to ultimately develop our projects have become increasingly</w:t>
      </w:r>
      <w:r>
        <w:rPr>
          <w:rFonts w:ascii="Arial" w:cs="Arial" w:eastAsia="Arial" w:hAnsi="Arial"/>
          <w:sz w:val="14"/>
          <w:szCs w:val="14"/>
          <w:b w:val="1"/>
          <w:bCs w:val="1"/>
          <w:color w:val="auto"/>
        </w:rPr>
        <w:t xml:space="preserve"> </w:t>
      </w:r>
      <w:r>
        <w:rPr>
          <w:rFonts w:ascii="Arial" w:cs="Arial" w:eastAsia="Arial" w:hAnsi="Arial"/>
          <w:sz w:val="14"/>
          <w:szCs w:val="14"/>
          <w:color w:val="auto"/>
        </w:rPr>
        <w:t>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could result in denial of the right to develop, or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3"/>
          <w:szCs w:val="13"/>
          <w:b w:val="1"/>
          <w:bCs w:val="1"/>
          <w:color w:val="auto"/>
        </w:rPr>
        <w:t>We are subject to environmental regulations and opposition from environmental groups that could cause delays and increase the costs of our development efforts or preclude such development entirely</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Environmental laws that apply to a given site can vary greatly according to the site’s location and condition, present and former uses of the site, and the presence or absence of</w:t>
      </w:r>
      <w:r>
        <w:rPr>
          <w:rFonts w:ascii="Arial" w:cs="Arial" w:eastAsia="Arial" w:hAnsi="Arial"/>
          <w:sz w:val="13"/>
          <w:szCs w:val="13"/>
          <w:b w:val="1"/>
          <w:bCs w:val="1"/>
          <w:color w:val="auto"/>
        </w:rPr>
        <w:t xml:space="preserve"> </w:t>
      </w:r>
      <w:r>
        <w:rPr>
          <w:rFonts w:ascii="Arial" w:cs="Arial" w:eastAsia="Arial" w:hAnsi="Arial"/>
          <w:sz w:val="13"/>
          <w:szCs w:val="13"/>
          <w:color w:val="auto"/>
        </w:rPr>
        <w:t>sensitive elements like wetlands and endangered species. Federal and state environmental laws also govern the construction and operation of our projects and require compliance with various environmental regulations, including analysis of the environmental impact of our projects and evaluation of our reduction in the projects’ carbon footprint and greenhouse gas emissions. Environmental laws and conditions may result in delays, cause us to incur additional costs for compliance, mitigation and processing land use applications, or preclude development in specific areas. In addition, in California, third parties have the ability to file litigation challenging the approval of a project which they usually do by alleging inadequate disclosure and mitigation of the environmental impacts of the project. Certain groups opposed to development have made clear they intend to oppose our projects vigorously, so litigation challenging their approval is expected. Currently, the Centennial entitlement approval has been opposed through litigation against the Company and Los Angeles County. At Grapevine, the issues most commonly cited in opponents’ public comments include the poor air quality of the San Joaquin Valley air basin, potential impacts of projects on the California condor and other species of concern, the potential for our lands to function as wildlife movement corridors, potential impacts of our projects on traffic and air quality in Los Angeles County, emissions of greenhouse gases, water availability and criticism of proposed development in rural areas as being “sprawl.” In addition, California has a specific statutory and regulatory scheme intended to reduce greenhouse gas emissions in the state and efforts to enact federal legislation to address climate change concerns could require further reductions in our projects’ carbon footprint in the future.</w:t>
      </w:r>
    </w:p>
    <w:p>
      <w:pPr>
        <w:spacing w:after="0" w:line="94" w:lineRule="exact"/>
        <w:rPr>
          <w:sz w:val="20"/>
          <w:szCs w:val="20"/>
          <w:color w:val="auto"/>
        </w:rPr>
      </w:pPr>
    </w:p>
    <w:p>
      <w:pPr>
        <w:ind w:right="200"/>
        <w:spacing w:after="0" w:line="300" w:lineRule="auto"/>
        <w:rPr>
          <w:sz w:val="20"/>
          <w:szCs w:val="20"/>
          <w:color w:val="auto"/>
        </w:rPr>
      </w:pPr>
      <w:r>
        <w:rPr>
          <w:rFonts w:ascii="Arial" w:cs="Arial" w:eastAsia="Arial" w:hAnsi="Arial"/>
          <w:sz w:val="13"/>
          <w:szCs w:val="13"/>
          <w:b w:val="1"/>
          <w:bCs w:val="1"/>
          <w:color w:val="auto"/>
        </w:rPr>
        <w:t>Until governmental entitlements are received, we will have a limited inventory of real estate</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Each of our four current and planned real estate projects, TRCC, Centennial, MV, and Grapevine</w:t>
      </w:r>
      <w:r>
        <w:rPr>
          <w:rFonts w:ascii="Arial" w:cs="Arial" w:eastAsia="Arial" w:hAnsi="Arial"/>
          <w:sz w:val="13"/>
          <w:szCs w:val="13"/>
          <w:b w:val="1"/>
          <w:bCs w:val="1"/>
          <w:color w:val="auto"/>
        </w:rPr>
        <w:t xml:space="preserve"> </w:t>
      </w:r>
      <w:r>
        <w:rPr>
          <w:rFonts w:ascii="Arial" w:cs="Arial" w:eastAsia="Arial" w:hAnsi="Arial"/>
          <w:sz w:val="13"/>
          <w:szCs w:val="13"/>
          <w:color w:val="auto"/>
        </w:rPr>
        <w:t>involve obtaining various governmental agency permits and/or entitlements. Any future projects will also involve obtaining government permits and/or entitlements. A delay in obtaining governmental approvals could lead to additional costs related to these developments and potentially lost opportunities for the sale of lots to developers and land users.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60"/>
          </w:cols>
          <w:pgMar w:left="300" w:top="422" w:right="339" w:bottom="1440" w:gutter="0" w:footer="0" w:header="0"/>
        </w:sectPr>
      </w:pPr>
    </w:p>
    <w:bookmarkStart w:id="24" w:name="page25"/>
    <w:bookmarkEnd w:id="24"/>
    <w:p>
      <w:pPr>
        <w:spacing w:after="0" w:line="261" w:lineRule="auto"/>
        <w:rPr>
          <w:sz w:val="20"/>
          <w:szCs w:val="20"/>
          <w:color w:val="auto"/>
        </w:rPr>
      </w:pPr>
      <w:r>
        <w:rPr>
          <w:rFonts w:ascii="Arial" w:cs="Arial" w:eastAsia="Arial" w:hAnsi="Arial"/>
          <w:sz w:val="14"/>
          <w:szCs w:val="14"/>
          <w:b w:val="1"/>
          <w:bCs w:val="1"/>
          <w:color w:val="auto"/>
        </w:rPr>
        <w:t>We are in competition with several other developments for customers and residents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Within our real estate activities, we are in direct competition for customers with other industrial sites in</w:t>
      </w:r>
      <w:r>
        <w:rPr>
          <w:rFonts w:ascii="Arial" w:cs="Arial" w:eastAsia="Arial" w:hAnsi="Arial"/>
          <w:sz w:val="14"/>
          <w:szCs w:val="14"/>
          <w:b w:val="1"/>
          <w:bCs w:val="1"/>
          <w:color w:val="auto"/>
        </w:rPr>
        <w:t xml:space="preserve"> </w:t>
      </w:r>
      <w:r>
        <w:rPr>
          <w:rFonts w:ascii="Arial" w:cs="Arial" w:eastAsia="Arial" w:hAnsi="Arial"/>
          <w:sz w:val="14"/>
          <w:szCs w:val="14"/>
          <w:color w:val="auto"/>
        </w:rPr>
        <w:t>Northern, Central, and Southern California. We are also in competition with other highway interchange locations using Interstate 5 and State Route 99 for commercial leasing opportunities. Once they receive all necessary permits and approvals, Centennial and Grapevine will ultimately compete with other residential housing options in the region, such as developments in the Santa Clarita Valley, Lancaster, Palmdale, and Bakersfield. MV will compete generally for discretionary dollars that consumers will allocate to recreation and second homes, so its competition will include a greater area and range of projects. Intense competition may decrease our sales and harm our results of operations.</w:t>
      </w:r>
    </w:p>
    <w:p>
      <w:pPr>
        <w:spacing w:after="0" w:line="101" w:lineRule="exact"/>
        <w:rPr>
          <w:sz w:val="20"/>
          <w:szCs w:val="20"/>
          <w:color w:val="auto"/>
        </w:rPr>
      </w:pPr>
    </w:p>
    <w:p>
      <w:pPr>
        <w:ind w:right="20"/>
        <w:spacing w:after="0" w:line="291" w:lineRule="auto"/>
        <w:rPr>
          <w:sz w:val="20"/>
          <w:szCs w:val="20"/>
          <w:color w:val="auto"/>
        </w:rPr>
      </w:pPr>
      <w:r>
        <w:rPr>
          <w:rFonts w:ascii="Arial" w:cs="Arial" w:eastAsia="Arial" w:hAnsi="Arial"/>
          <w:sz w:val="13"/>
          <w:szCs w:val="13"/>
          <w:b w:val="1"/>
          <w:bCs w:val="1"/>
          <w:color w:val="auto"/>
        </w:rPr>
        <w:t xml:space="preserve">Increases in taxes or government fees could increase our cost, and adverse changes in tax laws could reduce demand for homes in our future residential communities. </w:t>
      </w:r>
      <w:r>
        <w:rPr>
          <w:rFonts w:ascii="Arial" w:cs="Arial" w:eastAsia="Arial" w:hAnsi="Arial"/>
          <w:sz w:val="13"/>
          <w:szCs w:val="13"/>
          <w:color w:val="auto"/>
        </w:rPr>
        <w:t>Increases in real estate</w:t>
      </w:r>
      <w:r>
        <w:rPr>
          <w:rFonts w:ascii="Arial" w:cs="Arial" w:eastAsia="Arial" w:hAnsi="Arial"/>
          <w:sz w:val="13"/>
          <w:szCs w:val="13"/>
          <w:b w:val="1"/>
          <w:bCs w:val="1"/>
          <w:color w:val="auto"/>
        </w:rPr>
        <w:t xml:space="preserve"> </w:t>
      </w:r>
      <w:r>
        <w:rPr>
          <w:rFonts w:ascii="Arial" w:cs="Arial" w:eastAsia="Arial" w:hAnsi="Arial"/>
          <w:sz w:val="13"/>
          <w:szCs w:val="13"/>
          <w:color w:val="auto"/>
        </w:rPr>
        <w:t>taxes and other local government fees, such as fees imposed on developers to fund schools, open space, and road improvements, could increase our costs and have an adverse effect on our operations. In addition, any changes to income tax laws that would reduce or eliminate tax deductions or incentives to homeowners, such as a change limiting the deductibility of real estate taxes or interest on home mortgages, could make housing less affordable or otherwise reduce the demand for housing, which in turn could reduce future sales.</w:t>
      </w:r>
    </w:p>
    <w:p>
      <w:pPr>
        <w:spacing w:after="0" w:line="81" w:lineRule="exact"/>
        <w:rPr>
          <w:sz w:val="20"/>
          <w:szCs w:val="20"/>
          <w:color w:val="auto"/>
        </w:rPr>
      </w:pPr>
    </w:p>
    <w:p>
      <w:pPr>
        <w:jc w:val="both"/>
        <w:ind w:right="80"/>
        <w:spacing w:after="0" w:line="300" w:lineRule="auto"/>
        <w:rPr>
          <w:sz w:val="20"/>
          <w:szCs w:val="20"/>
          <w:color w:val="auto"/>
        </w:rPr>
      </w:pPr>
      <w:r>
        <w:rPr>
          <w:rFonts w:ascii="Arial" w:cs="Arial" w:eastAsia="Arial" w:hAnsi="Arial"/>
          <w:sz w:val="13"/>
          <w:szCs w:val="13"/>
          <w:b w:val="1"/>
          <w:bCs w:val="1"/>
          <w:color w:val="auto"/>
        </w:rPr>
        <w:t>Our developable land is concentrated entirely in California</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All of our developable land is in California and our business is especially sensitive to the economic conditions within California. Any</w:t>
      </w:r>
      <w:r>
        <w:rPr>
          <w:rFonts w:ascii="Arial" w:cs="Arial" w:eastAsia="Arial" w:hAnsi="Arial"/>
          <w:sz w:val="13"/>
          <w:szCs w:val="13"/>
          <w:b w:val="1"/>
          <w:bCs w:val="1"/>
          <w:color w:val="auto"/>
        </w:rPr>
        <w:t xml:space="preserve"> </w:t>
      </w:r>
      <w:r>
        <w:rPr>
          <w:rFonts w:ascii="Arial" w:cs="Arial" w:eastAsia="Arial" w:hAnsi="Arial"/>
          <w:sz w:val="13"/>
          <w:szCs w:val="13"/>
          <w:color w:val="auto"/>
        </w:rPr>
        <w:t>adverse change in the economic climate of California, or our regions of that state, and any adverse change in the political or regulatory climate of California, or the counties where our land is located could adversely affect our real estate development activities. Ultimately, our ability to sell or lease lots may decline as a result of weak economic conditions or restrictive regulations.</w:t>
      </w:r>
    </w:p>
    <w:p>
      <w:pPr>
        <w:spacing w:after="0" w:line="76" w:lineRule="exact"/>
        <w:rPr>
          <w:sz w:val="20"/>
          <w:szCs w:val="20"/>
          <w:color w:val="auto"/>
        </w:rPr>
      </w:pPr>
    </w:p>
    <w:p>
      <w:pPr>
        <w:ind w:left="40" w:right="300"/>
        <w:spacing w:after="0" w:line="287" w:lineRule="auto"/>
        <w:rPr>
          <w:sz w:val="20"/>
          <w:szCs w:val="20"/>
          <w:color w:val="auto"/>
        </w:rPr>
      </w:pPr>
      <w:r>
        <w:rPr>
          <w:rFonts w:ascii="Arial" w:cs="Arial" w:eastAsia="Arial" w:hAnsi="Arial"/>
          <w:sz w:val="14"/>
          <w:szCs w:val="14"/>
          <w:b w:val="1"/>
          <w:bCs w:val="1"/>
          <w:color w:val="auto"/>
        </w:rPr>
        <w:t>We have in the past and may in the future encounter other risks that could impact our ability to develop our land</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We have in the past and may in the future encounter other difficulties in</w:t>
      </w:r>
      <w:r>
        <w:rPr>
          <w:rFonts w:ascii="Arial" w:cs="Arial" w:eastAsia="Arial" w:hAnsi="Arial"/>
          <w:sz w:val="14"/>
          <w:szCs w:val="14"/>
          <w:b w:val="1"/>
          <w:bCs w:val="1"/>
          <w:color w:val="auto"/>
        </w:rPr>
        <w:t xml:space="preserve"> </w:t>
      </w:r>
      <w:r>
        <w:rPr>
          <w:rFonts w:ascii="Arial" w:cs="Arial" w:eastAsia="Arial" w:hAnsi="Arial"/>
          <w:sz w:val="14"/>
          <w:szCs w:val="14"/>
          <w:color w:val="auto"/>
        </w:rPr>
        <w:t>developing our land, including:</w:t>
      </w:r>
    </w:p>
    <w:p>
      <w:pPr>
        <w:spacing w:after="0" w:line="22" w:lineRule="exact"/>
        <w:rPr>
          <w:sz w:val="20"/>
          <w:szCs w:val="20"/>
          <w:color w:val="auto"/>
        </w:rPr>
      </w:pPr>
    </w:p>
    <w:p>
      <w:pPr>
        <w:ind w:left="500" w:hanging="251"/>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Difficulty in securing adequate water resources for future developments;</w:t>
      </w:r>
    </w:p>
    <w:p>
      <w:pPr>
        <w:spacing w:after="0" w:line="72" w:lineRule="exact"/>
        <w:rPr>
          <w:rFonts w:ascii="Arial" w:cs="Arial" w:eastAsia="Arial" w:hAnsi="Arial"/>
          <w:sz w:val="14"/>
          <w:szCs w:val="14"/>
          <w:color w:val="auto"/>
        </w:rPr>
      </w:pPr>
    </w:p>
    <w:p>
      <w:pPr>
        <w:ind w:left="500" w:hanging="251"/>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Natural risks, such as geological and soil problems, earthquakes, fire, heavy rains and flooding, and heavy winds;</w:t>
      </w:r>
    </w:p>
    <w:p>
      <w:pPr>
        <w:spacing w:after="0" w:line="72" w:lineRule="exact"/>
        <w:rPr>
          <w:rFonts w:ascii="Arial" w:cs="Arial" w:eastAsia="Arial" w:hAnsi="Arial"/>
          <w:sz w:val="14"/>
          <w:szCs w:val="14"/>
          <w:color w:val="auto"/>
        </w:rPr>
      </w:pPr>
    </w:p>
    <w:p>
      <w:pPr>
        <w:ind w:left="500" w:hanging="251"/>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Shortages of qualified trades people;</w:t>
      </w:r>
    </w:p>
    <w:p>
      <w:pPr>
        <w:spacing w:after="0" w:line="72" w:lineRule="exact"/>
        <w:rPr>
          <w:rFonts w:ascii="Arial" w:cs="Arial" w:eastAsia="Arial" w:hAnsi="Arial"/>
          <w:sz w:val="14"/>
          <w:szCs w:val="14"/>
          <w:color w:val="auto"/>
        </w:rPr>
      </w:pPr>
    </w:p>
    <w:p>
      <w:pPr>
        <w:ind w:left="500" w:hanging="251"/>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Reliance on local contractors, who may be inadequately capitalized;</w:t>
      </w:r>
    </w:p>
    <w:p>
      <w:pPr>
        <w:spacing w:after="0" w:line="72" w:lineRule="exact"/>
        <w:rPr>
          <w:rFonts w:ascii="Arial" w:cs="Arial" w:eastAsia="Arial" w:hAnsi="Arial"/>
          <w:sz w:val="14"/>
          <w:szCs w:val="14"/>
          <w:color w:val="auto"/>
        </w:rPr>
      </w:pPr>
    </w:p>
    <w:p>
      <w:pPr>
        <w:ind w:left="500" w:hanging="251"/>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Shortages of materials; and</w:t>
      </w:r>
    </w:p>
    <w:p>
      <w:pPr>
        <w:spacing w:after="0" w:line="72" w:lineRule="exact"/>
        <w:rPr>
          <w:rFonts w:ascii="Arial" w:cs="Arial" w:eastAsia="Arial" w:hAnsi="Arial"/>
          <w:sz w:val="14"/>
          <w:szCs w:val="14"/>
          <w:color w:val="auto"/>
        </w:rPr>
      </w:pPr>
    </w:p>
    <w:p>
      <w:pPr>
        <w:ind w:left="500" w:hanging="251"/>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Increases in the cost of materials.</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color w:val="auto"/>
        </w:rPr>
        <w:t xml:space="preserve">A prolonged downturn in the real estate market or instability in the mortgage and commercial real estate financing industry, could have an adverse effect on our real estate business. </w:t>
      </w:r>
      <w:r>
        <w:rPr>
          <w:rFonts w:ascii="Arial" w:cs="Arial" w:eastAsia="Arial" w:hAnsi="Arial"/>
          <w:sz w:val="14"/>
          <w:szCs w:val="14"/>
          <w:color w:val="auto"/>
        </w:rPr>
        <w:t>Our</w:t>
      </w:r>
      <w:r>
        <w:rPr>
          <w:rFonts w:ascii="Arial" w:cs="Arial" w:eastAsia="Arial" w:hAnsi="Arial"/>
          <w:sz w:val="14"/>
          <w:szCs w:val="14"/>
          <w:b w:val="1"/>
          <w:bCs w:val="1"/>
          <w:color w:val="auto"/>
        </w:rPr>
        <w:t xml:space="preserve"> </w:t>
      </w:r>
      <w:r>
        <w:rPr>
          <w:rFonts w:ascii="Arial" w:cs="Arial" w:eastAsia="Arial" w:hAnsi="Arial"/>
          <w:sz w:val="14"/>
          <w:szCs w:val="14"/>
          <w:color w:val="auto"/>
        </w:rPr>
        <w:t>residential housing projects, Centennial, MV, and Grapevine, are currently in the litigation phase, permitting phase, or are fully entitled and waiting for development to begin. If a downturn in the real estate market or an instability in the mortgage and commercial real estate financing industry exists at the time these projects move into their development and marketing phases, our resort/residential business could be adversely affected. An excess supply of homes available due to foreclosures or the expectation of deflation in housing prices could also have a negative impact on our ability to sell our inventory when it becomes available. The inability of potential commercial/industrial clients to get adequate financing for the expansion of their businesses could lead to reduced lease revenues and sales of land within our industrial development.</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424242"/>
        </w:rPr>
        <w:t>OPERATIONAL RISKS</w:t>
      </w:r>
    </w:p>
    <w:p>
      <w:pPr>
        <w:spacing w:after="0" w:line="126"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color w:val="auto"/>
        </w:rPr>
        <w:t>Operational risk relates to risks arising from external market factors that affect the operation of our businesses. It includes weather and other natural conditions; regulatory requirements; information management and data protection and security, including cybersecurity; supply chain and business disruption; and other risks, including human resources and reputation.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422" w:right="319" w:bottom="1440" w:gutter="0" w:footer="0" w:header="0"/>
        </w:sectPr>
      </w:pPr>
    </w:p>
    <w:bookmarkStart w:id="25" w:name="page26"/>
    <w:bookmarkEnd w:id="25"/>
    <w:p>
      <w:pPr>
        <w:ind w:right="280"/>
        <w:spacing w:after="0" w:line="287" w:lineRule="auto"/>
        <w:rPr>
          <w:sz w:val="20"/>
          <w:szCs w:val="20"/>
          <w:color w:val="auto"/>
        </w:rPr>
      </w:pPr>
      <w:r>
        <w:rPr>
          <w:rFonts w:ascii="Arial" w:cs="Arial" w:eastAsia="Arial" w:hAnsi="Arial"/>
          <w:sz w:val="14"/>
          <w:szCs w:val="14"/>
          <w:b w:val="1"/>
          <w:bCs w:val="1"/>
          <w:color w:val="auto"/>
        </w:rPr>
        <w:t>We are involved in a cyclical industry and are affected by changes in general and local economic conditions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real estate development industry is cyclical and is significantly affected by</w:t>
      </w:r>
      <w:r>
        <w:rPr>
          <w:rFonts w:ascii="Arial" w:cs="Arial" w:eastAsia="Arial" w:hAnsi="Arial"/>
          <w:sz w:val="14"/>
          <w:szCs w:val="14"/>
          <w:b w:val="1"/>
          <w:bCs w:val="1"/>
          <w:color w:val="auto"/>
        </w:rPr>
        <w:t xml:space="preserve"> </w:t>
      </w:r>
      <w:r>
        <w:rPr>
          <w:rFonts w:ascii="Arial" w:cs="Arial" w:eastAsia="Arial" w:hAnsi="Arial"/>
          <w:sz w:val="14"/>
          <w:szCs w:val="14"/>
          <w:color w:val="auto"/>
        </w:rPr>
        <w:t>changes in general and local economic conditions, including:</w:t>
      </w:r>
    </w:p>
    <w:p>
      <w:pPr>
        <w:spacing w:after="0" w:line="86" w:lineRule="exact"/>
        <w:rPr>
          <w:sz w:val="20"/>
          <w:szCs w:val="20"/>
          <w:color w:val="auto"/>
        </w:rPr>
      </w:pPr>
    </w:p>
    <w:p>
      <w:pPr>
        <w:ind w:left="500" w:hanging="251"/>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Employment levels</w:t>
      </w:r>
    </w:p>
    <w:p>
      <w:pPr>
        <w:spacing w:after="0" w:line="136" w:lineRule="exact"/>
        <w:rPr>
          <w:rFonts w:ascii="Arial" w:cs="Arial" w:eastAsia="Arial" w:hAnsi="Arial"/>
          <w:sz w:val="14"/>
          <w:szCs w:val="14"/>
          <w:color w:val="auto"/>
        </w:rPr>
      </w:pPr>
    </w:p>
    <w:p>
      <w:pPr>
        <w:ind w:left="500" w:hanging="251"/>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Availability of financing</w:t>
      </w:r>
    </w:p>
    <w:p>
      <w:pPr>
        <w:spacing w:after="0" w:line="136" w:lineRule="exact"/>
        <w:rPr>
          <w:rFonts w:ascii="Arial" w:cs="Arial" w:eastAsia="Arial" w:hAnsi="Arial"/>
          <w:sz w:val="14"/>
          <w:szCs w:val="14"/>
          <w:color w:val="auto"/>
        </w:rPr>
      </w:pPr>
    </w:p>
    <w:p>
      <w:pPr>
        <w:ind w:left="500" w:hanging="251"/>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rates</w:t>
      </w:r>
    </w:p>
    <w:p>
      <w:pPr>
        <w:spacing w:after="0" w:line="136" w:lineRule="exact"/>
        <w:rPr>
          <w:rFonts w:ascii="Arial" w:cs="Arial" w:eastAsia="Arial" w:hAnsi="Arial"/>
          <w:sz w:val="14"/>
          <w:szCs w:val="14"/>
          <w:color w:val="auto"/>
        </w:rPr>
      </w:pPr>
    </w:p>
    <w:p>
      <w:pPr>
        <w:ind w:left="500" w:hanging="251"/>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Consumer confidence</w:t>
      </w:r>
    </w:p>
    <w:p>
      <w:pPr>
        <w:spacing w:after="0" w:line="136" w:lineRule="exact"/>
        <w:rPr>
          <w:rFonts w:ascii="Arial" w:cs="Arial" w:eastAsia="Arial" w:hAnsi="Arial"/>
          <w:sz w:val="14"/>
          <w:szCs w:val="14"/>
          <w:color w:val="auto"/>
        </w:rPr>
      </w:pPr>
    </w:p>
    <w:p>
      <w:pPr>
        <w:ind w:left="500" w:hanging="251"/>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Demand for the developed product, whether residential or industrial</w:t>
      </w:r>
    </w:p>
    <w:p>
      <w:pPr>
        <w:spacing w:after="0" w:line="136" w:lineRule="exact"/>
        <w:rPr>
          <w:rFonts w:ascii="Arial" w:cs="Arial" w:eastAsia="Arial" w:hAnsi="Arial"/>
          <w:sz w:val="14"/>
          <w:szCs w:val="14"/>
          <w:color w:val="auto"/>
        </w:rPr>
      </w:pPr>
    </w:p>
    <w:p>
      <w:pPr>
        <w:ind w:left="500" w:hanging="251"/>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Supply of similar product, whether residential or industrial</w:t>
      </w:r>
    </w:p>
    <w:p>
      <w:pPr>
        <w:spacing w:after="0" w:line="136"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The process of a project's development begins, and financial and other resources are committed long before a real estate project comes to market, which could occur at a time when the real estate market is depressed. It is also possible in a rural area like ours that no market for the project will develop as projected.</w:t>
      </w:r>
    </w:p>
    <w:p>
      <w:pPr>
        <w:spacing w:after="0" w:line="86" w:lineRule="exact"/>
        <w:rPr>
          <w:sz w:val="20"/>
          <w:szCs w:val="20"/>
          <w:color w:val="auto"/>
        </w:rPr>
      </w:pPr>
    </w:p>
    <w:p>
      <w:pPr>
        <w:spacing w:after="0" w:line="287" w:lineRule="auto"/>
        <w:rPr>
          <w:sz w:val="20"/>
          <w:szCs w:val="20"/>
          <w:color w:val="auto"/>
        </w:rPr>
      </w:pPr>
      <w:r>
        <w:rPr>
          <w:rFonts w:ascii="Arial" w:cs="Arial" w:eastAsia="Arial" w:hAnsi="Arial"/>
          <w:sz w:val="14"/>
          <w:szCs w:val="14"/>
          <w:b w:val="1"/>
          <w:bCs w:val="1"/>
          <w:color w:val="auto"/>
        </w:rPr>
        <w:t xml:space="preserve">The inability of a client tenant to pay us rent adversely affects our business. </w:t>
      </w:r>
      <w:r>
        <w:rPr>
          <w:rFonts w:ascii="Arial" w:cs="Arial" w:eastAsia="Arial" w:hAnsi="Arial"/>
          <w:sz w:val="14"/>
          <w:szCs w:val="14"/>
          <w:color w:val="auto"/>
        </w:rPr>
        <w:t>Our commercial revenues are derived primarily from rental payments and reimbursement of operating expenses under</w:t>
      </w:r>
      <w:r>
        <w:rPr>
          <w:rFonts w:ascii="Arial" w:cs="Arial" w:eastAsia="Arial" w:hAnsi="Arial"/>
          <w:sz w:val="14"/>
          <w:szCs w:val="14"/>
          <w:b w:val="1"/>
          <w:bCs w:val="1"/>
          <w:color w:val="auto"/>
        </w:rPr>
        <w:t xml:space="preserve"> </w:t>
      </w:r>
      <w:r>
        <w:rPr>
          <w:rFonts w:ascii="Arial" w:cs="Arial" w:eastAsia="Arial" w:hAnsi="Arial"/>
          <w:sz w:val="14"/>
          <w:szCs w:val="14"/>
          <w:color w:val="auto"/>
        </w:rPr>
        <w:t>our leases. If our client tenants fail to make rental payments under their leases, our financial condition and cash flows could be adversely affected.</w:t>
      </w:r>
    </w:p>
    <w:p>
      <w:pPr>
        <w:spacing w:after="0" w:line="92"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color w:val="auto"/>
        </w:rPr>
        <w:t xml:space="preserve">Our inability to renew leases or re-lease space on favorable terms as leases expire may significantly affect our business. </w:t>
      </w:r>
      <w:r>
        <w:rPr>
          <w:rFonts w:ascii="Arial" w:cs="Arial" w:eastAsia="Arial" w:hAnsi="Arial"/>
          <w:sz w:val="14"/>
          <w:szCs w:val="14"/>
          <w:color w:val="auto"/>
        </w:rPr>
        <w:t>Some of our revenues are derived from rental payments and</w:t>
      </w:r>
      <w:r>
        <w:rPr>
          <w:rFonts w:ascii="Arial" w:cs="Arial" w:eastAsia="Arial" w:hAnsi="Arial"/>
          <w:sz w:val="14"/>
          <w:szCs w:val="14"/>
          <w:b w:val="1"/>
          <w:bCs w:val="1"/>
          <w:color w:val="auto"/>
        </w:rPr>
        <w:t xml:space="preserve"> </w:t>
      </w:r>
      <w:r>
        <w:rPr>
          <w:rFonts w:ascii="Arial" w:cs="Arial" w:eastAsia="Arial" w:hAnsi="Arial"/>
          <w:sz w:val="14"/>
          <w:szCs w:val="14"/>
          <w:color w:val="auto"/>
        </w:rPr>
        <w:t>reimbursement of operating expenses under our leases. If a client tenant experiences a downturn in its business or other types of financial distress, it may be unable to make timely payments under its lease. Also, if our client tenants terminate early or decide not to renew their leases, we may not be able to re-lease the space. Even if client tenants decide to renew or lease space, the terms of renewals or new leases, including the cost of any tenant improvements, concessions, and lease commissions, may be less favorable to us than current lease terms. Consequently, we could generate less cash flow from the affected properties than expected, which could negatively impact our business. We may have to divert cash flow generated by other properties to meet our debt service payments, if any, or to pay other expenses related to owning the affected properties.</w:t>
      </w:r>
    </w:p>
    <w:p>
      <w:pPr>
        <w:spacing w:after="0" w:line="103" w:lineRule="exact"/>
        <w:rPr>
          <w:sz w:val="20"/>
          <w:szCs w:val="20"/>
          <w:color w:val="auto"/>
        </w:rPr>
      </w:pPr>
    </w:p>
    <w:p>
      <w:pPr>
        <w:spacing w:after="0" w:line="315" w:lineRule="auto"/>
        <w:rPr>
          <w:sz w:val="20"/>
          <w:szCs w:val="20"/>
          <w:color w:val="auto"/>
        </w:rPr>
      </w:pPr>
      <w:r>
        <w:rPr>
          <w:rFonts w:ascii="Arial" w:cs="Arial" w:eastAsia="Arial" w:hAnsi="Arial"/>
          <w:sz w:val="12"/>
          <w:szCs w:val="12"/>
          <w:b w:val="1"/>
          <w:bCs w:val="1"/>
          <w:color w:val="auto"/>
        </w:rPr>
        <w:t xml:space="preserve">We may experience increased operating costs, which may reduce profitability to the extent that we are unable to pass those costs on to client tenants. </w:t>
      </w:r>
      <w:r>
        <w:rPr>
          <w:rFonts w:ascii="Arial" w:cs="Arial" w:eastAsia="Arial" w:hAnsi="Arial"/>
          <w:sz w:val="12"/>
          <w:szCs w:val="12"/>
          <w:color w:val="auto"/>
        </w:rPr>
        <w:t>Our properties are subject to increases in</w:t>
      </w:r>
      <w:r>
        <w:rPr>
          <w:rFonts w:ascii="Arial" w:cs="Arial" w:eastAsia="Arial" w:hAnsi="Arial"/>
          <w:sz w:val="12"/>
          <w:szCs w:val="12"/>
          <w:b w:val="1"/>
          <w:bCs w:val="1"/>
          <w:color w:val="auto"/>
        </w:rPr>
        <w:t xml:space="preserve"> </w:t>
      </w:r>
      <w:r>
        <w:rPr>
          <w:rFonts w:ascii="Arial" w:cs="Arial" w:eastAsia="Arial" w:hAnsi="Arial"/>
          <w:sz w:val="12"/>
          <w:szCs w:val="12"/>
          <w:color w:val="auto"/>
        </w:rPr>
        <w:t>operating expenses including insurance, property taxes, utilities, administrative costs, and other costs associated with security, landscaping, and repairs and maintenance of our properties. We cannot be certain that our client tenants will be able to bear the full burden of costs such as real estate taxes, insurance, utilities, common area and other expenses that we pass along through our leases, or that such increased costs will not lead them, or other prospective client tenants, to seek space elsewhere. If operating expenses increase, the availability of other comparable space in the markets we operate in may hinder or limit our ability to increase our rents, if operating expenses increase without a corresponding increase in revenues, our profitability could diminish.</w:t>
      </w:r>
    </w:p>
    <w:p>
      <w:pPr>
        <w:spacing w:after="0" w:line="71" w:lineRule="exact"/>
        <w:rPr>
          <w:sz w:val="20"/>
          <w:szCs w:val="20"/>
          <w:color w:val="auto"/>
        </w:rPr>
      </w:pPr>
    </w:p>
    <w:p>
      <w:pPr>
        <w:ind w:right="200"/>
        <w:spacing w:after="0" w:line="286" w:lineRule="auto"/>
        <w:rPr>
          <w:sz w:val="20"/>
          <w:szCs w:val="20"/>
          <w:color w:val="auto"/>
        </w:rPr>
      </w:pPr>
      <w:r>
        <w:rPr>
          <w:rFonts w:ascii="Arial" w:cs="Arial" w:eastAsia="Arial" w:hAnsi="Arial"/>
          <w:sz w:val="13"/>
          <w:szCs w:val="13"/>
          <w:b w:val="1"/>
          <w:bCs w:val="1"/>
          <w:color w:val="auto"/>
        </w:rPr>
        <w:t xml:space="preserve">From time to time we experience shortages or increased costs of labor and supplies or other circumstances beyond our control that cause delays or increased costs within our industrial development, which can adversely affect our operating results. </w:t>
      </w:r>
      <w:r>
        <w:rPr>
          <w:rFonts w:ascii="Arial" w:cs="Arial" w:eastAsia="Arial" w:hAnsi="Arial"/>
          <w:sz w:val="13"/>
          <w:szCs w:val="13"/>
          <w:color w:val="auto"/>
        </w:rPr>
        <w:t>Our ability to develop our current industrial development has in the past and may in the future be adversely affected by</w:t>
      </w:r>
      <w:r>
        <w:rPr>
          <w:rFonts w:ascii="Arial" w:cs="Arial" w:eastAsia="Arial" w:hAnsi="Arial"/>
          <w:sz w:val="13"/>
          <w:szCs w:val="13"/>
          <w:b w:val="1"/>
          <w:bCs w:val="1"/>
          <w:color w:val="auto"/>
        </w:rPr>
        <w:t xml:space="preserve"> </w:t>
      </w:r>
      <w:r>
        <w:rPr>
          <w:rFonts w:ascii="Arial" w:cs="Arial" w:eastAsia="Arial" w:hAnsi="Arial"/>
          <w:sz w:val="13"/>
          <w:szCs w:val="13"/>
          <w:color w:val="auto"/>
        </w:rPr>
        <w:t>circumstances beyond our control including: work stoppages, labor disputes and shortages of qualified trades people; changes in laws relating to union organizing activity; and shortages, delays in availability, or fluctuations in prices of building materials. Any of these circumstances could give rise to delays in the start or completion of, or could increase the cost of, developing infrastructure and buildings within our industrial development. If any of the above happens, our operating results could be harmed.</w:t>
      </w:r>
    </w:p>
    <w:p>
      <w:pPr>
        <w:spacing w:after="0" w:line="85" w:lineRule="exact"/>
        <w:rPr>
          <w:sz w:val="20"/>
          <w:szCs w:val="20"/>
          <w:color w:val="auto"/>
        </w:rPr>
      </w:pPr>
    </w:p>
    <w:p>
      <w:pPr>
        <w:jc w:val="both"/>
        <w:ind w:right="40"/>
        <w:spacing w:after="0" w:line="270" w:lineRule="auto"/>
        <w:rPr>
          <w:sz w:val="20"/>
          <w:szCs w:val="20"/>
          <w:color w:val="auto"/>
        </w:rPr>
      </w:pPr>
      <w:r>
        <w:rPr>
          <w:rFonts w:ascii="Arial" w:cs="Arial" w:eastAsia="Arial" w:hAnsi="Arial"/>
          <w:sz w:val="14"/>
          <w:szCs w:val="14"/>
          <w:b w:val="1"/>
          <w:bCs w:val="1"/>
          <w:color w:val="auto"/>
        </w:rPr>
        <w:t>We are dependent on key personnel and the loss of one or more of those key personnel may materially and adversely affect our prospects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Our future success depends, to a significant degree,</w:t>
      </w:r>
      <w:r>
        <w:rPr>
          <w:rFonts w:ascii="Arial" w:cs="Arial" w:eastAsia="Arial" w:hAnsi="Arial"/>
          <w:sz w:val="14"/>
          <w:szCs w:val="14"/>
          <w:b w:val="1"/>
          <w:bCs w:val="1"/>
          <w:color w:val="auto"/>
        </w:rPr>
        <w:t xml:space="preserve"> </w:t>
      </w:r>
      <w:r>
        <w:rPr>
          <w:rFonts w:ascii="Arial" w:cs="Arial" w:eastAsia="Arial" w:hAnsi="Arial"/>
          <w:sz w:val="14"/>
          <w:szCs w:val="14"/>
          <w:color w:val="auto"/>
        </w:rPr>
        <w:t>on the efforts of our senior management. The loss of key personnel could materially and adversely affect our results of operations, financial condition, or our ability to pursue land development. Our success will also depend in part on our ability to attract and retain additional qualified management personnel.</w:t>
      </w:r>
    </w:p>
    <w:p>
      <w:pPr>
        <w:spacing w:after="0" w:line="93"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b w:val="1"/>
          <w:bCs w:val="1"/>
          <w:color w:val="auto"/>
        </w:rPr>
        <w:t xml:space="preserve">Decreases in the market value of our investments in marketable securities could have an adverse impact on our results of operations. </w:t>
      </w:r>
      <w:r>
        <w:rPr>
          <w:rFonts w:ascii="Arial" w:cs="Arial" w:eastAsia="Arial" w:hAnsi="Arial"/>
          <w:sz w:val="14"/>
          <w:szCs w:val="14"/>
          <w:color w:val="auto"/>
        </w:rPr>
        <w:t>We have a significant amount of funds invested in</w:t>
      </w:r>
      <w:r>
        <w:rPr>
          <w:rFonts w:ascii="Arial" w:cs="Arial" w:eastAsia="Arial" w:hAnsi="Arial"/>
          <w:sz w:val="14"/>
          <w:szCs w:val="14"/>
          <w:b w:val="1"/>
          <w:bCs w:val="1"/>
          <w:color w:val="auto"/>
        </w:rPr>
        <w:t xml:space="preserve"> </w:t>
      </w:r>
      <w:r>
        <w:rPr>
          <w:rFonts w:ascii="Arial" w:cs="Arial" w:eastAsia="Arial" w:hAnsi="Arial"/>
          <w:sz w:val="14"/>
          <w:szCs w:val="14"/>
          <w:color w:val="auto"/>
        </w:rPr>
        <w:t>marketable securities, the market value of which is subject to changes from period to period. Decreases in the market value of our marketable securities could have an adverse impact on our results of operations.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60"/>
          </w:cols>
          <w:pgMar w:left="300" w:top="422" w:right="339" w:bottom="1440" w:gutter="0" w:footer="0" w:header="0"/>
        </w:sectPr>
      </w:pPr>
    </w:p>
    <w:bookmarkStart w:id="26" w:name="page27"/>
    <w:bookmarkEnd w:id="26"/>
    <w:p>
      <w:pPr>
        <w:ind w:right="20"/>
        <w:spacing w:after="0" w:line="258" w:lineRule="auto"/>
        <w:rPr>
          <w:sz w:val="20"/>
          <w:szCs w:val="20"/>
          <w:color w:val="auto"/>
        </w:rPr>
      </w:pPr>
      <w:r>
        <w:rPr>
          <w:rFonts w:ascii="Arial" w:cs="Arial" w:eastAsia="Arial" w:hAnsi="Arial"/>
          <w:sz w:val="14"/>
          <w:szCs w:val="14"/>
          <w:b w:val="1"/>
          <w:bCs w:val="1"/>
          <w:color w:val="auto"/>
        </w:rPr>
        <w:t xml:space="preserve">Volatile oil and natural gas prices could adversely affect our cash flows and results of operations. </w:t>
      </w:r>
      <w:r>
        <w:rPr>
          <w:rFonts w:ascii="Arial" w:cs="Arial" w:eastAsia="Arial" w:hAnsi="Arial"/>
          <w:sz w:val="14"/>
          <w:szCs w:val="14"/>
          <w:color w:val="auto"/>
        </w:rPr>
        <w:t>Our cash flows and results of operations are dependent in part on oil and natural gas prices,</w:t>
      </w:r>
      <w:r>
        <w:rPr>
          <w:rFonts w:ascii="Arial" w:cs="Arial" w:eastAsia="Arial" w:hAnsi="Arial"/>
          <w:sz w:val="14"/>
          <w:szCs w:val="14"/>
          <w:b w:val="1"/>
          <w:bCs w:val="1"/>
          <w:color w:val="auto"/>
        </w:rPr>
        <w:t xml:space="preserve"> </w:t>
      </w:r>
      <w:r>
        <w:rPr>
          <w:rFonts w:ascii="Arial" w:cs="Arial" w:eastAsia="Arial" w:hAnsi="Arial"/>
          <w:sz w:val="14"/>
          <w:szCs w:val="14"/>
          <w:color w:val="auto"/>
        </w:rPr>
        <w:t>which are volatile. Oil and natural gas prices also impact the amount we receive for our mineral leases. Moreover, oil and natural gas prices depend on factors we cannot control, such as: changes in foreign and domestic supply and demand for oil and natural gas; weather; political conditions in other oil-producing countries, including the possibilities of insurgency or war in such areas; prices of foreign exports; domestic and international drilling activity; price and availability of alternate fuel sources; the value of the U.S. dollar relative to other major currencies; the level and effect of trading in commodity markets; and the effect of worldwide energy conservation measures and governmental regulations. Substantial or extended decline in the price of oil and gas could have a negative impact on our business, liquidity, financial condition and results of operations. Substantial or extended declines in future natural gas or crude oil prices could have an adverse effect on our future business, liquidity, financial condition and results of operations.</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4"/>
          <w:szCs w:val="14"/>
          <w:b w:val="1"/>
          <w:bCs w:val="1"/>
          <w:color w:val="auto"/>
        </w:rPr>
        <w:t xml:space="preserve">Our reserves and production will decline from their current levels. </w:t>
      </w:r>
      <w:r>
        <w:rPr>
          <w:rFonts w:ascii="Arial" w:cs="Arial" w:eastAsia="Arial" w:hAnsi="Arial"/>
          <w:sz w:val="14"/>
          <w:szCs w:val="14"/>
          <w:color w:val="auto"/>
        </w:rPr>
        <w:t>The rate of production from oil and natural gas properties generally decline as reserves are produced. Any decline in production</w:t>
      </w:r>
      <w:r>
        <w:rPr>
          <w:rFonts w:ascii="Arial" w:cs="Arial" w:eastAsia="Arial" w:hAnsi="Arial"/>
          <w:sz w:val="14"/>
          <w:szCs w:val="14"/>
          <w:b w:val="1"/>
          <w:bCs w:val="1"/>
          <w:color w:val="auto"/>
        </w:rPr>
        <w:t xml:space="preserve"> </w:t>
      </w:r>
      <w:r>
        <w:rPr>
          <w:rFonts w:ascii="Arial" w:cs="Arial" w:eastAsia="Arial" w:hAnsi="Arial"/>
          <w:sz w:val="14"/>
          <w:szCs w:val="14"/>
          <w:color w:val="auto"/>
        </w:rPr>
        <w:t>or reserves could materially and adversely affect our future cash flow, liquidity and results of operations.</w:t>
      </w:r>
    </w:p>
    <w:p>
      <w:pPr>
        <w:spacing w:after="0" w:line="82" w:lineRule="exact"/>
        <w:rPr>
          <w:sz w:val="20"/>
          <w:szCs w:val="20"/>
          <w:color w:val="auto"/>
        </w:rPr>
      </w:pPr>
    </w:p>
    <w:p>
      <w:pPr>
        <w:ind w:left="40" w:right="100"/>
        <w:spacing w:after="0" w:line="375" w:lineRule="auto"/>
        <w:rPr>
          <w:sz w:val="20"/>
          <w:szCs w:val="20"/>
          <w:color w:val="auto"/>
        </w:rPr>
      </w:pPr>
      <w:r>
        <w:rPr>
          <w:rFonts w:ascii="Arial" w:cs="Arial" w:eastAsia="Arial" w:hAnsi="Arial"/>
          <w:sz w:val="12"/>
          <w:szCs w:val="12"/>
          <w:b w:val="1"/>
          <w:bCs w:val="1"/>
          <w:color w:val="auto"/>
        </w:rPr>
        <w:t xml:space="preserve">Water delivery and water availability continues to be a long-term concern within California. </w:t>
      </w:r>
      <w:r>
        <w:rPr>
          <w:rFonts w:ascii="Arial" w:cs="Arial" w:eastAsia="Arial" w:hAnsi="Arial"/>
          <w:sz w:val="12"/>
          <w:szCs w:val="12"/>
          <w:color w:val="auto"/>
        </w:rPr>
        <w:t>Any limitation of delivery of SWP water, limitations on our ability to move our water resources,</w:t>
      </w:r>
      <w:r>
        <w:rPr>
          <w:rFonts w:ascii="Arial" w:cs="Arial" w:eastAsia="Arial" w:hAnsi="Arial"/>
          <w:sz w:val="12"/>
          <w:szCs w:val="12"/>
          <w:b w:val="1"/>
          <w:bCs w:val="1"/>
          <w:color w:val="auto"/>
        </w:rPr>
        <w:t xml:space="preserve"> </w:t>
      </w:r>
      <w:r>
        <w:rPr>
          <w:rFonts w:ascii="Arial" w:cs="Arial" w:eastAsia="Arial" w:hAnsi="Arial"/>
          <w:sz w:val="12"/>
          <w:szCs w:val="12"/>
          <w:color w:val="auto"/>
        </w:rPr>
        <w:t>and the absence of available reliable alternatives during drought periods could potentially cause permanent damage to orchards and vineyards and possibly impact future development opportunities.</w:t>
      </w:r>
    </w:p>
    <w:p>
      <w:pPr>
        <w:spacing w:after="0" w:line="4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Our future revenue and profitability related to our water resources will primarily be dependent on our ability to acquire and sell water assets. In light of the fact that our water resources represent a portion of our overall business at present, our long-term profitability will be affected by various factors, including the availability and timing of water resource acquisitions, regulatory approvals and permits associated with such acquisitions, transportation arrangements, and changing technology. We may also encounter unforeseen technical or other difficulties which could result in cost increases with respect to our water resources. Moreover, our profitability is significantly affected by changes in the market price of water. Future sales and prices of water may fluctuate widely as demand is affected by climatic, economic, demographic and technological factors as well as the relative strength of the residential, commercial, financial, and industrial real estate markets. The factors described above are not within our control.</w:t>
      </w:r>
    </w:p>
    <w:p>
      <w:pPr>
        <w:spacing w:after="0" w:line="103"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 xml:space="preserve">Natural and manmade disasters, public health crises, political instability, and other potentially catastrophic events may have an adverse impact on our business and operating results and could decrease the value of our assets. </w:t>
      </w:r>
      <w:r>
        <w:rPr>
          <w:rFonts w:ascii="Arial" w:cs="Arial" w:eastAsia="Arial" w:hAnsi="Arial"/>
          <w:sz w:val="13"/>
          <w:szCs w:val="13"/>
          <w:color w:val="auto"/>
        </w:rPr>
        <w:t>Natural and manmade disasters, public health crises, political instability, and other potentially catastrophic events including terrorist attacks, particularly those</w:t>
      </w:r>
      <w:r>
        <w:rPr>
          <w:rFonts w:ascii="Arial" w:cs="Arial" w:eastAsia="Arial" w:hAnsi="Arial"/>
          <w:sz w:val="13"/>
          <w:szCs w:val="13"/>
          <w:b w:val="1"/>
          <w:bCs w:val="1"/>
          <w:color w:val="auto"/>
        </w:rPr>
        <w:t xml:space="preserve"> </w:t>
      </w:r>
      <w:r>
        <w:rPr>
          <w:rFonts w:ascii="Arial" w:cs="Arial" w:eastAsia="Arial" w:hAnsi="Arial"/>
          <w:sz w:val="13"/>
          <w:szCs w:val="13"/>
          <w:color w:val="auto"/>
        </w:rPr>
        <w:t>that may cause a decline in global economic activity could have a material adverse impact on our business, our operating results, and the market price of our common stock. Catastrophic events occurring anywhere in the world may result in declining economic activity, which could reduce the demand for and the value of our properties. To the extent that catastrophic events impact our client tenants, their businesses similarly could be adversely affected, including their ability to continue to honor their lease obligations. Disruptions to the global economy can also impact demand for and the prices of our products, which could adversely affect our future cash flow and results of operations.</w:t>
      </w:r>
    </w:p>
    <w:p>
      <w:pPr>
        <w:spacing w:after="0" w:line="88" w:lineRule="exact"/>
        <w:rPr>
          <w:sz w:val="20"/>
          <w:szCs w:val="20"/>
          <w:color w:val="auto"/>
        </w:rPr>
      </w:pPr>
    </w:p>
    <w:p>
      <w:pPr>
        <w:spacing w:after="0" w:line="281" w:lineRule="auto"/>
        <w:rPr>
          <w:sz w:val="20"/>
          <w:szCs w:val="20"/>
          <w:color w:val="auto"/>
        </w:rPr>
      </w:pPr>
      <w:r>
        <w:rPr>
          <w:rFonts w:ascii="Arial" w:cs="Arial" w:eastAsia="Arial" w:hAnsi="Arial"/>
          <w:sz w:val="13"/>
          <w:szCs w:val="13"/>
          <w:b w:val="1"/>
          <w:bCs w:val="1"/>
          <w:color w:val="auto"/>
        </w:rPr>
        <w:t xml:space="preserve">Failure to maintain effective internal control over financial reporting could have a material adverse effect on our business, results of operations, financial condition, and stock price. </w:t>
      </w:r>
      <w:r>
        <w:rPr>
          <w:rFonts w:ascii="Arial" w:cs="Arial" w:eastAsia="Arial" w:hAnsi="Arial"/>
          <w:sz w:val="13"/>
          <w:szCs w:val="13"/>
          <w:color w:val="auto"/>
        </w:rPr>
        <w:t>Pursuant to the Sarbanes-Oxley Act of 2002, we are required to provide a report by management on internal control over financial reporting, including management’s assessment of the effectiveness of internal control. Changes to our business will necessitate ongoing changes to our internal control systems and processes. Internal control over financial reporting may not prevent or detect misstatement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results of operations, and financial condition could be materially harmed, and we could fail to meet our reporting obligations and there could be a material adverse effect on our stock price.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422" w:right="319" w:bottom="1440" w:gutter="0" w:footer="0" w:header="0"/>
        </w:sectPr>
      </w:pPr>
    </w:p>
    <w:bookmarkStart w:id="27" w:name="page28"/>
    <w:bookmarkEnd w:id="27"/>
    <w:p>
      <w:pPr>
        <w:ind w:left="40"/>
        <w:spacing w:after="0" w:line="280" w:lineRule="auto"/>
        <w:rPr>
          <w:sz w:val="20"/>
          <w:szCs w:val="20"/>
          <w:color w:val="auto"/>
        </w:rPr>
      </w:pPr>
      <w:r>
        <w:rPr>
          <w:rFonts w:ascii="Arial" w:cs="Arial" w:eastAsia="Arial" w:hAnsi="Arial"/>
          <w:sz w:val="13"/>
          <w:szCs w:val="13"/>
          <w:b w:val="1"/>
          <w:bCs w:val="1"/>
          <w:color w:val="auto"/>
        </w:rPr>
        <w:t xml:space="preserve">Information technology failures and data security breaches could harm our business. </w:t>
      </w:r>
      <w:r>
        <w:rPr>
          <w:rFonts w:ascii="Arial" w:cs="Arial" w:eastAsia="Arial" w:hAnsi="Arial"/>
          <w:sz w:val="13"/>
          <w:szCs w:val="13"/>
          <w:color w:val="auto"/>
        </w:rPr>
        <w:t>We use information technology and other computer resources to carry out important operational and</w:t>
      </w:r>
      <w:r>
        <w:rPr>
          <w:rFonts w:ascii="Arial" w:cs="Arial" w:eastAsia="Arial" w:hAnsi="Arial"/>
          <w:sz w:val="13"/>
          <w:szCs w:val="13"/>
          <w:b w:val="1"/>
          <w:bCs w:val="1"/>
          <w:color w:val="auto"/>
        </w:rPr>
        <w:t xml:space="preserve"> </w:t>
      </w:r>
      <w:r>
        <w:rPr>
          <w:rFonts w:ascii="Arial" w:cs="Arial" w:eastAsia="Arial" w:hAnsi="Arial"/>
          <w:sz w:val="13"/>
          <w:szCs w:val="13"/>
          <w:color w:val="auto"/>
        </w:rPr>
        <w:t>marketing activities and to maintain our business records. These information technology systems are dependent upon global communications providers, web browsers, telephone systems and other aspects of the Internet infrastructure that have experienced security breaches, cyber-attacks, significant systems failures and electrical outages in the past. A material network breach in the security of our information technology systems could include the theft of customer, employee or company data. The release of confidential information as a result of a security breach may also lead to litigation or other proceedings against us by affected individuals or business partners, or by regulators, and the outcome of such proceedings, which could include penalties or fines, could have a significant negative impact on our business. We may also be required to incur significant costs to protect against damages caused by these information technology failures or security breaches in the future. However, we cannot provide assurance that a security breach, cyber-attack, data theft or other significant systems failure will not occur in the future, and such occurrences could have a material and adverse effect on our consolidated results of operations or financial position.</w:t>
      </w:r>
    </w:p>
    <w:p>
      <w:pPr>
        <w:spacing w:after="0" w:line="90" w:lineRule="exact"/>
        <w:rPr>
          <w:sz w:val="20"/>
          <w:szCs w:val="20"/>
          <w:color w:val="auto"/>
        </w:rPr>
      </w:pPr>
    </w:p>
    <w:p>
      <w:pPr>
        <w:ind w:left="40"/>
        <w:spacing w:after="0" w:line="278" w:lineRule="auto"/>
        <w:rPr>
          <w:sz w:val="20"/>
          <w:szCs w:val="20"/>
          <w:color w:val="auto"/>
        </w:rPr>
      </w:pPr>
      <w:r>
        <w:rPr>
          <w:rFonts w:ascii="Arial" w:cs="Arial" w:eastAsia="Arial" w:hAnsi="Arial"/>
          <w:sz w:val="13"/>
          <w:szCs w:val="13"/>
          <w:b w:val="1"/>
          <w:bCs w:val="1"/>
          <w:color w:val="auto"/>
        </w:rPr>
        <w:t xml:space="preserve">Increased cybersecurity requirements, vulnerabilities, threats and more sophisticated and targeted computer crime could pose a risk to our systems, networks, products, solutions, services and data. </w:t>
      </w:r>
      <w:r>
        <w:rPr>
          <w:rFonts w:ascii="Arial" w:cs="Arial" w:eastAsia="Arial" w:hAnsi="Arial"/>
          <w:sz w:val="13"/>
          <w:szCs w:val="13"/>
          <w:color w:val="auto"/>
        </w:rPr>
        <w:t>Increased global cybersecurity vulnerabilities, threats and more sophisticated and targeted cyber-related attacks pose a risk to our security and our customers', partners', suppliers'</w:t>
      </w:r>
      <w:r>
        <w:rPr>
          <w:rFonts w:ascii="Arial" w:cs="Arial" w:eastAsia="Arial" w:hAnsi="Arial"/>
          <w:sz w:val="13"/>
          <w:szCs w:val="13"/>
          <w:b w:val="1"/>
          <w:bCs w:val="1"/>
          <w:color w:val="auto"/>
        </w:rPr>
        <w:t xml:space="preserve"> </w:t>
      </w:r>
      <w:r>
        <w:rPr>
          <w:rFonts w:ascii="Arial" w:cs="Arial" w:eastAsia="Arial" w:hAnsi="Arial"/>
          <w:sz w:val="13"/>
          <w:szCs w:val="13"/>
          <w:color w:val="auto"/>
        </w:rPr>
        <w:t>and third-party service providers' products, systems and networks and the confidentiality, availability and integrity of the data. We remain potentially vulnerable to additional known or unknown threats despite our attempts to mitigate these risks. We also may have access to sensitive, confidential or personal data or information that is subject to privacy and security laws, regulations or customer-imposed controls. Our efforts to protect sensitive, confidential or personal data or information, may nonetheless leave us vulnerable to material security breaches, theft, misplaced or lost data, programming errors, employee errors and/or malfeasance that could potentially lead to the compromising of sensitive, confidential or personal data or information, improper use of our systems, software solutions or networks, unauthorized access, use, disclosure, modification or destruction of information, production downtimes and operational disruptions. In addition, a cyber-related attack could result in other negative consequences, including damage to our reputation or competitiveness, remediation or increased protection costs, litigation or regulatory action. Additionally, violations of privacy or cybersecurity laws (including the recently-passed California Consumer Privacy Act), regulations or standards increasingly lead to class-action and other types of litigation, which can result in substantial monetary judgments or settlements. Therefore, any such security breaches could have a material adverse effect on us.</w:t>
      </w:r>
    </w:p>
    <w:p>
      <w:pPr>
        <w:spacing w:after="0" w:line="93" w:lineRule="exact"/>
        <w:rPr>
          <w:sz w:val="20"/>
          <w:szCs w:val="20"/>
          <w:color w:val="auto"/>
        </w:rPr>
      </w:pPr>
    </w:p>
    <w:p>
      <w:pPr>
        <w:ind w:left="40" w:right="20"/>
        <w:spacing w:after="0" w:line="264" w:lineRule="auto"/>
        <w:rPr>
          <w:sz w:val="20"/>
          <w:szCs w:val="20"/>
          <w:color w:val="auto"/>
        </w:rPr>
      </w:pPr>
      <w:r>
        <w:rPr>
          <w:rFonts w:ascii="Arial" w:cs="Arial" w:eastAsia="Arial" w:hAnsi="Arial"/>
          <w:sz w:val="14"/>
          <w:szCs w:val="14"/>
          <w:b w:val="1"/>
          <w:bCs w:val="1"/>
          <w:color w:val="auto"/>
        </w:rPr>
        <w:t xml:space="preserve">Inflation can have a significant adverse effect on our operations. </w:t>
      </w:r>
      <w:r>
        <w:rPr>
          <w:rFonts w:ascii="Arial" w:cs="Arial" w:eastAsia="Arial" w:hAnsi="Arial"/>
          <w:sz w:val="14"/>
          <w:szCs w:val="14"/>
          <w:color w:val="auto"/>
        </w:rPr>
        <w:t>Inflation can have a major impact on our farming operations. The farming operations are most affected by escalating costs,</w:t>
      </w:r>
      <w:r>
        <w:rPr>
          <w:rFonts w:ascii="Arial" w:cs="Arial" w:eastAsia="Arial" w:hAnsi="Arial"/>
          <w:sz w:val="14"/>
          <w:szCs w:val="14"/>
          <w:b w:val="1"/>
          <w:bCs w:val="1"/>
          <w:color w:val="auto"/>
        </w:rPr>
        <w:t xml:space="preserve"> </w:t>
      </w:r>
      <w:r>
        <w:rPr>
          <w:rFonts w:ascii="Arial" w:cs="Arial" w:eastAsia="Arial" w:hAnsi="Arial"/>
          <w:sz w:val="14"/>
          <w:szCs w:val="14"/>
          <w:color w:val="auto"/>
        </w:rPr>
        <w:t>unpredictable revenues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just as we cannot pass on cost increases caused by general inflation, except to the extent reflected in market conditions and commodity prices.</w:t>
      </w:r>
    </w:p>
    <w:p>
      <w:pPr>
        <w:spacing w:after="0" w:line="102"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Inflation can adversely impact our real estate operations, by increasing costs of material and labor as well as the cost of capital, which can impact operating margins. In an inflationary environment, we may not be able to increase prices at the same pace as the increase in inflation, which would further erode operating margins.</w:t>
      </w:r>
    </w:p>
    <w:p>
      <w:pPr>
        <w:spacing w:after="0" w:line="86"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b w:val="1"/>
          <w:bCs w:val="1"/>
          <w:color w:val="auto"/>
        </w:rPr>
        <w:t xml:space="preserve">Government policies and regulations, particularly those affecting the agricultural sector and related industries, could adversely affect our operations and profitability. </w:t>
      </w:r>
      <w:r>
        <w:rPr>
          <w:rFonts w:ascii="Arial" w:cs="Arial" w:eastAsia="Arial" w:hAnsi="Arial"/>
          <w:sz w:val="14"/>
          <w:szCs w:val="14"/>
          <w:color w:val="auto"/>
        </w:rPr>
        <w:t>Agricultural</w:t>
      </w:r>
      <w:r>
        <w:rPr>
          <w:rFonts w:ascii="Arial" w:cs="Arial" w:eastAsia="Arial" w:hAnsi="Arial"/>
          <w:sz w:val="14"/>
          <w:szCs w:val="14"/>
          <w:b w:val="1"/>
          <w:bCs w:val="1"/>
          <w:color w:val="auto"/>
        </w:rPr>
        <w:t xml:space="preserve"> </w:t>
      </w:r>
      <w:r>
        <w:rPr>
          <w:rFonts w:ascii="Arial" w:cs="Arial" w:eastAsia="Arial" w:hAnsi="Arial"/>
          <w:sz w:val="14"/>
          <w:szCs w:val="14"/>
          <w:color w:val="auto"/>
        </w:rPr>
        <w:t>commodity production and trade flows are significantly affected by government policies and regulations. Governmental policies affecting the agricultural industry, such as taxes, trade tariffs, duties, subsidies, import and export restrictions on commodities and commodity products, can influence industry profitability, the planting of certain crops, the location and size of crop production, whether unprocessed or processed commodity products are traded, and the volume and types of imports and exports. In addition, international trade disputes can adversely affect trade flows by limiting or disrupting trade between countries or regions. Future governmental policies, regulations or actions affecting our industry may adversely affect the supply of, demand for and prices of our products, restrict our ability to do business and cause our financial results to suffer.</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424242"/>
        </w:rPr>
        <w:t>FINANCIAL RISKS</w:t>
      </w:r>
    </w:p>
    <w:p>
      <w:pPr>
        <w:spacing w:after="0" w:line="126"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Financial risk relates to our ability to meet financial obligations and mitigate exposure to broad market risks, including volatility in interest rates and commodity prices; credit risk; and liquidity risk, including risk related to our credit ratings and our availability and cost of funding. Credit risk is the risk of financial loss arising from a customer or counterparty failure to meet its contractual obligations. We face credit risk in our industrial businesses, as well as in our investing and leasing activities and derivative financial instruments activities. Liquidity risk refers to the potential inability to meet contractual or contingent financial obligations (whether on- or off-balance sheet) as they arise, and could potentially impact an institution's financial condition or overall safety and soundness.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60"/>
          </w:cols>
          <w:pgMar w:left="300" w:top="422" w:right="339" w:bottom="1440" w:gutter="0" w:footer="0" w:header="0"/>
        </w:sectPr>
      </w:pPr>
    </w:p>
    <w:bookmarkStart w:id="28" w:name="page29"/>
    <w:bookmarkEnd w:id="28"/>
    <w:p>
      <w:pPr>
        <w:ind w:right="60"/>
        <w:spacing w:after="0" w:line="335" w:lineRule="auto"/>
        <w:rPr>
          <w:sz w:val="20"/>
          <w:szCs w:val="20"/>
          <w:color w:val="auto"/>
        </w:rPr>
      </w:pPr>
      <w:r>
        <w:rPr>
          <w:rFonts w:ascii="Arial" w:cs="Arial" w:eastAsia="Arial" w:hAnsi="Arial"/>
          <w:sz w:val="12"/>
          <w:szCs w:val="12"/>
          <w:b w:val="1"/>
          <w:bCs w:val="1"/>
          <w:color w:val="auto"/>
        </w:rPr>
        <w:t xml:space="preserve">Constriction of the credit markets or other adverse changes in capital market conditions could limit our ability to access capital and increase our cost of capital. </w:t>
      </w:r>
      <w:r>
        <w:rPr>
          <w:rFonts w:ascii="Arial" w:cs="Arial" w:eastAsia="Arial" w:hAnsi="Arial"/>
          <w:sz w:val="12"/>
          <w:szCs w:val="12"/>
          <w:color w:val="auto"/>
        </w:rPr>
        <w:t>During past economic</w:t>
      </w:r>
      <w:r>
        <w:rPr>
          <w:rFonts w:ascii="Arial" w:cs="Arial" w:eastAsia="Arial" w:hAnsi="Arial"/>
          <w:sz w:val="12"/>
          <w:szCs w:val="12"/>
          <w:b w:val="1"/>
          <w:bCs w:val="1"/>
          <w:color w:val="auto"/>
        </w:rPr>
        <w:t xml:space="preserve"> </w:t>
      </w:r>
      <w:r>
        <w:rPr>
          <w:rFonts w:ascii="Arial" w:cs="Arial" w:eastAsia="Arial" w:hAnsi="Arial"/>
          <w:sz w:val="12"/>
          <w:szCs w:val="12"/>
          <w:color w:val="auto"/>
        </w:rPr>
        <w:t>downturns, we relied principally on positive operating cash flow, cash and investments, and equity offerings to meet current working capital needs, entitlement investment, and investment within our developments. Any slowdown in the economy could negatively impact our access to credit markets and may limit our sources of liquidity in the future and potentially increase our costs of capital.</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regularly assess our projected capital requirements to fund future growth in our business, repay our debt obligations, and support our other general corporate and operational needs, and we regularly evaluate our opportunities to raise additional capital. As market conditions permit, we may issue new equity securities through the public capital markets, enter new joint ventures, or obtain additional bank financing to fund our projected capital requirements or provide additional liquidity. Adverse changes in economic, or capital market conditions could negatively affect our business, liquidity and financial results.</w:t>
      </w:r>
    </w:p>
    <w:p>
      <w:pPr>
        <w:spacing w:after="0" w:line="99" w:lineRule="exact"/>
        <w:rPr>
          <w:sz w:val="20"/>
          <w:szCs w:val="20"/>
          <w:color w:val="auto"/>
        </w:rPr>
      </w:pPr>
    </w:p>
    <w:p>
      <w:pPr>
        <w:spacing w:after="0" w:line="264" w:lineRule="auto"/>
        <w:rPr>
          <w:sz w:val="20"/>
          <w:szCs w:val="20"/>
          <w:color w:val="auto"/>
        </w:rPr>
      </w:pPr>
      <w:r>
        <w:rPr>
          <w:rFonts w:ascii="Arial" w:cs="Arial" w:eastAsia="Arial" w:hAnsi="Arial"/>
          <w:sz w:val="14"/>
          <w:szCs w:val="14"/>
          <w:b w:val="1"/>
          <w:bCs w:val="1"/>
          <w:color w:val="auto"/>
        </w:rPr>
        <w:t xml:space="preserve">Our business model is very dependent on transactions with strategic partners. We may not be able to successfully (1) attract desirable strategic partners; (2) complete agreements with strategic partners; and/or (3) manage relationships with strategic partners going forward, any of which could adversely affect our business. </w:t>
      </w:r>
      <w:r>
        <w:rPr>
          <w:rFonts w:ascii="Arial" w:cs="Arial" w:eastAsia="Arial" w:hAnsi="Arial"/>
          <w:sz w:val="14"/>
          <w:szCs w:val="14"/>
          <w:color w:val="auto"/>
        </w:rPr>
        <w:t>A key to our development and value creation</w:t>
      </w:r>
      <w:r>
        <w:rPr>
          <w:rFonts w:ascii="Arial" w:cs="Arial" w:eastAsia="Arial" w:hAnsi="Arial"/>
          <w:sz w:val="14"/>
          <w:szCs w:val="14"/>
          <w:b w:val="1"/>
          <w:bCs w:val="1"/>
          <w:color w:val="auto"/>
        </w:rPr>
        <w:t xml:space="preserve"> </w:t>
      </w:r>
      <w:r>
        <w:rPr>
          <w:rFonts w:ascii="Arial" w:cs="Arial" w:eastAsia="Arial" w:hAnsi="Arial"/>
          <w:sz w:val="14"/>
          <w:szCs w:val="14"/>
          <w:color w:val="auto"/>
        </w:rPr>
        <w:t>strategies has been the use of joint ventures and strategic relationships. These joint venture partners bring development experience, industry expertise, financial resources, financing capabilities, brand recognition and credibility or other competitive assets.</w:t>
      </w:r>
    </w:p>
    <w:p>
      <w:pPr>
        <w:spacing w:after="0" w:line="102" w:lineRule="exact"/>
        <w:rPr>
          <w:sz w:val="20"/>
          <w:szCs w:val="20"/>
          <w:color w:val="auto"/>
        </w:rPr>
      </w:pPr>
    </w:p>
    <w:p>
      <w:pPr>
        <w:ind w:right="300"/>
        <w:spacing w:after="0" w:line="262" w:lineRule="auto"/>
        <w:rPr>
          <w:sz w:val="20"/>
          <w:szCs w:val="20"/>
          <w:color w:val="auto"/>
        </w:rPr>
      </w:pPr>
      <w:r>
        <w:rPr>
          <w:rFonts w:ascii="Arial" w:cs="Arial" w:eastAsia="Arial" w:hAnsi="Arial"/>
          <w:sz w:val="14"/>
          <w:szCs w:val="14"/>
          <w:color w:val="auto"/>
        </w:rPr>
        <w:t>A complicating factor in any joint venture is that strategic partners may have economic or business interests or goals that are inconsistent with ours or that are influenced by factors related to our business. These competing interests lead to the difficult challenges of successfully managing the relationship and communication between strategic partners and monitoring the execution of the partnership plan. We may also be subject to adverse business consequences if the market reputation or financial position of the strategic partner deteriorates. If we cannot successfully execute transactions with strategic partners, our business could be adversely affected.</w:t>
      </w:r>
    </w:p>
    <w:p>
      <w:pPr>
        <w:spacing w:after="0" w:line="99"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b w:val="1"/>
          <w:bCs w:val="1"/>
          <w:color w:val="auto"/>
        </w:rPr>
        <w:t xml:space="preserve">Inability to comply with long-term debt covenants, restrictions or limitations could adversely affect our financial condition. </w:t>
      </w:r>
      <w:r>
        <w:rPr>
          <w:rFonts w:ascii="Arial" w:cs="Arial" w:eastAsia="Arial" w:hAnsi="Arial"/>
          <w:sz w:val="14"/>
          <w:szCs w:val="14"/>
          <w:color w:val="auto"/>
        </w:rPr>
        <w:t>Our ability to meet our debt service and other obligations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covenants under our credit facility will depend, in part, upon our future financial performance. Our future results are subject to the risks and uncertainties described in this report. Our revenues and earnings vary with the level of general economic activity in the markets we serve and the level of commodity prices related to our farming and mineral resource activities. The factors that affect our ability to generate cash can also affect our ability to raise additional funds for these purposes through the addition of debt, the sale of equity, refinancing existing debt, or the sale of assets.</w:t>
      </w:r>
    </w:p>
    <w:p>
      <w:pPr>
        <w:spacing w:after="0" w:line="105"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Our credit facility contains financial covenants requiring the maintenance of a maximum total liabilities to tangible net worth not greater than .75 to 1 at each quarter end, a debt service coverage ratio not less than 1.25 to 1.00, and a minimum level of liquidity of $20,000,000, including any unused portion of our revolving credit facility. A failure to comply with these requirements could allow the lending bank to terminate the availability of funds under our revolving credit facility and/or cause any outstanding borrowings to become due and payable prior to maturity.</w:t>
      </w:r>
    </w:p>
    <w:p>
      <w:pPr>
        <w:spacing w:after="0" w:line="78"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b w:val="1"/>
          <w:bCs w:val="1"/>
          <w:color w:val="auto"/>
        </w:rPr>
        <w:t xml:space="preserve">Uncertainty relating to the LIBOR calculation process and potential phasing out of LIBOR in the future may adversely affect the value of any outstanding debt instruments. </w:t>
      </w:r>
      <w:r>
        <w:rPr>
          <w:rFonts w:ascii="Arial" w:cs="Arial" w:eastAsia="Arial" w:hAnsi="Arial"/>
          <w:sz w:val="14"/>
          <w:szCs w:val="14"/>
          <w:color w:val="auto"/>
        </w:rPr>
        <w:t>National and</w:t>
      </w:r>
      <w:r>
        <w:rPr>
          <w:rFonts w:ascii="Arial" w:cs="Arial" w:eastAsia="Arial" w:hAnsi="Arial"/>
          <w:sz w:val="14"/>
          <w:szCs w:val="14"/>
          <w:b w:val="1"/>
          <w:bCs w:val="1"/>
          <w:color w:val="auto"/>
        </w:rPr>
        <w:t xml:space="preserve"> </w:t>
      </w:r>
      <w:r>
        <w:rPr>
          <w:rFonts w:ascii="Arial" w:cs="Arial" w:eastAsia="Arial" w:hAnsi="Arial"/>
          <w:sz w:val="14"/>
          <w:szCs w:val="14"/>
          <w:color w:val="auto"/>
        </w:rPr>
        <w:t>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on July 27, 2017, the Chief Executive of the U.K. Financial Conduct Authority (the “FCA”), which regulates LIBOR, announced that the FCA will no longer persuade or compel banks to submit rates for the calculation of LIBOR after 2021. Such announcement indicates that the continuation of LIBOR on the current basis cannot and will not be guaranteed after 2021. As a result, it appears highly likely that LIBOR will be discontinued or modified by 2021.</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have borrowing arrangements with financial institutions that calculate interest based on LIBOR. 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the LIBOR-based debt instruments to be materially different than expected. Lastly, we may need to renegotiate any credit agreements extending beyond 2021 that utilize LIBOR as a factor in determining the interest rate to replace LIBOR with the new standard that is established. There is currently no definitive information regarding the future utilization of LIBOR or of any particular replacement rate. As such, potential effect of any such event on our business, financial condition and results of operations cannot yet be determined.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60"/>
          </w:cols>
          <w:pgMar w:left="300" w:top="422"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color w:val="424242"/>
        </w:rPr>
        <w:t>MARKET RISKS</w:t>
      </w:r>
    </w:p>
    <w:p>
      <w:pPr>
        <w:spacing w:after="0" w:line="126"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Market risk relates to the functioning of the marketplace. Many factors affect market function; investor anticipation, shocks in other markets, and anything that limits the efficient functioning of the marketplace. Market risks can affect the price of our Common Stock.</w:t>
      </w:r>
    </w:p>
    <w:p>
      <w:pPr>
        <w:spacing w:after="0" w:line="86"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b w:val="1"/>
          <w:bCs w:val="1"/>
          <w:color w:val="auto"/>
        </w:rPr>
        <w:t>Only a limited market exists for our Common Stock, which could lead to price volatility</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limited trading market for our Common Stock may cause fluctuations in the market value of our</w:t>
      </w:r>
      <w:r>
        <w:rPr>
          <w:rFonts w:ascii="Arial" w:cs="Arial" w:eastAsia="Arial" w:hAnsi="Arial"/>
          <w:sz w:val="14"/>
          <w:szCs w:val="14"/>
          <w:b w:val="1"/>
          <w:bCs w:val="1"/>
          <w:color w:val="auto"/>
        </w:rPr>
        <w:t xml:space="preserve"> </w:t>
      </w:r>
      <w:r>
        <w:rPr>
          <w:rFonts w:ascii="Arial" w:cs="Arial" w:eastAsia="Arial" w:hAnsi="Arial"/>
          <w:sz w:val="14"/>
          <w:szCs w:val="14"/>
          <w:color w:val="auto"/>
        </w:rPr>
        <w:t>Common Stock to be exaggerated, leading to price volatility in excess of that which would occur in a more active trading market of our Common Stock.</w:t>
      </w:r>
    </w:p>
    <w:p>
      <w:pPr>
        <w:spacing w:after="0" w:line="82" w:lineRule="exact"/>
        <w:rPr>
          <w:sz w:val="20"/>
          <w:szCs w:val="20"/>
          <w:color w:val="auto"/>
        </w:rPr>
      </w:pPr>
    </w:p>
    <w:p>
      <w:pPr>
        <w:spacing w:after="0" w:line="261" w:lineRule="auto"/>
        <w:rPr>
          <w:sz w:val="20"/>
          <w:szCs w:val="20"/>
          <w:color w:val="auto"/>
        </w:rPr>
      </w:pPr>
      <w:r>
        <w:rPr>
          <w:rFonts w:ascii="Arial" w:cs="Arial" w:eastAsia="Arial" w:hAnsi="Arial"/>
          <w:sz w:val="14"/>
          <w:szCs w:val="14"/>
          <w:b w:val="1"/>
          <w:bCs w:val="1"/>
          <w:color w:val="auto"/>
        </w:rPr>
        <w:t>Concentrated ownership of our Common Stock creates a risk of sudden change in our share price</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As of March 10, 2020, directors and members of our executive management team beneficially</w:t>
      </w:r>
      <w:r>
        <w:rPr>
          <w:rFonts w:ascii="Arial" w:cs="Arial" w:eastAsia="Arial" w:hAnsi="Arial"/>
          <w:sz w:val="14"/>
          <w:szCs w:val="14"/>
          <w:b w:val="1"/>
          <w:bCs w:val="1"/>
          <w:color w:val="auto"/>
        </w:rPr>
        <w:t xml:space="preserve"> </w:t>
      </w:r>
      <w:r>
        <w:rPr>
          <w:rFonts w:ascii="Arial" w:cs="Arial" w:eastAsia="Arial" w:hAnsi="Arial"/>
          <w:sz w:val="14"/>
          <w:szCs w:val="14"/>
          <w:color w:val="auto"/>
        </w:rPr>
        <w:t>owned or controlled approximately 20.9% of our Common Stock. Investors who purchase our Common Stock may be subject to certain risks due to the concentrated ownership of our Common Stock. The sale by any of our large shareholders of a significant portion of that shareholder’s holdings could have a material adverse effect on the market price of our Common Stock. In addition, the registration and sale of any significant number of additional shares of our Common Stock will have the immediate effect of increasing the public float of our Common Stock and any such increase may cause the market price of our Common Stock to decline or fluctuate significantly.</w:t>
      </w:r>
    </w:p>
    <w:p>
      <w:pPr>
        <w:spacing w:after="0" w:line="164"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006EBF"/>
        </w:rPr>
        <w:t>ITEM 1B.</w:t>
        <w:tab/>
        <w:t>UNRESOLVED STAFF COMMENTS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006EBF"/>
        </w:rPr>
        <w:t>ITEM 2.</w:t>
      </w:r>
      <w:r>
        <w:rPr>
          <w:sz w:val="20"/>
          <w:szCs w:val="20"/>
          <w:color w:val="auto"/>
        </w:rPr>
        <w:tab/>
      </w:r>
      <w:r>
        <w:rPr>
          <w:rFonts w:ascii="Arial" w:cs="Arial" w:eastAsia="Arial" w:hAnsi="Arial"/>
          <w:sz w:val="13"/>
          <w:szCs w:val="13"/>
          <w:b w:val="1"/>
          <w:bCs w:val="1"/>
          <w:color w:val="006EBF"/>
        </w:rPr>
        <w:t>PROPERTIES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Land</w:t>
      </w:r>
    </w:p>
    <w:p>
      <w:pPr>
        <w:spacing w:after="0" w:line="140" w:lineRule="exact"/>
        <w:rPr>
          <w:sz w:val="20"/>
          <w:szCs w:val="20"/>
          <w:color w:val="auto"/>
        </w:rPr>
      </w:pPr>
    </w:p>
    <w:p>
      <w:pPr>
        <w:jc w:val="both"/>
        <w:ind w:right="160"/>
        <w:spacing w:after="0" w:line="331" w:lineRule="auto"/>
        <w:rPr>
          <w:sz w:val="20"/>
          <w:szCs w:val="20"/>
          <w:color w:val="auto"/>
        </w:rPr>
      </w:pPr>
      <w:r>
        <w:rPr>
          <w:rFonts w:ascii="Arial" w:cs="Arial" w:eastAsia="Arial" w:hAnsi="Arial"/>
          <w:sz w:val="12"/>
          <w:szCs w:val="12"/>
          <w:color w:val="auto"/>
        </w:rPr>
        <w:t>Our approximately 270,000 acres include portions of the San Joaquin Valley, portions of the Tehachapi Mountains and portions of the western end of the Antelope Valley. Each of our five reporting segments use various portions of this land. A number of key transportation and utility facilities cross our land, including Interstate 5, California Highways 58, 138 and 223, the California Aqueduct (which brings water from Northern California), and various transmission lines for electricity, oil, natural gas and communication systems. Our corporate offices are located on our property.</w:t>
      </w:r>
    </w:p>
    <w:p>
      <w:pPr>
        <w:spacing w:after="0" w:line="66"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Approximately 247,000 acres of our land are located in Kern County, California. The Kern County general plan, or the “General Plan,” for this land contemplates continued commercial, resource utilization, farming, grazing and other agricultural uses, as well as certain new developments and uses, including residential and recreational facilities. While the General Plan is intended to provide guidelines for land use and development, it is subject to amendment to accommodate changing circumstances and needs. We have three major master planned real estate projects in Kern County: MV, TRCC and Grapevine.</w:t>
      </w:r>
    </w:p>
    <w:p>
      <w:pPr>
        <w:spacing w:after="0" w:line="103" w:lineRule="exact"/>
        <w:rPr>
          <w:sz w:val="20"/>
          <w:szCs w:val="20"/>
          <w:color w:val="auto"/>
        </w:rPr>
      </w:pPr>
    </w:p>
    <w:p>
      <w:pPr>
        <w:jc w:val="both"/>
        <w:ind w:right="140"/>
        <w:spacing w:after="0" w:line="297" w:lineRule="auto"/>
        <w:rPr>
          <w:sz w:val="20"/>
          <w:szCs w:val="20"/>
          <w:color w:val="auto"/>
        </w:rPr>
      </w:pPr>
      <w:r>
        <w:rPr>
          <w:rFonts w:ascii="Arial" w:cs="Arial" w:eastAsia="Arial" w:hAnsi="Arial"/>
          <w:sz w:val="13"/>
          <w:szCs w:val="13"/>
          <w:color w:val="auto"/>
        </w:rPr>
        <w:t>The remainder of our land, approximately 23,000 acres, is in Los Angeles County. This area is accessible from Interstate 5 via Highway 138. Los Angeles County has adopted general plan policies that contemplate future residential development of portions of this land, subject to further assessments of environmental and infrastructure constraints. In April 2019, the Los Angeles County Board of Supervisors' affirmed their final approval of Centennial, and now the 19,333 residential units are fully entitled. See Item 1, “Business—Real Estate Development Overview.”</w:t>
      </w:r>
    </w:p>
    <w:p>
      <w:pPr>
        <w:spacing w:after="0" w:line="8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Portions of our land consist of mountainous terrain, much of which is not presently served by paved roads or by utility or water lines. Much of this property is included within the Conservation Agreement we entered into with five of the major environmental organizations in June 2008. As we receive entitlement approvals over the life span of our developments we will dedicate conservation easements on 145,000 acres of this land, which will preclude future development of the land. This acreage includes many of the most environmentally sensitive areas of our property and is home to many plant and wildlife species whose environments will remain undisturbed.</w:t>
      </w:r>
    </w:p>
    <w:p>
      <w:pPr>
        <w:spacing w:after="0" w:line="103" w:lineRule="exact"/>
        <w:rPr>
          <w:sz w:val="20"/>
          <w:szCs w:val="20"/>
          <w:color w:val="auto"/>
        </w:rPr>
      </w:pPr>
    </w:p>
    <w:p>
      <w:pPr>
        <w:ind w:right="260"/>
        <w:spacing w:after="0" w:line="297" w:lineRule="auto"/>
        <w:rPr>
          <w:sz w:val="20"/>
          <w:szCs w:val="20"/>
          <w:color w:val="auto"/>
        </w:rPr>
      </w:pPr>
      <w:r>
        <w:rPr>
          <w:rFonts w:ascii="Arial" w:cs="Arial" w:eastAsia="Arial" w:hAnsi="Arial"/>
          <w:sz w:val="13"/>
          <w:szCs w:val="13"/>
          <w:color w:val="auto"/>
        </w:rPr>
        <w:t>Any significant development on our currently undeveloped land would involve the construction of roads, utilities and other expensive infrastructure and would have to be done in a manner that accommodates a number of environmental concerns, including endangered species, wetlands issues, and greenhouse gas emissions. Accommodating these environmental concerns, could possibly limit development of portions of the land or result in substantial delays or certain changes to the scope of development in order to obtain governmental approval.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426"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006EBF"/>
        </w:rPr>
        <w:t>Water Operations</w:t>
      </w:r>
    </w:p>
    <w:p>
      <w:pPr>
        <w:spacing w:after="0" w:line="140"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existing long-term water contracts with the Wheeler Ridge-Maricopa Water Storage District, or WRMWSD, provide for water entitlements and deliveries from the SWP, to our agricultural and municipal/industrial operations in the San Joaquin Valley. The terms of these contracts extend to 2035. Under the contracts, we are entitled to annual water for 5,496 acres of land, or 15,547 acre-feet of water subject to SWP allocations, which is adequate for our present farming operations. It is assumed, that at the end of the current contract period all water contracts will be extended for approximately the same amount of annual water.</w:t>
      </w:r>
    </w:p>
    <w:p>
      <w:pPr>
        <w:spacing w:after="0" w:line="103" w:lineRule="exact"/>
        <w:rPr>
          <w:sz w:val="20"/>
          <w:szCs w:val="20"/>
          <w:color w:val="auto"/>
        </w:rPr>
      </w:pPr>
    </w:p>
    <w:p>
      <w:pPr>
        <w:ind w:right="240"/>
        <w:spacing w:after="0" w:line="260" w:lineRule="auto"/>
        <w:rPr>
          <w:sz w:val="20"/>
          <w:szCs w:val="20"/>
          <w:color w:val="auto"/>
        </w:rPr>
      </w:pPr>
      <w:r>
        <w:rPr>
          <w:rFonts w:ascii="Arial" w:cs="Arial" w:eastAsia="Arial" w:hAnsi="Arial"/>
          <w:sz w:val="14"/>
          <w:szCs w:val="14"/>
          <w:color w:val="auto"/>
        </w:rPr>
        <w:t>In addition to the WRMWSD contract water entitlements, we have an additional water entitlement from the SWP sufficient to service a substantial amount of future residential and/or commercial development in Kern County. TCWD, a local water district serving our land in the district and land we have sold in TRCC, has 5,749 acre-feet of SWP entitlement (also called Table A amount), subject to SWP allocations. In addition, TCWD has 60,555 acre-feet of water stored in Kern County water banks. Both the entitlement and the banked water are the subject of a long-term water supply contract extending to 2035 between TCWD and the Company. TCWD is the water supplier to TRCC, and will be the principal water supplier for any significant mixed use development in MV. TCWD will also be the water district that provides services to Grapevine.</w:t>
      </w:r>
    </w:p>
    <w:p>
      <w:pPr>
        <w:spacing w:after="0" w:line="104" w:lineRule="exact"/>
        <w:rPr>
          <w:sz w:val="20"/>
          <w:szCs w:val="20"/>
          <w:color w:val="auto"/>
        </w:rPr>
      </w:pPr>
    </w:p>
    <w:p>
      <w:pPr>
        <w:jc w:val="both"/>
        <w:ind w:right="60"/>
        <w:spacing w:after="0" w:line="267" w:lineRule="auto"/>
        <w:rPr>
          <w:sz w:val="20"/>
          <w:szCs w:val="20"/>
          <w:color w:val="auto"/>
        </w:rPr>
      </w:pPr>
      <w:r>
        <w:rPr>
          <w:rFonts w:ascii="Arial" w:cs="Arial" w:eastAsia="Arial" w:hAnsi="Arial"/>
          <w:sz w:val="14"/>
          <w:szCs w:val="14"/>
          <w:color w:val="auto"/>
        </w:rPr>
        <w:t>We have a 150-acre water bank consisting of nine ponds on our land in southern Kern County. Water is pumped into these ponds and then percolates into underground aquifers. Since 2006, we have banked 50,349 acre-feet of water from the Antelope Valley-East Kern Water Agency, or AVEK, which has been pumped from the California aqueduct and is currently retained in this water bank. We anticipate adding additional water to the water bank in the future, as water is available.</w:t>
      </w:r>
    </w:p>
    <w:p>
      <w:pPr>
        <w:spacing w:after="0" w:line="99"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Over time we have also purchased water for our future use or sale. In 2008 we purchased 8,393 acre-feet of transferable water and in 2009 we purchased an additional 6,393 acre-feet of transferable water, all of which has been placed in our water bank. We also have secured SWP entitlement under long-term SWP water contracts within the Tulare Lake Basin Water Storage District and the Dudley-Ridge Water District, totaling 3,444 acre-feet of SWP entitlement annually, subject to SWP allocations. These contracts extend through 2035. On November 6, 2013, the Company completed the acquisition of a water purchase agreement that will allow and require the Company to purchase 6,693 acre-feet of water each year from the Nickel Family, LLC, or Nickel, through the Kern County Water Agency.</w:t>
      </w:r>
    </w:p>
    <w:p>
      <w:pPr>
        <w:spacing w:after="0" w:line="104"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 initial term of the water purchase agreement with Nickel runs through 2044 and includes a Company option to extend the contract for an additional 35 years. This contract allows us to purchase water each year. The purchase cost of water in 2019 was $769 per acre-foot. Purchase costs are subject to annual cost increases based on the greater of the consumer price index and 3%, resulting in a 2020 purchase cost of $793 per acre-foot.</w:t>
      </w:r>
    </w:p>
    <w:p>
      <w:pPr>
        <w:spacing w:after="0" w:line="99"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The water purchased will ultimately be used in the development of the Company’s land for commercial/industrial development, residential development, and farming. Interim uses may include the sale of portions of this water to third party users on an annual basis until the water is fully used for the Company’s internal uses.</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3"/>
          <w:szCs w:val="13"/>
          <w:color w:val="auto"/>
        </w:rPr>
        <w:t>During 2019, SWP allocations were 75% of contract levels, and WRMWSD was able to supply us with water from various sources that when combined with our water sources provided sufficient water to meet our farming and real estate demands. In some years, there is also sufficient runoff from local mountain streams to allow us to capture some of this water in reservoirs and utilize it to offset some of the SWP water. In years where the supply of water is sufficient, both WRMWSD and TCWD are able to bank (percolate into underground aquifers) some of their excess supplies for future use. At this time, Wheeler Ridge expects to be able to deliver our entire contract water entitlement in any year that the SWP allocations exceed 30% by drawing on its ground water wells and water banking assets. Based on historical records of water availability, we do not believe we have material problems with our water supply. However, if SWP allocations are less than 30% of our entitlement in any year, or if shortages continue for a sustained period of several years, then WRMWSD may not be able to deliver 100% of our entitlement and we will have to rely on our own ground water sources, mountain stream runoff, water transfer from other sources, and water banking assets to supply the needs of our farming and development activities. Water from these sources may be more expensive than SWP water because of pumping costs and/or transfer costs. A 15% preliminary SWP water allocation has been made by the California Department of Water Resources, or DWR, for 2020. The current 15% allocation of SWP water is not enough for us to farm our crops, but our additional water resources, such as groundwater and surface sources, and those of the water districts we are in, should allow us to have sufficient water for our farming needs for the next year.</w:t>
      </w:r>
    </w:p>
    <w:p>
      <w:pPr>
        <w:spacing w:after="0" w:line="99"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color w:val="auto"/>
        </w:rPr>
        <w:t>All SWP water contracts require annual payments related to the fixed and variable costs of the SWP and each water district, whether or not water is used or available. WRMWSD and TCWD contracts also establish a lien on benefited land.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60"/>
          </w:cols>
          <w:pgMar w:left="300" w:top="422" w:right="339" w:bottom="1440" w:gutter="0" w:footer="0" w:header="0"/>
        </w:sectPr>
      </w:pPr>
    </w:p>
    <w:bookmarkStart w:id="31" w:name="page32"/>
    <w:bookmarkEnd w:id="31"/>
    <w:p>
      <w:pPr>
        <w:ind w:right="520"/>
        <w:spacing w:after="0" w:line="267" w:lineRule="auto"/>
        <w:rPr>
          <w:sz w:val="20"/>
          <w:szCs w:val="20"/>
          <w:color w:val="auto"/>
        </w:rPr>
      </w:pPr>
      <w:r>
        <w:rPr>
          <w:rFonts w:ascii="Arial" w:cs="Arial" w:eastAsia="Arial" w:hAnsi="Arial"/>
          <w:sz w:val="14"/>
          <w:szCs w:val="14"/>
          <w:color w:val="auto"/>
        </w:rPr>
        <w:t>Portions of our property also have available groundwater, which we believe would be sufficient to supply commercial development in the Interstate 5 corridor and support current agricultural operations. Ground water in the Antelope Valley Basin is the subject of litigation. See Item 3, “Legal Proceedings,” for additional information about this litigation. Please refer to “Note 14 (Commitments and Contingencies)” for further discussion.</w:t>
      </w:r>
    </w:p>
    <w:p>
      <w:pPr>
        <w:spacing w:after="0" w:line="99"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Sustainable Groundwater Management Act, or SGMA, is a sustainable groundwater framework that became effective January 1, 2015. For the water districts in which the Company participates in the San Joaquin Valley, Groundwater Sustainability Plans are to be developed by 2020 and 2022. Through these plans it will have to be demonstrated to the satisfaction of the Department of Water Resources, that the basins are "sustainable" and in balance by 2040, which could ultimately lead to restrictions on the use of groundwater. The Company's Kern County agricultural lands and development lands are located in the White Wolf Basin and the Castac Lake Basin, which are basins that are currently not over-drafted, so there is no anticipation at this time of any restriction related to manageable uses of ground water. However, the Company's lands are in relatively good condition because of the diverse inventory of surface water supplies and banked water that the Company has access to as mentioned above.</w:t>
      </w:r>
    </w:p>
    <w:p>
      <w:pPr>
        <w:spacing w:after="0" w:line="107" w:lineRule="exact"/>
        <w:rPr>
          <w:sz w:val="20"/>
          <w:szCs w:val="20"/>
          <w:color w:val="auto"/>
        </w:rPr>
      </w:pPr>
    </w:p>
    <w:p>
      <w:pPr>
        <w:ind w:right="100"/>
        <w:spacing w:after="0" w:line="319" w:lineRule="auto"/>
        <w:rPr>
          <w:sz w:val="20"/>
          <w:szCs w:val="20"/>
          <w:color w:val="auto"/>
        </w:rPr>
      </w:pPr>
      <w:r>
        <w:rPr>
          <w:rFonts w:ascii="Arial" w:cs="Arial" w:eastAsia="Arial" w:hAnsi="Arial"/>
          <w:sz w:val="12"/>
          <w:szCs w:val="12"/>
          <w:color w:val="auto"/>
        </w:rPr>
        <w:t>There have been many environmental challenges regarding the movement of SWP water through the Sacramento Delta. Operation of the Delta pumps are of primary importance to the California water system because these pumps are part of the system that moves water from Northern California to Southern California. Biological Opinions, or BiOps, issued by the U.S. Fish and Wildlife Service, or FWS, and National Marine Fisheries Service, or NMFS, in 2008 and 2009 contained restrictions on pumping from the Delta and were challenged in the courts by both water agencies and environmental groups, which challenges were for the most part unsuccessful. Since then a number of developments have occurred that affect or potentially affect SWP supplies from the Delta.</w:t>
      </w:r>
    </w:p>
    <w:p>
      <w:pPr>
        <w:spacing w:after="0" w:line="73" w:lineRule="exact"/>
        <w:rPr>
          <w:sz w:val="20"/>
          <w:szCs w:val="20"/>
          <w:color w:val="auto"/>
        </w:rPr>
      </w:pPr>
    </w:p>
    <w:p>
      <w:pPr>
        <w:jc w:val="both"/>
        <w:ind w:right="20"/>
        <w:spacing w:after="0" w:line="331" w:lineRule="auto"/>
        <w:rPr>
          <w:sz w:val="20"/>
          <w:szCs w:val="20"/>
          <w:color w:val="auto"/>
        </w:rPr>
      </w:pPr>
      <w:r>
        <w:rPr>
          <w:rFonts w:ascii="Arial" w:cs="Arial" w:eastAsia="Arial" w:hAnsi="Arial"/>
          <w:sz w:val="12"/>
          <w:szCs w:val="12"/>
          <w:color w:val="auto"/>
        </w:rPr>
        <w:t>One development concerns the Coordinated Operation Agreement, or COA, that DWR and the Bureau of Reclamation, or the Bureau, which operates pumps in the Delta to supply water to its Central Valley Project, or CVP, entered into in 1986. The COA governs the concurrent state and federal pumping operations in the Delta. DWR and the Bureau renegotiated the COA in late 2018 to bring the COA up to date with various physical and legal changes that occurred over the course of thirty years. The renegotiated COA has generally resulted in reduced deliveries to SWP contractors.</w:t>
      </w:r>
    </w:p>
    <w:p>
      <w:pPr>
        <w:spacing w:after="0" w:line="66"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Another is DWR’s plan for construction of a facility to convey water through the Delta in the form of a tunnel system that would divert water at or near the northern end of the Delta and convey the water underground via tunnel for delivery at or near the southern end of the Delta. Originally envisioned as a two-tunnel system known as California WaterFix, that project was rescinded and has been replaced with a proposed downsized single-tunnel system referred to as the Delta Conveyance Project, or DCP. As of January, 2020, DWR has begun the environmental review process for the DCP by issuance of a Notice of Preparation of an EIR under CEQA, and DWR has been negotiating an agreement in principle with the SWP Contractors for terms of an amendment to the SWP long-term water supply contracts that if approved would provide for addition of the DCP to the SWP. The DCP is intended to increase the amount of water available for delivery through the Delta, particularly in wet years.</w:t>
      </w:r>
    </w:p>
    <w:p>
      <w:pPr>
        <w:spacing w:after="0" w:line="107"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Another is the “Reinitiation of Consultation on the Coordinated Long Term Operation of the Central Valley Project and State Water Project.” This is a process that DWR and the Bureau jointly requested in 2016. It has resulted in new federal FWS and NMFS BiOps under Federal Endangered Species Act, or ESA, which are intended to enhance reliability of water available for pumping out of the Delta based on updated best available science. The State of California has noticed its intent to file a legal challenge to the new BiOps, which are currently being challenged in court by various non-governmental organizations under the ESA. Consequently, it is uncertain whether and when operations under the new BiOps will take effect.</w:t>
      </w:r>
    </w:p>
    <w:p>
      <w:pPr>
        <w:spacing w:after="0" w:line="89"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Historic SWP restrictions on the right to use agricultural water entitlement for municipal purposes were removed in 1995. For this purpose, “municipal” use includes residential and industrial use. Therefore, although only 2,000 of TCWD's 5,749 acre-feet of entitlement are labeled for municipal use, there is no practical restriction on TCWD's ability to deliver the remaining water to residential or commercial/industrial developments.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Other Activities</w:t>
      </w:r>
    </w:p>
    <w:p>
      <w:pPr>
        <w:spacing w:after="0" w:line="140"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color w:val="auto"/>
        </w:rPr>
        <w:t>TRPFFA is a joint powers authority formed by Kern County and TCWD to finance public infrastructure within the Company’s Kern County developments.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$65,000,000 of additional bond debt authorized by TRPFFA. Proceeds from the sales of these bonds are to reimburse the Company for public infrastructure related to TRCC-East.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426" w:right="319" w:bottom="1440" w:gutter="0" w:footer="0" w:header="0"/>
        </w:sectPr>
      </w:pPr>
    </w:p>
    <w:bookmarkStart w:id="32" w:name="page33"/>
    <w:bookmarkEnd w:id="32"/>
    <w:p>
      <w:pPr>
        <w:spacing w:after="0" w:line="260" w:lineRule="auto"/>
        <w:rPr>
          <w:sz w:val="20"/>
          <w:szCs w:val="20"/>
          <w:color w:val="auto"/>
        </w:rPr>
      </w:pPr>
      <w:r>
        <w:rPr>
          <w:rFonts w:ascii="Arial" w:cs="Arial" w:eastAsia="Arial" w:hAnsi="Arial"/>
          <w:sz w:val="14"/>
          <w:szCs w:val="14"/>
          <w:color w:val="auto"/>
        </w:rPr>
        <w:t>We paid $2,569,000 and $2,570,000 in special taxes related to the CFDs in 2019 and 2018, respectively. As development continues to occur at TRCC, new owners of land and new lease tenants, through triple net leases, will bear an increasing portion of the assessed special tax. It is expected that we will have special tax payments in 2020 of $2,598,000, but this could change in the future based on the amount of bonds outstanding within each CFD and the amount of taxes paid by other owners and tenants.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is not required to recognize an obligation at December 31, 2019.</w:t>
      </w:r>
    </w:p>
    <w:p>
      <w:pPr>
        <w:spacing w:after="0" w:line="164"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006EBF"/>
        </w:rPr>
        <w:t>ITEM 3.</w:t>
        <w:tab/>
        <w:t>LEGAL PROCEEDINGS</w:t>
      </w:r>
    </w:p>
    <w:p>
      <w:pPr>
        <w:spacing w:after="0" w:line="18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Company is involved in various legal matters arising out of its operations in the normal course of business. None of these matters are expected, individually or in the aggregate, to have a material adverse effect on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For a discussion of legal proceedings, see Note 14 (Commitments and Contingencies) of the Notes to the Consolidated Financial Statements.</w:t>
      </w:r>
    </w:p>
    <w:p>
      <w:pPr>
        <w:spacing w:after="0" w:line="196"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006EBF"/>
        </w:rPr>
        <w:t>ITEM 4.</w:t>
        <w:tab/>
        <w:t>MINE SAFETY DISCLOSURES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426" w:right="31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u w:val="single" w:color="auto"/>
          <w:color w:val="auto"/>
        </w:rPr>
        <w:t>PART II</w:t>
      </w:r>
    </w:p>
    <w:p>
      <w:pPr>
        <w:spacing w:after="0" w:line="136"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006EBF"/>
        </w:rPr>
        <w:t>ITEM 5.</w:t>
      </w:r>
      <w:r>
        <w:rPr>
          <w:sz w:val="20"/>
          <w:szCs w:val="20"/>
          <w:color w:val="auto"/>
        </w:rPr>
        <w:tab/>
      </w:r>
      <w:r>
        <w:rPr>
          <w:rFonts w:ascii="Arial" w:cs="Arial" w:eastAsia="Arial" w:hAnsi="Arial"/>
          <w:sz w:val="14"/>
          <w:szCs w:val="14"/>
          <w:b w:val="1"/>
          <w:bCs w:val="1"/>
          <w:color w:val="006EBF"/>
        </w:rPr>
        <w:t>MARKET FOR REGISTRANT'S COMMON EQUITY, RELATED STOCKHOLDER MATTERS AND ISSUER PURCHASES OF EQUITY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trades under the symbol TRC on the New York Stock Exchange.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29, 2020, there were 286 registered owners of record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 cash dividends were paid in 2019 or 2018 and at this time there is no intention of paying cash dividends in the future.</w:t>
      </w:r>
    </w:p>
    <w:p>
      <w:pPr>
        <w:spacing w:after="0" w:line="136"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color w:val="auto"/>
        </w:rPr>
        <w:t>For information regarding equity compensation plans pursuant to Item 201(d) of Regulation S-K, please see Item 11, “Executive Compensation” and Item 12, “Security Ownership of Certain Beneficial Owners and Management and Related Stockholder Matters” of this Form 10-K, below.</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annual stockholder performance graph will be provided separately in our annual report to stockholders.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20"/>
                <w:szCs w:val="20"/>
                <w:color w:val="auto"/>
              </w:rPr>
            </w:pPr>
            <w:r>
              <w:rPr>
                <w:rFonts w:ascii="Arial" w:cs="Arial" w:eastAsia="Arial" w:hAnsi="Arial"/>
                <w:sz w:val="14"/>
                <w:szCs w:val="14"/>
                <w:b w:val="1"/>
                <w:bCs w:val="1"/>
                <w:color w:val="006EBF"/>
              </w:rPr>
              <w:t>ITEM 6.   SELECTED FINANCIAL DATA</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6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80" w:type="dxa"/>
            <w:vAlign w:val="bottom"/>
          </w:tcPr>
          <w:p>
            <w:pPr>
              <w:spacing w:after="0"/>
              <w:rPr>
                <w:sz w:val="24"/>
                <w:szCs w:val="24"/>
                <w:color w:val="auto"/>
              </w:rPr>
            </w:pPr>
          </w:p>
        </w:tc>
        <w:tc>
          <w:tcPr>
            <w:tcW w:w="980" w:type="dxa"/>
            <w:vAlign w:val="bottom"/>
          </w:tcPr>
          <w:p>
            <w:pPr>
              <w:jc w:val="right"/>
              <w:ind w:right="42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29"/>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409"/>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8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2"/>
        </w:trPr>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including investment and other income (loss)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48,938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46,904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35,442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46,899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52,056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(Loss) income from operations before equity in earnings of unconsolidated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40" w:type="dxa"/>
            <w:vAlign w:val="bottom"/>
            <w:vMerge w:val="continue"/>
          </w:tcPr>
          <w:p>
            <w:pPr>
              <w:spacing w:after="0"/>
              <w:rPr>
                <w:sz w:val="11"/>
                <w:szCs w:val="11"/>
                <w:color w:val="auto"/>
              </w:rPr>
            </w:pPr>
          </w:p>
        </w:tc>
        <w:tc>
          <w:tcPr>
            <w:tcW w:w="28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1"/>
                <w:szCs w:val="11"/>
                <w:color w:val="auto"/>
              </w:rPr>
            </w:pPr>
          </w:p>
        </w:tc>
        <w:tc>
          <w:tcPr>
            <w:tcW w:w="280" w:type="dxa"/>
            <w:vAlign w:val="bottom"/>
            <w:vMerge w:val="restart"/>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ind w:right="49"/>
              <w:spacing w:after="0"/>
              <w:rPr>
                <w:sz w:val="20"/>
                <w:szCs w:val="20"/>
                <w:color w:val="auto"/>
              </w:rPr>
            </w:pPr>
            <w:r>
              <w:rPr>
                <w:rFonts w:ascii="Arial" w:cs="Arial" w:eastAsia="Arial" w:hAnsi="Arial"/>
                <w:sz w:val="14"/>
                <w:szCs w:val="14"/>
                <w:color w:val="auto"/>
              </w:rPr>
              <w:t>1,721</w:t>
            </w:r>
          </w:p>
        </w:tc>
        <w:tc>
          <w:tcPr>
            <w:tcW w:w="120" w:type="dxa"/>
            <w:vAlign w:val="bottom"/>
          </w:tcPr>
          <w:p>
            <w:pPr>
              <w:spacing w:after="0"/>
              <w:rPr>
                <w:sz w:val="11"/>
                <w:szCs w:val="11"/>
                <w:color w:val="auto"/>
              </w:rPr>
            </w:pPr>
          </w:p>
        </w:tc>
        <w:tc>
          <w:tcPr>
            <w:tcW w:w="28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(7,331)</w:t>
            </w:r>
          </w:p>
        </w:tc>
        <w:tc>
          <w:tcPr>
            <w:tcW w:w="100" w:type="dxa"/>
            <w:vAlign w:val="bottom"/>
          </w:tcPr>
          <w:p>
            <w:pPr>
              <w:spacing w:after="0"/>
              <w:rPr>
                <w:sz w:val="11"/>
                <w:szCs w:val="11"/>
                <w:color w:val="auto"/>
              </w:rPr>
            </w:pPr>
          </w:p>
        </w:tc>
        <w:tc>
          <w:tcPr>
            <w:tcW w:w="280" w:type="dxa"/>
            <w:vAlign w:val="bottom"/>
            <w:vMerge w:val="restart"/>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(5,845)</w:t>
            </w:r>
          </w:p>
        </w:tc>
        <w:tc>
          <w:tcPr>
            <w:tcW w:w="100" w:type="dxa"/>
            <w:vAlign w:val="bottom"/>
          </w:tcPr>
          <w:p>
            <w:pPr>
              <w:spacing w:after="0"/>
              <w:rPr>
                <w:sz w:val="11"/>
                <w:szCs w:val="11"/>
                <w:color w:val="auto"/>
              </w:rPr>
            </w:pPr>
          </w:p>
        </w:tc>
        <w:tc>
          <w:tcPr>
            <w:tcW w:w="28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(2,287)</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joint ventures</w:t>
            </w:r>
          </w:p>
        </w:tc>
        <w:tc>
          <w:tcPr>
            <w:tcW w:w="2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640" w:type="dxa"/>
            <w:vAlign w:val="bottom"/>
            <w:tcBorders>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4"/>
                <w:szCs w:val="14"/>
                <w:color w:val="auto"/>
              </w:rPr>
              <w:t>Equity in earnings of unconsolidated joint ventures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16,575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3,834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4,227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7,098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6,324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40" w:type="dxa"/>
            <w:vAlign w:val="bottom"/>
            <w:vMerge w:val="continue"/>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10,579</w:t>
            </w:r>
          </w:p>
        </w:tc>
        <w:tc>
          <w:tcPr>
            <w:tcW w:w="12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4,235</w:t>
            </w:r>
          </w:p>
        </w:tc>
        <w:tc>
          <w:tcPr>
            <w:tcW w:w="120" w:type="dxa"/>
            <w:vAlign w:val="bottom"/>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(1,821)</w:t>
            </w:r>
          </w:p>
        </w:tc>
        <w:tc>
          <w:tcPr>
            <w:tcW w:w="10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2,912</w:t>
            </w: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1"/>
        </w:trPr>
        <w:tc>
          <w:tcPr>
            <w:tcW w:w="464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10,580</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4,255</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2,950</w:t>
            </w:r>
          </w:p>
        </w:tc>
        <w:tc>
          <w:tcPr>
            <w:tcW w:w="0" w:type="dxa"/>
            <w:vAlign w:val="bottom"/>
          </w:tcPr>
          <w:p>
            <w:pPr>
              <w:spacing w:after="0"/>
              <w:rPr>
                <w:sz w:val="1"/>
                <w:szCs w:val="1"/>
                <w:color w:val="auto"/>
              </w:rPr>
            </w:pPr>
          </w:p>
        </w:tc>
      </w:tr>
      <w:tr>
        <w:trPr>
          <w:trHeight w:val="62"/>
        </w:trPr>
        <w:tc>
          <w:tcPr>
            <w:tcW w:w="46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539,422</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529,048</w:t>
            </w:r>
          </w:p>
        </w:tc>
        <w:tc>
          <w:tcPr>
            <w:tcW w:w="12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518,199</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439,541</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431,919</w:t>
            </w:r>
          </w:p>
        </w:tc>
        <w:tc>
          <w:tcPr>
            <w:tcW w:w="0" w:type="dxa"/>
            <w:vAlign w:val="bottom"/>
          </w:tcPr>
          <w:p>
            <w:pPr>
              <w:spacing w:after="0"/>
              <w:rPr>
                <w:sz w:val="1"/>
                <w:szCs w:val="1"/>
                <w:color w:val="auto"/>
              </w:rPr>
            </w:pPr>
          </w:p>
        </w:tc>
      </w:tr>
      <w:tr>
        <w:trPr>
          <w:trHeight w:val="62"/>
        </w:trPr>
        <w:tc>
          <w:tcPr>
            <w:tcW w:w="46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4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Long-term debt</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61,897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65,915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69,959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73,867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74,215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40" w:type="dxa"/>
            <w:vAlign w:val="bottom"/>
            <w:vMerge w:val="continue"/>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445,624</w:t>
            </w:r>
          </w:p>
        </w:tc>
        <w:tc>
          <w:tcPr>
            <w:tcW w:w="12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434,672</w:t>
            </w:r>
          </w:p>
        </w:tc>
        <w:tc>
          <w:tcPr>
            <w:tcW w:w="120" w:type="dxa"/>
            <w:vAlign w:val="bottom"/>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426,810</w:t>
            </w:r>
          </w:p>
        </w:tc>
        <w:tc>
          <w:tcPr>
            <w:tcW w:w="10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334,709</w:t>
            </w:r>
          </w:p>
        </w:tc>
        <w:tc>
          <w:tcPr>
            <w:tcW w:w="100" w:type="dxa"/>
            <w:vAlign w:val="bottom"/>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331,308</w:t>
            </w:r>
          </w:p>
        </w:tc>
        <w:tc>
          <w:tcPr>
            <w:tcW w:w="0" w:type="dxa"/>
            <w:vAlign w:val="bottom"/>
          </w:tcPr>
          <w:p>
            <w:pPr>
              <w:spacing w:after="0"/>
              <w:rPr>
                <w:sz w:val="1"/>
                <w:szCs w:val="1"/>
                <w:color w:val="auto"/>
              </w:rPr>
            </w:pPr>
          </w:p>
        </w:tc>
      </w:tr>
      <w:tr>
        <w:trPr>
          <w:trHeight w:val="62"/>
        </w:trPr>
        <w:tc>
          <w:tcPr>
            <w:tcW w:w="46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4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Net income (loss) per share attributable to common stockholders, diluted</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0.40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0.16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64" w:right="319" w:bottom="1440" w:gutter="0" w:footer="0" w:header="0"/>
        </w:sectPr>
      </w:pPr>
    </w:p>
    <w:bookmarkStart w:id="34" w:name="page35"/>
    <w:bookmarkEnd w:id="34"/>
    <w:p>
      <w:pPr>
        <w:spacing w:after="0"/>
        <w:tabs>
          <w:tab w:leader="none" w:pos="1000" w:val="left"/>
        </w:tabs>
        <w:rPr>
          <w:sz w:val="20"/>
          <w:szCs w:val="20"/>
          <w:color w:val="auto"/>
        </w:rPr>
      </w:pPr>
      <w:r>
        <w:rPr>
          <w:rFonts w:ascii="Arial" w:cs="Arial" w:eastAsia="Arial" w:hAnsi="Arial"/>
          <w:sz w:val="14"/>
          <w:szCs w:val="14"/>
          <w:b w:val="1"/>
          <w:bCs w:val="1"/>
          <w:color w:val="006EBF"/>
        </w:rPr>
        <w:t>ITEM 7.</w:t>
      </w:r>
      <w:r>
        <w:rPr>
          <w:sz w:val="20"/>
          <w:szCs w:val="20"/>
          <w:color w:val="auto"/>
        </w:rPr>
        <w:tab/>
      </w:r>
      <w:r>
        <w:rPr>
          <w:rFonts w:ascii="Arial" w:cs="Arial" w:eastAsia="Arial" w:hAnsi="Arial"/>
          <w:sz w:val="14"/>
          <w:szCs w:val="14"/>
          <w:b w:val="1"/>
          <w:bCs w:val="1"/>
          <w:color w:val="006EBF"/>
        </w:rPr>
        <w:t>MANAGEMENT'S DISCUSSION AND ANALYSIS OF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See Part I, "Forward-Looking Statements" for our cautionary statement regarding forward-looking information.</w:t>
      </w:r>
    </w:p>
    <w:p>
      <w:pPr>
        <w:spacing w:after="0" w:line="179" w:lineRule="exact"/>
        <w:rPr>
          <w:sz w:val="20"/>
          <w:szCs w:val="20"/>
          <w:color w:val="auto"/>
        </w:rPr>
      </w:pPr>
    </w:p>
    <w:p>
      <w:pPr>
        <w:jc w:val="both"/>
        <w:ind w:right="20"/>
        <w:spacing w:after="0" w:line="262" w:lineRule="auto"/>
        <w:rPr>
          <w:sz w:val="20"/>
          <w:szCs w:val="20"/>
          <w:color w:val="auto"/>
        </w:rPr>
      </w:pPr>
      <w:r>
        <w:rPr>
          <w:rFonts w:ascii="Arial" w:cs="Arial" w:eastAsia="Arial" w:hAnsi="Arial"/>
          <w:sz w:val="14"/>
          <w:szCs w:val="14"/>
          <w:color w:val="auto"/>
        </w:rPr>
        <w:t>This discussion and analysis is based on, should be read together with, and is qualified in its entirety by, the consolidated financial statements and notes thereto included in Item 15(a)1 of this Form 10-K, beginning at page F-1. It also should be read in conjunction with the disclosure under “Forward-Looking Statements” in Part 1 of this Form 10-K. When this report uses the words “we,” “us,” “our,” “Tejon,” “TRC,” and the “Company,” they refer to Tejon Ranch Co. and its subsidiaries, unless the context otherwise requires. References herein to fiscal year refer to our fiscal years ended or ending December 31.</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OVERVIEW</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EBF"/>
        </w:rPr>
        <w:t>Our Business</w:t>
      </w:r>
    </w:p>
    <w:p>
      <w:pPr>
        <w:spacing w:after="0" w:line="136"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103" w:lineRule="exact"/>
        <w:rPr>
          <w:sz w:val="20"/>
          <w:szCs w:val="20"/>
          <w:color w:val="auto"/>
        </w:rPr>
      </w:pPr>
    </w:p>
    <w:p>
      <w:pPr>
        <w:ind w:right="280"/>
        <w:spacing w:after="0" w:line="368" w:lineRule="auto"/>
        <w:rPr>
          <w:sz w:val="20"/>
          <w:szCs w:val="20"/>
          <w:color w:val="auto"/>
        </w:rPr>
      </w:pPr>
      <w:r>
        <w:rPr>
          <w:rFonts w:ascii="Arial" w:cs="Arial" w:eastAsia="Arial" w:hAnsi="Arial"/>
          <w:sz w:val="12"/>
          <w:szCs w:val="12"/>
          <w:color w:val="auto"/>
        </w:rPr>
        <w:t>Our business model is designed to create value through the entitlement and development of land for commercial/industrial and resort/residential uses while at the same time protecting significant portions of our land for conservation purposes. We operate our business near one of the country’s largest population centers, which is expected to continue to grow well into the future.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We currently operate in five reporting segments: commercial/industrial real estate development; resort/residential real estate development; mineral resources; farming; and ranch operations.</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commercial/industrial real estate development segment generates revenues from building, land lease activities, and land and building sales. The primary commercial/industrial development is TRCC. The resort/residential real estate development segment is actively involved in the land entitlement and development process internally and through a joint venture. Within our resort/residential segment, the three active mixed use master plan developments are MV, Centennial, and Grapevine. Our mineral resources segment generates revenues from oil and gas royalty leases, rock and aggregate mining leases, a lease with National Cement and sales of water. The farming segment produces revenues from the sale of wine grapes, almonds, and pistachios. Lastly, the ranch operation segment consists of game management revenues and ancillary land uses such as grazing leases and filming.</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EBF"/>
        </w:rPr>
        <w:t>Financial Highlights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 2019, net income attributable to common stockholders was $10,580,000 compared to net income attributed to common stockholders of $4,255,000 in 2018. Over the comparative period,</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commercial/industrial segment revenues and results from our commercial joint ventures improved $7,822,000 and $12,741,000, respectively. Improvements in commercial revenues were attributed to</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land and building contributions to two joint ventures, while our joint ventures improved because of improved fuel and non fuel margins within our TA/Petro joint venture along with recognizing 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substantial gain stemming from the sale of the building and land previously held by our Five West Parcel joint venture. These improvements were offset by reduced mineral resources revenues of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$4,604,000 resulting from a lack of water sales opportunities due to the wet 2019 winter rain season, an increase in commercial/industrial expenses of $6,715,000 as a result of land and building costs</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associated with the joint venture contributions discussed earlier, and a $1,765,000 increase in other losses associated with the abandonment of a wine grape vineyard that will no longer be farmed 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pension related expenses.</w:t>
      </w:r>
    </w:p>
    <w:p>
      <w:pPr>
        <w:spacing w:after="0" w:line="62" w:lineRule="exact"/>
        <w:rPr>
          <w:sz w:val="20"/>
          <w:szCs w:val="20"/>
          <w:color w:val="auto"/>
        </w:rPr>
      </w:pPr>
    </w:p>
    <w:p>
      <w:pPr>
        <w:ind w:right="160"/>
        <w:spacing w:after="0" w:line="331" w:lineRule="auto"/>
        <w:rPr>
          <w:sz w:val="20"/>
          <w:szCs w:val="20"/>
          <w:color w:val="auto"/>
        </w:rPr>
      </w:pPr>
      <w:r>
        <w:rPr>
          <w:rFonts w:ascii="Arial" w:cs="Arial" w:eastAsia="Arial" w:hAnsi="Arial"/>
          <w:sz w:val="12"/>
          <w:szCs w:val="12"/>
          <w:color w:val="auto"/>
        </w:rPr>
        <w:t>For 2018, net income attributable to common stockholders was $4,255,000 compared to net loss attributed to common stockholders of $1,797,000 in 2017. Factors driving the change include an increase in mineral resource revenues of $8,412,000 resulting from more sales opportunities for water in 2018 when compared to 2017, and an increase in farming revenues of $2,129,000 resulting from improved pistachio sales. From an expense perspective, expenses increased $2,410,000 mainly as a result of an increase in costs of $3,100,000 stemming from increased water sales.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For the year ended December 31, 2019, we had no material lease renewals.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60"/>
          </w:cols>
          <w:pgMar w:left="300" w:top="655" w:right="339" w:bottom="1440" w:gutter="0" w:footer="0" w:header="0"/>
        </w:sectPr>
      </w:pPr>
    </w:p>
    <w:bookmarkStart w:id="35" w:name="page36"/>
    <w:bookmarkEnd w:id="35"/>
    <w:p>
      <w:pPr>
        <w:spacing w:after="0" w:line="262" w:lineRule="auto"/>
        <w:rPr>
          <w:sz w:val="20"/>
          <w:szCs w:val="20"/>
          <w:color w:val="auto"/>
        </w:rPr>
      </w:pPr>
      <w:r>
        <w:rPr>
          <w:rFonts w:ascii="Arial" w:cs="Arial" w:eastAsia="Arial" w:hAnsi="Arial"/>
          <w:sz w:val="14"/>
          <w:szCs w:val="14"/>
          <w:color w:val="auto"/>
        </w:rPr>
        <w:t>During 2020, we will continue to invest funds towards litigation defense, permits, and maps for our master plan mixed use developments and for master project infrastructure and vertical development within our active commercial and industrial development. Securing entitlements for our land is a long, arduous process that can take several years and involves litigation. During the next few years, our net income will fluctuate from year-to-year based upon, among other factors, commodity prices, production within our farming segment, the timing of land sales and the leasing of land and/or industrial space within our industrial developments, and equity in earnings realized from our unconsolidated joint ventures.</w:t>
      </w:r>
    </w:p>
    <w:p>
      <w:pPr>
        <w:spacing w:after="0" w:line="103"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color w:val="auto"/>
        </w:rPr>
        <w:t>This Management’s Discussion and Analysis of Financial Condition and Results of Operations provides a narrative discussion of our results of operations. It contains the results of operations for each operating segment of the business and is followed by a discussion of our financial position. It is useful to read the business segment information in conjunction with Note 16 (Reporting Segments and Related Information) of the 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Critical Accounting Policies</w:t>
      </w:r>
    </w:p>
    <w:p>
      <w:pPr>
        <w:spacing w:after="0" w:line="140"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The preparation of our consolidated financial statements in accordance with generally accepted accounting principles in the United States, or GAAP, requires us to make estimates and judgments that affect the reported amounts of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or use of different estimates that we reasonably could have used in the current period,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our future ability to utilize deferred tax assets, and defined benefit retirement plans.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5"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Management has discussed the development and selection of these critical accounting estimates with the Audit Committee of our Board of Directors and the Audit Committee has reviewed the foregoing disclosure. In addition, there are other items within our financial statements that require estimation, but are not deemed critical as defined above. Changes in estimates used in these and other items could have a material impact on our financial statements. See also Note 1 (Summary of Significant Accounting Policies) of the Notes to Consolidated Financial Statements, which discusses accounting policies that we have selected from acceptable alternatives.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following critical accounting policies reflect our more significant judgments and estimates used in the preparation of the consolidated financial statements:</w:t>
      </w:r>
    </w:p>
    <w:p>
      <w:pPr>
        <w:spacing w:after="0" w:line="136" w:lineRule="exact"/>
        <w:rPr>
          <w:sz w:val="20"/>
          <w:szCs w:val="20"/>
          <w:color w:val="auto"/>
        </w:rPr>
      </w:pPr>
    </w:p>
    <w:p>
      <w:pPr>
        <w:ind w:right="140"/>
        <w:spacing w:after="0" w:line="284" w:lineRule="auto"/>
        <w:rPr>
          <w:sz w:val="20"/>
          <w:szCs w:val="20"/>
          <w:color w:val="auto"/>
        </w:rPr>
      </w:pP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 The Company’s revenue is primarily derived from lease revenue from our rental portfolio, royalty revenue from mineral leases, sales of farm crops, sales of water, and land</w:t>
      </w:r>
      <w:r>
        <w:rPr>
          <w:rFonts w:ascii="Arial" w:cs="Arial" w:eastAsia="Arial" w:hAnsi="Arial"/>
          <w:sz w:val="13"/>
          <w:szCs w:val="13"/>
          <w:i w:val="1"/>
          <w:iCs w:val="1"/>
          <w:color w:val="auto"/>
        </w:rPr>
        <w:t xml:space="preserve"> </w:t>
      </w:r>
      <w:r>
        <w:rPr>
          <w:rFonts w:ascii="Arial" w:cs="Arial" w:eastAsia="Arial" w:hAnsi="Arial"/>
          <w:sz w:val="13"/>
          <w:szCs w:val="13"/>
          <w:color w:val="auto"/>
        </w:rPr>
        <w:t>sales. Revenue from leases with rent concessions or fixed escalations is recognized on a straight-line basis over the initial term of the related lease unless there is a considerable risk as to collectability. The financial terms of leases are contractually defined. Lease revenue is not accrued when a tenant vacates the premises and ceases to make rent payments or files for bankruptcy. Royalty revenues are contractually defined as to the percentage of royalty and are tied to production and market prices. Our royalty arrangements generally require payment on a monthly basis with the payment based on the previous month’s activity. We accrue monthly royalty revenues based upon estimates and adjust to actual as we receive payments.</w:t>
      </w:r>
    </w:p>
    <w:p>
      <w:pPr>
        <w:spacing w:after="0" w:line="92" w:lineRule="exact"/>
        <w:rPr>
          <w:sz w:val="20"/>
          <w:szCs w:val="20"/>
          <w:color w:val="auto"/>
        </w:rPr>
      </w:pPr>
    </w:p>
    <w:p>
      <w:pPr>
        <w:ind w:right="140"/>
        <w:spacing w:after="0" w:line="301" w:lineRule="auto"/>
        <w:rPr>
          <w:sz w:val="20"/>
          <w:szCs w:val="20"/>
          <w:color w:val="auto"/>
        </w:rPr>
      </w:pPr>
      <w:r>
        <w:rPr>
          <w:rFonts w:ascii="Arial" w:cs="Arial" w:eastAsia="Arial" w:hAnsi="Arial"/>
          <w:sz w:val="12"/>
          <w:szCs w:val="12"/>
          <w:color w:val="auto"/>
        </w:rPr>
        <w:t>From time to time the Company sells easements over its land. The easements are either in the form of rights of access granted for such things as utility corridors or are in the form of conservation easements that generally require the Company to divest its rights to commercially develop a portion of its land, but do not result in a change in ownership of the land or restrict the Company from continuing other revenue generating activities on the land. Sales of easements are accounted for in accordance with the five-step model under Accounting Standards Codification Topic 606, or ASC</w:t>
      </w:r>
    </w:p>
    <w:p>
      <w:pPr>
        <w:ind w:right="180" w:firstLine="5"/>
        <w:spacing w:after="0" w:line="257" w:lineRule="auto"/>
        <w:tabs>
          <w:tab w:leader="none" w:pos="283"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five-step model requires that we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we satisfy the performance obligation. Since easements generally do not impose any significant continuing performance obligations on the Company, revenue from easement sales are generally recognized in the period the sale has closed and consideration has been received.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426" w:right="319" w:bottom="1440" w:gutter="0" w:footer="0" w:header="0"/>
        </w:sectPr>
      </w:pPr>
    </w:p>
    <w:bookmarkStart w:id="36" w:name="page37"/>
    <w:bookmarkEnd w:id="36"/>
    <w:p>
      <w:pPr>
        <w:spacing w:after="0" w:line="288" w:lineRule="auto"/>
        <w:rPr>
          <w:sz w:val="20"/>
          <w:szCs w:val="20"/>
          <w:color w:val="auto"/>
        </w:rPr>
      </w:pPr>
      <w:r>
        <w:rPr>
          <w:rFonts w:ascii="Arial" w:cs="Arial" w:eastAsia="Arial" w:hAnsi="Arial"/>
          <w:sz w:val="13"/>
          <w:szCs w:val="13"/>
          <w:color w:val="auto"/>
        </w:rPr>
        <w:t>In recognizing revenue from land sales, the Company follows ASC 606 to achieve the core principle that an entity recognizes revenue to depict the transfer of goods or services to customers at an amount that reflects the consideration to which the entity expects to be entitled in exchange for those goods or services. The adoption of ASC 606 on January 1, 2018 impacted our accounting for land sales. Upon the adoption of ASC 606, for any future land sales with multiple performance obligations, the standard generally requires the Company to allocate the transaction price to the performance obligations in proportion to their standalone selling prices (i.e., on a relative standalone selling price basis) not total costs.</w:t>
      </w:r>
    </w:p>
    <w:p>
      <w:pPr>
        <w:spacing w:after="0" w:line="89" w:lineRule="exact"/>
        <w:rPr>
          <w:sz w:val="20"/>
          <w:szCs w:val="20"/>
          <w:color w:val="auto"/>
        </w:rPr>
      </w:pPr>
    </w:p>
    <w:p>
      <w:pPr>
        <w:ind w:right="40"/>
        <w:spacing w:after="0" w:line="282" w:lineRule="auto"/>
        <w:rPr>
          <w:sz w:val="20"/>
          <w:szCs w:val="20"/>
          <w:color w:val="auto"/>
        </w:rPr>
      </w:pPr>
      <w:r>
        <w:rPr>
          <w:rFonts w:ascii="Arial" w:cs="Arial" w:eastAsia="Arial" w:hAnsi="Arial"/>
          <w:sz w:val="13"/>
          <w:szCs w:val="13"/>
          <w:color w:val="auto"/>
        </w:rPr>
        <w:t>At the time farm crops are harvested, contracted, and delivered to buyers and revenues can be estimated, revenues are recognized and any related inventoried costs are expensed, which traditionally occurs during the third and fourth quarters of each year. It is not unusual for portions of our almond or pistachio crop to be sold in the year following the harvest. Orchard (almond and pistachio) revenues are based upon the contract settlement price or estimated selling price, whereas vineyard revenues are typically recognized at the contracted selling price. Estimated prices for orchard crops are based upon the quoted estimate of what the final market price may be by marketers and handlers of the orchard crops. These market price estimates are updated through the crop payment cycle as new information is received as to the final settlement price for the crop sold. These estimates are adjusted to actual upon receipt of final payment for the crop. This method of recognizing revenues on the sale of orchard crops is a standard practice within the agribusiness community.</w:t>
      </w:r>
    </w:p>
    <w:p>
      <w:pPr>
        <w:spacing w:after="0" w:line="92"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Actual final crop selling prices are not determined for several months following the close of our fiscal year due to supply and demand fluctuations within the orchard crop markets. Adjustments for differences between original estimates and actual revenues received are recorded during the period in which such amounts become known.</w:t>
      </w:r>
    </w:p>
    <w:p>
      <w:pPr>
        <w:spacing w:after="0" w:line="90" w:lineRule="exact"/>
        <w:rPr>
          <w:sz w:val="20"/>
          <w:szCs w:val="20"/>
          <w:color w:val="auto"/>
        </w:rPr>
      </w:pPr>
    </w:p>
    <w:p>
      <w:pPr>
        <w:ind w:right="80"/>
        <w:spacing w:after="0" w:line="282" w:lineRule="auto"/>
        <w:rPr>
          <w:sz w:val="20"/>
          <w:szCs w:val="20"/>
          <w:color w:val="auto"/>
        </w:rPr>
      </w:pPr>
      <w:r>
        <w:rPr>
          <w:rFonts w:ascii="Arial" w:cs="Arial" w:eastAsia="Arial" w:hAnsi="Arial"/>
          <w:sz w:val="13"/>
          <w:szCs w:val="13"/>
          <w:i w:val="1"/>
          <w:iCs w:val="1"/>
          <w:color w:val="auto"/>
        </w:rPr>
        <w:t xml:space="preserve">Impairment of Long-Lived Assets – </w:t>
      </w:r>
      <w:r>
        <w:rPr>
          <w:rFonts w:ascii="Arial" w:cs="Arial" w:eastAsia="Arial" w:hAnsi="Arial"/>
          <w:sz w:val="13"/>
          <w:szCs w:val="13"/>
          <w:color w:val="auto"/>
        </w:rPr>
        <w:t>We evaluate our property and equipment and development projects for impairment when events or changes in circumstances indicate that the carrying value of</w:t>
      </w:r>
      <w:r>
        <w:rPr>
          <w:rFonts w:ascii="Arial" w:cs="Arial" w:eastAsia="Arial" w:hAnsi="Arial"/>
          <w:sz w:val="13"/>
          <w:szCs w:val="13"/>
          <w:i w:val="1"/>
          <w:iCs w:val="1"/>
          <w:color w:val="auto"/>
        </w:rPr>
        <w:t xml:space="preserve"> </w:t>
      </w:r>
      <w:r>
        <w:rPr>
          <w:rFonts w:ascii="Arial" w:cs="Arial" w:eastAsia="Arial" w:hAnsi="Arial"/>
          <w:sz w:val="13"/>
          <w:szCs w:val="13"/>
          <w:color w:val="auto"/>
        </w:rPr>
        <w:t>assets contained in our financial statements may not be recoverable. The impairment calculation compares the carrying value of the asset to the asset’s estimated future cash flows (undiscounted).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equal to the amount by which the asset’s carrying value exceeds the asset’s estimated fair value. If we recognize an impairment loss, the adjusted carrying amount of the asset will be its new cost basis. For a depreciable long-lived asset, the new cost basis will be depreciated (amortized) over the remaining useful life of that asset. Restoration of a previously recognized impairment loss is prohibited.</w:t>
      </w:r>
    </w:p>
    <w:p>
      <w:pPr>
        <w:spacing w:after="0" w:line="92" w:lineRule="exact"/>
        <w:rPr>
          <w:sz w:val="20"/>
          <w:szCs w:val="20"/>
          <w:color w:val="auto"/>
        </w:rPr>
      </w:pPr>
    </w:p>
    <w:p>
      <w:pPr>
        <w:ind w:right="200"/>
        <w:spacing w:after="0" w:line="321" w:lineRule="auto"/>
        <w:rPr>
          <w:sz w:val="20"/>
          <w:szCs w:val="20"/>
          <w:color w:val="auto"/>
        </w:rPr>
      </w:pPr>
      <w:r>
        <w:rPr>
          <w:rFonts w:ascii="Arial" w:cs="Arial" w:eastAsia="Arial" w:hAnsi="Arial"/>
          <w:sz w:val="13"/>
          <w:szCs w:val="13"/>
          <w:color w:val="auto"/>
        </w:rPr>
        <w:t>We currently operate in five reporting segments: commercial/industrial real estate development, resort/residential real estate development, mineral resources, farming, and ranch operations. At this time, there are no assets within any of our reporting segments that we believe are at risk of being impaired due to market conditions nor have we identified any impairment indicators.</w:t>
      </w:r>
    </w:p>
    <w:p>
      <w:pPr>
        <w:spacing w:after="0" w:line="67"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We believe that the accounting estimate related to asset impairment is a critical accounting estimate because it is very susceptible to change from period to period; it requires management to make assumptions about future prices, production, and costs, and the potential impact of a loss from impairment could be material to our earnings. Management’s assumptions regarding future cash flows from real estate developments and farming operations have fluctuated in the past due to changes in prices, absorption, production and costs and are expected to continue to do so in the future as market conditions change.</w:t>
      </w:r>
    </w:p>
    <w:p>
      <w:pPr>
        <w:spacing w:after="0" w:line="103" w:lineRule="exact"/>
        <w:rPr>
          <w:sz w:val="20"/>
          <w:szCs w:val="20"/>
          <w:color w:val="auto"/>
        </w:rPr>
      </w:pPr>
    </w:p>
    <w:p>
      <w:pPr>
        <w:ind w:right="600"/>
        <w:spacing w:after="0" w:line="321" w:lineRule="auto"/>
        <w:rPr>
          <w:sz w:val="20"/>
          <w:szCs w:val="20"/>
          <w:color w:val="auto"/>
        </w:rPr>
      </w:pPr>
      <w:r>
        <w:rPr>
          <w:rFonts w:ascii="Arial" w:cs="Arial" w:eastAsia="Arial" w:hAnsi="Arial"/>
          <w:sz w:val="13"/>
          <w:szCs w:val="13"/>
          <w:color w:val="auto"/>
        </w:rPr>
        <w:t>In estimating future prices, absorption, production, and costs, we use our internal forecasts and business plans. We develop our forecasts based on recent sales data, historical absorption and production data, input from marketing consultants, as well as discussions with commercial real estate brokers and potential purchasers of our farming products.</w:t>
      </w:r>
    </w:p>
    <w:p>
      <w:pPr>
        <w:spacing w:after="0" w:line="67"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If actual results are not consistent with our assumptions and judgments used in estimating future cash flows and asset fair values, we may be exposed to impairment losses that could be material to our results of operations.</w:t>
      </w:r>
    </w:p>
    <w:p>
      <w:pPr>
        <w:spacing w:after="0" w:line="90" w:lineRule="exact"/>
        <w:rPr>
          <w:sz w:val="20"/>
          <w:szCs w:val="20"/>
          <w:color w:val="auto"/>
        </w:rPr>
      </w:pPr>
    </w:p>
    <w:p>
      <w:pPr>
        <w:jc w:val="both"/>
        <w:ind w:right="140"/>
        <w:spacing w:after="0" w:line="262" w:lineRule="auto"/>
        <w:rPr>
          <w:sz w:val="20"/>
          <w:szCs w:val="20"/>
          <w:color w:val="auto"/>
        </w:rPr>
      </w:pPr>
      <w:r>
        <w:rPr>
          <w:rFonts w:ascii="Arial" w:cs="Arial" w:eastAsia="Arial" w:hAnsi="Arial"/>
          <w:sz w:val="14"/>
          <w:szCs w:val="14"/>
          <w:i w:val="1"/>
          <w:iCs w:val="1"/>
          <w:color w:val="auto"/>
        </w:rPr>
        <w:t xml:space="preserve">Capitalization of Costs - </w:t>
      </w:r>
      <w:r>
        <w:rPr>
          <w:rFonts w:ascii="Arial" w:cs="Arial" w:eastAsia="Arial" w:hAnsi="Arial"/>
          <w:sz w:val="14"/>
          <w:szCs w:val="14"/>
          <w:color w:val="auto"/>
        </w:rPr>
        <w:t>The Company capitalizes direct construction and development costs, including predevelopment costs, interest, property taxes, insurance, and indirect project costs that are</w:t>
      </w:r>
      <w:r>
        <w:rPr>
          <w:rFonts w:ascii="Arial" w:cs="Arial" w:eastAsia="Arial" w:hAnsi="Arial"/>
          <w:sz w:val="14"/>
          <w:szCs w:val="14"/>
          <w:i w:val="1"/>
          <w:iCs w:val="1"/>
          <w:color w:val="auto"/>
        </w:rPr>
        <w:t xml:space="preserve"> </w:t>
      </w:r>
      <w:r>
        <w:rPr>
          <w:rFonts w:ascii="Arial" w:cs="Arial" w:eastAsia="Arial" w:hAnsi="Arial"/>
          <w:sz w:val="14"/>
          <w:szCs w:val="14"/>
          <w:color w:val="auto"/>
        </w:rPr>
        <w:t>clearly associated with the acquisition, development, or construction of a project. Costs currently capitalized that in the future would be related to any abandoned development opportunities will be written off if we determine such costs do not provide any future benefits. Should development activity decrease, a portion of interest, property taxes, and insurance costs would no longer be eligible for capitalization, and would be expensed as incurred.</w:t>
      </w:r>
    </w:p>
    <w:p>
      <w:pPr>
        <w:spacing w:after="0" w:line="10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i w:val="1"/>
          <w:iCs w:val="1"/>
          <w:color w:val="auto"/>
        </w:rPr>
        <w:t xml:space="preserve">Allocation of Costs Related to Land Sales and Leases </w:t>
      </w:r>
      <w:r>
        <w:rPr>
          <w:rFonts w:ascii="Arial" w:cs="Arial" w:eastAsia="Arial" w:hAnsi="Arial"/>
          <w:sz w:val="14"/>
          <w:szCs w:val="14"/>
          <w:color w:val="auto"/>
        </w:rPr>
        <w:t>– When we sell or lease land within one of our real estate developments, as we are currently doing within TRCC, and we have not completed all</w:t>
      </w:r>
      <w:r>
        <w:rPr>
          <w:rFonts w:ascii="Arial" w:cs="Arial" w:eastAsia="Arial" w:hAnsi="Arial"/>
          <w:sz w:val="14"/>
          <w:szCs w:val="14"/>
          <w:i w:val="1"/>
          <w:iCs w:val="1"/>
          <w:color w:val="auto"/>
        </w:rPr>
        <w:t xml:space="preserve"> </w:t>
      </w:r>
      <w:r>
        <w:rPr>
          <w:rFonts w:ascii="Arial" w:cs="Arial" w:eastAsia="Arial" w:hAnsi="Arial"/>
          <w:sz w:val="14"/>
          <w:szCs w:val="14"/>
          <w:color w:val="auto"/>
        </w:rPr>
        <w:t>infrastructure development related to the total project, we determine the appropriate costs of sales for the sold land and the timing of recognition of the sale. In the calculation of cost of sales or allocations to leased land, we use estimates and forecasts to determine total costs at completion of the development project. These estimates of final development costs can change as conditions in the market and costs of construction change.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80"/>
          </w:cols>
          <w:pgMar w:left="300" w:top="426" w:right="319" w:bottom="1440" w:gutter="0" w:footer="0" w:header="0"/>
        </w:sectPr>
      </w:pPr>
    </w:p>
    <w:bookmarkStart w:id="37" w:name="page38"/>
    <w:bookmarkEnd w:id="37"/>
    <w:p>
      <w:pPr>
        <w:jc w:val="both"/>
        <w:ind w:right="20"/>
        <w:spacing w:after="0" w:line="288" w:lineRule="auto"/>
        <w:rPr>
          <w:sz w:val="20"/>
          <w:szCs w:val="20"/>
          <w:color w:val="auto"/>
        </w:rPr>
      </w:pPr>
      <w:r>
        <w:rPr>
          <w:rFonts w:ascii="Arial" w:cs="Arial" w:eastAsia="Arial" w:hAnsi="Arial"/>
          <w:sz w:val="13"/>
          <w:szCs w:val="13"/>
          <w:color w:val="auto"/>
        </w:rPr>
        <w:t>In preparing these estimates, we use internal budgets, forecasts, and engineering reports to help us estimate future costs related to infrastructure that has not been completed. These estimates become more accurate as the development proceeds forward, due to historical cost numbers and to the continued refinement of the development plan. These estimates are updated periodically throughout the year so that, at the ultimate completion of development, all costs have been allocated. Any increases to our estimates in future years will negatively impact net profits and liquidity due to an increased need for funds to complete development. If, however, this estimate decreases, net profits as well as liquidity will improve.</w:t>
      </w:r>
    </w:p>
    <w:p>
      <w:pPr>
        <w:spacing w:after="0" w:line="89"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We believe that the estimates used related to cost of sales and allocations to leased land are critical accounting estimates and will become even more significant as we continue to move forward as a real estate development company. The estimates used are very susceptible to change from period to period, due to the fact that they require management to make assumptions about costs of construction, absorption of product, and timing of project completion, and changes to these estimates could have a material impact on the recognition of profits from the sale of land within our developments.</w:t>
      </w:r>
    </w:p>
    <w:p>
      <w:pPr>
        <w:spacing w:after="0" w:line="103"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i w:val="1"/>
          <w:iCs w:val="1"/>
          <w:color w:val="auto"/>
        </w:rPr>
        <w:t xml:space="preserve">Stock-Based Compensation - </w:t>
      </w:r>
      <w:r>
        <w:rPr>
          <w:rFonts w:ascii="Arial" w:cs="Arial" w:eastAsia="Arial" w:hAnsi="Arial"/>
          <w:sz w:val="13"/>
          <w:szCs w:val="13"/>
          <w:color w:val="auto"/>
        </w:rPr>
        <w:t>We apply the recognition and measurement principles of ASC 718, “Compensation – Stock Compensation” in accounting for long-term stock-based incentive plans. Our</w:t>
      </w:r>
      <w:r>
        <w:rPr>
          <w:rFonts w:ascii="Arial" w:cs="Arial" w:eastAsia="Arial" w:hAnsi="Arial"/>
          <w:sz w:val="13"/>
          <w:szCs w:val="13"/>
          <w:i w:val="1"/>
          <w:iCs w:val="1"/>
          <w:color w:val="auto"/>
        </w:rPr>
        <w:t xml:space="preserve"> </w:t>
      </w:r>
      <w:r>
        <w:rPr>
          <w:rFonts w:ascii="Arial" w:cs="Arial" w:eastAsia="Arial" w:hAnsi="Arial"/>
          <w:sz w:val="13"/>
          <w:szCs w:val="13"/>
          <w:color w:val="auto"/>
        </w:rPr>
        <w:t>stock-based compensation plans include both restricted stock units and restricted stock grants. We have not issued any stock options to employees or directors since January 2003, and our 2019 financial statements do not reflect any compensation expenses for stock options. All stock options issued in the past have been exercised or forfeited.</w:t>
      </w:r>
    </w:p>
    <w:p>
      <w:pPr>
        <w:spacing w:after="0" w:line="82"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We make stock awards to employees based upon time-based criteria and through the achievement of performance-related objectives. Performance-related objectives are either stratified into threshold, target, and maximum goals or based on the achievement of a milestone event. These stock awards are currently being expensed over the expected vesting period based on each performance criterion. We make estimates as to the number of shares that will actually be granted based upon estimated ranges of success in meeting the defined performance measures. If our estimates of performance shares vesting were to change by 25%, stock compensation expense would increase or decrease by approximately $1,220,000 depending on whether the change in estimate increased or decreased shares vesting. The Company also has performance share grants that contain both performance-based and market-based conditions. Compensation cost for these awards is recognized based on either the achievement of the performance-based conditions, if they are considered probable, or if they are not considered probable, on the achievement of the market-based condition. Failure to satisfy the threshold performance conditions will result in the forfeiture of shares. Forfeiture of share awards with service conditions or performance-based restrictions results in a reversal of previously recognized share-based compensation expense. Forfeiture of share awards with market-based restrictions does not result in a reversal of previously recognized share-based compensation expense.</w:t>
      </w:r>
    </w:p>
    <w:p>
      <w:pPr>
        <w:spacing w:after="0" w:line="82"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See Note 11. (Stock Compensation - Restricted Stock and Performance Share Grants), of the Notes to Consolidated Financial Statement for total 2019 stock compensation expense related to stock grants.</w:t>
      </w:r>
    </w:p>
    <w:p>
      <w:pPr>
        <w:spacing w:after="0" w:line="90"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i w:val="1"/>
          <w:iCs w:val="1"/>
          <w:color w:val="auto"/>
        </w:rPr>
        <w:t xml:space="preserve">Fair Value Measurements </w:t>
      </w:r>
      <w:r>
        <w:rPr>
          <w:rFonts w:ascii="Arial" w:cs="Arial" w:eastAsia="Arial" w:hAnsi="Arial"/>
          <w:sz w:val="14"/>
          <w:szCs w:val="14"/>
          <w:color w:val="auto"/>
        </w:rPr>
        <w:t>– The Financial Accounting Standards Board's, or FASB, authoritative guidance for fair value measurements of certain financial instruments defines fair value, establishes a</w:t>
      </w:r>
      <w:r>
        <w:rPr>
          <w:rFonts w:ascii="Arial" w:cs="Arial" w:eastAsia="Arial" w:hAnsi="Arial"/>
          <w:sz w:val="14"/>
          <w:szCs w:val="14"/>
          <w:i w:val="1"/>
          <w:iCs w:val="1"/>
          <w:color w:val="auto"/>
        </w:rPr>
        <w:t xml:space="preserve"> </w:t>
      </w:r>
      <w:r>
        <w:rPr>
          <w:rFonts w:ascii="Arial" w:cs="Arial" w:eastAsia="Arial" w:hAnsi="Arial"/>
          <w:sz w:val="14"/>
          <w:szCs w:val="14"/>
          <w:color w:val="auto"/>
        </w:rPr>
        <w:t>framework for measuring fair value and expands disclosures about fair value measurements. Fair value is defined as the exchange (exit) price that would be received for an asset or paid to transfer a liability in the principal or most advantageous market for the asset or liability in an orderly transaction between market participants on the measurement date. This guidance establishes a three-level hierarchy for fair value measurements based upon the inputs to the valuation of an asset or liability. Observable inputs are those which can be easily seen by market participants while unobservable inputs are generally developed internally, utilizing management’s estimates and assumptions:</w:t>
      </w:r>
    </w:p>
    <w:p>
      <w:pPr>
        <w:spacing w:after="0" w:line="104" w:lineRule="exact"/>
        <w:rPr>
          <w:sz w:val="20"/>
          <w:szCs w:val="20"/>
          <w:color w:val="auto"/>
        </w:rPr>
      </w:pPr>
    </w:p>
    <w:p>
      <w:pPr>
        <w:ind w:left="500" w:hanging="251"/>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Level 1 – Valuation is based on quoted prices in active markets for identical assets and liabilities.</w:t>
      </w:r>
    </w:p>
    <w:p>
      <w:pPr>
        <w:spacing w:after="0" w:line="136" w:lineRule="exact"/>
        <w:rPr>
          <w:rFonts w:ascii="Arial" w:cs="Arial" w:eastAsia="Arial" w:hAnsi="Arial"/>
          <w:sz w:val="14"/>
          <w:szCs w:val="14"/>
          <w:color w:val="auto"/>
        </w:rPr>
      </w:pPr>
    </w:p>
    <w:p>
      <w:pPr>
        <w:ind w:left="500" w:right="80" w:hanging="251"/>
        <w:spacing w:after="0" w:line="281"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Level 2 – Valuation is determined from quoted prices for similar assets and liabilities in active markets, quoted prices for identical or similar instruments in markets that are not active, or by model-based techniques in which all significant inputs are observable in the market.</w:t>
      </w:r>
    </w:p>
    <w:p>
      <w:pPr>
        <w:spacing w:after="0" w:line="89" w:lineRule="exact"/>
        <w:rPr>
          <w:rFonts w:ascii="Arial" w:cs="Arial" w:eastAsia="Arial" w:hAnsi="Arial"/>
          <w:sz w:val="14"/>
          <w:szCs w:val="14"/>
          <w:color w:val="auto"/>
        </w:rPr>
      </w:pPr>
    </w:p>
    <w:p>
      <w:pPr>
        <w:ind w:left="500" w:right="460" w:hanging="251"/>
        <w:spacing w:after="0" w:line="281"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Level 3 – Valuation is derived from model-based techniques in which at least one significant input is unobservable and based on our own estimates about the assumptions that market participants would use to value the asset or liability.</w:t>
      </w:r>
    </w:p>
    <w:p>
      <w:pPr>
        <w:spacing w:after="0" w:line="90" w:lineRule="exact"/>
        <w:rPr>
          <w:sz w:val="20"/>
          <w:szCs w:val="20"/>
          <w:color w:val="auto"/>
        </w:rPr>
      </w:pPr>
    </w:p>
    <w:p>
      <w:pPr>
        <w:ind w:right="680"/>
        <w:spacing w:after="0" w:line="321" w:lineRule="auto"/>
        <w:rPr>
          <w:sz w:val="20"/>
          <w:szCs w:val="20"/>
          <w:color w:val="auto"/>
        </w:rPr>
      </w:pPr>
      <w:r>
        <w:rPr>
          <w:rFonts w:ascii="Arial" w:cs="Arial" w:eastAsia="Arial" w:hAnsi="Arial"/>
          <w:sz w:val="13"/>
          <w:szCs w:val="13"/>
          <w:color w:val="auto"/>
        </w:rPr>
        <w:t>When available, we use quoted market prices in active markets to determine fair value. We consider the principal market and nonperformance risk associated with our counterparties when determining the fair value measurement. Fair value measurements are used for marketable securities, investments within the pension plan and hedging instruments.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60"/>
          </w:cols>
          <w:pgMar w:left="300" w:top="426"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006EBF"/>
        </w:rPr>
        <w:t>Recent Accounting Pronouncements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For discussion of recent accounting pronouncements, see Note 1 (Summary of Significant Accounting Policies) of the Notes to Consolidated Financial Statements.</w:t>
      </w: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0159"/>
          </w:cols>
          <w:pgMar w:left="300" w:top="422" w:right="1440"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006EBF"/>
        </w:rPr>
        <w:t>Results of Operations by Segment</w:t>
      </w:r>
    </w:p>
    <w:p>
      <w:pPr>
        <w:spacing w:after="0" w:line="14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20"/>
                <w:szCs w:val="20"/>
                <w:color w:val="auto"/>
              </w:rPr>
            </w:pPr>
            <w:r>
              <w:rPr>
                <w:rFonts w:ascii="Arial" w:cs="Arial" w:eastAsia="Arial" w:hAnsi="Arial"/>
                <w:sz w:val="14"/>
                <w:szCs w:val="14"/>
                <w:b w:val="1"/>
                <w:bCs w:val="1"/>
                <w:color w:val="006EBF"/>
              </w:rPr>
              <w:t>Real Estate – Commercial/Industrial</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2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80" w:type="dxa"/>
            <w:vAlign w:val="bottom"/>
          </w:tcPr>
          <w:p>
            <w:pPr>
              <w:spacing w:after="0"/>
              <w:rPr>
                <w:sz w:val="24"/>
                <w:szCs w:val="24"/>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89"/>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8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7240" w:type="dxa"/>
            <w:vAlign w:val="bottom"/>
            <w:vMerge w:val="restart"/>
          </w:tcPr>
          <w:p>
            <w:pPr>
              <w:ind w:left="20"/>
              <w:spacing w:after="0"/>
              <w:rPr>
                <w:sz w:val="20"/>
                <w:szCs w:val="20"/>
                <w:color w:val="auto"/>
              </w:rPr>
            </w:pPr>
            <w:r>
              <w:rPr>
                <w:rFonts w:ascii="Arial" w:cs="Arial" w:eastAsia="Arial" w:hAnsi="Arial"/>
                <w:sz w:val="14"/>
                <w:szCs w:val="14"/>
                <w:color w:val="auto"/>
              </w:rPr>
              <w:t>Commercial/industrial revenues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7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Pastoria Energy Facility Lease</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4,573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4,056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3,854</w:t>
            </w:r>
          </w:p>
        </w:tc>
        <w:tc>
          <w:tcPr>
            <w:tcW w:w="0" w:type="dxa"/>
            <w:vAlign w:val="bottom"/>
          </w:tcPr>
          <w:p>
            <w:pPr>
              <w:spacing w:after="0"/>
              <w:rPr>
                <w:sz w:val="1"/>
                <w:szCs w:val="1"/>
                <w:color w:val="auto"/>
              </w:rPr>
            </w:pPr>
          </w:p>
        </w:tc>
      </w:tr>
      <w:tr>
        <w:trPr>
          <w:trHeight w:val="191"/>
        </w:trPr>
        <w:tc>
          <w:tcPr>
            <w:tcW w:w="7240" w:type="dxa"/>
            <w:vAlign w:val="bottom"/>
          </w:tcPr>
          <w:p>
            <w:pPr>
              <w:ind w:left="220"/>
              <w:spacing w:after="0"/>
              <w:rPr>
                <w:sz w:val="20"/>
                <w:szCs w:val="20"/>
                <w:color w:val="auto"/>
              </w:rPr>
            </w:pPr>
            <w:r>
              <w:rPr>
                <w:rFonts w:ascii="Arial" w:cs="Arial" w:eastAsia="Arial" w:hAnsi="Arial"/>
                <w:sz w:val="14"/>
                <w:szCs w:val="14"/>
                <w:color w:val="auto"/>
              </w:rPr>
              <w:t>TRCC Leasing</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1,815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1,760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TRCC management fees and reimbursements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1,172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822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191"/>
        </w:trPr>
        <w:tc>
          <w:tcPr>
            <w:tcW w:w="7240" w:type="dxa"/>
            <w:vAlign w:val="bottom"/>
          </w:tcPr>
          <w:p>
            <w:pPr>
              <w:ind w:left="220"/>
              <w:spacing w:after="0"/>
              <w:rPr>
                <w:sz w:val="20"/>
                <w:szCs w:val="20"/>
                <w:color w:val="auto"/>
              </w:rPr>
            </w:pPr>
            <w:r>
              <w:rPr>
                <w:rFonts w:ascii="Arial" w:cs="Arial" w:eastAsia="Arial" w:hAnsi="Arial"/>
                <w:sz w:val="14"/>
                <w:szCs w:val="14"/>
                <w:color w:val="auto"/>
              </w:rPr>
              <w:t>Commercial leases</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Communication leases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924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904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91"/>
        </w:trPr>
        <w:tc>
          <w:tcPr>
            <w:tcW w:w="7240" w:type="dxa"/>
            <w:vAlign w:val="bottom"/>
          </w:tcPr>
          <w:p>
            <w:pPr>
              <w:ind w:left="220"/>
              <w:spacing w:after="0"/>
              <w:rPr>
                <w:sz w:val="20"/>
                <w:szCs w:val="20"/>
                <w:color w:val="auto"/>
              </w:rPr>
            </w:pPr>
            <w:r>
              <w:rPr>
                <w:rFonts w:ascii="Arial" w:cs="Arial" w:eastAsia="Arial" w:hAnsi="Arial"/>
                <w:sz w:val="14"/>
                <w:szCs w:val="14"/>
                <w:color w:val="auto"/>
              </w:rPr>
              <w:t>Landscaping and other</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Land sales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6,621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1"/>
        </w:trPr>
        <w:tc>
          <w:tcPr>
            <w:tcW w:w="7240" w:type="dxa"/>
            <w:vAlign w:val="bottom"/>
          </w:tcPr>
          <w:p>
            <w:pPr>
              <w:ind w:left="20"/>
              <w:spacing w:after="0"/>
              <w:rPr>
                <w:sz w:val="20"/>
                <w:szCs w:val="20"/>
                <w:color w:val="auto"/>
              </w:rPr>
            </w:pPr>
            <w:r>
              <w:rPr>
                <w:rFonts w:ascii="Arial" w:cs="Arial" w:eastAsia="Arial" w:hAnsi="Arial"/>
                <w:sz w:val="14"/>
                <w:szCs w:val="14"/>
                <w:color w:val="auto"/>
              </w:rPr>
              <w:t>Total commercial revenues</w:t>
            </w: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16,792</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8,970</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9,001</w:t>
            </w:r>
          </w:p>
        </w:tc>
        <w:tc>
          <w:tcPr>
            <w:tcW w:w="0" w:type="dxa"/>
            <w:vAlign w:val="bottom"/>
          </w:tcPr>
          <w:p>
            <w:pPr>
              <w:spacing w:after="0"/>
              <w:rPr>
                <w:sz w:val="1"/>
                <w:szCs w:val="1"/>
                <w:color w:val="auto"/>
              </w:rPr>
            </w:pP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commercial expenses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12,961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6,246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6,529</w:t>
            </w:r>
          </w:p>
        </w:tc>
        <w:tc>
          <w:tcPr>
            <w:tcW w:w="0" w:type="dxa"/>
            <w:vAlign w:val="bottom"/>
          </w:tcPr>
          <w:p>
            <w:pPr>
              <w:spacing w:after="0"/>
              <w:rPr>
                <w:sz w:val="1"/>
                <w:szCs w:val="1"/>
                <w:color w:val="auto"/>
              </w:rPr>
            </w:pPr>
          </w:p>
        </w:tc>
      </w:tr>
      <w:tr>
        <w:trPr>
          <w:trHeight w:val="181"/>
        </w:trPr>
        <w:tc>
          <w:tcPr>
            <w:tcW w:w="7240" w:type="dxa"/>
            <w:vAlign w:val="bottom"/>
          </w:tcPr>
          <w:p>
            <w:pPr>
              <w:ind w:left="20"/>
              <w:spacing w:after="0"/>
              <w:rPr>
                <w:sz w:val="20"/>
                <w:szCs w:val="20"/>
                <w:color w:val="auto"/>
              </w:rPr>
            </w:pPr>
            <w:r>
              <w:rPr>
                <w:rFonts w:ascii="Arial" w:cs="Arial" w:eastAsia="Arial" w:hAnsi="Arial"/>
                <w:sz w:val="14"/>
                <w:szCs w:val="14"/>
                <w:color w:val="auto"/>
              </w:rPr>
              <w:t>Operating income from commercial/industrial</w:t>
            </w: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3,831</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2,724</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22"/>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 Operational Highlights:</w:t>
      </w:r>
    </w:p>
    <w:p>
      <w:pPr>
        <w:spacing w:after="0" w:line="140" w:lineRule="exact"/>
        <w:rPr>
          <w:sz w:val="20"/>
          <w:szCs w:val="20"/>
          <w:color w:val="auto"/>
        </w:rPr>
      </w:pPr>
    </w:p>
    <w:p>
      <w:pPr>
        <w:ind w:left="520" w:right="200" w:hanging="260"/>
        <w:spacing w:after="0" w:line="262"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During 2019, commercial/industrial segment revenues increased $7,822,000, or 87.2%, from $8,970,000 in 2018 to $16,792,000. The increase was primarily attributable to revenues of $6,621,000 recognized as a result of asset contributions to unconsolidated joint ventures of 1) land, and 2) land and building. We contributed 34.85 acres to TRC-MRC 3, with recognized revenues of $4,317,000, and a 4,900 square-foot multi-tenant building and land to our TA-Petro joint venture, with recognized revenues of $2,303,000. Please refer to Note 17 (Investment in Unconsolidated and Consolidated Joint Ventures) for additional discussion.</w:t>
      </w:r>
    </w:p>
    <w:p>
      <w:pPr>
        <w:spacing w:after="0" w:line="103" w:lineRule="exact"/>
        <w:rPr>
          <w:rFonts w:ascii="Arial" w:cs="Arial" w:eastAsia="Arial" w:hAnsi="Arial"/>
          <w:sz w:val="14"/>
          <w:szCs w:val="14"/>
          <w:color w:val="auto"/>
        </w:rPr>
      </w:pPr>
    </w:p>
    <w:p>
      <w:pPr>
        <w:ind w:left="520" w:right="440" w:hanging="260"/>
        <w:spacing w:after="0" w:line="281"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Also contributing to the increase in commercial/industrial revenues was a $517,000 increase in PEF revenues which was primarily associated with a catch-up of its 2018 spark spread revenues that were above original estimates.</w:t>
      </w:r>
    </w:p>
    <w:p>
      <w:pPr>
        <w:spacing w:after="0" w:line="89" w:lineRule="exact"/>
        <w:rPr>
          <w:rFonts w:ascii="Arial" w:cs="Arial" w:eastAsia="Arial" w:hAnsi="Arial"/>
          <w:sz w:val="14"/>
          <w:szCs w:val="14"/>
          <w:color w:val="auto"/>
        </w:rPr>
      </w:pPr>
    </w:p>
    <w:p>
      <w:pPr>
        <w:ind w:left="520" w:hanging="260"/>
        <w:spacing w:after="0" w:line="267"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Commercial/industrial real estate segment expenses increased $6,715,000, or 107.5%, from $6,246,000 in 2018 to $12,961,000 in 2019. During 2019, as a result of the two land and building contributions mentioned above, the Company recorded cost of land and building sale of $4,748,000. Additionally, the Company also experienced an increase in fixed water assessments of $1,958,000.</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Operational Highlights:</w:t>
      </w:r>
    </w:p>
    <w:p>
      <w:pPr>
        <w:spacing w:after="0" w:line="140" w:lineRule="exact"/>
        <w:rPr>
          <w:sz w:val="20"/>
          <w:szCs w:val="20"/>
          <w:color w:val="auto"/>
        </w:rPr>
      </w:pPr>
    </w:p>
    <w:p>
      <w:pPr>
        <w:jc w:val="both"/>
        <w:ind w:left="520" w:right="20" w:hanging="260"/>
        <w:spacing w:after="0" w:line="267"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During 2018, commercial/industrial segment revenues decreased $31,000, or 0.3%, from $9,001,000 in 2017 to $8,970,000. The reduction was primarily attributable to land sale revenues of $73,000 in 2017, whereas we did not have any land sales in 2018. The Company noted a decrease in TRCC management fees as a result of not earning a developer fee from the construction of an industrial building within its TRC-MRC 1 joint venture as it had in 2017.</w:t>
      </w:r>
    </w:p>
    <w:p>
      <w:pPr>
        <w:spacing w:after="0" w:line="99" w:lineRule="exact"/>
        <w:rPr>
          <w:rFonts w:ascii="Arial" w:cs="Arial" w:eastAsia="Arial" w:hAnsi="Arial"/>
          <w:sz w:val="14"/>
          <w:szCs w:val="14"/>
          <w:color w:val="auto"/>
        </w:rPr>
      </w:pPr>
    </w:p>
    <w:p>
      <w:pPr>
        <w:ind w:left="520" w:right="80" w:hanging="260"/>
        <w:spacing w:after="0" w:line="267"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Commercial/industrial real estate segment expenses decreased $283,000, or 4.3%, from $6,529,000 in 2017 to $6,246,000 in 2018. During 2018, payroll, overhead, stock compensation and bonuses decreased $887,000, due to reassignment of resources within the Company, while professional services also decreased $194,000. The above reductions were partially offset by increases in fixed water assessments of $727,000 and fees of $107,000.</w:t>
      </w:r>
    </w:p>
    <w:p>
      <w:pPr>
        <w:spacing w:after="0" w:line="99" w:lineRule="exact"/>
        <w:rPr>
          <w:sz w:val="20"/>
          <w:szCs w:val="20"/>
          <w:color w:val="auto"/>
        </w:rPr>
      </w:pPr>
    </w:p>
    <w:p>
      <w:pPr>
        <w:ind w:right="360"/>
        <w:spacing w:after="0" w:line="267" w:lineRule="auto"/>
        <w:rPr>
          <w:sz w:val="20"/>
          <w:szCs w:val="20"/>
          <w:color w:val="auto"/>
        </w:rPr>
      </w:pPr>
      <w:r>
        <w:rPr>
          <w:rFonts w:ascii="Arial" w:cs="Arial" w:eastAsia="Arial" w:hAnsi="Arial"/>
          <w:sz w:val="14"/>
          <w:szCs w:val="14"/>
          <w:color w:val="auto"/>
        </w:rPr>
        <w:t>For 2020, we expect the commercial/industrial segment to continue to experience costs, net of amounts capitalized, primarily related to professional service fees, marketing costs, commissions, planning costs, and staffing costs as we continue to pursue development opportunities. These costs, as well as fixed water assessments, are expected to remain consistent with current levels of expense with any variability in the future tied to specific absorption transactions in any given year.</w:t>
      </w:r>
    </w:p>
    <w:p>
      <w:pPr>
        <w:spacing w:after="0" w:line="99"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The actual timing and completion of development is difficult to predict due to the uncertainties of the market. Infrastructure development and marketing activities and costs could continue over several years as we develop our land holdings. We will also continue to evaluate land resources to determine the highest and best uses for our land holdings. Future sales of land are dependent on market circumstances and specific opportunities. Our goal in the future is to increase land value and create future revenue growth through planning and development of commercial and industrial properties.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00" w:top="422"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See Item 1, “Business – Real Estate Development Overview” for discussion of the market outlook for the next year.</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Real Estate – Resort/Residential</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Our resort/residential segment activities in include defending entitlements, land planning and pre-construction engineering and conservation activities for our Centennial, Grapevine, and MV projects.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We are in the preliminary stages of development; hence, no revenues are attributed to this segment for these reporting periods.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 Operational Highlights:</w:t>
      </w:r>
    </w:p>
    <w:p>
      <w:pPr>
        <w:spacing w:after="0" w:line="140" w:lineRule="exact"/>
        <w:rPr>
          <w:sz w:val="20"/>
          <w:szCs w:val="20"/>
          <w:color w:val="auto"/>
        </w:rPr>
      </w:pPr>
    </w:p>
    <w:p>
      <w:pPr>
        <w:ind w:left="520" w:right="380" w:hanging="260"/>
        <w:spacing w:after="0" w:line="281"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2019, resort/residential segment expenses increased $717,000 to $2,247,000, or 47%, when compared to $1,530,000 in 2018. The higher expenses were attributable to an increase in professional services of $720,000 associated with strategic planning efforts.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Operational Highlights:</w:t>
      </w:r>
    </w:p>
    <w:p>
      <w:pPr>
        <w:spacing w:after="0" w:line="140" w:lineRule="exact"/>
        <w:rPr>
          <w:sz w:val="20"/>
          <w:szCs w:val="20"/>
          <w:color w:val="auto"/>
        </w:rPr>
      </w:pPr>
    </w:p>
    <w:p>
      <w:pPr>
        <w:ind w:left="520" w:right="160" w:hanging="260"/>
        <w:spacing w:after="0" w:line="297" w:lineRule="auto"/>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 2018, resort/residential segment expenses decreased $425,000 to $1,530,000, or 22%, when compared to $1,955,000 in 2017. The reassignment of resources within the Company translated to increases in qualifying costs, including payroll and overhead costs within resort/residential which in turn translated to an increase in costs being capitalized into our real estate development projects by $250,000 when compared to 2017. In addition, we experienced savings in professional services of $163,000 in 2018.</w:t>
      </w:r>
    </w:p>
    <w:p>
      <w:pPr>
        <w:spacing w:after="0" w:line="82"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resort/residential segment will continue to incur costs in the future related to professional service fees, public relations costs, and staffing costs as we continue forward with permitting activities for the above communities and continue to meet our obligations under the Conservation Agreement. We expect these expenses to remain consistent with current years cost in the near term and only begin to increase as we move into the development phase of each project in the future. The actual timing and completion of entitlement-related activities and the beginning of development is difficult to predict due to the uncertainties of the approval process, the length of time related to litigation defense, and the status of the economy. We will also continue to evaluate land resources to determine the highest and best use for our land holdings. Our long-term goal through this process is to increase the value of our land and create future revenue opportunities through resort and residential development.</w:t>
      </w:r>
    </w:p>
    <w:p>
      <w:pPr>
        <w:spacing w:after="0" w:line="107"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We are continuously monitoring the markets in order to identify the appropriate time in the future to begin infrastructure improvements and lot sales. Our long-term business plan of developing the communities of MV, Centennial, and Grapevine remains unchanged. As the California economy continues to improve we believe the perception of land values will also begin to improve and the long-term fundamentals that support housing demand in our region, primarily California population growth and household formation will also improve. California also has a significant documented housing shortage, which we believe our communities will help ease as the population base within California continues to grow.</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See Item 1, “Business – Real Estate Development Overview” for a further discussion of real estate development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Mineral Resources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49"/>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39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Mineral resources revenues</w:t>
            </w:r>
          </w:p>
        </w:tc>
        <w:tc>
          <w:tcPr>
            <w:tcW w:w="3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960" w:type="dxa"/>
            <w:vAlign w:val="bottom"/>
          </w:tcPr>
          <w:p>
            <w:pPr>
              <w:ind w:left="200"/>
              <w:spacing w:after="0"/>
              <w:rPr>
                <w:sz w:val="20"/>
                <w:szCs w:val="20"/>
                <w:color w:val="auto"/>
              </w:rPr>
            </w:pPr>
            <w:r>
              <w:rPr>
                <w:rFonts w:ascii="Arial" w:cs="Arial" w:eastAsia="Arial" w:hAnsi="Arial"/>
                <w:sz w:val="14"/>
                <w:szCs w:val="14"/>
                <w:color w:val="auto"/>
              </w:rPr>
              <w:t>Oil and gas</w:t>
            </w:r>
          </w:p>
        </w:tc>
        <w:tc>
          <w:tcPr>
            <w:tcW w:w="33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1,842</w:t>
            </w:r>
          </w:p>
        </w:tc>
        <w:tc>
          <w:tcPr>
            <w:tcW w:w="12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2,278</w:t>
            </w:r>
          </w:p>
        </w:tc>
        <w:tc>
          <w:tcPr>
            <w:tcW w:w="12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22"/>
        </w:trPr>
        <w:tc>
          <w:tcPr>
            <w:tcW w:w="3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Rock aggregate</w:t>
            </w:r>
          </w:p>
        </w:tc>
        <w:tc>
          <w:tcPr>
            <w:tcW w:w="30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1,467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1,143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1,072</w:t>
            </w:r>
          </w:p>
        </w:tc>
        <w:tc>
          <w:tcPr>
            <w:tcW w:w="0" w:type="dxa"/>
            <w:vAlign w:val="bottom"/>
          </w:tcPr>
          <w:p>
            <w:pPr>
              <w:spacing w:after="0"/>
              <w:rPr>
                <w:sz w:val="1"/>
                <w:szCs w:val="1"/>
                <w:color w:val="auto"/>
              </w:rPr>
            </w:pPr>
          </w:p>
        </w:tc>
      </w:tr>
      <w:tr>
        <w:trPr>
          <w:trHeight w:val="191"/>
        </w:trPr>
        <w:tc>
          <w:tcPr>
            <w:tcW w:w="3960" w:type="dxa"/>
            <w:vAlign w:val="bottom"/>
          </w:tcPr>
          <w:p>
            <w:pPr>
              <w:ind w:left="200"/>
              <w:spacing w:after="0"/>
              <w:rPr>
                <w:sz w:val="20"/>
                <w:szCs w:val="20"/>
                <w:color w:val="auto"/>
              </w:rPr>
            </w:pPr>
            <w:r>
              <w:rPr>
                <w:rFonts w:ascii="Arial" w:cs="Arial" w:eastAsia="Arial" w:hAnsi="Arial"/>
                <w:sz w:val="14"/>
                <w:szCs w:val="14"/>
                <w:color w:val="auto"/>
              </w:rPr>
              <w:t>Cement</w:t>
            </w:r>
          </w:p>
        </w:tc>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1,908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1,695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22"/>
        </w:trPr>
        <w:tc>
          <w:tcPr>
            <w:tcW w:w="3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Exploration leases</w:t>
            </w:r>
          </w:p>
        </w:tc>
        <w:tc>
          <w:tcPr>
            <w:tcW w:w="30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1"/>
        </w:trPr>
        <w:tc>
          <w:tcPr>
            <w:tcW w:w="3960" w:type="dxa"/>
            <w:vAlign w:val="bottom"/>
          </w:tcPr>
          <w:p>
            <w:pPr>
              <w:ind w:left="200"/>
              <w:spacing w:after="0"/>
              <w:rPr>
                <w:sz w:val="20"/>
                <w:szCs w:val="20"/>
                <w:color w:val="auto"/>
              </w:rPr>
            </w:pPr>
            <w:r>
              <w:rPr>
                <w:rFonts w:ascii="Arial" w:cs="Arial" w:eastAsia="Arial" w:hAnsi="Arial"/>
                <w:sz w:val="14"/>
                <w:szCs w:val="14"/>
                <w:color w:val="auto"/>
              </w:rPr>
              <w:t>Water sales</w:t>
            </w:r>
          </w:p>
        </w:tc>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3,997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9,142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22"/>
        </w:trPr>
        <w:tc>
          <w:tcPr>
            <w:tcW w:w="3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Reimbursables and other</w:t>
            </w:r>
          </w:p>
        </w:tc>
        <w:tc>
          <w:tcPr>
            <w:tcW w:w="30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476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81"/>
        </w:trPr>
        <w:tc>
          <w:tcPr>
            <w:tcW w:w="3960" w:type="dxa"/>
            <w:vAlign w:val="bottom"/>
          </w:tcPr>
          <w:p>
            <w:pPr>
              <w:ind w:left="20"/>
              <w:spacing w:after="0"/>
              <w:rPr>
                <w:sz w:val="20"/>
                <w:szCs w:val="20"/>
                <w:color w:val="auto"/>
              </w:rPr>
            </w:pPr>
            <w:r>
              <w:rPr>
                <w:rFonts w:ascii="Arial" w:cs="Arial" w:eastAsia="Arial" w:hAnsi="Arial"/>
                <w:sz w:val="14"/>
                <w:szCs w:val="14"/>
                <w:color w:val="auto"/>
              </w:rPr>
              <w:t>Total mineral resources revenues</w:t>
            </w:r>
          </w:p>
        </w:tc>
        <w:tc>
          <w:tcPr>
            <w:tcW w:w="300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9,791</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14,395</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5,983</w:t>
            </w:r>
          </w:p>
        </w:tc>
        <w:tc>
          <w:tcPr>
            <w:tcW w:w="0" w:type="dxa"/>
            <w:vAlign w:val="bottom"/>
          </w:tcPr>
          <w:p>
            <w:pPr>
              <w:spacing w:after="0"/>
              <w:rPr>
                <w:sz w:val="1"/>
                <w:szCs w:val="1"/>
                <w:color w:val="auto"/>
              </w:rPr>
            </w:pPr>
          </w:p>
        </w:tc>
      </w:tr>
      <w:tr>
        <w:trPr>
          <w:trHeight w:val="22"/>
        </w:trPr>
        <w:tc>
          <w:tcPr>
            <w:tcW w:w="39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mineral resources expenses</w:t>
            </w:r>
          </w:p>
        </w:tc>
        <w:tc>
          <w:tcPr>
            <w:tcW w:w="30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5,818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6,223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2,964</w:t>
            </w:r>
          </w:p>
        </w:tc>
        <w:tc>
          <w:tcPr>
            <w:tcW w:w="0" w:type="dxa"/>
            <w:vAlign w:val="bottom"/>
          </w:tcPr>
          <w:p>
            <w:pPr>
              <w:spacing w:after="0"/>
              <w:rPr>
                <w:sz w:val="1"/>
                <w:szCs w:val="1"/>
                <w:color w:val="auto"/>
              </w:rPr>
            </w:pPr>
          </w:p>
        </w:tc>
      </w:tr>
      <w:tr>
        <w:trPr>
          <w:trHeight w:val="193"/>
        </w:trPr>
        <w:tc>
          <w:tcPr>
            <w:tcW w:w="3960" w:type="dxa"/>
            <w:vAlign w:val="bottom"/>
          </w:tcPr>
          <w:p>
            <w:pPr>
              <w:ind w:left="20"/>
              <w:spacing w:after="0"/>
              <w:rPr>
                <w:sz w:val="20"/>
                <w:szCs w:val="20"/>
                <w:color w:val="auto"/>
              </w:rPr>
            </w:pPr>
            <w:r>
              <w:rPr>
                <w:rFonts w:ascii="Arial" w:cs="Arial" w:eastAsia="Arial" w:hAnsi="Arial"/>
                <w:sz w:val="14"/>
                <w:szCs w:val="14"/>
                <w:color w:val="auto"/>
              </w:rPr>
              <w:t>Operating income from mineral resources</w:t>
            </w:r>
          </w:p>
        </w:tc>
        <w:tc>
          <w:tcPr>
            <w:tcW w:w="30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3,973</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8,172</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000" w:type="dxa"/>
            <w:vAlign w:val="bottom"/>
            <w:vMerge w:val="restart"/>
          </w:tcPr>
          <w:p>
            <w:pPr>
              <w:jc w:val="right"/>
              <w:ind w:right="1209"/>
              <w:spacing w:after="0"/>
              <w:rPr>
                <w:sz w:val="20"/>
                <w:szCs w:val="20"/>
                <w:color w:val="auto"/>
              </w:rPr>
            </w:pPr>
            <w:r>
              <w:rPr>
                <w:rFonts w:ascii="Arial" w:cs="Arial" w:eastAsia="Arial" w:hAnsi="Arial"/>
                <w:sz w:val="14"/>
                <w:szCs w:val="14"/>
                <w:color w:val="auto"/>
              </w:rPr>
              <w:t>41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9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426"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2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72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Oil and gas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728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color w:val="auto"/>
              </w:rPr>
              <w:t>Oil production (barrels)</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220,000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250,000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263,000</w:t>
            </w:r>
          </w:p>
        </w:tc>
        <w:tc>
          <w:tcPr>
            <w:tcW w:w="0" w:type="dxa"/>
            <w:vAlign w:val="bottom"/>
          </w:tcPr>
          <w:p>
            <w:pPr>
              <w:spacing w:after="0"/>
              <w:rPr>
                <w:sz w:val="1"/>
                <w:szCs w:val="1"/>
                <w:color w:val="auto"/>
              </w:rPr>
            </w:pPr>
          </w:p>
        </w:tc>
      </w:tr>
      <w:tr>
        <w:trPr>
          <w:trHeight w:val="191"/>
        </w:trPr>
        <w:tc>
          <w:tcPr>
            <w:tcW w:w="7280" w:type="dxa"/>
            <w:vAlign w:val="bottom"/>
            <w:gridSpan w:val="6"/>
          </w:tcPr>
          <w:p>
            <w:pPr>
              <w:ind w:left="20"/>
              <w:spacing w:after="0"/>
              <w:rPr>
                <w:sz w:val="20"/>
                <w:szCs w:val="20"/>
                <w:color w:val="auto"/>
              </w:rPr>
            </w:pPr>
            <w:r>
              <w:rPr>
                <w:rFonts w:ascii="Arial" w:cs="Arial" w:eastAsia="Arial" w:hAnsi="Arial"/>
                <w:sz w:val="14"/>
                <w:szCs w:val="14"/>
                <w:color w:val="auto"/>
              </w:rPr>
              <w:t>Average price per barrel</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61.00</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67.00</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color w:val="auto"/>
              </w:rPr>
              <w:t>Blended royalty rate</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1"/>
        </w:trPr>
        <w:tc>
          <w:tcPr>
            <w:tcW w:w="7280" w:type="dxa"/>
            <w:vAlign w:val="bottom"/>
            <w:gridSpan w:val="6"/>
          </w:tcPr>
          <w:p>
            <w:pPr>
              <w:ind w:left="20"/>
              <w:spacing w:after="0"/>
              <w:rPr>
                <w:sz w:val="20"/>
                <w:szCs w:val="20"/>
                <w:color w:val="auto"/>
              </w:rPr>
            </w:pPr>
            <w:r>
              <w:rPr>
                <w:rFonts w:ascii="Arial" w:cs="Arial" w:eastAsia="Arial" w:hAnsi="Arial"/>
                <w:sz w:val="14"/>
                <w:szCs w:val="14"/>
                <w:color w:val="auto"/>
              </w:rPr>
              <w:t>Natural gas production (millions of cubic feet)</w:t>
            </w:r>
          </w:p>
        </w:tc>
        <w:tc>
          <w:tcPr>
            <w:tcW w:w="30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312,000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241,000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209,000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color w:val="auto"/>
              </w:rPr>
              <w:t>Average price per thousand cubic feet</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0.76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191"/>
        </w:trPr>
        <w:tc>
          <w:tcPr>
            <w:tcW w:w="7280" w:type="dxa"/>
            <w:vAlign w:val="bottom"/>
            <w:gridSpan w:val="6"/>
          </w:tcPr>
          <w:p>
            <w:pPr>
              <w:ind w:left="20"/>
              <w:spacing w:after="0"/>
              <w:rPr>
                <w:sz w:val="20"/>
                <w:szCs w:val="20"/>
                <w:color w:val="auto"/>
              </w:rPr>
            </w:pPr>
            <w:r>
              <w:rPr>
                <w:rFonts w:ascii="Arial" w:cs="Arial" w:eastAsia="Arial" w:hAnsi="Arial"/>
                <w:sz w:val="14"/>
                <w:szCs w:val="14"/>
                <w:color w:val="auto"/>
              </w:rPr>
              <w:t>Blended royalty rate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7280" w:type="dxa"/>
            <w:vAlign w:val="bottom"/>
            <w:gridSpan w:val="6"/>
          </w:tcPr>
          <w:p>
            <w:pPr>
              <w:ind w:left="20"/>
              <w:spacing w:after="0" w:line="159" w:lineRule="exact"/>
              <w:rPr>
                <w:sz w:val="20"/>
                <w:szCs w:val="20"/>
                <w:color w:val="auto"/>
              </w:rPr>
            </w:pPr>
            <w:r>
              <w:rPr>
                <w:rFonts w:ascii="Arial" w:cs="Arial" w:eastAsia="Arial" w:hAnsi="Arial"/>
                <w:sz w:val="14"/>
                <w:szCs w:val="14"/>
                <w:b w:val="1"/>
                <w:bCs w:val="1"/>
                <w:color w:val="auto"/>
              </w:rPr>
              <w:t>Water</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color w:val="auto"/>
              </w:rPr>
              <w:t>Water sold in acre-feet</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4,482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9,442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91"/>
        </w:trPr>
        <w:tc>
          <w:tcPr>
            <w:tcW w:w="7280" w:type="dxa"/>
            <w:vAlign w:val="bottom"/>
            <w:gridSpan w:val="6"/>
          </w:tcPr>
          <w:p>
            <w:pPr>
              <w:ind w:left="20"/>
              <w:spacing w:after="0"/>
              <w:rPr>
                <w:sz w:val="20"/>
                <w:szCs w:val="20"/>
                <w:color w:val="auto"/>
              </w:rPr>
            </w:pPr>
            <w:r>
              <w:rPr>
                <w:rFonts w:ascii="Arial" w:cs="Arial" w:eastAsia="Arial" w:hAnsi="Arial"/>
                <w:sz w:val="14"/>
                <w:szCs w:val="14"/>
                <w:color w:val="auto"/>
              </w:rPr>
              <w:t>Average price per acre-feet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7280" w:type="dxa"/>
            <w:vAlign w:val="bottom"/>
            <w:gridSpan w:val="6"/>
          </w:tcPr>
          <w:p>
            <w:pPr>
              <w:ind w:left="20"/>
              <w:spacing w:after="0" w:line="159" w:lineRule="exact"/>
              <w:rPr>
                <w:sz w:val="20"/>
                <w:szCs w:val="20"/>
                <w:color w:val="auto"/>
              </w:rPr>
            </w:pPr>
            <w:r>
              <w:rPr>
                <w:rFonts w:ascii="Arial" w:cs="Arial" w:eastAsia="Arial" w:hAnsi="Arial"/>
                <w:sz w:val="14"/>
                <w:szCs w:val="14"/>
                <w:b w:val="1"/>
                <w:bCs w:val="1"/>
                <w:color w:val="auto"/>
              </w:rPr>
              <w:t>Cement</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color w:val="auto"/>
              </w:rPr>
              <w:t>Tons sold</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1,117,000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1,154,000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1,063,000</w:t>
            </w:r>
          </w:p>
        </w:tc>
        <w:tc>
          <w:tcPr>
            <w:tcW w:w="0" w:type="dxa"/>
            <w:vAlign w:val="bottom"/>
          </w:tcPr>
          <w:p>
            <w:pPr>
              <w:spacing w:after="0"/>
              <w:rPr>
                <w:sz w:val="1"/>
                <w:szCs w:val="1"/>
                <w:color w:val="auto"/>
              </w:rPr>
            </w:pPr>
          </w:p>
        </w:tc>
      </w:tr>
      <w:tr>
        <w:trPr>
          <w:trHeight w:val="191"/>
        </w:trPr>
        <w:tc>
          <w:tcPr>
            <w:tcW w:w="7280" w:type="dxa"/>
            <w:vAlign w:val="bottom"/>
            <w:gridSpan w:val="6"/>
          </w:tcPr>
          <w:p>
            <w:pPr>
              <w:ind w:left="20"/>
              <w:spacing w:after="0"/>
              <w:rPr>
                <w:sz w:val="20"/>
                <w:szCs w:val="20"/>
                <w:color w:val="auto"/>
              </w:rPr>
            </w:pPr>
            <w:r>
              <w:rPr>
                <w:rFonts w:ascii="Arial" w:cs="Arial" w:eastAsia="Arial" w:hAnsi="Arial"/>
                <w:sz w:val="14"/>
                <w:szCs w:val="14"/>
                <w:color w:val="auto"/>
              </w:rPr>
              <w:t>Average price per ton</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7280" w:type="dxa"/>
            <w:vAlign w:val="bottom"/>
            <w:gridSpan w:val="6"/>
          </w:tcPr>
          <w:p>
            <w:pPr>
              <w:ind w:left="20"/>
              <w:spacing w:after="0" w:line="159" w:lineRule="exact"/>
              <w:rPr>
                <w:sz w:val="20"/>
                <w:szCs w:val="20"/>
                <w:color w:val="auto"/>
              </w:rPr>
            </w:pPr>
            <w:r>
              <w:rPr>
                <w:rFonts w:ascii="Arial" w:cs="Arial" w:eastAsia="Arial" w:hAnsi="Arial"/>
                <w:sz w:val="14"/>
                <w:szCs w:val="14"/>
                <w:b w:val="1"/>
                <w:bCs w:val="1"/>
                <w:color w:val="auto"/>
              </w:rPr>
              <w:t>Rock/Aggregate</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color w:val="auto"/>
              </w:rPr>
              <w:t>Tons sold</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1,283,000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1,168,000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1,222,000</w:t>
            </w:r>
          </w:p>
        </w:tc>
        <w:tc>
          <w:tcPr>
            <w:tcW w:w="0" w:type="dxa"/>
            <w:vAlign w:val="bottom"/>
          </w:tcPr>
          <w:p>
            <w:pPr>
              <w:spacing w:after="0"/>
              <w:rPr>
                <w:sz w:val="1"/>
                <w:szCs w:val="1"/>
                <w:color w:val="auto"/>
              </w:rPr>
            </w:pPr>
          </w:p>
        </w:tc>
      </w:tr>
      <w:tr>
        <w:trPr>
          <w:trHeight w:val="191"/>
        </w:trPr>
        <w:tc>
          <w:tcPr>
            <w:tcW w:w="7280" w:type="dxa"/>
            <w:vAlign w:val="bottom"/>
            <w:gridSpan w:val="6"/>
          </w:tcPr>
          <w:p>
            <w:pPr>
              <w:ind w:left="20"/>
              <w:spacing w:after="0"/>
              <w:rPr>
                <w:sz w:val="20"/>
                <w:szCs w:val="20"/>
                <w:color w:val="auto"/>
              </w:rPr>
            </w:pPr>
            <w:r>
              <w:rPr>
                <w:rFonts w:ascii="Arial" w:cs="Arial" w:eastAsia="Arial" w:hAnsi="Arial"/>
                <w:sz w:val="14"/>
                <w:szCs w:val="14"/>
                <w:color w:val="auto"/>
              </w:rPr>
              <w:t>Average price per ton</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0.98</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 Differences between revenues calculated within this table and reported revenues within the previous table are attributed to rounding and the level of precision presented on production units shown.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553"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2019 Operational Highlights:</w:t>
      </w:r>
    </w:p>
    <w:p>
      <w:pPr>
        <w:spacing w:after="0" w:line="140" w:lineRule="exact"/>
        <w:rPr>
          <w:sz w:val="20"/>
          <w:szCs w:val="20"/>
          <w:color w:val="auto"/>
        </w:rPr>
      </w:pPr>
    </w:p>
    <w:p>
      <w:pPr>
        <w:ind w:left="520" w:right="40" w:hanging="260"/>
        <w:spacing w:after="0" w:line="281"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Revenues from our mineral resources segment decreased $4,604,000, or 32%, to $9,791,000 in 2019 when compared to $14,395,000 in 2018. This decrease was primarily attributed to fewer water sale opportunities after the wet 2019 winter rain season which reduced revenues by $5,145,000 in 2019.</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Oil and gas royalties decreased $436,000 as a result of lower production driven by a lower price per barrel of oil overall for the year.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Offsetting the revenue declines were increases in rock aggregate and cement royalties of $324,000 and $213,000, respectively, as a result of an increase in regional construction.</w:t>
      </w:r>
    </w:p>
    <w:p>
      <w:pPr>
        <w:spacing w:after="0" w:line="147" w:lineRule="exact"/>
        <w:rPr>
          <w:rFonts w:ascii="Arial" w:cs="Arial" w:eastAsia="Arial" w:hAnsi="Arial"/>
          <w:sz w:val="13"/>
          <w:szCs w:val="13"/>
          <w:color w:val="auto"/>
        </w:rPr>
      </w:pPr>
    </w:p>
    <w:p>
      <w:pPr>
        <w:ind w:left="520" w:hanging="260"/>
        <w:spacing w:after="0"/>
        <w:tabs>
          <w:tab w:leader="none" w:pos="5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Mineral resource expense decreased $405,000, or 7%, to $5,818,000 in 2019 when compared to $6,223,000 in 2018, which is a direct result of the reduced water sales previously discussed.</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2018 Operational Highlights:</w:t>
      </w:r>
    </w:p>
    <w:p>
      <w:pPr>
        <w:spacing w:after="0" w:line="140" w:lineRule="exact"/>
        <w:rPr>
          <w:sz w:val="20"/>
          <w:szCs w:val="20"/>
          <w:color w:val="auto"/>
        </w:rPr>
      </w:pPr>
    </w:p>
    <w:p>
      <w:pPr>
        <w:ind w:left="520" w:right="40" w:hanging="260"/>
        <w:spacing w:after="0" w:line="297" w:lineRule="auto"/>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Revenues from our mineral resources segment increased $8,412,000, or 141%, to $14,395,000 in 2018 when compared to $5,983,000 in 2017. This increase was primarily attributed to water sales of $9,142,000 in 2018, representing a $7,888,000 increase over last year, as a result of moderate drought conditions in Kern County. The improved water sales accordingly increased mineral resources expenses largely due to the cost of sales of water by $3,259,000. We experienced improvements for oil and gas royalties as a result of improved oil prices.</w:t>
      </w:r>
    </w:p>
    <w:p>
      <w:pPr>
        <w:spacing w:after="0" w:line="8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currently expect our largest tenant, California Resources Corporation, or CRC, to continue its program of producing from current active wells at lower levels with no near-term intent to begin new drilling programs until oil prices reach higher levels. CRC has approved permits and drill sites on our land and has delayed the start of drilling as it evaluates the market. A positive aspect of our lease with CRC is that the approved drill sites are in an area of the ranch where the development and production costs are moderate due to the depths being drilled. Thus far in 2020, oil prices are within 4% of West Texas Intermediate pricing.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Since we only receive royalties based on tenant production and market prices and do not produce oil, we do not have information as to the potential size of oil reserves.</w:t>
      </w:r>
    </w:p>
    <w:p>
      <w:pPr>
        <w:spacing w:after="0" w:line="136" w:lineRule="exact"/>
        <w:rPr>
          <w:sz w:val="20"/>
          <w:szCs w:val="20"/>
          <w:color w:val="auto"/>
        </w:rPr>
      </w:pPr>
    </w:p>
    <w:p>
      <w:pPr>
        <w:jc w:val="both"/>
        <w:ind w:right="220"/>
        <w:spacing w:after="0" w:line="267" w:lineRule="auto"/>
        <w:rPr>
          <w:sz w:val="20"/>
          <w:szCs w:val="20"/>
          <w:color w:val="auto"/>
        </w:rPr>
      </w:pPr>
      <w:r>
        <w:rPr>
          <w:rFonts w:ascii="Arial" w:cs="Arial" w:eastAsia="Arial" w:hAnsi="Arial"/>
          <w:sz w:val="14"/>
          <w:szCs w:val="14"/>
          <w:color w:val="auto"/>
        </w:rPr>
        <w:t>Our royalty revenues are contractually defined and based on a percentage of production and are received in cash. Royalty revenues fluctuate based on changes in market price for oil, gas, rock and aggregate, and Portland cement. In addition, royalty revenue is impacted by new production, the inevitable decline in production in existing wells, and rock and limestone quarries, and the cost of development and production.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422"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4"/>
                <w:szCs w:val="14"/>
                <w:b w:val="1"/>
                <w:bCs w:val="1"/>
                <w:color w:val="006EBF"/>
              </w:rPr>
              <w:t>Farming</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4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17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w w:val="96"/>
              </w:rPr>
              <w:t>2018</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120" w:type="dxa"/>
            <w:vAlign w:val="bottom"/>
            <w:vMerge w:val="restart"/>
          </w:tcPr>
          <w:p>
            <w:pPr>
              <w:ind w:left="20"/>
              <w:spacing w:after="0"/>
              <w:rPr>
                <w:sz w:val="20"/>
                <w:szCs w:val="20"/>
                <w:color w:val="auto"/>
              </w:rPr>
            </w:pPr>
            <w:r>
              <w:rPr>
                <w:rFonts w:ascii="Arial" w:cs="Arial" w:eastAsia="Arial" w:hAnsi="Arial"/>
                <w:sz w:val="14"/>
                <w:szCs w:val="14"/>
                <w:color w:val="auto"/>
              </w:rPr>
              <w:t>Farming revenues</w:t>
            </w: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2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Almonds</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7,310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5,744</w:t>
            </w:r>
          </w:p>
        </w:tc>
        <w:tc>
          <w:tcPr>
            <w:tcW w:w="500" w:type="dxa"/>
            <w:vAlign w:val="bottom"/>
            <w:tcBorders>
              <w:bottom w:val="single" w:sz="8" w:color="CCEEFF"/>
            </w:tcBorders>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6,327</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120" w:type="dxa"/>
            <w:vAlign w:val="bottom"/>
          </w:tcPr>
          <w:p>
            <w:pPr>
              <w:ind w:left="220"/>
              <w:spacing w:after="0"/>
              <w:rPr>
                <w:sz w:val="20"/>
                <w:szCs w:val="20"/>
                <w:color w:val="auto"/>
              </w:rPr>
            </w:pPr>
            <w:r>
              <w:rPr>
                <w:rFonts w:ascii="Arial" w:cs="Arial" w:eastAsia="Arial" w:hAnsi="Arial"/>
                <w:sz w:val="14"/>
                <w:szCs w:val="14"/>
                <w:color w:val="auto"/>
              </w:rPr>
              <w:t>Pistachios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7,466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7,880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2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Wine grapes</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3,740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3,683</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4,131</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120" w:type="dxa"/>
            <w:vAlign w:val="bottom"/>
          </w:tcPr>
          <w:p>
            <w:pPr>
              <w:ind w:left="220"/>
              <w:spacing w:after="0"/>
              <w:rPr>
                <w:sz w:val="20"/>
                <w:szCs w:val="20"/>
                <w:color w:val="auto"/>
              </w:rPr>
            </w:pPr>
            <w:r>
              <w:rPr>
                <w:rFonts w:ascii="Arial" w:cs="Arial" w:eastAsia="Arial" w:hAnsi="Arial"/>
                <w:sz w:val="14"/>
                <w:szCs w:val="14"/>
                <w:color w:val="auto"/>
              </w:rPr>
              <w:t>Hay</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297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Pr>
          <w:p>
            <w:pPr>
              <w:spacing w:after="0"/>
              <w:rPr>
                <w:sz w:val="18"/>
                <w:szCs w:val="18"/>
                <w:color w:val="auto"/>
              </w:rPr>
            </w:pPr>
          </w:p>
        </w:tc>
        <w:tc>
          <w:tcPr>
            <w:tcW w:w="2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Total farming revenues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19,331</w:t>
            </w: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18,563</w:t>
            </w: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16,434</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farming expenses</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15,251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16,028</w:t>
            </w:r>
          </w:p>
        </w:tc>
        <w:tc>
          <w:tcPr>
            <w:tcW w:w="500" w:type="dxa"/>
            <w:vAlign w:val="bottom"/>
            <w:tcBorders>
              <w:bottom w:val="single" w:sz="8" w:color="CCEEFF"/>
            </w:tcBorders>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16,201</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Operating Income from farming</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4,080</w:t>
            </w: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2,535</w:t>
            </w: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3"/>
                <w:szCs w:val="13"/>
                <w:color w:val="auto"/>
                <w:w w:val="87"/>
              </w:rPr>
              <w:t>December 31, 2019</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gridSpan w:val="4"/>
            <w:vMerge w:val="restart"/>
          </w:tcPr>
          <w:p>
            <w:pPr>
              <w:jc w:val="right"/>
              <w:ind w:right="80"/>
              <w:spacing w:after="0"/>
              <w:rPr>
                <w:sz w:val="20"/>
                <w:szCs w:val="20"/>
                <w:color w:val="auto"/>
              </w:rPr>
            </w:pPr>
            <w:r>
              <w:rPr>
                <w:rFonts w:ascii="Arial" w:cs="Arial" w:eastAsia="Arial" w:hAnsi="Arial"/>
                <w:sz w:val="13"/>
                <w:szCs w:val="13"/>
                <w:color w:val="auto"/>
                <w:w w:val="91"/>
              </w:rPr>
              <w:t>December 31, 2018</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5"/>
            <w:vMerge w:val="restart"/>
          </w:tcPr>
          <w:p>
            <w:pPr>
              <w:ind w:left="200"/>
              <w:spacing w:after="0"/>
              <w:rPr>
                <w:sz w:val="20"/>
                <w:szCs w:val="20"/>
                <w:color w:val="auto"/>
              </w:rPr>
            </w:pPr>
            <w:r>
              <w:rPr>
                <w:rFonts w:ascii="Arial" w:cs="Arial" w:eastAsia="Arial" w:hAnsi="Arial"/>
                <w:sz w:val="13"/>
                <w:szCs w:val="13"/>
                <w:color w:val="auto"/>
              </w:rPr>
              <w:t>Change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0"/>
              </w:rPr>
              <w:t>Quantity Sold</w:t>
            </w:r>
            <w:r>
              <w:rPr>
                <w:rFonts w:ascii="Arial" w:cs="Arial" w:eastAsia="Arial" w:hAnsi="Arial"/>
                <w:sz w:val="16"/>
                <w:szCs w:val="16"/>
                <w:color w:val="auto"/>
                <w:w w:val="90"/>
                <w:vertAlign w:val="superscript"/>
              </w:rPr>
              <w:t>2</w:t>
            </w:r>
          </w:p>
        </w:tc>
        <w:tc>
          <w:tcPr>
            <w:tcW w:w="160" w:type="dxa"/>
            <w:vAlign w:val="bottom"/>
          </w:tcPr>
          <w:p>
            <w:pPr>
              <w:spacing w:after="0"/>
              <w:rPr>
                <w:sz w:val="14"/>
                <w:szCs w:val="14"/>
                <w:color w:val="auto"/>
              </w:rPr>
            </w:pPr>
          </w:p>
        </w:tc>
        <w:tc>
          <w:tcPr>
            <w:tcW w:w="8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3"/>
                <w:szCs w:val="13"/>
                <w:color w:val="auto"/>
                <w:w w:val="86"/>
              </w:rPr>
              <w:t>Average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3"/>
                <w:szCs w:val="13"/>
                <w:color w:val="auto"/>
                <w:w w:val="95"/>
              </w:rPr>
              <w:t>Quantity Sold</w:t>
            </w:r>
            <w:r>
              <w:rPr>
                <w:rFonts w:ascii="Arial" w:cs="Arial" w:eastAsia="Arial" w:hAnsi="Arial"/>
                <w:sz w:val="16"/>
                <w:szCs w:val="16"/>
                <w:color w:val="auto"/>
                <w:w w:val="95"/>
                <w:vertAlign w:val="superscript"/>
              </w:rPr>
              <w:t>2</w:t>
            </w:r>
          </w:p>
        </w:tc>
        <w:tc>
          <w:tcPr>
            <w:tcW w:w="16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3"/>
                <w:szCs w:val="13"/>
                <w:color w:val="auto"/>
                <w:w w:val="99"/>
              </w:rPr>
              <w:t>Average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3"/>
                <w:szCs w:val="13"/>
                <w:color w:val="auto"/>
              </w:rPr>
              <w:t>Quantity Sold</w:t>
            </w:r>
            <w:r>
              <w:rPr>
                <w:rFonts w:ascii="Arial" w:cs="Arial" w:eastAsia="Arial" w:hAnsi="Arial"/>
                <w:sz w:val="16"/>
                <w:szCs w:val="16"/>
                <w:color w:val="auto"/>
                <w:vertAlign w:val="superscript"/>
              </w:rPr>
              <w:t>2</w:t>
            </w:r>
          </w:p>
        </w:tc>
        <w:tc>
          <w:tcPr>
            <w:tcW w:w="140" w:type="dxa"/>
            <w:vAlign w:val="bottom"/>
          </w:tcPr>
          <w:p>
            <w:pPr>
              <w:spacing w:after="0"/>
              <w:rPr>
                <w:sz w:val="14"/>
                <w:szCs w:val="14"/>
                <w:color w:val="auto"/>
              </w:rPr>
            </w:pPr>
          </w:p>
        </w:tc>
        <w:tc>
          <w:tcPr>
            <w:tcW w:w="640" w:type="dxa"/>
            <w:vAlign w:val="bottom"/>
          </w:tcPr>
          <w:p>
            <w:pPr>
              <w:jc w:val="right"/>
              <w:ind w:right="110"/>
              <w:spacing w:after="0"/>
              <w:rPr>
                <w:sz w:val="20"/>
                <w:szCs w:val="20"/>
                <w:color w:val="auto"/>
              </w:rPr>
            </w:pPr>
            <w:r>
              <w:rPr>
                <w:rFonts w:ascii="Arial" w:cs="Arial" w:eastAsia="Arial" w:hAnsi="Arial"/>
                <w:sz w:val="13"/>
                <w:szCs w:val="13"/>
                <w:color w:val="auto"/>
                <w:w w:val="90"/>
              </w:rPr>
              <w:t>Average</w:t>
            </w:r>
          </w:p>
        </w:tc>
        <w:tc>
          <w:tcPr>
            <w:tcW w:w="0" w:type="dxa"/>
            <w:vAlign w:val="bottom"/>
          </w:tcPr>
          <w:p>
            <w:pPr>
              <w:spacing w:after="0"/>
              <w:rPr>
                <w:sz w:val="1"/>
                <w:szCs w:val="1"/>
                <w:color w:val="auto"/>
              </w:rPr>
            </w:pPr>
          </w:p>
        </w:tc>
      </w:tr>
      <w:tr>
        <w:trPr>
          <w:trHeight w:val="187"/>
        </w:trPr>
        <w:tc>
          <w:tcPr>
            <w:tcW w:w="2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70"/>
              <w:spacing w:after="0"/>
              <w:rPr>
                <w:sz w:val="20"/>
                <w:szCs w:val="20"/>
                <w:color w:val="auto"/>
              </w:rPr>
            </w:pPr>
            <w:r>
              <w:rPr>
                <w:rFonts w:ascii="Arial" w:cs="Arial" w:eastAsia="Arial" w:hAnsi="Arial"/>
                <w:sz w:val="13"/>
                <w:szCs w:val="13"/>
                <w:color w:val="auto"/>
                <w:w w:val="96"/>
              </w:rPr>
              <w:t>Revenue</w:t>
            </w: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3"/>
                <w:szCs w:val="13"/>
                <w:color w:val="auto"/>
                <w:w w:val="87"/>
              </w:rPr>
              <w:t>Price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70"/>
              <w:spacing w:after="0"/>
              <w:rPr>
                <w:sz w:val="20"/>
                <w:szCs w:val="20"/>
                <w:color w:val="auto"/>
              </w:rPr>
            </w:pPr>
            <w:r>
              <w:rPr>
                <w:rFonts w:ascii="Arial" w:cs="Arial" w:eastAsia="Arial" w:hAnsi="Arial"/>
                <w:sz w:val="13"/>
                <w:szCs w:val="13"/>
                <w:color w:val="auto"/>
                <w:w w:val="96"/>
              </w:rPr>
              <w:t>Revenue</w:t>
            </w:r>
          </w:p>
        </w:tc>
        <w:tc>
          <w:tcPr>
            <w:tcW w:w="1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gridSpan w:val="2"/>
          </w:tcPr>
          <w:p>
            <w:pPr>
              <w:ind w:left="160"/>
              <w:spacing w:after="0"/>
              <w:rPr>
                <w:sz w:val="20"/>
                <w:szCs w:val="20"/>
                <w:color w:val="auto"/>
              </w:rPr>
            </w:pPr>
            <w:r>
              <w:rPr>
                <w:rFonts w:ascii="Arial" w:cs="Arial" w:eastAsia="Arial" w:hAnsi="Arial"/>
                <w:sz w:val="13"/>
                <w:szCs w:val="13"/>
                <w:color w:val="auto"/>
              </w:rPr>
              <w:t>Price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Revenue</w:t>
            </w:r>
          </w:p>
        </w:tc>
        <w:tc>
          <w:tcPr>
            <w:tcW w:w="120" w:type="dxa"/>
            <w:vAlign w:val="bottom"/>
          </w:tcPr>
          <w:p>
            <w:pPr>
              <w:spacing w:after="0"/>
              <w:rPr>
                <w:sz w:val="16"/>
                <w:szCs w:val="16"/>
                <w:color w:val="auto"/>
              </w:rPr>
            </w:pPr>
          </w:p>
        </w:tc>
        <w:tc>
          <w:tcPr>
            <w:tcW w:w="98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90"/>
              <w:spacing w:after="0"/>
              <w:rPr>
                <w:sz w:val="20"/>
                <w:szCs w:val="20"/>
                <w:color w:val="auto"/>
              </w:rPr>
            </w:pPr>
            <w:r>
              <w:rPr>
                <w:rFonts w:ascii="Arial" w:cs="Arial" w:eastAsia="Arial" w:hAnsi="Arial"/>
                <w:sz w:val="13"/>
                <w:szCs w:val="13"/>
                <w:color w:val="auto"/>
              </w:rPr>
              <w:t>Price</w:t>
            </w:r>
          </w:p>
        </w:tc>
        <w:tc>
          <w:tcPr>
            <w:tcW w:w="0" w:type="dxa"/>
            <w:vAlign w:val="bottom"/>
          </w:tcPr>
          <w:p>
            <w:pPr>
              <w:spacing w:after="0"/>
              <w:rPr>
                <w:sz w:val="1"/>
                <w:szCs w:val="1"/>
                <w:color w:val="auto"/>
              </w:rPr>
            </w:pPr>
          </w:p>
        </w:tc>
      </w:tr>
      <w:tr>
        <w:trPr>
          <w:trHeight w:val="171"/>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ALMONDS (lbs.)</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 year crop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6,359</w:t>
            </w:r>
          </w:p>
        </w:tc>
        <w:tc>
          <w:tcPr>
            <w:tcW w:w="1020" w:type="dxa"/>
            <w:vAlign w:val="bottom"/>
            <w:tcBorders>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2,252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2.82</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4,476</w:t>
            </w:r>
          </w:p>
        </w:tc>
        <w:tc>
          <w:tcPr>
            <w:tcW w:w="9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1,717</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2.61</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1,883</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535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91"/>
        </w:trPr>
        <w:tc>
          <w:tcPr>
            <w:tcW w:w="2160" w:type="dxa"/>
            <w:vAlign w:val="bottom"/>
            <w:gridSpan w:val="2"/>
          </w:tcPr>
          <w:p>
            <w:pPr>
              <w:ind w:left="20"/>
              <w:spacing w:after="0"/>
              <w:rPr>
                <w:sz w:val="20"/>
                <w:szCs w:val="20"/>
                <w:color w:val="auto"/>
              </w:rPr>
            </w:pPr>
            <w:r>
              <w:rPr>
                <w:rFonts w:ascii="Arial" w:cs="Arial" w:eastAsia="Arial" w:hAnsi="Arial"/>
                <w:sz w:val="14"/>
                <w:szCs w:val="14"/>
                <w:color w:val="auto"/>
              </w:rPr>
              <w:t>Prior crop years</w:t>
            </w: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568</w:t>
            </w:r>
          </w:p>
        </w:tc>
        <w:tc>
          <w:tcPr>
            <w:tcW w:w="1020" w:type="dxa"/>
            <w:vAlign w:val="bottom"/>
            <w:gridSpan w:val="2"/>
          </w:tcPr>
          <w:p>
            <w:pPr>
              <w:jc w:val="right"/>
              <w:ind w:right="51"/>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2.50</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1,234</w:t>
            </w:r>
          </w:p>
        </w:tc>
        <w:tc>
          <w:tcPr>
            <w:tcW w:w="980" w:type="dxa"/>
            <w:vAlign w:val="bottom"/>
            <w:gridSpan w:val="2"/>
          </w:tcPr>
          <w:p>
            <w:pPr>
              <w:jc w:val="right"/>
              <w:ind w:right="11"/>
              <w:spacing w:after="0"/>
              <w:rPr>
                <w:sz w:val="20"/>
                <w:szCs w:val="20"/>
                <w:color w:val="auto"/>
              </w:rPr>
            </w:pPr>
            <w:r>
              <w:rPr>
                <w:rFonts w:ascii="Arial" w:cs="Arial" w:eastAsia="Arial" w:hAnsi="Arial"/>
                <w:sz w:val="14"/>
                <w:szCs w:val="14"/>
                <w:color w:val="auto"/>
              </w:rPr>
              <w:t>412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3.00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2"/>
        </w:trPr>
        <w:tc>
          <w:tcPr>
            <w:tcW w:w="2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Prior crop price adjustment</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60" w:type="dxa"/>
            <w:vAlign w:val="bottom"/>
            <w:gridSpan w:val="2"/>
          </w:tcPr>
          <w:p>
            <w:pPr>
              <w:ind w:left="20"/>
              <w:spacing w:after="0"/>
              <w:rPr>
                <w:sz w:val="20"/>
                <w:szCs w:val="20"/>
                <w:color w:val="auto"/>
              </w:rPr>
            </w:pPr>
            <w:r>
              <w:rPr>
                <w:rFonts w:ascii="Arial" w:cs="Arial" w:eastAsia="Arial" w:hAnsi="Arial"/>
                <w:sz w:val="14"/>
                <w:szCs w:val="14"/>
                <w:color w:val="auto"/>
              </w:rPr>
              <w:t>Signing bonus</w:t>
            </w: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Crop Insurance</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tcPr>
          <w:p>
            <w:pPr>
              <w:spacing w:after="0"/>
              <w:rPr>
                <w:sz w:val="17"/>
                <w:szCs w:val="17"/>
                <w:color w:val="auto"/>
              </w:rPr>
            </w:pPr>
          </w:p>
        </w:tc>
        <w:tc>
          <w:tcPr>
            <w:tcW w:w="2120" w:type="dxa"/>
            <w:vAlign w:val="bottom"/>
            <w:tcBorders>
              <w:bottom w:val="single" w:sz="8" w:color="CCEEFF"/>
            </w:tcBorders>
          </w:tcPr>
          <w:p>
            <w:pPr>
              <w:ind w:left="260"/>
              <w:spacing w:after="0" w:line="203" w:lineRule="exact"/>
              <w:rPr>
                <w:sz w:val="20"/>
                <w:szCs w:val="20"/>
                <w:color w:val="auto"/>
              </w:rPr>
            </w:pPr>
            <w:r>
              <w:rPr>
                <w:rFonts w:ascii="Arial" w:cs="Arial" w:eastAsia="Arial" w:hAnsi="Arial"/>
                <w:sz w:val="14"/>
                <w:szCs w:val="14"/>
                <w:color w:val="auto"/>
              </w:rPr>
              <w:t>Subtotal Almonds</w:t>
            </w:r>
            <w:r>
              <w:rPr>
                <w:rFonts w:ascii="Arial" w:cs="Arial" w:eastAsia="Arial" w:hAnsi="Arial"/>
                <w:sz w:val="19"/>
                <w:szCs w:val="19"/>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7,310</w:t>
            </w:r>
          </w:p>
        </w:tc>
        <w:tc>
          <w:tcPr>
            <w:tcW w:w="1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2,479</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2.79</w:t>
            </w:r>
          </w:p>
        </w:tc>
        <w:tc>
          <w:tcPr>
            <w:tcW w:w="14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5,744</w:t>
            </w:r>
          </w:p>
        </w:tc>
        <w:tc>
          <w:tcPr>
            <w:tcW w:w="1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2,129</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1,566</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3"/>
          </w:tcPr>
          <w:p>
            <w:pPr>
              <w:jc w:val="right"/>
              <w:ind w:right="29"/>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PISTACHIOS (lbs.)</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60" w:type="dxa"/>
            <w:vAlign w:val="bottom"/>
            <w:gridSpan w:val="2"/>
          </w:tcPr>
          <w:p>
            <w:pPr>
              <w:ind w:left="20"/>
              <w:spacing w:after="0"/>
              <w:rPr>
                <w:sz w:val="20"/>
                <w:szCs w:val="20"/>
                <w:color w:val="auto"/>
              </w:rPr>
            </w:pPr>
            <w:r>
              <w:rPr>
                <w:rFonts w:ascii="Arial" w:cs="Arial" w:eastAsia="Arial" w:hAnsi="Arial"/>
                <w:sz w:val="14"/>
                <w:szCs w:val="14"/>
                <w:color w:val="auto"/>
              </w:rPr>
              <w:t>Current year crop</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1,624</w:t>
            </w:r>
          </w:p>
        </w:tc>
        <w:tc>
          <w:tcPr>
            <w:tcW w:w="1020" w:type="dxa"/>
            <w:vAlign w:val="bottom"/>
            <w:gridSpan w:val="2"/>
          </w:tcPr>
          <w:p>
            <w:pPr>
              <w:jc w:val="right"/>
              <w:ind w:right="51"/>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1.98</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7,251</w:t>
            </w:r>
          </w:p>
        </w:tc>
        <w:tc>
          <w:tcPr>
            <w:tcW w:w="980" w:type="dxa"/>
            <w:vAlign w:val="bottom"/>
            <w:gridSpan w:val="2"/>
          </w:tcPr>
          <w:p>
            <w:pPr>
              <w:jc w:val="right"/>
              <w:ind w:right="11"/>
              <w:spacing w:after="0"/>
              <w:rPr>
                <w:sz w:val="20"/>
                <w:szCs w:val="20"/>
                <w:color w:val="auto"/>
              </w:rPr>
            </w:pPr>
            <w:r>
              <w:rPr>
                <w:rFonts w:ascii="Arial" w:cs="Arial" w:eastAsia="Arial" w:hAnsi="Arial"/>
                <w:sz w:val="14"/>
                <w:szCs w:val="14"/>
                <w:color w:val="auto"/>
              </w:rPr>
              <w:t>3,615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2.01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(5,627)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w w:val="94"/>
              </w:rPr>
              <w:t>(2,796)</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2"/>
        </w:trPr>
        <w:tc>
          <w:tcPr>
            <w:tcW w:w="2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Prior crop years</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976</w:t>
            </w:r>
          </w:p>
        </w:tc>
        <w:tc>
          <w:tcPr>
            <w:tcW w:w="1020" w:type="dxa"/>
            <w:vAlign w:val="bottom"/>
            <w:tcBorders>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558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1.75</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518</w:t>
            </w:r>
          </w:p>
        </w:tc>
        <w:tc>
          <w:tcPr>
            <w:tcW w:w="9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120</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4.32</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458</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91"/>
        </w:trPr>
        <w:tc>
          <w:tcPr>
            <w:tcW w:w="2160" w:type="dxa"/>
            <w:vAlign w:val="bottom"/>
            <w:gridSpan w:val="2"/>
          </w:tcPr>
          <w:p>
            <w:pPr>
              <w:ind w:left="20"/>
              <w:spacing w:after="0"/>
              <w:rPr>
                <w:sz w:val="20"/>
                <w:szCs w:val="20"/>
                <w:color w:val="auto"/>
              </w:rPr>
            </w:pPr>
            <w:r>
              <w:rPr>
                <w:rFonts w:ascii="Arial" w:cs="Arial" w:eastAsia="Arial" w:hAnsi="Arial"/>
                <w:sz w:val="14"/>
                <w:szCs w:val="14"/>
                <w:color w:val="auto"/>
              </w:rPr>
              <w:t>Prior crop price adjustment</w:t>
            </w: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3,807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3,696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Crop Insurance</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1,059</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1,059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tcPr>
          <w:p>
            <w:pPr>
              <w:spacing w:after="0"/>
              <w:rPr>
                <w:sz w:val="17"/>
                <w:szCs w:val="17"/>
                <w:color w:val="auto"/>
              </w:rPr>
            </w:pPr>
          </w:p>
        </w:tc>
        <w:tc>
          <w:tcPr>
            <w:tcW w:w="2120" w:type="dxa"/>
            <w:vAlign w:val="bottom"/>
            <w:tcBorders>
              <w:bottom w:val="single" w:sz="8" w:color="CCEEFF"/>
            </w:tcBorders>
          </w:tcPr>
          <w:p>
            <w:pPr>
              <w:ind w:left="260"/>
              <w:spacing w:after="0" w:line="203" w:lineRule="exact"/>
              <w:rPr>
                <w:sz w:val="20"/>
                <w:szCs w:val="20"/>
                <w:color w:val="auto"/>
              </w:rPr>
            </w:pPr>
            <w:r>
              <w:rPr>
                <w:rFonts w:ascii="Arial" w:cs="Arial" w:eastAsia="Arial" w:hAnsi="Arial"/>
                <w:sz w:val="14"/>
                <w:szCs w:val="14"/>
                <w:color w:val="auto"/>
              </w:rPr>
              <w:t>Subtotal Pistachios</w:t>
            </w:r>
            <w:r>
              <w:rPr>
                <w:rFonts w:ascii="Arial" w:cs="Arial" w:eastAsia="Arial" w:hAnsi="Arial"/>
                <w:sz w:val="19"/>
                <w:szCs w:val="19"/>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7,466</w:t>
            </w:r>
          </w:p>
        </w:tc>
        <w:tc>
          <w:tcPr>
            <w:tcW w:w="1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1,377</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1.89</w:t>
            </w:r>
          </w:p>
        </w:tc>
        <w:tc>
          <w:tcPr>
            <w:tcW w:w="14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7,880</w:t>
            </w:r>
          </w:p>
        </w:tc>
        <w:tc>
          <w:tcPr>
            <w:tcW w:w="1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3,735</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4"/>
              </w:rPr>
              <w:t>(2,358)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WINE GRAPES (tons)</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60" w:type="dxa"/>
            <w:vAlign w:val="bottom"/>
            <w:gridSpan w:val="2"/>
          </w:tcPr>
          <w:p>
            <w:pPr>
              <w:ind w:left="20"/>
              <w:spacing w:after="0"/>
              <w:rPr>
                <w:sz w:val="20"/>
                <w:szCs w:val="20"/>
                <w:color w:val="auto"/>
              </w:rPr>
            </w:pPr>
            <w:r>
              <w:rPr>
                <w:rFonts w:ascii="Arial" w:cs="Arial" w:eastAsia="Arial" w:hAnsi="Arial"/>
                <w:sz w:val="14"/>
                <w:szCs w:val="14"/>
                <w:color w:val="auto"/>
              </w:rPr>
              <w:t>Current year crop</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3,730</w:t>
            </w:r>
          </w:p>
        </w:tc>
        <w:tc>
          <w:tcPr>
            <w:tcW w:w="1020" w:type="dxa"/>
            <w:vAlign w:val="bottom"/>
            <w:gridSpan w:val="2"/>
          </w:tcPr>
          <w:p>
            <w:pPr>
              <w:jc w:val="right"/>
              <w:ind w:right="51"/>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266.43</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3,683</w:t>
            </w:r>
          </w:p>
        </w:tc>
        <w:tc>
          <w:tcPr>
            <w:tcW w:w="980" w:type="dxa"/>
            <w:vAlign w:val="bottom"/>
            <w:gridSpan w:val="2"/>
          </w:tcPr>
          <w:p>
            <w:pPr>
              <w:jc w:val="right"/>
              <w:ind w:right="11"/>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263.07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2"/>
        </w:trPr>
        <w:tc>
          <w:tcPr>
            <w:tcW w:w="2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Crop Insurance</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20" w:type="dxa"/>
            <w:vAlign w:val="bottom"/>
          </w:tcPr>
          <w:p>
            <w:pPr>
              <w:ind w:left="260"/>
              <w:spacing w:after="0"/>
              <w:rPr>
                <w:sz w:val="20"/>
                <w:szCs w:val="20"/>
                <w:color w:val="auto"/>
              </w:rPr>
            </w:pPr>
            <w:r>
              <w:rPr>
                <w:rFonts w:ascii="Arial" w:cs="Arial" w:eastAsia="Arial" w:hAnsi="Arial"/>
                <w:sz w:val="14"/>
                <w:szCs w:val="14"/>
                <w:color w:val="auto"/>
              </w:rPr>
              <w:t>Subtotal Wine Grapes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3,740</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266.43</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3,683</w:t>
            </w:r>
          </w:p>
        </w:tc>
        <w:tc>
          <w:tcPr>
            <w:tcW w:w="120" w:type="dxa"/>
            <w:vAlign w:val="bottom"/>
          </w:tcPr>
          <w:p>
            <w:pPr>
              <w:spacing w:after="0"/>
              <w:rPr>
                <w:sz w:val="15"/>
                <w:szCs w:val="15"/>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14</w:t>
            </w: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263.07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2"/>
        </w:trPr>
        <w:tc>
          <w:tcPr>
            <w:tcW w:w="2160" w:type="dxa"/>
            <w:vAlign w:val="bottom"/>
            <w:tcBorders>
              <w:bottom w:val="single" w:sz="8" w:color="CCEEFF"/>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60" w:type="dxa"/>
            <w:vAlign w:val="bottom"/>
            <w:gridSpan w:val="2"/>
          </w:tcPr>
          <w:p>
            <w:pPr>
              <w:ind w:left="20"/>
              <w:spacing w:after="0"/>
              <w:rPr>
                <w:sz w:val="20"/>
                <w:szCs w:val="20"/>
                <w:color w:val="auto"/>
              </w:rPr>
            </w:pPr>
            <w:r>
              <w:rPr>
                <w:rFonts w:ascii="Arial" w:cs="Arial" w:eastAsia="Arial" w:hAnsi="Arial"/>
                <w:sz w:val="14"/>
                <w:szCs w:val="14"/>
                <w:color w:val="auto"/>
              </w:rPr>
              <w:t>Hay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farming revenues</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959</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160" w:type="dxa"/>
            <w:vAlign w:val="bottom"/>
            <w:gridSpan w:val="2"/>
          </w:tcPr>
          <w:p>
            <w:pPr>
              <w:ind w:left="20"/>
              <w:spacing w:after="0"/>
              <w:rPr>
                <w:sz w:val="20"/>
                <w:szCs w:val="20"/>
                <w:color w:val="auto"/>
              </w:rPr>
            </w:pPr>
            <w:r>
              <w:rPr>
                <w:rFonts w:ascii="Arial" w:cs="Arial" w:eastAsia="Arial" w:hAnsi="Arial"/>
                <w:sz w:val="14"/>
                <w:szCs w:val="14"/>
                <w:color w:val="auto"/>
              </w:rPr>
              <w:t>Total farming revenues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19,331</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18,563</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80" w:hanging="54"/>
        <w:spacing w:after="0"/>
        <w:tabs>
          <w:tab w:leader="none" w:pos="80" w:val="left"/>
        </w:tabs>
        <w:numPr>
          <w:ilvl w:val="0"/>
          <w:numId w:val="19"/>
        </w:numPr>
        <w:rPr>
          <w:rFonts w:ascii="Arial" w:cs="Arial" w:eastAsia="Arial" w:hAnsi="Arial"/>
          <w:sz w:val="7"/>
          <w:szCs w:val="7"/>
          <w:color w:val="auto"/>
        </w:rPr>
      </w:pPr>
      <w:r>
        <w:rPr>
          <w:rFonts w:ascii="Arial" w:cs="Arial" w:eastAsia="Arial" w:hAnsi="Arial"/>
          <w:sz w:val="11"/>
          <w:szCs w:val="11"/>
          <w:color w:val="auto"/>
        </w:rPr>
        <w:t>Average price calculation reflects sale of almond and pistachio crops during the calendar reported year exclusive of any price adjustments.</w:t>
      </w:r>
    </w:p>
    <w:p>
      <w:pPr>
        <w:spacing w:after="0" w:line="32" w:lineRule="exact"/>
        <w:rPr>
          <w:rFonts w:ascii="Arial" w:cs="Arial" w:eastAsia="Arial" w:hAnsi="Arial"/>
          <w:sz w:val="7"/>
          <w:szCs w:val="7"/>
          <w:color w:val="auto"/>
        </w:rPr>
      </w:pPr>
    </w:p>
    <w:p>
      <w:pPr>
        <w:ind w:left="20"/>
        <w:spacing w:after="0"/>
        <w:rPr>
          <w:rFonts w:ascii="Arial" w:cs="Arial" w:eastAsia="Arial" w:hAnsi="Arial"/>
          <w:sz w:val="7"/>
          <w:szCs w:val="7"/>
          <w:color w:val="auto"/>
        </w:rPr>
      </w:pPr>
      <w:r>
        <w:rPr>
          <w:rFonts w:ascii="Arial" w:cs="Arial" w:eastAsia="Arial" w:hAnsi="Arial"/>
          <w:sz w:val="7"/>
          <w:szCs w:val="7"/>
          <w:color w:val="auto"/>
        </w:rPr>
        <w:t xml:space="preserve">2 </w:t>
      </w:r>
      <w:r>
        <w:rPr>
          <w:rFonts w:ascii="Arial" w:cs="Arial" w:eastAsia="Arial" w:hAnsi="Arial"/>
          <w:sz w:val="11"/>
          <w:szCs w:val="11"/>
          <w:color w:val="auto"/>
        </w:rPr>
        <w:t>Almond and pistachio units are presented in thousands of pounds while wine grapes are presented in thousands of tons.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422"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color w:val="auto"/>
        </w:rPr>
        <w:t>2019 Operational Highlights:</w:t>
      </w:r>
    </w:p>
    <w:p>
      <w:pPr>
        <w:spacing w:after="0" w:line="140" w:lineRule="exact"/>
        <w:rPr>
          <w:sz w:val="20"/>
          <w:szCs w:val="20"/>
          <w:color w:val="auto"/>
        </w:rPr>
      </w:pPr>
    </w:p>
    <w:p>
      <w:pPr>
        <w:ind w:left="520" w:right="60" w:hanging="260"/>
        <w:spacing w:after="0" w:line="28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During 2019, farming revenues increased $768,000, or 4%, from $18,563,000 in 2018 to $19,331,000 in 2019. When compared to 2018, almond revenues increased by $1,566,000 primarily from improved 2019 almond crop yields, which increased the amount of inventory available for sale.</w:t>
      </w:r>
    </w:p>
    <w:p>
      <w:pPr>
        <w:spacing w:after="0" w:line="89" w:lineRule="exact"/>
        <w:rPr>
          <w:rFonts w:ascii="Arial" w:cs="Arial" w:eastAsia="Arial" w:hAnsi="Arial"/>
          <w:sz w:val="14"/>
          <w:szCs w:val="14"/>
          <w:color w:val="auto"/>
        </w:rPr>
      </w:pPr>
    </w:p>
    <w:p>
      <w:pPr>
        <w:ind w:left="520" w:right="120" w:hanging="260"/>
        <w:spacing w:after="0" w:line="262"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Offsetting the increased almond sales were reductions in pistachio revenues of $414,000, which is a result of having lower yields during the 2019 down bearing cycle. Although the Company received insurance proceeds for the loss and a one-time price adjustment on the 2018 pistachio crop, they were not enough to recuperate lost revenues. Also contributing to the decline in farming revenues were declines in other farming revenues of $612,000 which were primarily a result of having fewer water use reimbursements from a farm land lease as a result of having fewer acres leased.</w:t>
      </w:r>
    </w:p>
    <w:p>
      <w:pPr>
        <w:spacing w:after="0" w:line="103" w:lineRule="exact"/>
        <w:rPr>
          <w:rFonts w:ascii="Arial" w:cs="Arial" w:eastAsia="Arial" w:hAnsi="Arial"/>
          <w:sz w:val="14"/>
          <w:szCs w:val="14"/>
          <w:color w:val="auto"/>
        </w:rPr>
      </w:pPr>
    </w:p>
    <w:p>
      <w:pPr>
        <w:ind w:left="520" w:hanging="260"/>
        <w:spacing w:after="0" w:line="321" w:lineRule="auto"/>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Farming expenses decreased $777,000, or 5%, to $15,251,000 when compared to $16,028,000 in 2018. The decrease was primarily attributed to reductions in WRMWSD water holding costs of $1,642,000 as a result of the wet 2019 rain season offset by an increase in pruning costs of $460,000, harvest costs of $313,000, and hulling costs of $281,000.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3"/>
                <w:szCs w:val="13"/>
                <w:color w:val="auto"/>
                <w:w w:val="87"/>
              </w:rPr>
              <w:t>December 31, 2018</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3"/>
                <w:szCs w:val="13"/>
                <w:color w:val="auto"/>
                <w:w w:val="87"/>
              </w:rPr>
              <w:t>December 31, 2017</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Change</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4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8"/>
              </w:rPr>
              <w:t>Quantity Sold</w:t>
            </w:r>
            <w:r>
              <w:rPr>
                <w:rFonts w:ascii="Arial" w:cs="Arial" w:eastAsia="Arial" w:hAnsi="Arial"/>
                <w:sz w:val="16"/>
                <w:szCs w:val="16"/>
                <w:color w:val="auto"/>
                <w:w w:val="88"/>
                <w:vertAlign w:val="superscript"/>
              </w:rPr>
              <w:t>2</w:t>
            </w:r>
          </w:p>
        </w:tc>
        <w:tc>
          <w:tcPr>
            <w:tcW w:w="160" w:type="dxa"/>
            <w:vAlign w:val="bottom"/>
          </w:tcPr>
          <w:p>
            <w:pPr>
              <w:spacing w:after="0"/>
              <w:rPr>
                <w:sz w:val="14"/>
                <w:szCs w:val="14"/>
                <w:color w:val="auto"/>
              </w:rPr>
            </w:pPr>
          </w:p>
        </w:tc>
        <w:tc>
          <w:tcPr>
            <w:tcW w:w="8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3"/>
                <w:szCs w:val="13"/>
                <w:color w:val="auto"/>
                <w:w w:val="86"/>
              </w:rPr>
              <w:t>Average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8"/>
              </w:rPr>
              <w:t>Quantity Sold</w:t>
            </w:r>
            <w:r>
              <w:rPr>
                <w:rFonts w:ascii="Arial" w:cs="Arial" w:eastAsia="Arial" w:hAnsi="Arial"/>
                <w:sz w:val="16"/>
                <w:szCs w:val="16"/>
                <w:color w:val="auto"/>
                <w:w w:val="88"/>
                <w:vertAlign w:val="superscript"/>
              </w:rPr>
              <w:t>2</w:t>
            </w:r>
          </w:p>
        </w:tc>
        <w:tc>
          <w:tcPr>
            <w:tcW w:w="180" w:type="dxa"/>
            <w:vAlign w:val="bottom"/>
          </w:tcPr>
          <w:p>
            <w:pPr>
              <w:spacing w:after="0"/>
              <w:rPr>
                <w:sz w:val="14"/>
                <w:szCs w:val="14"/>
                <w:color w:val="auto"/>
              </w:rPr>
            </w:pPr>
          </w:p>
        </w:tc>
        <w:tc>
          <w:tcPr>
            <w:tcW w:w="8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3"/>
                <w:szCs w:val="13"/>
                <w:color w:val="auto"/>
                <w:w w:val="86"/>
              </w:rPr>
              <w:t>Average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Quantity Sold</w:t>
            </w:r>
            <w:r>
              <w:rPr>
                <w:rFonts w:ascii="Arial" w:cs="Arial" w:eastAsia="Arial" w:hAnsi="Arial"/>
                <w:sz w:val="16"/>
                <w:szCs w:val="16"/>
                <w:color w:val="auto"/>
                <w:w w:val="88"/>
                <w:vertAlign w:val="superscript"/>
              </w:rPr>
              <w:t>2</w:t>
            </w:r>
          </w:p>
        </w:tc>
        <w:tc>
          <w:tcPr>
            <w:tcW w:w="160" w:type="dxa"/>
            <w:vAlign w:val="bottom"/>
          </w:tcPr>
          <w:p>
            <w:pPr>
              <w:spacing w:after="0"/>
              <w:rPr>
                <w:sz w:val="14"/>
                <w:szCs w:val="14"/>
                <w:color w:val="auto"/>
              </w:rPr>
            </w:pPr>
          </w:p>
        </w:tc>
        <w:tc>
          <w:tcPr>
            <w:tcW w:w="720" w:type="dxa"/>
            <w:vAlign w:val="bottom"/>
          </w:tcPr>
          <w:p>
            <w:pPr>
              <w:jc w:val="right"/>
              <w:ind w:right="151"/>
              <w:spacing w:after="0"/>
              <w:rPr>
                <w:sz w:val="20"/>
                <w:szCs w:val="20"/>
                <w:color w:val="auto"/>
              </w:rPr>
            </w:pPr>
            <w:r>
              <w:rPr>
                <w:rFonts w:ascii="Arial" w:cs="Arial" w:eastAsia="Arial" w:hAnsi="Arial"/>
                <w:sz w:val="13"/>
                <w:szCs w:val="13"/>
                <w:color w:val="auto"/>
                <w:w w:val="99"/>
              </w:rPr>
              <w:t>Average</w:t>
            </w:r>
          </w:p>
        </w:tc>
        <w:tc>
          <w:tcPr>
            <w:tcW w:w="0" w:type="dxa"/>
            <w:vAlign w:val="bottom"/>
          </w:tcPr>
          <w:p>
            <w:pPr>
              <w:spacing w:after="0"/>
              <w:rPr>
                <w:sz w:val="1"/>
                <w:szCs w:val="1"/>
                <w:color w:val="auto"/>
              </w:rPr>
            </w:pPr>
          </w:p>
        </w:tc>
      </w:tr>
      <w:tr>
        <w:trPr>
          <w:trHeight w:val="187"/>
        </w:trPr>
        <w:tc>
          <w:tcPr>
            <w:tcW w:w="2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70"/>
              <w:spacing w:after="0"/>
              <w:rPr>
                <w:sz w:val="20"/>
                <w:szCs w:val="20"/>
                <w:color w:val="auto"/>
              </w:rPr>
            </w:pPr>
            <w:r>
              <w:rPr>
                <w:rFonts w:ascii="Arial" w:cs="Arial" w:eastAsia="Arial" w:hAnsi="Arial"/>
                <w:sz w:val="13"/>
                <w:szCs w:val="13"/>
                <w:color w:val="auto"/>
                <w:w w:val="96"/>
              </w:rPr>
              <w:t>Revenue</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3"/>
                <w:szCs w:val="13"/>
                <w:color w:val="auto"/>
                <w:w w:val="87"/>
              </w:rPr>
              <w:t>Price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70"/>
              <w:spacing w:after="0"/>
              <w:rPr>
                <w:sz w:val="20"/>
                <w:szCs w:val="20"/>
                <w:color w:val="auto"/>
              </w:rPr>
            </w:pPr>
            <w:r>
              <w:rPr>
                <w:rFonts w:ascii="Arial" w:cs="Arial" w:eastAsia="Arial" w:hAnsi="Arial"/>
                <w:sz w:val="13"/>
                <w:szCs w:val="13"/>
                <w:color w:val="auto"/>
                <w:w w:val="96"/>
              </w:rPr>
              <w:t>Revenue</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3"/>
                <w:szCs w:val="13"/>
                <w:color w:val="auto"/>
                <w:w w:val="87"/>
              </w:rPr>
              <w:t>Price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50"/>
              <w:spacing w:after="0"/>
              <w:rPr>
                <w:sz w:val="20"/>
                <w:szCs w:val="20"/>
                <w:color w:val="auto"/>
              </w:rPr>
            </w:pPr>
            <w:r>
              <w:rPr>
                <w:rFonts w:ascii="Arial" w:cs="Arial" w:eastAsia="Arial" w:hAnsi="Arial"/>
                <w:sz w:val="13"/>
                <w:szCs w:val="13"/>
                <w:color w:val="auto"/>
                <w:w w:val="92"/>
              </w:rPr>
              <w:t>Revenue</w:t>
            </w: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Arial" w:cs="Arial" w:eastAsia="Arial" w:hAnsi="Arial"/>
                <w:sz w:val="13"/>
                <w:szCs w:val="13"/>
                <w:color w:val="auto"/>
              </w:rPr>
              <w:t>Price</w:t>
            </w:r>
          </w:p>
        </w:tc>
        <w:tc>
          <w:tcPr>
            <w:tcW w:w="0" w:type="dxa"/>
            <w:vAlign w:val="bottom"/>
          </w:tcPr>
          <w:p>
            <w:pPr>
              <w:spacing w:after="0"/>
              <w:rPr>
                <w:sz w:val="1"/>
                <w:szCs w:val="1"/>
                <w:color w:val="auto"/>
              </w:rPr>
            </w:pPr>
          </w:p>
        </w:tc>
      </w:tr>
      <w:tr>
        <w:trPr>
          <w:trHeight w:val="171"/>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ALMONDS (lbs.)</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year crop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4,476</w:t>
            </w:r>
          </w:p>
        </w:tc>
        <w:tc>
          <w:tcPr>
            <w:tcW w:w="102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4"/>
                <w:szCs w:val="14"/>
                <w:color w:val="auto"/>
              </w:rPr>
              <w:t>1,717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2.61</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5,221</w:t>
            </w: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2,033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2.57</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91"/>
        </w:trPr>
        <w:tc>
          <w:tcPr>
            <w:tcW w:w="2040" w:type="dxa"/>
            <w:vAlign w:val="bottom"/>
          </w:tcPr>
          <w:p>
            <w:pPr>
              <w:ind w:left="20"/>
              <w:spacing w:after="0"/>
              <w:rPr>
                <w:sz w:val="20"/>
                <w:szCs w:val="20"/>
                <w:color w:val="auto"/>
              </w:rPr>
            </w:pPr>
            <w:r>
              <w:rPr>
                <w:rFonts w:ascii="Arial" w:cs="Arial" w:eastAsia="Arial" w:hAnsi="Arial"/>
                <w:sz w:val="14"/>
                <w:szCs w:val="14"/>
                <w:color w:val="auto"/>
              </w:rPr>
              <w:t>Prior crop years</w:t>
            </w: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1,234</w:t>
            </w:r>
          </w:p>
        </w:tc>
        <w:tc>
          <w:tcPr>
            <w:tcW w:w="1020" w:type="dxa"/>
            <w:vAlign w:val="bottom"/>
            <w:gridSpan w:val="2"/>
          </w:tcPr>
          <w:p>
            <w:pPr>
              <w:jc w:val="right"/>
              <w:ind w:right="56"/>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3.00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729</w:t>
            </w:r>
          </w:p>
        </w:tc>
        <w:tc>
          <w:tcPr>
            <w:tcW w:w="1020" w:type="dxa"/>
            <w:vAlign w:val="bottom"/>
            <w:gridSpan w:val="2"/>
          </w:tcPr>
          <w:p>
            <w:pPr>
              <w:jc w:val="right"/>
              <w:ind w:right="36"/>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2.31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505</w:t>
            </w:r>
          </w:p>
        </w:tc>
        <w:tc>
          <w:tcPr>
            <w:tcW w:w="1000" w:type="dxa"/>
            <w:vAlign w:val="bottom"/>
            <w:gridSpan w:val="2"/>
          </w:tcPr>
          <w:p>
            <w:pPr>
              <w:jc w:val="right"/>
              <w:ind w:right="36"/>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2"/>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Prior crop price adjustment</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40" w:type="dxa"/>
            <w:vAlign w:val="bottom"/>
          </w:tcPr>
          <w:p>
            <w:pPr>
              <w:ind w:left="20"/>
              <w:spacing w:after="0"/>
              <w:rPr>
                <w:sz w:val="20"/>
                <w:szCs w:val="20"/>
                <w:color w:val="auto"/>
              </w:rPr>
            </w:pPr>
            <w:r>
              <w:rPr>
                <w:rFonts w:ascii="Arial" w:cs="Arial" w:eastAsia="Arial" w:hAnsi="Arial"/>
                <w:sz w:val="14"/>
                <w:szCs w:val="14"/>
                <w:color w:val="auto"/>
              </w:rPr>
              <w:t>Signing bonus</w:t>
            </w: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300"/>
              <w:spacing w:after="0" w:line="203" w:lineRule="exact"/>
              <w:rPr>
                <w:sz w:val="20"/>
                <w:szCs w:val="20"/>
                <w:color w:val="auto"/>
              </w:rPr>
            </w:pPr>
            <w:r>
              <w:rPr>
                <w:rFonts w:ascii="Arial" w:cs="Arial" w:eastAsia="Arial" w:hAnsi="Arial"/>
                <w:sz w:val="14"/>
                <w:szCs w:val="14"/>
                <w:color w:val="auto"/>
              </w:rPr>
              <w:t>Subtotal Almonds</w:t>
            </w:r>
            <w:r>
              <w:rPr>
                <w:rFonts w:ascii="Arial" w:cs="Arial" w:eastAsia="Arial" w:hAnsi="Arial"/>
                <w:sz w:val="19"/>
                <w:szCs w:val="19"/>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5,744</w:t>
            </w:r>
          </w:p>
        </w:tc>
        <w:tc>
          <w:tcPr>
            <w:tcW w:w="1020" w:type="dxa"/>
            <w:vAlign w:val="bottom"/>
            <w:gridSpan w:val="2"/>
            <w:shd w:val="clear" w:color="auto" w:fill="CCEEFF"/>
          </w:tcPr>
          <w:p>
            <w:pPr>
              <w:jc w:val="right"/>
              <w:ind w:right="56"/>
              <w:spacing w:after="0"/>
              <w:rPr>
                <w:sz w:val="20"/>
                <w:szCs w:val="20"/>
                <w:color w:val="auto"/>
              </w:rPr>
            </w:pPr>
            <w:r>
              <w:rPr>
                <w:rFonts w:ascii="Arial" w:cs="Arial" w:eastAsia="Arial" w:hAnsi="Arial"/>
                <w:sz w:val="14"/>
                <w:szCs w:val="14"/>
                <w:color w:val="auto"/>
              </w:rPr>
              <w:t>2,129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2.68</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6,327</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2,348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2.53</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71"/>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PISTACHIOS (lbs.)</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year crop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7,251</w:t>
            </w:r>
          </w:p>
        </w:tc>
        <w:tc>
          <w:tcPr>
            <w:tcW w:w="102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4"/>
                <w:szCs w:val="14"/>
                <w:color w:val="auto"/>
              </w:rPr>
              <w:t>3,615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1,288</w:t>
            </w: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643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2.00</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5,963</w:t>
            </w:r>
          </w:p>
        </w:tc>
        <w:tc>
          <w:tcPr>
            <w:tcW w:w="100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2,972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91"/>
        </w:trPr>
        <w:tc>
          <w:tcPr>
            <w:tcW w:w="2040" w:type="dxa"/>
            <w:vAlign w:val="bottom"/>
          </w:tcPr>
          <w:p>
            <w:pPr>
              <w:ind w:left="20"/>
              <w:spacing w:after="0"/>
              <w:rPr>
                <w:sz w:val="20"/>
                <w:szCs w:val="20"/>
                <w:color w:val="auto"/>
              </w:rPr>
            </w:pPr>
            <w:r>
              <w:rPr>
                <w:rFonts w:ascii="Arial" w:cs="Arial" w:eastAsia="Arial" w:hAnsi="Arial"/>
                <w:sz w:val="14"/>
                <w:szCs w:val="14"/>
                <w:color w:val="auto"/>
              </w:rPr>
              <w:t>Prior crop years</w:t>
            </w: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518</w:t>
            </w:r>
          </w:p>
        </w:tc>
        <w:tc>
          <w:tcPr>
            <w:tcW w:w="1020" w:type="dxa"/>
            <w:vAlign w:val="bottom"/>
            <w:gridSpan w:val="2"/>
          </w:tcPr>
          <w:p>
            <w:pPr>
              <w:jc w:val="right"/>
              <w:ind w:right="56"/>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4.32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1,007</w:t>
            </w:r>
          </w:p>
        </w:tc>
        <w:tc>
          <w:tcPr>
            <w:tcW w:w="1020" w:type="dxa"/>
            <w:vAlign w:val="bottom"/>
            <w:gridSpan w:val="2"/>
          </w:tcPr>
          <w:p>
            <w:pPr>
              <w:jc w:val="right"/>
              <w:ind w:right="36"/>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4.08</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2"/>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Prior crop price adjustment</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1,452</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40" w:type="dxa"/>
            <w:vAlign w:val="bottom"/>
          </w:tcPr>
          <w:p>
            <w:pPr>
              <w:ind w:left="20"/>
              <w:spacing w:after="0"/>
              <w:rPr>
                <w:sz w:val="20"/>
                <w:szCs w:val="20"/>
                <w:color w:val="auto"/>
              </w:rPr>
            </w:pPr>
            <w:r>
              <w:rPr>
                <w:rFonts w:ascii="Arial" w:cs="Arial" w:eastAsia="Arial" w:hAnsi="Arial"/>
                <w:sz w:val="14"/>
                <w:szCs w:val="14"/>
                <w:color w:val="auto"/>
              </w:rPr>
              <w:t>Insurance</w:t>
            </w: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300"/>
              <w:spacing w:after="0" w:line="203" w:lineRule="exact"/>
              <w:rPr>
                <w:sz w:val="20"/>
                <w:szCs w:val="20"/>
                <w:color w:val="auto"/>
              </w:rPr>
            </w:pPr>
            <w:r>
              <w:rPr>
                <w:rFonts w:ascii="Arial" w:cs="Arial" w:eastAsia="Arial" w:hAnsi="Arial"/>
                <w:sz w:val="14"/>
                <w:szCs w:val="14"/>
                <w:color w:val="auto"/>
              </w:rPr>
              <w:t>Subtotal Pistachios</w:t>
            </w:r>
            <w:r>
              <w:rPr>
                <w:rFonts w:ascii="Arial" w:cs="Arial" w:eastAsia="Arial" w:hAnsi="Arial"/>
                <w:sz w:val="19"/>
                <w:szCs w:val="19"/>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7,880</w:t>
            </w:r>
          </w:p>
        </w:tc>
        <w:tc>
          <w:tcPr>
            <w:tcW w:w="1020" w:type="dxa"/>
            <w:vAlign w:val="bottom"/>
            <w:gridSpan w:val="2"/>
            <w:shd w:val="clear" w:color="auto" w:fill="CCEEFF"/>
          </w:tcPr>
          <w:p>
            <w:pPr>
              <w:jc w:val="right"/>
              <w:ind w:right="56"/>
              <w:spacing w:after="0"/>
              <w:rPr>
                <w:sz w:val="20"/>
                <w:szCs w:val="20"/>
                <w:color w:val="auto"/>
              </w:rPr>
            </w:pPr>
            <w:r>
              <w:rPr>
                <w:rFonts w:ascii="Arial" w:cs="Arial" w:eastAsia="Arial" w:hAnsi="Arial"/>
                <w:sz w:val="14"/>
                <w:szCs w:val="14"/>
                <w:color w:val="auto"/>
              </w:rPr>
              <w:t>3,735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2.08</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4,523</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2.58</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3,357</w:t>
            </w:r>
          </w:p>
        </w:tc>
        <w:tc>
          <w:tcPr>
            <w:tcW w:w="100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2,845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71"/>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WINE GRAPES (tons)</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year crop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3,683</w:t>
            </w:r>
          </w:p>
        </w:tc>
        <w:tc>
          <w:tcPr>
            <w:tcW w:w="102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263.07</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4,131</w:t>
            </w: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275.40</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191"/>
        </w:trPr>
        <w:tc>
          <w:tcPr>
            <w:tcW w:w="2040" w:type="dxa"/>
            <w:vAlign w:val="bottom"/>
          </w:tcPr>
          <w:p>
            <w:pPr>
              <w:ind w:left="20"/>
              <w:spacing w:after="0"/>
              <w:rPr>
                <w:sz w:val="20"/>
                <w:szCs w:val="20"/>
                <w:color w:val="auto"/>
              </w:rPr>
            </w:pPr>
            <w:r>
              <w:rPr>
                <w:rFonts w:ascii="Arial" w:cs="Arial" w:eastAsia="Arial" w:hAnsi="Arial"/>
                <w:sz w:val="14"/>
                <w:szCs w:val="14"/>
                <w:color w:val="auto"/>
              </w:rPr>
              <w:t>Insurance</w:t>
            </w: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Subtotal Wine Grapes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3,683</w:t>
            </w:r>
          </w:p>
        </w:tc>
        <w:tc>
          <w:tcPr>
            <w:tcW w:w="102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263.07</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4,131</w:t>
            </w: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275.40</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171"/>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Hay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297</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456</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40" w:type="dxa"/>
            <w:vAlign w:val="bottom"/>
          </w:tcPr>
          <w:p>
            <w:pPr>
              <w:ind w:left="20"/>
              <w:spacing w:after="0"/>
              <w:rPr>
                <w:sz w:val="20"/>
                <w:szCs w:val="20"/>
                <w:color w:val="auto"/>
              </w:rPr>
            </w:pPr>
            <w:r>
              <w:rPr>
                <w:rFonts w:ascii="Arial" w:cs="Arial" w:eastAsia="Arial" w:hAnsi="Arial"/>
                <w:sz w:val="14"/>
                <w:szCs w:val="14"/>
                <w:color w:val="auto"/>
              </w:rPr>
              <w:t>Other farming revenues</w:t>
            </w: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farming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18,563</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16,434</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2,129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80" w:hanging="54"/>
        <w:spacing w:after="0"/>
        <w:tabs>
          <w:tab w:leader="none" w:pos="80" w:val="left"/>
        </w:tabs>
        <w:numPr>
          <w:ilvl w:val="0"/>
          <w:numId w:val="21"/>
        </w:numPr>
        <w:rPr>
          <w:rFonts w:ascii="Arial" w:cs="Arial" w:eastAsia="Arial" w:hAnsi="Arial"/>
          <w:sz w:val="7"/>
          <w:szCs w:val="7"/>
          <w:color w:val="auto"/>
        </w:rPr>
      </w:pPr>
      <w:r>
        <w:rPr>
          <w:rFonts w:ascii="Arial" w:cs="Arial" w:eastAsia="Arial" w:hAnsi="Arial"/>
          <w:sz w:val="11"/>
          <w:szCs w:val="11"/>
          <w:color w:val="auto"/>
        </w:rPr>
        <w:t>Average price calculation reflects sale of almond and pistachio crops during the calendar reported year exclusive of any price adjustments.</w:t>
      </w:r>
    </w:p>
    <w:p>
      <w:pPr>
        <w:spacing w:after="0" w:line="32" w:lineRule="exact"/>
        <w:rPr>
          <w:rFonts w:ascii="Arial" w:cs="Arial" w:eastAsia="Arial" w:hAnsi="Arial"/>
          <w:sz w:val="7"/>
          <w:szCs w:val="7"/>
          <w:color w:val="auto"/>
        </w:rPr>
      </w:pPr>
    </w:p>
    <w:p>
      <w:pPr>
        <w:ind w:left="20"/>
        <w:spacing w:after="0"/>
        <w:rPr>
          <w:rFonts w:ascii="Arial" w:cs="Arial" w:eastAsia="Arial" w:hAnsi="Arial"/>
          <w:sz w:val="7"/>
          <w:szCs w:val="7"/>
          <w:color w:val="auto"/>
        </w:rPr>
      </w:pPr>
      <w:r>
        <w:rPr>
          <w:rFonts w:ascii="Arial" w:cs="Arial" w:eastAsia="Arial" w:hAnsi="Arial"/>
          <w:sz w:val="7"/>
          <w:szCs w:val="7"/>
          <w:color w:val="auto"/>
        </w:rPr>
        <w:t xml:space="preserve">2 </w:t>
      </w:r>
      <w:r>
        <w:rPr>
          <w:rFonts w:ascii="Arial" w:cs="Arial" w:eastAsia="Arial" w:hAnsi="Arial"/>
          <w:sz w:val="11"/>
          <w:szCs w:val="11"/>
          <w:color w:val="auto"/>
        </w:rPr>
        <w:t>Almond and pistachio units are presented in thousands of pounds while wine grapes are presented in thousands of tons.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2018 Operational Highlights:</w:t>
      </w:r>
    </w:p>
    <w:p>
      <w:pPr>
        <w:spacing w:after="0" w:line="140" w:lineRule="exact"/>
        <w:rPr>
          <w:sz w:val="20"/>
          <w:szCs w:val="20"/>
          <w:color w:val="auto"/>
        </w:rPr>
      </w:pPr>
    </w:p>
    <w:p>
      <w:pPr>
        <w:ind w:left="520" w:right="220" w:hanging="260"/>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During 2018, farming revenues increased $2,129,000, or 13%, from $16,434,000 in 2017 to $18,563,000 in 2018. When compared to 2017, pistachio revenues increased $3,357,000 from record high pistachio yields.</w:t>
      </w:r>
    </w:p>
    <w:p>
      <w:pPr>
        <w:spacing w:after="0" w:line="89" w:lineRule="exact"/>
        <w:rPr>
          <w:rFonts w:ascii="Arial" w:cs="Arial" w:eastAsia="Arial" w:hAnsi="Arial"/>
          <w:sz w:val="14"/>
          <w:szCs w:val="14"/>
          <w:color w:val="auto"/>
        </w:rPr>
      </w:pPr>
    </w:p>
    <w:p>
      <w:pPr>
        <w:ind w:left="520" w:right="80" w:hanging="260"/>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Almond revenues decreased $583,000 due to lower almond crop yields that were driven by a combination of unfavorable weather conditions and a 165 acre reduction in the number of acres in production. The reduction was the result of the Company's decision to redevelop existing almond units.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Farming expenses decreased $173,000, or 1%, to $16,028,000 when compared to $16,201,000 in 2017. The decrease was primarily attributed to reduced cost allocations to all crops.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422" w:right="319" w:bottom="1440" w:gutter="0" w:footer="0" w:header="0"/>
        </w:sectPr>
      </w:pPr>
    </w:p>
    <w:bookmarkStart w:id="45" w:name="page46"/>
    <w:bookmarkEnd w:id="45"/>
    <w:p>
      <w:pPr>
        <w:spacing w:after="0" w:line="260" w:lineRule="auto"/>
        <w:rPr>
          <w:sz w:val="20"/>
          <w:szCs w:val="20"/>
          <w:color w:val="auto"/>
        </w:rPr>
      </w:pPr>
      <w:r>
        <w:rPr>
          <w:rFonts w:ascii="Arial" w:cs="Arial" w:eastAsia="Arial" w:hAnsi="Arial"/>
          <w:sz w:val="14"/>
          <w:szCs w:val="14"/>
          <w:color w:val="auto"/>
        </w:rPr>
        <w:t>Thus far in 2020, the prices for our crops, especially almonds and pistachios, remain consistent with 2019 levels. All of our crops are sensitive to global crop production levels. Large crops in California and abroad can depress prices. Our long-term projection is that crop production, especially for almonds and pistachios will continue to increase on a statewide basis over time because of new plantings, which could negatively impact future prices if the growth in demand does not keep pace with production. It is too early to project 2020 crop yields and what impact that may have on prices later in 2020. Additionally, the coronavirus outbreak may disrupt the flow of trade associated with our crops. It is currently too early to determine what impact, if any, the coronavirus may have on the almond and pistachio industry.</w:t>
      </w:r>
    </w:p>
    <w:p>
      <w:pPr>
        <w:spacing w:after="0" w:line="10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impact of state ground water management laws on new plantings and continuing crop production is also currently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in 2020 and beyond. Please see our discussion on water in Item 2, "Properties - Water Operations."</w:t>
      </w:r>
    </w:p>
    <w:p>
      <w:pPr>
        <w:spacing w:after="0" w:line="103"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DWR announced its 2020 estimated water supply delivery at 15% of full entitlement. The current 15% allocation of SWP water is not enough for us to farm our crops, but our additional water resources, such as groundwater and surface sources, and those of the water districts we are in should allow us to have sufficient water for our farming needs. See Note 6 (Long-Term Water Assets) of the Notes to Consolidated Financial Statements for additional information regarding our water assets.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For further discussion of the farming operations, refer to Item 1 “Business—Farming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Ranch Operations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72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0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7200" w:type="dxa"/>
            <w:vAlign w:val="bottom"/>
            <w:vMerge w:val="restart"/>
          </w:tcPr>
          <w:p>
            <w:pPr>
              <w:ind w:left="20"/>
              <w:spacing w:after="0"/>
              <w:rPr>
                <w:sz w:val="20"/>
                <w:szCs w:val="20"/>
                <w:color w:val="auto"/>
              </w:rPr>
            </w:pPr>
            <w:r>
              <w:rPr>
                <w:rFonts w:ascii="Arial" w:cs="Arial" w:eastAsia="Arial" w:hAnsi="Arial"/>
                <w:sz w:val="14"/>
                <w:szCs w:val="14"/>
                <w:color w:val="auto"/>
              </w:rPr>
              <w:t>Ranch operations revenue</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7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200" w:type="dxa"/>
            <w:vAlign w:val="bottom"/>
            <w:shd w:val="clear" w:color="auto" w:fill="CCEEFF"/>
          </w:tcPr>
          <w:p>
            <w:pPr>
              <w:ind w:left="200"/>
              <w:spacing w:after="0" w:line="213" w:lineRule="exact"/>
              <w:rPr>
                <w:sz w:val="20"/>
                <w:szCs w:val="20"/>
                <w:color w:val="auto"/>
              </w:rPr>
            </w:pPr>
            <w:r>
              <w:rPr>
                <w:rFonts w:ascii="Arial" w:cs="Arial" w:eastAsia="Arial" w:hAnsi="Arial"/>
                <w:sz w:val="14"/>
                <w:szCs w:val="14"/>
                <w:color w:val="auto"/>
              </w:rPr>
              <w:t xml:space="preserve">Game management and other </w:t>
            </w:r>
            <w:r>
              <w:rPr>
                <w:rFonts w:ascii="Arial" w:cs="Arial" w:eastAsia="Arial" w:hAnsi="Arial"/>
                <w:sz w:val="19"/>
                <w:szCs w:val="19"/>
                <w:color w:val="auto"/>
                <w:vertAlign w:val="superscript"/>
              </w:rPr>
              <w:t>1</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91"/>
        </w:trPr>
        <w:tc>
          <w:tcPr>
            <w:tcW w:w="7200" w:type="dxa"/>
            <w:vAlign w:val="bottom"/>
          </w:tcPr>
          <w:p>
            <w:pPr>
              <w:ind w:left="200"/>
              <w:spacing w:after="0"/>
              <w:rPr>
                <w:sz w:val="20"/>
                <w:szCs w:val="20"/>
                <w:color w:val="auto"/>
              </w:rPr>
            </w:pPr>
            <w:r>
              <w:rPr>
                <w:rFonts w:ascii="Arial" w:cs="Arial" w:eastAsia="Arial" w:hAnsi="Arial"/>
                <w:sz w:val="14"/>
                <w:szCs w:val="14"/>
                <w:color w:val="auto"/>
              </w:rPr>
              <w:t>Grazing</w:t>
            </w:r>
          </w:p>
        </w:tc>
        <w:tc>
          <w:tcPr>
            <w:tcW w:w="30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1,589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1,520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ranch operations revenues</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3,609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3,691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3,837</w:t>
            </w:r>
          </w:p>
        </w:tc>
        <w:tc>
          <w:tcPr>
            <w:tcW w:w="0" w:type="dxa"/>
            <w:vAlign w:val="bottom"/>
          </w:tcPr>
          <w:p>
            <w:pPr>
              <w:spacing w:after="0"/>
              <w:rPr>
                <w:sz w:val="1"/>
                <w:szCs w:val="1"/>
                <w:color w:val="auto"/>
              </w:rPr>
            </w:pPr>
          </w:p>
        </w:tc>
      </w:tr>
      <w:tr>
        <w:trPr>
          <w:trHeight w:val="181"/>
        </w:trPr>
        <w:tc>
          <w:tcPr>
            <w:tcW w:w="7200" w:type="dxa"/>
            <w:vAlign w:val="bottom"/>
          </w:tcPr>
          <w:p>
            <w:pPr>
              <w:ind w:left="20"/>
              <w:spacing w:after="0"/>
              <w:rPr>
                <w:sz w:val="20"/>
                <w:szCs w:val="20"/>
                <w:color w:val="auto"/>
              </w:rPr>
            </w:pPr>
            <w:r>
              <w:rPr>
                <w:rFonts w:ascii="Arial" w:cs="Arial" w:eastAsia="Arial" w:hAnsi="Arial"/>
                <w:sz w:val="14"/>
                <w:szCs w:val="14"/>
                <w:color w:val="auto"/>
              </w:rPr>
              <w:t>Total ranch operations expenses</w:t>
            </w: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5,316</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5,451</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5,411</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loss from ranch operations</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20"/>
        </w:trPr>
        <w:tc>
          <w:tcPr>
            <w:tcW w:w="7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40" w:hanging="87"/>
        <w:spacing w:after="0" w:line="190" w:lineRule="auto"/>
        <w:tabs>
          <w:tab w:leader="none" w:pos="140" w:val="left"/>
        </w:tabs>
        <w:numPr>
          <w:ilvl w:val="0"/>
          <w:numId w:val="23"/>
        </w:numPr>
        <w:rPr>
          <w:rFonts w:ascii="Arial" w:cs="Arial" w:eastAsia="Arial" w:hAnsi="Arial"/>
          <w:sz w:val="20"/>
          <w:szCs w:val="20"/>
          <w:color w:val="auto"/>
          <w:vertAlign w:val="superscript"/>
        </w:rPr>
      </w:pPr>
      <w:r>
        <w:rPr>
          <w:rFonts w:ascii="Arial" w:cs="Arial" w:eastAsia="Arial" w:hAnsi="Arial"/>
          <w:sz w:val="11"/>
          <w:szCs w:val="11"/>
          <w:color w:val="auto"/>
        </w:rPr>
        <w:t>Game management and other revenues consist of revenues from hunting, filming, high desert hunt club (a premier upland bird hunting club), and other ancillary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-107950</wp:posOffset>
            </wp:positionV>
            <wp:extent cx="256032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0320" cy="698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 Operational Highlights:</w:t>
      </w:r>
    </w:p>
    <w:p>
      <w:pPr>
        <w:spacing w:after="0" w:line="140" w:lineRule="exact"/>
        <w:rPr>
          <w:sz w:val="20"/>
          <w:szCs w:val="20"/>
          <w:color w:val="auto"/>
        </w:rPr>
      </w:pPr>
    </w:p>
    <w:p>
      <w:pPr>
        <w:ind w:left="520" w:right="520" w:hanging="260"/>
        <w:spacing w:after="0" w:line="28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Revenues from ranch operations decreased $82,000, or 2%, from $3,691,000 in 2018 to $3,609,000 in 2019. The decrease is primarily attributed to reduced membership revenues of $143,000, partially offset by an increase in grazing lease revenues of $69,000.</w:t>
      </w:r>
    </w:p>
    <w:p>
      <w:pPr>
        <w:spacing w:after="0" w:line="89"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Ranch operations expenses decreased $135,000, or 2%, to $5,316,000 in 2019 from $5,451,000 in 2018. The decrease was mainly attributed to reduced payroll expense of $183,000, partially offset by an increase in repair and maintenance expense of $49,000.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2018 Operational Highlights:</w:t>
      </w:r>
    </w:p>
    <w:p>
      <w:pPr>
        <w:spacing w:after="0" w:line="140" w:lineRule="exact"/>
        <w:rPr>
          <w:sz w:val="20"/>
          <w:szCs w:val="20"/>
          <w:color w:val="auto"/>
        </w:rPr>
      </w:pPr>
    </w:p>
    <w:p>
      <w:pPr>
        <w:ind w:left="520" w:right="400" w:hanging="260"/>
        <w:spacing w:after="0" w:line="281"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Revenues from ranch operations decreased $146,000, or 4%, from $3,837,000 in 2017 to $3,691,000 in 2018. The decrease is primarily attributed to reduced grazing lease revenues of $157,000.</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Ranch operations expenses increased $40,000, or 1%, to $5,451,000 in 2018 from $5,411,000 in 2017. The increase was mainly attributed to an increase in property taxes of $34,000.</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Other Income</w:t>
      </w:r>
    </w:p>
    <w:p>
      <w:pPr>
        <w:spacing w:after="0" w:line="140" w:lineRule="exact"/>
        <w:rPr>
          <w:sz w:val="20"/>
          <w:szCs w:val="20"/>
          <w:color w:val="auto"/>
        </w:rPr>
      </w:pPr>
    </w:p>
    <w:p>
      <w:pPr>
        <w:ind w:right="580"/>
        <w:spacing w:after="0" w:line="281" w:lineRule="auto"/>
        <w:rPr>
          <w:sz w:val="20"/>
          <w:szCs w:val="20"/>
          <w:color w:val="auto"/>
        </w:rPr>
      </w:pPr>
      <w:r>
        <w:rPr>
          <w:rFonts w:ascii="Arial" w:cs="Arial" w:eastAsia="Arial" w:hAnsi="Arial"/>
          <w:sz w:val="14"/>
          <w:szCs w:val="14"/>
          <w:color w:val="auto"/>
        </w:rPr>
        <w:t>Total other income decreased $1,870,000, or 146%, from $1,285,000 in 2018 to a loss of $585,000 in 2019. This was mainly attributable to asset abandonment costs of $1,604,000 that were overwhelmingly related to the abandonment of a wine grape vineyard, consisting of 313 acres, that will no longer be farmed.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60"/>
          </w:cols>
          <w:pgMar w:left="300" w:top="426" w:right="339" w:bottom="1440" w:gutter="0" w:footer="0" w:header="0"/>
        </w:sectPr>
      </w:pPr>
    </w:p>
    <w:bookmarkStart w:id="46" w:name="page47"/>
    <w:bookmarkEnd w:id="46"/>
    <w:p>
      <w:pPr>
        <w:ind w:right="440"/>
        <w:spacing w:after="0" w:line="281" w:lineRule="auto"/>
        <w:rPr>
          <w:sz w:val="20"/>
          <w:szCs w:val="20"/>
          <w:color w:val="auto"/>
        </w:rPr>
      </w:pPr>
      <w:r>
        <w:rPr>
          <w:rFonts w:ascii="Arial" w:cs="Arial" w:eastAsia="Arial" w:hAnsi="Arial"/>
          <w:sz w:val="14"/>
          <w:szCs w:val="14"/>
          <w:color w:val="auto"/>
        </w:rPr>
        <w:t>Total other income increased $1,098,000 to $1,285,000, or 587%, during 2018 from $187,000 in 2017. In October of 2017, the Company invested a majority of its rights offering proceeds into marketable securities which contributed to an increase in interest income.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Corporate Expenses</w:t>
      </w:r>
    </w:p>
    <w:p>
      <w:pPr>
        <w:spacing w:after="0" w:line="140"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Corporate general and administrative costs decreased $344,000, or 3.5%, to $9,361,000 during 2019 when compared to $9,705,000 in 2018. The decrease was primarily attributable to a decrease in depreciation and amortization of $231,000 and software licenses of $149,000.</w:t>
      </w:r>
    </w:p>
    <w:p>
      <w:pPr>
        <w:spacing w:after="0" w:line="90"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Corporate general and administrative costs decreased $8,000, or 0.1%, to $9,705,000 during 2018 when compared to $9,713,000 in 2017. We managed to maintain cost savings during 2018 following the staff rightsizing that occurred during the second quarter of 2017.</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Equity in Earnings of Unconsolidated Joint Ventures</w:t>
      </w:r>
    </w:p>
    <w:p>
      <w:pPr>
        <w:spacing w:after="0" w:line="140" w:lineRule="exact"/>
        <w:rPr>
          <w:sz w:val="20"/>
          <w:szCs w:val="20"/>
          <w:color w:val="auto"/>
        </w:rPr>
      </w:pPr>
    </w:p>
    <w:p>
      <w:pPr>
        <w:jc w:val="both"/>
        <w:ind w:right="500"/>
        <w:spacing w:after="0" w:line="267" w:lineRule="auto"/>
        <w:rPr>
          <w:sz w:val="20"/>
          <w:szCs w:val="20"/>
          <w:color w:val="auto"/>
        </w:rPr>
      </w:pPr>
      <w:r>
        <w:rPr>
          <w:rFonts w:ascii="Arial" w:cs="Arial" w:eastAsia="Arial" w:hAnsi="Arial"/>
          <w:sz w:val="14"/>
          <w:szCs w:val="14"/>
          <w:color w:val="auto"/>
        </w:rPr>
        <w:t>Equity in earnings of unconsolidated joint ventures is an important and growing component of our commercial/industrial activities and in the future, equity in earnings of unconsolidated joint ventures can become a significant part of our operations within the resort/residential segment. As we expand our current ventures and add new joint ventures, these investments will become a growing revenue source for the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tcPr>
          <w:p>
            <w:pPr>
              <w:spacing w:after="0"/>
              <w:rPr>
                <w:sz w:val="15"/>
                <w:szCs w:val="15"/>
                <w:color w:val="auto"/>
              </w:rPr>
            </w:pPr>
          </w:p>
        </w:tc>
        <w:tc>
          <w:tcPr>
            <w:tcW w:w="800" w:type="dxa"/>
            <w:vAlign w:val="bottom"/>
          </w:tcPr>
          <w:p>
            <w:pPr>
              <w:jc w:val="right"/>
              <w:ind w:right="28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8020" w:type="dxa"/>
            <w:vAlign w:val="bottom"/>
            <w:vMerge w:val="restart"/>
          </w:tcPr>
          <w:p>
            <w:pPr>
              <w:ind w:left="20"/>
              <w:spacing w:after="0"/>
              <w:rPr>
                <w:sz w:val="20"/>
                <w:szCs w:val="20"/>
                <w:color w:val="auto"/>
              </w:rPr>
            </w:pPr>
            <w:r>
              <w:rPr>
                <w:rFonts w:ascii="Arial" w:cs="Arial" w:eastAsia="Arial" w:hAnsi="Arial"/>
                <w:sz w:val="14"/>
                <w:szCs w:val="14"/>
                <w:color w:val="auto"/>
              </w:rPr>
              <w:t>Equity in earnings (loss)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8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Petro Travel Plaza Holdings, LLC</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8,810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5,803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6,251</w:t>
            </w:r>
          </w:p>
        </w:tc>
        <w:tc>
          <w:tcPr>
            <w:tcW w:w="0" w:type="dxa"/>
            <w:vAlign w:val="bottom"/>
          </w:tcPr>
          <w:p>
            <w:pPr>
              <w:spacing w:after="0"/>
              <w:rPr>
                <w:sz w:val="1"/>
                <w:szCs w:val="1"/>
                <w:color w:val="auto"/>
              </w:rPr>
            </w:pPr>
          </w:p>
        </w:tc>
      </w:tr>
      <w:tr>
        <w:trPr>
          <w:trHeight w:val="191"/>
        </w:trPr>
        <w:tc>
          <w:tcPr>
            <w:tcW w:w="8020" w:type="dxa"/>
            <w:vAlign w:val="bottom"/>
          </w:tcPr>
          <w:p>
            <w:pPr>
              <w:ind w:left="220"/>
              <w:spacing w:after="0"/>
              <w:rPr>
                <w:sz w:val="20"/>
                <w:szCs w:val="20"/>
                <w:color w:val="auto"/>
              </w:rPr>
            </w:pPr>
            <w:r>
              <w:rPr>
                <w:rFonts w:ascii="Arial" w:cs="Arial" w:eastAsia="Arial" w:hAnsi="Arial"/>
                <w:sz w:val="14"/>
                <w:szCs w:val="14"/>
                <w:color w:val="auto"/>
              </w:rPr>
              <w:t>Five West Parcel, LLC</w:t>
            </w:r>
          </w:p>
        </w:tc>
        <w:tc>
          <w:tcPr>
            <w:tcW w:w="2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9,119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18-19 West, LLC</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1"/>
        </w:trPr>
        <w:tc>
          <w:tcPr>
            <w:tcW w:w="8020" w:type="dxa"/>
            <w:vAlign w:val="bottom"/>
          </w:tcPr>
          <w:p>
            <w:pPr>
              <w:ind w:left="220"/>
              <w:spacing w:after="0"/>
              <w:rPr>
                <w:sz w:val="20"/>
                <w:szCs w:val="20"/>
                <w:color w:val="auto"/>
              </w:rPr>
            </w:pPr>
            <w:r>
              <w:rPr>
                <w:rFonts w:ascii="Arial" w:cs="Arial" w:eastAsia="Arial" w:hAnsi="Arial"/>
                <w:sz w:val="14"/>
                <w:szCs w:val="14"/>
                <w:color w:val="auto"/>
              </w:rPr>
              <w:t>TRCC/Rock Outlet Center, LLC</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TRC-MRC 1, LLC</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1"/>
        </w:trPr>
        <w:tc>
          <w:tcPr>
            <w:tcW w:w="8020" w:type="dxa"/>
            <w:vAlign w:val="bottom"/>
          </w:tcPr>
          <w:p>
            <w:pPr>
              <w:ind w:left="220"/>
              <w:spacing w:after="0"/>
              <w:rPr>
                <w:sz w:val="20"/>
                <w:szCs w:val="20"/>
                <w:color w:val="auto"/>
              </w:rPr>
            </w:pPr>
            <w:r>
              <w:rPr>
                <w:rFonts w:ascii="Arial" w:cs="Arial" w:eastAsia="Arial" w:hAnsi="Arial"/>
                <w:sz w:val="14"/>
                <w:szCs w:val="14"/>
                <w:color w:val="auto"/>
              </w:rPr>
              <w:t>TRC-MRC 2, LLC</w:t>
            </w:r>
          </w:p>
        </w:tc>
        <w:tc>
          <w:tcPr>
            <w:tcW w:w="2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TRC-MRC 3, LLC</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020" w:type="dxa"/>
            <w:vAlign w:val="bottom"/>
          </w:tcPr>
          <w:p>
            <w:pPr>
              <w:ind w:left="20"/>
              <w:spacing w:after="0"/>
              <w:rPr>
                <w:sz w:val="20"/>
                <w:szCs w:val="20"/>
                <w:color w:val="auto"/>
              </w:rPr>
            </w:pPr>
            <w:r>
              <w:rPr>
                <w:rFonts w:ascii="Arial" w:cs="Arial" w:eastAsia="Arial" w:hAnsi="Arial"/>
                <w:sz w:val="14"/>
                <w:szCs w:val="14"/>
                <w:color w:val="auto"/>
              </w:rPr>
              <w:t>Equity in earnings of unconsolidated joint ventures, net</w:t>
            </w: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16,575</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3,834</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2019 Operational Highlights: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During 2019, equity in earnings from unconsolidated joint ventures increased $12,741,000 to $16,575,000 when compared to $3,834,000 in 2018.</w:t>
      </w:r>
    </w:p>
    <w:p>
      <w:pPr>
        <w:spacing w:after="0" w:line="72" w:lineRule="exact"/>
        <w:rPr>
          <w:sz w:val="20"/>
          <w:szCs w:val="20"/>
          <w:color w:val="auto"/>
        </w:rPr>
      </w:pPr>
    </w:p>
    <w:p>
      <w:pPr>
        <w:ind w:left="520" w:right="180" w:hanging="260"/>
        <w:spacing w:after="0" w:line="267"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Five West Parcel, LLC had the most significant increase in equity in earnings at $8,730,000, resulting from the gain on sale of a building and land previously held by the joint venture. The joint venture had owned and leased a 606,000 square foot building, the joint venture's primary asset, to Dollar General, and the building was sold to a third party in November 2019 for a purchase price of $29,088,000, realizing a gain of $17,537,000 at the joint venture level.</w:t>
      </w:r>
    </w:p>
    <w:p>
      <w:pPr>
        <w:spacing w:after="0" w:line="35" w:lineRule="exact"/>
        <w:rPr>
          <w:rFonts w:ascii="Arial" w:cs="Arial" w:eastAsia="Arial" w:hAnsi="Arial"/>
          <w:sz w:val="14"/>
          <w:szCs w:val="14"/>
          <w:color w:val="auto"/>
        </w:rPr>
      </w:pPr>
    </w:p>
    <w:p>
      <w:pPr>
        <w:ind w:left="520" w:right="120" w:hanging="260"/>
        <w:spacing w:after="0" w:line="28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There was a $3,007,000 increase in our share of earnings from our TA/Petro joint venture. The improvement was mainly driven by a 38% increase in fuel margins resulting from lower cost of fuel sales when compared to the prior year.</w:t>
      </w:r>
    </w:p>
    <w:p>
      <w:pPr>
        <w:spacing w:after="0" w:line="26" w:lineRule="exact"/>
        <w:rPr>
          <w:rFonts w:ascii="Arial" w:cs="Arial" w:eastAsia="Arial" w:hAnsi="Arial"/>
          <w:sz w:val="14"/>
          <w:szCs w:val="14"/>
          <w:color w:val="auto"/>
        </w:rPr>
      </w:pPr>
    </w:p>
    <w:p>
      <w:pPr>
        <w:ind w:left="520" w:right="20" w:hanging="260"/>
        <w:spacing w:after="0" w:line="267"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share of the loss within the TRCC/Rock Outlet joint venture decreased $402,000 due to the continuing improvement in average sales per vehicle. In addition, the joint venture also had less accelerated amortization on tenant allowances in 2019. The Outlets at Tejon is continually identifying new and desirable tenants to better serve a wider demographic. In 2019, the Outlets at Tejon attracted new tenants such as The Children's Place and Cosmetics Company Store.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426" w:right="319" w:bottom="1440" w:gutter="0" w:footer="0" w:header="0"/>
        </w:sectPr>
      </w:pPr>
    </w:p>
    <w:bookmarkStart w:id="47" w:name="page48"/>
    <w:bookmarkEnd w:id="47"/>
    <w:p>
      <w:pPr>
        <w:ind w:left="40"/>
        <w:spacing w:after="0"/>
        <w:rPr>
          <w:sz w:val="20"/>
          <w:szCs w:val="20"/>
          <w:color w:val="auto"/>
        </w:rPr>
      </w:pPr>
      <w:r>
        <w:rPr>
          <w:rFonts w:ascii="Arial" w:cs="Arial" w:eastAsia="Arial" w:hAnsi="Arial"/>
          <w:sz w:val="14"/>
          <w:szCs w:val="14"/>
          <w:b w:val="1"/>
          <w:bCs w:val="1"/>
          <w:color w:val="auto"/>
        </w:rPr>
        <w:t>2018 Operational Highlights: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During 2018, equity in earnings from unconsolidated joint ventures decreased $393,000 to $3,834,000 when compared to $4,227,000 in 2017.</w:t>
      </w:r>
    </w:p>
    <w:p>
      <w:pPr>
        <w:spacing w:after="0" w:line="72" w:lineRule="exact"/>
        <w:rPr>
          <w:sz w:val="20"/>
          <w:szCs w:val="20"/>
          <w:color w:val="auto"/>
        </w:rPr>
      </w:pPr>
    </w:p>
    <w:p>
      <w:pPr>
        <w:ind w:left="520" w:right="180" w:hanging="260"/>
        <w:spacing w:after="0" w:line="331" w:lineRule="auto"/>
        <w:tabs>
          <w:tab w:leader="none" w:pos="5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Despite seeing a 3.7% increase in sales per occupied square foot and an 8.3% increase in monthly sales per vehicle, equity in earnings from our TRCC/Rock Outlet joint venture decreased $1,150,000 compared to 2017. The decrease was primarily attributed to accelerating amortization of lease intangibles driven by removing poor performing tenants along with modifying lease terms to reflect the brick and mortar retail environment at the time. In 2018, the Outlets at Tejon attracted new tenants such as Kate Spade, Bath and Body Works, and Journeys.</w:t>
      </w:r>
    </w:p>
    <w:p>
      <w:pPr>
        <w:spacing w:after="0" w:line="1" w:lineRule="exact"/>
        <w:rPr>
          <w:rFonts w:ascii="Arial" w:cs="Arial" w:eastAsia="Arial" w:hAnsi="Arial"/>
          <w:sz w:val="12"/>
          <w:szCs w:val="12"/>
          <w:color w:val="auto"/>
        </w:rPr>
      </w:pPr>
    </w:p>
    <w:p>
      <w:pPr>
        <w:ind w:left="520" w:hanging="260"/>
        <w:spacing w:after="0"/>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There was a $448,000 decrease in our share of earnings from our TA/Petro joint venture. The decline was driven by lower fuel margins of 6.7% when compared to the prior year.</w:t>
      </w:r>
    </w:p>
    <w:p>
      <w:pPr>
        <w:spacing w:after="0" w:line="83" w:lineRule="exact"/>
        <w:rPr>
          <w:rFonts w:ascii="Arial" w:cs="Arial" w:eastAsia="Arial" w:hAnsi="Arial"/>
          <w:sz w:val="13"/>
          <w:szCs w:val="13"/>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incurred a $250,000 loss on our TRC-MRC 1 joint venture due to the fact that it was not fully occupied until the fourth quarter of 2018.</w:t>
      </w:r>
    </w:p>
    <w:p>
      <w:pPr>
        <w:spacing w:after="0" w:line="72"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above decreases in equity in earnings were partially offset by an increase in equity in earnings of TRC-MRC 2, a joint venture formed with Majestic in 2016. Equity in earnings improved $1,518,000 in 2018 given that throughout 2017, TRC-MRC 2 incurred significant non-cash GAAP accounting losses that did not reoccur in 2018.</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Income Taxes</w:t>
      </w:r>
    </w:p>
    <w:p>
      <w:pPr>
        <w:spacing w:after="0" w:line="14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On December 22, 2017, the U.S. government enacted comprehensive tax legislation commonly referred to as U.S. Tax Reform. U.S. Tax Reform made broad and complex changes to the U.S. tax code, including, but not limited to, (i) reducing the U.S. federal statutory tax rate from 35% to 21%; (ii) requiring companies to pay a one-time transition tax on certain unrepatriated earnings of foreign subsidiaries; (iii) generally eliminating U.S. federal income taxes on dividends from foreign subsidiaries; (iv) requiring a current inclusion in U.S. federal taxable income of certain earnings of controlled foreign corporations; (v) eliminating the corporate alternative minimum tax (AMT) and changing how existing AMT credits can be realized; (vi) creating the base erosion anti-abuse tax, a new minimum tax; (vii) creating a new limitation on deductible interest expense; (viii) changing rules related to uses and limitations of net operating loss carryforwards created in tax years beginning after December 31, 2017, and (ix) modifying the officer’s compensation limitation.</w:t>
      </w:r>
    </w:p>
    <w:p>
      <w:pPr>
        <w:spacing w:after="0" w:line="150"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The provision for income taxes for fiscal year 2017 included a $54,000 estimated tax expense as a result of the revaluation of U.S. federal net deferred tax assets from 34% to 21% due to the enactment of U.S. Tax Reform. During 2018, the Company completed its analysis of the impacts of the U.S. Tax Reform and no additional expense was warranted. Other provisions of the U.S. Tax Reform did not have a material effect on our effective tax rate for 2018.</w:t>
      </w:r>
    </w:p>
    <w:p>
      <w:pPr>
        <w:spacing w:after="0" w:line="99"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For the twelve months ended December 31, 2019, the Company's net income tax expense was $3,980,000 compared to a net income tax expense of $1,320,000 for the twelve months ended December 31, 2018. These represent effective income tax rates of approximately 27% and 24% for the twelve months ended December 31, 2019 and, 2018, respectively. Our effective income tax rate for the year ended December 31, 2019 was higher than the federal statutory rate in the United States, a result of state taxes and other permanent differences. As of December 31, 2019 and 2018 we had an income tax receivable of $856,000 and $277,000, respectively. For more detail, see Note 12. (Income Taxes), of the Notes to Consolidated Financial Statements, included this Annual Report on Form 10-K.</w:t>
      </w:r>
    </w:p>
    <w:p>
      <w:pPr>
        <w:spacing w:after="0" w:line="104"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As of December 31, 2019, we had net deferred tax assets of $713,000. Our largest deferred tax assets were made up of temporary differences related to the capitalization of costs, pension adjustments, and stock compensation. Deferred tax liabilities consist of depreciation, deferred gains, cost of sale allocations, and straight-line rent. Due to the nature of most of our deferred tax assets, we believe they will be used in future years and an allowance is not necessary.</w:t>
      </w:r>
    </w:p>
    <w:p>
      <w:pPr>
        <w:spacing w:after="0" w:line="99"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Company classifies interest and penalties incurred on tax payments as income tax expenses. The Company made income tax payments of $4,645,000 during 2019 and did not make any payments in 2018. The Company received refunds of $1,345,000 in 2019 and $164,000 in 2018.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422"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006EBF"/>
        </w:rPr>
        <w:t>Liquidity and Capital Resources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Cash Flow and Liquidity</w:t>
      </w:r>
    </w:p>
    <w:p>
      <w:pPr>
        <w:spacing w:after="0" w:line="140"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82"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To enhance shareholder value, we will continue to make investments in our real estate segments to secure land entitlement approvals, build infrastructure for our developments, ensure adequate future water supplies, and provide funds for general land development activities. Within our farming segment, we will make investments as needed to improve efficiency and add capacity to its operations when it is profitable to do so.</w:t>
      </w:r>
    </w:p>
    <w:p>
      <w:pPr>
        <w:spacing w:after="0" w:line="99" w:lineRule="exact"/>
        <w:rPr>
          <w:sz w:val="20"/>
          <w:szCs w:val="20"/>
          <w:color w:val="auto"/>
        </w:rPr>
      </w:pPr>
    </w:p>
    <w:p>
      <w:pPr>
        <w:jc w:val="both"/>
        <w:ind w:right="140"/>
        <w:spacing w:after="0" w:line="331" w:lineRule="auto"/>
        <w:rPr>
          <w:sz w:val="20"/>
          <w:szCs w:val="20"/>
          <w:color w:val="auto"/>
        </w:rPr>
      </w:pPr>
      <w:r>
        <w:rPr>
          <w:rFonts w:ascii="Arial" w:cs="Arial" w:eastAsia="Arial" w:hAnsi="Arial"/>
          <w:sz w:val="12"/>
          <w:szCs w:val="12"/>
          <w:color w:val="auto"/>
        </w:rPr>
        <w:t>On October 4, 2017, the Company commenced a rights offering to common shareholders for additional working capital for general corporate purposes, including to fund general infrastructure costs and the development of buildings at TRCC, to continue forward with entitlement and permitting programs for the Centennial and Grapevine communities and costs related to the preparation of the development of MV. The rights offering concluded on October 27, 2017, with the Company raising $89,701,000, net of offering costs, from the sale of 5,000,000 shares at $18.00 per share.</w:t>
      </w:r>
    </w:p>
    <w:p>
      <w:pPr>
        <w:spacing w:after="0" w:line="66" w:lineRule="exact"/>
        <w:rPr>
          <w:sz w:val="20"/>
          <w:szCs w:val="20"/>
          <w:color w:val="auto"/>
        </w:rPr>
      </w:pPr>
    </w:p>
    <w:p>
      <w:pPr>
        <w:jc w:val="both"/>
        <w:ind w:right="160"/>
        <w:spacing w:after="0" w:line="281" w:lineRule="auto"/>
        <w:rPr>
          <w:sz w:val="20"/>
          <w:szCs w:val="20"/>
          <w:color w:val="auto"/>
        </w:rPr>
      </w:pPr>
      <w:r>
        <w:rPr>
          <w:rFonts w:ascii="Arial" w:cs="Arial" w:eastAsia="Arial" w:hAnsi="Arial"/>
          <w:sz w:val="14"/>
          <w:szCs w:val="14"/>
          <w:color w:val="auto"/>
        </w:rPr>
        <w:t>Our cash and cash equivalents and marketable securities totaled approximately $66,190,000 at December 31, 2019, a decrease of $13,467,000, or 17%, from the corresponding amount at the end of 2018.</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cash flow activities for the following years ended December 31: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2019</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4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669"/>
              <w:spacing w:after="0"/>
              <w:rPr>
                <w:sz w:val="20"/>
                <w:szCs w:val="20"/>
                <w:color w:val="auto"/>
              </w:rPr>
            </w:pPr>
            <w:r>
              <w:rPr>
                <w:rFonts w:ascii="Arial" w:cs="Arial" w:eastAsia="Arial" w:hAnsi="Arial"/>
                <w:sz w:val="14"/>
                <w:szCs w:val="14"/>
                <w:color w:val="auto"/>
              </w:rPr>
              <w:t>2017</w:t>
            </w: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180" w:type="dxa"/>
            <w:vAlign w:val="bottom"/>
            <w:tcBorders>
              <w:bottom w:val="single" w:sz="8" w:color="CCEEFF"/>
            </w:tcBorders>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16,045</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14,354</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9,830</w:t>
            </w:r>
          </w:p>
        </w:tc>
      </w:tr>
      <w:tr>
        <w:trPr>
          <w:trHeight w:val="191"/>
        </w:trPr>
        <w:tc>
          <w:tcPr>
            <w:tcW w:w="576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180" w:type="dxa"/>
            <w:vAlign w:val="bottom"/>
          </w:tcPr>
          <w:p>
            <w:pPr>
              <w:jc w:val="right"/>
              <w:ind w:right="100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(13,246)</w:t>
            </w:r>
          </w:p>
        </w:tc>
        <w:tc>
          <w:tcPr>
            <w:tcW w:w="10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(68,214)</w:t>
            </w:r>
          </w:p>
        </w:tc>
      </w:tr>
      <w:tr>
        <w:trPr>
          <w:trHeight w:val="22"/>
        </w:trPr>
        <w:tc>
          <w:tcPr>
            <w:tcW w:w="5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1"/>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180" w:type="dxa"/>
            <w:vAlign w:val="bottom"/>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77,233</w:t>
            </w:r>
          </w:p>
        </w:tc>
      </w:tr>
      <w:tr>
        <w:trPr>
          <w:trHeight w:val="22"/>
        </w:trPr>
        <w:tc>
          <w:tcPr>
            <w:tcW w:w="57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r>
    </w:tbl>
    <w:p>
      <w:pPr>
        <w:spacing w:after="0" w:line="159"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Cash flows provided by operating activities are primarily dependent upon the rental rates of our leases, the collectability of rent and recovery of operating expenses from our tenants, distributions from joint ventures, the success of our crops and commodity prices within our mineral resource segment. During 2019, our operations provided $16,045,000 in cash primarily attributable to strong results from our commercial joint ventures. We received total distributions of $15,381,000 from our Five West Parcel, TA/Petro and Majestic joint ventures.</w:t>
      </w:r>
    </w:p>
    <w:p>
      <w:pPr>
        <w:spacing w:after="0" w:line="82" w:lineRule="exact"/>
        <w:rPr>
          <w:sz w:val="20"/>
          <w:szCs w:val="20"/>
          <w:color w:val="auto"/>
        </w:rPr>
      </w:pPr>
    </w:p>
    <w:p>
      <w:pPr>
        <w:ind w:right="540"/>
        <w:spacing w:after="0" w:line="281" w:lineRule="auto"/>
        <w:rPr>
          <w:sz w:val="20"/>
          <w:szCs w:val="20"/>
          <w:color w:val="auto"/>
        </w:rPr>
      </w:pPr>
      <w:r>
        <w:rPr>
          <w:rFonts w:ascii="Arial" w:cs="Arial" w:eastAsia="Arial" w:hAnsi="Arial"/>
          <w:sz w:val="14"/>
          <w:szCs w:val="14"/>
          <w:color w:val="auto"/>
        </w:rPr>
        <w:t>During 2018, our operations provided $14,354,000 of cash primarily attributable to strong operating results from our farming and mineral resources segments. We also received a $4,800,000 distribution from our TA/Petro joint venture.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During 2019, investing activities provided $828,000, which was largely attributed to marketable securities maturities of $53,418,000, reimbursements from the community financing district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$4,180,000, and distributions from our unconsolidated joint ventures of $3,457,000. Offsetting the increase were investments in marketable securities of $28,219,000 and capital expenditures of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$25,222,000. Of the $25,222,000, we spent $4,691,000 on planning and permitting for MV, $4,403,000 on the final approval of the specific plan for Centennial, and $3,717,000 on re-entitlement and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litigation for Grapevine. At TRCC, we used $8,690,000 on continued expansion of water infrastructure at TRCC and construction of a new multi-tenant building that was subsequently contributed to</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our TA/Petro joint venture. All real estate capital expenditures are inclusive of capitalized interest, payroll and overhead. Our farming segment had cash outlays of $3,362,000 for developing new</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almond orchards and replacing old farm equipment. Lastly, we purchased water through our annual water contracts, using $3,686,000 and invested $3,100,000 into our unconsolidated joint ventures.</w:t>
      </w:r>
    </w:p>
    <w:p>
      <w:pPr>
        <w:spacing w:after="0" w:line="14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During 2018, investing activities used $13,246,000 which was partially attributed to reinvesting marketable security maturities of $28,392,000. We also had $22,580,000 in capital expenditures associated with real estate and farm crop development. Of the $22,580,000 we spent $5,204,000 on tentative tract maps, engineering and the design of Farm Village for MV, $5,295,000 on the approval of the specific plan for Centennial, and $2,960,000 on regulatory permits and litigation for Grapevine. At TRCC we used $5,225,000 on continued expansion and infrastructure, and indirect costs supporting all ongoing infrastructure projects, such as expansion of water treatment facilities and relocation of gas line. Our farming segment had cash outlays of $3,166,000 for developing new almond orchards and replacing old farm equipment. Lastly, we purchased water through our annual water contracts, using $3,844,000. Offsetting our cash outlays were marketable securities maturities of $35,219,000 and distributions from our joint venture partners of $2,815,000.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422" w:right="319" w:bottom="1440" w:gutter="0" w:footer="0" w:header="0"/>
        </w:sectPr>
      </w:pPr>
    </w:p>
    <w:bookmarkStart w:id="49" w:name="page50"/>
    <w:bookmarkEnd w:id="49"/>
    <w:p>
      <w:pPr>
        <w:spacing w:after="0" w:line="280" w:lineRule="auto"/>
        <w:rPr>
          <w:sz w:val="20"/>
          <w:szCs w:val="20"/>
          <w:color w:val="auto"/>
        </w:rPr>
      </w:pPr>
      <w:r>
        <w:rPr>
          <w:rFonts w:ascii="Arial" w:cs="Arial" w:eastAsia="Arial" w:hAnsi="Arial"/>
          <w:sz w:val="13"/>
          <w:szCs w:val="13"/>
          <w:color w:val="auto"/>
        </w:rPr>
        <w:t>Our estimated capital investment for 2020 is primarily related to our real estate projects as it was in 2019. These estimated investments include approximately $6,033,000 of infrastructure development at TRCC-East to support continued commercial retail and industrial development and expanding water facilities to support future anticipated absorption. We are also investing approximately $3,510,000 to continue developing new almond orchards and replacing old farming equipment. The farm investments are part of a long-term farm management program to redevelop declining orchards and vineyards allowing the Company to maintain and improve future farm revenues. We expect to possibly invest up to $10,492,000 for permitting activities, litigation defense, predevelopment activities and land planning design at MV, Centennial, and Grapevine during 2020. The timing of these investments is dependent on our coordination efforts with Los Angeles County regarding litigation efforts for Centennial, litigation and permitting activities for Grapevine, and final maps for MV. Our plans also include $3,180,000 for payment of annual water inventory and water related investments. We are also planning to potentially invest up to $218,000 in the normal replacement of operating equipment, such as ranch equipment, and vehicles.</w:t>
      </w:r>
    </w:p>
    <w:p>
      <w:pPr>
        <w:spacing w:after="0" w:line="137"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years ended December 31, 2019 and 2018, of $2,818,000 and $2,954,000, respectively, is classified in real estate development. We also capitalized payroll costs related to development, pre-construction, and construction projects which aggregated $3,706,000 and $4,171,000 for the years ended December 31, 2019 and 2018, respectively. Expenditures for repairs and maintenance are expensed as incurred.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During 2019, financing activities used $5,675,000 primarily through repayments of long-term debt of $4,004,000 and tax payments on vested stock grants of $1,671,000.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During 2018, financing activities used $5,307,000 primarily through repayments of long-term debt of $4,046,000 and taxes on vested stock grants of $1,095,000.</w:t>
      </w:r>
    </w:p>
    <w:p>
      <w:pPr>
        <w:spacing w:after="0" w:line="136"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 twelve months to fund internal operations. As we move forward with the completion of the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Capital Structure and Financial Condition</w:t>
      </w:r>
    </w:p>
    <w:p>
      <w:pPr>
        <w:spacing w:after="0" w:line="140"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At December 31, 2019, total capitalization at book value was $507,282,000 consisting of $61,658,000 of debt, net of deferred financing costs, and $445,624,000 of equity, resulting in a debt-to-total-capitalization ratio of approximately 12.2%, representing a decrease when compared to the debt-to-total-capitalization ratio of 13.1% at December 31, 2018.</w:t>
      </w:r>
    </w:p>
    <w:p>
      <w:pPr>
        <w:spacing w:after="0" w:line="90"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On October 13, 2014, the Company as borrower, entered into an Amended and Restated Credit Agreement, a Term Note and a Revolving Line of Credit Note, with Wells Fargo, or collectively the Credit Facility. The Credit Facility added a $70,000,000 term loan, or Term Loan, to the then existing $30,000,000 revolving line of credit, or RLC. In August 2019, the Company amended the Term Note (Amended Term Note) and extended its maturity to June 2029 and amended the RLC to expand the capacity from $30,000,000 to $35,000,000 and extend the maturity to October 2024.</w:t>
      </w:r>
    </w:p>
    <w:p>
      <w:pPr>
        <w:spacing w:after="0" w:line="10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Amended Term Loan had a $58,768,000 balance as of December 31, 2019, whereas the Term Note had an outstanding balance of $62,483,000 as of December 31, 2018. The interest rate per annum applicable to the Amended Term Note is LIBOR (as defined in the Term Note) plus a margin of 170 basis points. The interest rate for the Amended Term Note has been fixed at 4.16% through the use of an interest rate swap agreement. The Amended Term Note requires monthly amortization payments, with the outstanding principal amount due June 5, 2029. The Amended Term Note is secured by the Company's farmland and farm assets, which include equipment, crops and crop receivables; the PEF power plant lease and lease site; and related accounts and other rights to payment and inventory.</w:t>
      </w:r>
    </w:p>
    <w:p>
      <w:pPr>
        <w:spacing w:after="0" w:line="104"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The RLC had no outstanding balance at December 31, 2019 and December 31, 2018. At the Company’s option, the interest rate on this line of credit can float at 1.50% over a selected LIBOR rate or can be fixed at 1.50% above LIBOR for a fixed rate term. During the term of this RLC, the Company can borrow at any time and partially or wholly repay any outstanding borrowings and then re-borrow, as necessary.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426" w:right="319" w:bottom="1440" w:gutter="0" w:footer="0" w:header="0"/>
        </w:sectPr>
      </w:pPr>
    </w:p>
    <w:bookmarkStart w:id="50" w:name="page51"/>
    <w:bookmarkEnd w:id="50"/>
    <w:p>
      <w:pPr>
        <w:ind w:right="360"/>
        <w:spacing w:after="0" w:line="267" w:lineRule="auto"/>
        <w:rPr>
          <w:sz w:val="20"/>
          <w:szCs w:val="20"/>
          <w:color w:val="auto"/>
        </w:rPr>
      </w:pPr>
      <w:r>
        <w:rPr>
          <w:rFonts w:ascii="Arial" w:cs="Arial" w:eastAsia="Arial" w:hAnsi="Arial"/>
          <w:sz w:val="14"/>
          <w:szCs w:val="14"/>
          <w:color w:val="auto"/>
        </w:rPr>
        <w:t>Any future borrowings under the RLC will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99" w:lineRule="exact"/>
        <w:rPr>
          <w:sz w:val="20"/>
          <w:szCs w:val="20"/>
          <w:color w:val="auto"/>
        </w:rPr>
      </w:pPr>
    </w:p>
    <w:p>
      <w:pPr>
        <w:ind w:right="180"/>
        <w:spacing w:after="0" w:line="297" w:lineRule="auto"/>
        <w:rPr>
          <w:sz w:val="20"/>
          <w:szCs w:val="20"/>
          <w:color w:val="auto"/>
        </w:rPr>
      </w:pPr>
      <w:r>
        <w:rPr>
          <w:rFonts w:ascii="Arial" w:cs="Arial" w:eastAsia="Arial" w:hAnsi="Arial"/>
          <w:sz w:val="13"/>
          <w:szCs w:val="13"/>
          <w:color w:val="auto"/>
        </w:rPr>
        <w:t>The Amended Note and RLC, collectively the Amended Credit Facility, requires compliance with three financial covenants: (i) total liabilities divided by tangible net worth not greater than 0.75 to 1.0 at each quarter end; (ii) a debt service coverage ratio not less than 1.25 to 1.00 as of each quarter end on a rolling four quarter basis; and (iii) maintain liquid assets equal to or greater than $20,000,000, including availability on the RLC. At December 31, 2019 and December 31, 2018, the Company was in compliance with all financial covenants.</w:t>
      </w:r>
    </w:p>
    <w:p>
      <w:pPr>
        <w:spacing w:after="0" w:line="82" w:lineRule="exact"/>
        <w:rPr>
          <w:sz w:val="20"/>
          <w:szCs w:val="20"/>
          <w:color w:val="auto"/>
        </w:rPr>
      </w:pPr>
    </w:p>
    <w:p>
      <w:pPr>
        <w:ind w:right="460"/>
        <w:spacing w:after="0" w:line="321" w:lineRule="auto"/>
        <w:rPr>
          <w:sz w:val="20"/>
          <w:szCs w:val="20"/>
          <w:color w:val="auto"/>
        </w:rPr>
      </w:pPr>
      <w:r>
        <w:rPr>
          <w:rFonts w:ascii="Arial" w:cs="Arial" w:eastAsia="Arial" w:hAnsi="Arial"/>
          <w:sz w:val="13"/>
          <w:szCs w:val="13"/>
          <w:color w:val="auto"/>
        </w:rPr>
        <w:t>The Amended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or incur liens on any assets.</w:t>
      </w:r>
    </w:p>
    <w:p>
      <w:pPr>
        <w:spacing w:after="0" w:line="67"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The Amended Credit Facility contains customary events of default, including: failure to make required payments; failure to comply with terms of the Amended Credit Facility; bankruptcy and insolvency; and a change in control without consent of the bank (which consent will not be unreasonably withheld). The Amended Credit Facility contains other customary terms and conditions, including representations and warranties, which are typical for credit facilities of this type.</w:t>
      </w:r>
    </w:p>
    <w:p>
      <w:pPr>
        <w:spacing w:after="0" w:line="99"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We also have a $4,750,000 promissory note agreement with principal and interest due monthly. The interest rate on this promissory note is 4.25% per annum, with principal and interest payments ending on September 1, 2028. The balance as of December 31, 2019 is $3,129,000. The proceeds from this promissory note were used to eliminate debt that had been previously used to provide long-term financing for a building being leased to Starbucks and provide additional working capital for future investment.</w:t>
      </w:r>
    </w:p>
    <w:p>
      <w:pPr>
        <w:spacing w:after="0" w:line="99" w:lineRule="exact"/>
        <w:rPr>
          <w:sz w:val="20"/>
          <w:szCs w:val="20"/>
          <w:color w:val="auto"/>
        </w:rPr>
      </w:pPr>
    </w:p>
    <w:p>
      <w:pPr>
        <w:ind w:right="160"/>
        <w:spacing w:after="0" w:line="282" w:lineRule="auto"/>
        <w:rPr>
          <w:sz w:val="20"/>
          <w:szCs w:val="20"/>
          <w:color w:val="auto"/>
        </w:rPr>
      </w:pPr>
      <w:r>
        <w:rPr>
          <w:rFonts w:ascii="Arial" w:cs="Arial" w:eastAsia="Arial" w:hAnsi="Arial"/>
          <w:sz w:val="13"/>
          <w:szCs w:val="13"/>
          <w:color w:val="auto"/>
        </w:rPr>
        <w:t>Our current and future capital resource requirements will be provided primarily from current cash and marketable securities, cash flow from on-going operations, distributions from joint ventures, proceeds from the sale of developed and undeveloped parcels, potential sales of assets, additional use of debt or draw downs against our line-of-credit, proceeds from the reimbursement of public infrastructure costs through CFD bond debt (described below under “Off-Balance Sheet Arrangements”), and the issuance of common stock. In May 2019, we filed an updated shelf registration statement on Form S-3 that went effective in May 2019. Under the shelf registration statement, we may offer and sell in the future one or more offerings,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92"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As noted above, at December 31, 2019, we had $66,190,000 in cash and securities and as of the filing date of this Form 10-K, we had $35,000,000 available on credit lines to meet any short-term liquidity needs.</w:t>
      </w:r>
    </w:p>
    <w:p>
      <w:pPr>
        <w:spacing w:after="0" w:line="9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continue to expect that substantial investments will be required in order to develop our land assets. In order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426"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20"/>
                <w:szCs w:val="20"/>
                <w:color w:val="auto"/>
              </w:rPr>
            </w:pPr>
            <w:r>
              <w:rPr>
                <w:rFonts w:ascii="Arial" w:cs="Arial" w:eastAsia="Arial" w:hAnsi="Arial"/>
                <w:sz w:val="14"/>
                <w:szCs w:val="14"/>
                <w:b w:val="1"/>
                <w:bCs w:val="1"/>
                <w:color w:val="006EBF"/>
              </w:rPr>
              <w:t>Contractual Cash Obligations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9000" w:type="dxa"/>
            <w:vAlign w:val="bottom"/>
            <w:gridSpan w:val="11"/>
          </w:tcPr>
          <w:p>
            <w:pPr>
              <w:spacing w:after="0"/>
              <w:rPr>
                <w:sz w:val="20"/>
                <w:szCs w:val="20"/>
                <w:color w:val="auto"/>
              </w:rPr>
            </w:pPr>
            <w:r>
              <w:rPr>
                <w:rFonts w:ascii="Arial" w:cs="Arial" w:eastAsia="Arial" w:hAnsi="Arial"/>
                <w:sz w:val="14"/>
                <w:szCs w:val="14"/>
                <w:color w:val="auto"/>
                <w:w w:val="92"/>
              </w:rPr>
              <w:t>The following table summarizes our contractual cash obligations and commercial commitments as of December 31, 2019, to be paid over the next five years: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4"/>
                <w:szCs w:val="14"/>
                <w:color w:val="auto"/>
                <w:w w:val="94"/>
              </w:rPr>
              <w:t>Payments Due by Period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6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80" w:type="dxa"/>
            <w:vAlign w:val="bottom"/>
          </w:tcPr>
          <w:p>
            <w:pPr>
              <w:spacing w:after="0"/>
              <w:rPr>
                <w:sz w:val="15"/>
                <w:szCs w:val="15"/>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5"/>
                <w:szCs w:val="15"/>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w w:val="90"/>
              </w:rPr>
              <w:t>Less than a year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1-3 years</w:t>
            </w:r>
          </w:p>
        </w:tc>
        <w:tc>
          <w:tcPr>
            <w:tcW w:w="2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3-5 years</w:t>
            </w:r>
          </w:p>
        </w:tc>
        <w:tc>
          <w:tcPr>
            <w:tcW w:w="10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w w:val="88"/>
              </w:rPr>
              <w:t>More than 5 years</w:t>
            </w:r>
          </w:p>
        </w:tc>
        <w:tc>
          <w:tcPr>
            <w:tcW w:w="0" w:type="dxa"/>
            <w:vAlign w:val="bottom"/>
          </w:tcPr>
          <w:p>
            <w:pPr>
              <w:spacing w:after="0"/>
              <w:rPr>
                <w:sz w:val="1"/>
                <w:szCs w:val="1"/>
                <w:color w:val="auto"/>
              </w:rPr>
            </w:pPr>
          </w:p>
        </w:tc>
      </w:tr>
      <w:tr>
        <w:trPr>
          <w:trHeight w:val="22"/>
        </w:trPr>
        <w:tc>
          <w:tcPr>
            <w:tcW w:w="4640" w:type="dxa"/>
            <w:vAlign w:val="bottom"/>
            <w:vMerge w:val="restart"/>
          </w:tcPr>
          <w:p>
            <w:pPr>
              <w:ind w:left="20"/>
              <w:spacing w:after="0"/>
              <w:rPr>
                <w:sz w:val="20"/>
                <w:szCs w:val="20"/>
                <w:color w:val="auto"/>
              </w:rPr>
            </w:pPr>
            <w:r>
              <w:rPr>
                <w:rFonts w:ascii="Arial" w:cs="Arial" w:eastAsia="Arial" w:hAnsi="Arial"/>
                <w:sz w:val="14"/>
                <w:szCs w:val="14"/>
                <w:color w:val="auto"/>
              </w:rPr>
              <w:t>Contractual Obligations: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Estimated water payments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269,065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10,027</w:t>
            </w:r>
          </w:p>
        </w:tc>
        <w:tc>
          <w:tcPr>
            <w:tcW w:w="34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20,539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21,215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217,284</w:t>
            </w:r>
          </w:p>
        </w:tc>
        <w:tc>
          <w:tcPr>
            <w:tcW w:w="0" w:type="dxa"/>
            <w:vAlign w:val="bottom"/>
          </w:tcPr>
          <w:p>
            <w:pPr>
              <w:spacing w:after="0"/>
              <w:rPr>
                <w:sz w:val="1"/>
                <w:szCs w:val="1"/>
                <w:color w:val="auto"/>
              </w:rPr>
            </w:pPr>
          </w:p>
        </w:tc>
      </w:tr>
      <w:tr>
        <w:trPr>
          <w:trHeight w:val="191"/>
        </w:trPr>
        <w:tc>
          <w:tcPr>
            <w:tcW w:w="4640" w:type="dxa"/>
            <w:vAlign w:val="bottom"/>
          </w:tcPr>
          <w:p>
            <w:pPr>
              <w:ind w:left="30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61,897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4,182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8,915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9,753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39,047</w:t>
            </w: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Interest on long-term debt</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15,502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2,485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4,427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3,649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4,941</w:t>
            </w:r>
          </w:p>
        </w:tc>
        <w:tc>
          <w:tcPr>
            <w:tcW w:w="0" w:type="dxa"/>
            <w:vAlign w:val="bottom"/>
          </w:tcPr>
          <w:p>
            <w:pPr>
              <w:spacing w:after="0"/>
              <w:rPr>
                <w:sz w:val="1"/>
                <w:szCs w:val="1"/>
                <w:color w:val="auto"/>
              </w:rPr>
            </w:pPr>
          </w:p>
        </w:tc>
      </w:tr>
      <w:tr>
        <w:trPr>
          <w:trHeight w:val="191"/>
        </w:trPr>
        <w:tc>
          <w:tcPr>
            <w:tcW w:w="4640" w:type="dxa"/>
            <w:vAlign w:val="bottom"/>
          </w:tcPr>
          <w:p>
            <w:pPr>
              <w:ind w:left="300"/>
              <w:spacing w:after="0"/>
              <w:rPr>
                <w:sz w:val="20"/>
                <w:szCs w:val="20"/>
                <w:color w:val="auto"/>
              </w:rPr>
            </w:pPr>
            <w:r>
              <w:rPr>
                <w:rFonts w:ascii="Arial" w:cs="Arial" w:eastAsia="Arial" w:hAnsi="Arial"/>
                <w:sz w:val="14"/>
                <w:szCs w:val="14"/>
                <w:color w:val="auto"/>
              </w:rPr>
              <w:t>Cash contract commitments</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6,258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4,049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Defined Benefit Plan</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4,036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276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587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2,453</w:t>
            </w:r>
          </w:p>
        </w:tc>
        <w:tc>
          <w:tcPr>
            <w:tcW w:w="0" w:type="dxa"/>
            <w:vAlign w:val="bottom"/>
          </w:tcPr>
          <w:p>
            <w:pPr>
              <w:spacing w:after="0"/>
              <w:rPr>
                <w:sz w:val="1"/>
                <w:szCs w:val="1"/>
                <w:color w:val="auto"/>
              </w:rPr>
            </w:pPr>
          </w:p>
        </w:tc>
      </w:tr>
      <w:tr>
        <w:trPr>
          <w:trHeight w:val="191"/>
        </w:trPr>
        <w:tc>
          <w:tcPr>
            <w:tcW w:w="4640" w:type="dxa"/>
            <w:vAlign w:val="bottom"/>
          </w:tcPr>
          <w:p>
            <w:pPr>
              <w:ind w:left="300"/>
              <w:spacing w:after="0"/>
              <w:rPr>
                <w:sz w:val="20"/>
                <w:szCs w:val="20"/>
                <w:color w:val="auto"/>
              </w:rPr>
            </w:pPr>
            <w:r>
              <w:rPr>
                <w:rFonts w:ascii="Arial" w:cs="Arial" w:eastAsia="Arial" w:hAnsi="Arial"/>
                <w:sz w:val="14"/>
                <w:szCs w:val="14"/>
                <w:color w:val="auto"/>
              </w:rPr>
              <w:t>SERP</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5,221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2,663</w:t>
            </w: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Tejon Ranch Conservancy</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1,600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4640" w:type="dxa"/>
            <w:vAlign w:val="bottom"/>
          </w:tcPr>
          <w:p>
            <w:pPr>
              <w:ind w:left="300"/>
              <w:spacing w:after="0"/>
              <w:rPr>
                <w:sz w:val="20"/>
                <w:szCs w:val="20"/>
                <w:color w:val="auto"/>
              </w:rPr>
            </w:pPr>
            <w:r>
              <w:rPr>
                <w:rFonts w:ascii="Arial" w:cs="Arial" w:eastAsia="Arial" w:hAnsi="Arial"/>
                <w:sz w:val="14"/>
                <w:szCs w:val="14"/>
                <w:color w:val="auto"/>
              </w:rPr>
              <w:t>Financing fees</w:t>
            </w:r>
          </w:p>
        </w:tc>
        <w:tc>
          <w:tcPr>
            <w:tcW w:w="28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Operating lease</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640" w:type="dxa"/>
            <w:vAlign w:val="bottom"/>
          </w:tcPr>
          <w:p>
            <w:pPr>
              <w:ind w:left="300"/>
              <w:spacing w:after="0"/>
              <w:rPr>
                <w:sz w:val="20"/>
                <w:szCs w:val="20"/>
                <w:color w:val="auto"/>
              </w:rPr>
            </w:pPr>
            <w:r>
              <w:rPr>
                <w:rFonts w:ascii="Arial" w:cs="Arial" w:eastAsia="Arial" w:hAnsi="Arial"/>
                <w:sz w:val="14"/>
                <w:szCs w:val="14"/>
                <w:color w:val="auto"/>
              </w:rPr>
              <w:t>Total contractual obligations</w:t>
            </w: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363,774</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22,530</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37,458</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36,327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267,459</w:t>
            </w: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categories above include purchase obligations and other long-term liabilities reflected on our balance sheet under GAAP A “purchase obligation” is defined in Item 303(a)(5)(ii)(D) of Regulation S-K as “an agreement to purchase goods or services that is enforceable and legally binding the registrant that specifies all significant terms, including: fixed or minimum quantities to be purchased; fixed, minimum or variable price provisions; and the approximate timing of the transaction.” Based on this definition, the table above includes only those contracts that include fixed or minimum obligations. It does not include normal purchases, which are made in the ordinary course of business.</w:t>
      </w:r>
    </w:p>
    <w:p>
      <w:pPr>
        <w:spacing w:after="0" w:line="103" w:lineRule="exact"/>
        <w:rPr>
          <w:sz w:val="20"/>
          <w:szCs w:val="20"/>
          <w:color w:val="auto"/>
        </w:rPr>
      </w:pPr>
    </w:p>
    <w:p>
      <w:pPr>
        <w:jc w:val="both"/>
        <w:ind w:right="120"/>
        <w:spacing w:after="0" w:line="267" w:lineRule="auto"/>
        <w:rPr>
          <w:sz w:val="20"/>
          <w:szCs w:val="20"/>
          <w:color w:val="auto"/>
        </w:rPr>
      </w:pPr>
      <w:r>
        <w:rPr>
          <w:rFonts w:ascii="Arial" w:cs="Arial" w:eastAsia="Arial" w:hAnsi="Arial"/>
          <w:sz w:val="14"/>
          <w:szCs w:val="14"/>
          <w:color w:val="auto"/>
        </w:rPr>
        <w:t>Our financial obligations to the Tejon Ranch Conservancy are prescribed in the Conservation Agreement. Our advances to the Tejon Ranch Conservancy are dependent on the occurrence of certain events and their timing, and are therefore subject to change in amount and period. The amounts included above are the minimum amounts we anticipate contributing through the year 2021, at which time our current contractual obligation terminates.</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As discussed in Note 15 (Retirement Plans) of the Notes to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During 2019, we made pension contributions of $165,000 and it is projected that we will make a similar contribution in 2020.</w:t>
      </w:r>
    </w:p>
    <w:p>
      <w:pPr>
        <w:spacing w:after="0" w:line="10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estimated fees earned during the second quarter of 2014 by a consultant, related to the entitlement of the Grapevine Development Area. The Company exited a consulting contract during the second quarter of 2014 related to the Grapevine Development and is obligated to pay an earned incentive fee at the time of successful receipt of litigated project entitlements and at a value measurement date five-years after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107"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Estimated water payments include the Nickel water contract, which obligates us to purchase 6,693 acre-feet of water annually through 2044 and SWP contracts with Wheeler Ridge Maricopa Water Storage District, Tejon-Castac Water District, Tulare Lake Basin Water Storage District, and Dudley-Ridge Water Storage District. These contracts for the supply of future water run through 2035. Please refer to Note 6 (Long-Term Water Assets) of the Notes to Consolidated Financial Statements for additional information regarding water assets.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422"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006EBF"/>
        </w:rPr>
        <w:t>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contingent obligations we have with respect to the CFDs.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00" w:type="dxa"/>
            <w:vAlign w:val="bottom"/>
            <w:gridSpan w:val="8"/>
          </w:tcPr>
          <w:p>
            <w:pPr>
              <w:ind w:left="520"/>
              <w:spacing w:after="0"/>
              <w:rPr>
                <w:sz w:val="20"/>
                <w:szCs w:val="20"/>
                <w:color w:val="auto"/>
              </w:rPr>
            </w:pPr>
            <w:r>
              <w:rPr>
                <w:rFonts w:ascii="Arial" w:cs="Arial" w:eastAsia="Arial" w:hAnsi="Arial"/>
                <w:sz w:val="14"/>
                <w:szCs w:val="14"/>
                <w:color w:val="auto"/>
              </w:rPr>
              <w:t>Amount of Commitment Expiration Per Period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2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&lt; 1 year</w:t>
            </w: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2 -3 Years</w:t>
            </w:r>
          </w:p>
        </w:tc>
        <w:tc>
          <w:tcPr>
            <w:tcW w:w="24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4 -5 Years</w:t>
            </w:r>
          </w:p>
        </w:tc>
        <w:tc>
          <w:tcPr>
            <w:tcW w:w="20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4"/>
                <w:szCs w:val="14"/>
                <w:color w:val="auto"/>
              </w:rPr>
              <w:t>After 5 Years</w:t>
            </w:r>
          </w:p>
        </w:tc>
        <w:tc>
          <w:tcPr>
            <w:tcW w:w="0" w:type="dxa"/>
            <w:vAlign w:val="bottom"/>
          </w:tcPr>
          <w:p>
            <w:pPr>
              <w:spacing w:after="0"/>
              <w:rPr>
                <w:sz w:val="1"/>
                <w:szCs w:val="1"/>
                <w:color w:val="auto"/>
              </w:rPr>
            </w:pPr>
          </w:p>
        </w:tc>
      </w:tr>
      <w:tr>
        <w:trPr>
          <w:trHeight w:val="22"/>
        </w:trPr>
        <w:tc>
          <w:tcPr>
            <w:tcW w:w="4080" w:type="dxa"/>
            <w:vAlign w:val="bottom"/>
            <w:vMerge w:val="restart"/>
          </w:tcPr>
          <w:p>
            <w:pPr>
              <w:ind w:left="20"/>
              <w:spacing w:after="0"/>
              <w:rPr>
                <w:sz w:val="20"/>
                <w:szCs w:val="20"/>
                <w:color w:val="auto"/>
              </w:rPr>
            </w:pPr>
            <w:r>
              <w:rPr>
                <w:rFonts w:ascii="Arial" w:cs="Arial" w:eastAsia="Arial" w:hAnsi="Arial"/>
                <w:sz w:val="14"/>
                <w:szCs w:val="14"/>
                <w:color w:val="auto"/>
              </w:rPr>
              <w:t>Other Commercial Commitments: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Standby letter of credit</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4,468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4,468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80" w:type="dxa"/>
            <w:vAlign w:val="bottom"/>
          </w:tcPr>
          <w:p>
            <w:pPr>
              <w:ind w:left="300"/>
              <w:spacing w:after="0"/>
              <w:rPr>
                <w:sz w:val="20"/>
                <w:szCs w:val="20"/>
                <w:color w:val="auto"/>
              </w:rPr>
            </w:pPr>
            <w:r>
              <w:rPr>
                <w:rFonts w:ascii="Arial" w:cs="Arial" w:eastAsia="Arial" w:hAnsi="Arial"/>
                <w:sz w:val="14"/>
                <w:szCs w:val="14"/>
                <w:color w:val="auto"/>
              </w:rPr>
              <w:t>Total other commercial commitments</w:t>
            </w: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4,468</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4,468</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w:t>
      </w:r>
    </w:p>
    <w:p>
      <w:pPr>
        <w:spacing w:after="0" w:line="104" w:lineRule="exact"/>
        <w:rPr>
          <w:sz w:val="20"/>
          <w:szCs w:val="20"/>
          <w:color w:val="auto"/>
        </w:rPr>
      </w:pPr>
    </w:p>
    <w:p>
      <w:pPr>
        <w:spacing w:after="0" w:line="309" w:lineRule="auto"/>
        <w:rPr>
          <w:sz w:val="20"/>
          <w:szCs w:val="20"/>
          <w:color w:val="auto"/>
        </w:rPr>
      </w:pPr>
      <w:r>
        <w:rPr>
          <w:rFonts w:ascii="Arial" w:cs="Arial" w:eastAsia="Arial" w:hAnsi="Arial"/>
          <w:sz w:val="12"/>
          <w:szCs w:val="12"/>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that the letter of credit will never be drawn upon. This letter of credit is for a two-year period of time and will be renewed in two-year intervals as necessary. The annual cost related to the letter of credit is approximately $68,000.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at December 31, 2019.</w:t>
      </w:r>
    </w:p>
    <w:p>
      <w:pPr>
        <w:spacing w:after="0" w:line="80" w:lineRule="exact"/>
        <w:rPr>
          <w:sz w:val="20"/>
          <w:szCs w:val="20"/>
          <w:color w:val="auto"/>
        </w:rPr>
      </w:pPr>
    </w:p>
    <w:p>
      <w:pPr>
        <w:jc w:val="both"/>
        <w:ind w:right="240"/>
        <w:spacing w:after="0" w:line="267" w:lineRule="auto"/>
        <w:rPr>
          <w:sz w:val="20"/>
          <w:szCs w:val="20"/>
          <w:color w:val="auto"/>
        </w:rPr>
      </w:pPr>
      <w:r>
        <w:rPr>
          <w:rFonts w:ascii="Arial" w:cs="Arial" w:eastAsia="Arial" w:hAnsi="Arial"/>
          <w:sz w:val="14"/>
          <w:szCs w:val="14"/>
          <w:color w:val="auto"/>
        </w:rPr>
        <w:t>At December 31, 2019, aggregate outstanding debt of unconsolidated joint ventures was $131,254,000. We guarantee $115,967,000 of this debt, relating to our joint ventures with Rockefeller and Majestic. Because of positive cash flow generation within the Rockefeller and Majestic joint ventures, we do not expect the guarantee to ever be called upon. We do not provide a guarantee on the $15,287,000 of debt related to our joint venture with TA/Petro.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592"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006EBF"/>
        </w:rPr>
        <w:t>Non-GAAP Financial Measures</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3"/>
          <w:szCs w:val="13"/>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and asset abandonment charges. We believe Adjusted EBITDA provides investors relevant and useful information because it permits investors to view income from our operations on an unleveraged basis before the effects of taxes, depreciation and amortization, stock compensation expense, and abandonment charges.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6"/>
          </w:tcPr>
          <w:p>
            <w:pPr>
              <w:ind w:left="40"/>
              <w:spacing w:after="0"/>
              <w:rPr>
                <w:sz w:val="20"/>
                <w:szCs w:val="20"/>
                <w:color w:val="auto"/>
              </w:rPr>
            </w:pPr>
            <w:r>
              <w:rPr>
                <w:rFonts w:ascii="Arial" w:cs="Arial" w:eastAsia="Arial" w:hAnsi="Arial"/>
                <w:sz w:val="14"/>
                <w:szCs w:val="14"/>
                <w:color w:val="auto"/>
                <w:w w:val="88"/>
              </w:rPr>
              <w:t>Year-Ended December 31,</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69"/>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10,579</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4,235</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(1,821)</w:t>
            </w:r>
          </w:p>
        </w:tc>
        <w:tc>
          <w:tcPr>
            <w:tcW w:w="0" w:type="dxa"/>
            <w:vAlign w:val="bottom"/>
          </w:tcPr>
          <w:p>
            <w:pPr>
              <w:spacing w:after="0"/>
              <w:rPr>
                <w:sz w:val="1"/>
                <w:szCs w:val="1"/>
                <w:color w:val="auto"/>
              </w:rPr>
            </w:pPr>
          </w:p>
        </w:tc>
      </w:tr>
      <w:tr>
        <w:trPr>
          <w:trHeight w:val="191"/>
        </w:trPr>
        <w:tc>
          <w:tcPr>
            <w:tcW w:w="5080" w:type="dxa"/>
            <w:vAlign w:val="bottom"/>
          </w:tcPr>
          <w:p>
            <w:pPr>
              <w:ind w:left="140"/>
              <w:spacing w:after="0"/>
              <w:rPr>
                <w:sz w:val="20"/>
                <w:szCs w:val="20"/>
                <w:color w:val="auto"/>
              </w:rPr>
            </w:pPr>
            <w:r>
              <w:rPr>
                <w:rFonts w:ascii="Arial" w:cs="Arial" w:eastAsia="Arial" w:hAnsi="Arial"/>
                <w:sz w:val="14"/>
                <w:szCs w:val="14"/>
                <w:color w:val="auto"/>
              </w:rPr>
              <w:t>Net loss attributed to non-controlling interest</w:t>
            </w:r>
          </w:p>
        </w:tc>
        <w:tc>
          <w:tcPr>
            <w:tcW w:w="2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net</w:t>
            </w:r>
          </w:p>
        </w:tc>
        <w:tc>
          <w:tcPr>
            <w:tcW w:w="2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140"/>
              <w:spacing w:after="0"/>
              <w:rPr>
                <w:sz w:val="20"/>
                <w:szCs w:val="20"/>
                <w:color w:val="auto"/>
              </w:rPr>
            </w:pPr>
            <w:r>
              <w:rPr>
                <w:rFonts w:ascii="Arial" w:cs="Arial" w:eastAsia="Arial" w:hAnsi="Arial"/>
                <w:sz w:val="14"/>
                <w:szCs w:val="14"/>
                <w:color w:val="auto"/>
              </w:rPr>
              <w:t>Consolidated interest income</w:t>
            </w:r>
          </w:p>
        </w:tc>
        <w:tc>
          <w:tcPr>
            <w:tcW w:w="2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Our share of interest expense from unconsolidated joint ventures</w:t>
            </w:r>
          </w:p>
        </w:tc>
        <w:tc>
          <w:tcPr>
            <w:tcW w:w="2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2,785</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2,519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1,730</w:t>
            </w:r>
          </w:p>
        </w:tc>
        <w:tc>
          <w:tcPr>
            <w:tcW w:w="0" w:type="dxa"/>
            <w:vAlign w:val="bottom"/>
          </w:tcPr>
          <w:p>
            <w:pPr>
              <w:spacing w:after="0"/>
              <w:rPr>
                <w:sz w:val="1"/>
                <w:szCs w:val="1"/>
                <w:color w:val="auto"/>
              </w:rPr>
            </w:pPr>
          </w:p>
        </w:tc>
      </w:tr>
      <w:tr>
        <w:trPr>
          <w:trHeight w:val="181"/>
        </w:trPr>
        <w:tc>
          <w:tcPr>
            <w:tcW w:w="5080" w:type="dxa"/>
            <w:vAlign w:val="bottom"/>
          </w:tcPr>
          <w:p>
            <w:pPr>
              <w:ind w:left="20"/>
              <w:spacing w:after="0"/>
              <w:rPr>
                <w:sz w:val="20"/>
                <w:szCs w:val="20"/>
                <w:color w:val="auto"/>
              </w:rPr>
            </w:pPr>
            <w:r>
              <w:rPr>
                <w:rFonts w:ascii="Arial" w:cs="Arial" w:eastAsia="Arial" w:hAnsi="Arial"/>
                <w:sz w:val="14"/>
                <w:szCs w:val="14"/>
                <w:color w:val="auto"/>
              </w:rPr>
              <w:t>Total interest, net</w:t>
            </w:r>
          </w:p>
        </w:tc>
        <w:tc>
          <w:tcPr>
            <w:tcW w:w="2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1,546</w:t>
            </w: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1,175</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 expense (benefit)</w:t>
            </w:r>
          </w:p>
        </w:tc>
        <w:tc>
          <w:tcPr>
            <w:tcW w:w="2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3,980</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1,320</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Consolidated</w:t>
            </w:r>
          </w:p>
        </w:tc>
        <w:tc>
          <w:tcPr>
            <w:tcW w:w="2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5,036</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5,424</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5,689</w:t>
            </w:r>
          </w:p>
        </w:tc>
        <w:tc>
          <w:tcPr>
            <w:tcW w:w="0" w:type="dxa"/>
            <w:vAlign w:val="bottom"/>
          </w:tcPr>
          <w:p>
            <w:pPr>
              <w:spacing w:after="0"/>
              <w:rPr>
                <w:sz w:val="1"/>
                <w:szCs w:val="1"/>
                <w:color w:val="auto"/>
              </w:rPr>
            </w:pPr>
          </w:p>
        </w:tc>
      </w:tr>
      <w:tr>
        <w:trPr>
          <w:trHeight w:val="191"/>
        </w:trPr>
        <w:tc>
          <w:tcPr>
            <w:tcW w:w="5080" w:type="dxa"/>
            <w:vAlign w:val="bottom"/>
          </w:tcPr>
          <w:p>
            <w:pPr>
              <w:ind w:left="140"/>
              <w:spacing w:after="0"/>
              <w:rPr>
                <w:sz w:val="20"/>
                <w:szCs w:val="20"/>
                <w:color w:val="auto"/>
              </w:rPr>
            </w:pPr>
            <w:r>
              <w:rPr>
                <w:rFonts w:ascii="Arial" w:cs="Arial" w:eastAsia="Arial" w:hAnsi="Arial"/>
                <w:sz w:val="14"/>
                <w:szCs w:val="14"/>
                <w:color w:val="auto"/>
              </w:rPr>
              <w:t>Our share of depreciation and amortization from unconsolidated joint ventures</w:t>
            </w:r>
          </w:p>
        </w:tc>
        <w:tc>
          <w:tcPr>
            <w:tcW w:w="2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4,135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4,328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5,419</w:t>
            </w:r>
          </w:p>
        </w:tc>
        <w:tc>
          <w:tcPr>
            <w:tcW w:w="0" w:type="dxa"/>
            <w:vAlign w:val="bottom"/>
          </w:tcPr>
          <w:p>
            <w:pPr>
              <w:spacing w:after="0"/>
              <w:rPr>
                <w:sz w:val="1"/>
                <w:szCs w:val="1"/>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depreciation and amortization</w:t>
            </w:r>
          </w:p>
        </w:tc>
        <w:tc>
          <w:tcPr>
            <w:tcW w:w="2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9,171</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9,752</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11,108</w:t>
            </w:r>
          </w:p>
        </w:tc>
        <w:tc>
          <w:tcPr>
            <w:tcW w:w="0" w:type="dxa"/>
            <w:vAlign w:val="bottom"/>
          </w:tcPr>
          <w:p>
            <w:pPr>
              <w:spacing w:after="0"/>
              <w:rPr>
                <w:sz w:val="1"/>
                <w:szCs w:val="1"/>
                <w:color w:val="auto"/>
              </w:rPr>
            </w:pPr>
          </w:p>
        </w:tc>
      </w:tr>
      <w:tr>
        <w:trPr>
          <w:trHeight w:val="181"/>
        </w:trPr>
        <w:tc>
          <w:tcPr>
            <w:tcW w:w="5080" w:type="dxa"/>
            <w:vAlign w:val="bottom"/>
          </w:tcPr>
          <w:p>
            <w:pPr>
              <w:ind w:left="20"/>
              <w:spacing w:after="0"/>
              <w:rPr>
                <w:sz w:val="20"/>
                <w:szCs w:val="20"/>
                <w:color w:val="auto"/>
              </w:rPr>
            </w:pPr>
            <w:r>
              <w:rPr>
                <w:rFonts w:ascii="Arial" w:cs="Arial" w:eastAsia="Arial" w:hAnsi="Arial"/>
                <w:sz w:val="14"/>
                <w:szCs w:val="14"/>
                <w:color w:val="auto"/>
              </w:rPr>
              <w:t>EBITDA</w:t>
            </w:r>
          </w:p>
        </w:tc>
        <w:tc>
          <w:tcPr>
            <w:tcW w:w="2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25,277</w:t>
            </w: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16,502</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9,296</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2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3,198</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3,248</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Asset abandonment charges</w:t>
            </w:r>
          </w:p>
        </w:tc>
        <w:tc>
          <w:tcPr>
            <w:tcW w:w="2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30,079</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19,750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12,848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1549"/>
              <w:spacing w:after="0"/>
              <w:rPr>
                <w:sz w:val="20"/>
                <w:szCs w:val="20"/>
                <w:color w:val="auto"/>
              </w:rPr>
            </w:pPr>
            <w:r>
              <w:rPr>
                <w:rFonts w:ascii="Arial" w:cs="Arial" w:eastAsia="Arial" w:hAnsi="Arial"/>
                <w:sz w:val="14"/>
                <w:szCs w:val="14"/>
                <w:color w:val="auto"/>
              </w:rPr>
              <w:t>54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92" w:right="319" w:bottom="1440" w:gutter="0" w:footer="0" w:header="0"/>
        </w:sectPr>
      </w:pPr>
    </w:p>
    <w:bookmarkStart w:id="54" w:name="page55"/>
    <w:bookmarkEnd w:id="54"/>
    <w:p>
      <w:pPr>
        <w:jc w:val="both"/>
        <w:spacing w:after="0" w:line="262" w:lineRule="auto"/>
        <w:rPr>
          <w:sz w:val="20"/>
          <w:szCs w:val="20"/>
          <w:color w:val="auto"/>
        </w:rPr>
      </w:pPr>
      <w:r>
        <w:rPr>
          <w:rFonts w:ascii="Arial" w:cs="Arial" w:eastAsia="Arial" w:hAnsi="Arial"/>
          <w:sz w:val="14"/>
          <w:szCs w:val="14"/>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4"/>
                <w:szCs w:val="14"/>
                <w:color w:val="auto"/>
                <w:w w:val="90"/>
              </w:rPr>
              <w:t>Year-Ended December 31,</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ind w:left="20"/>
              <w:spacing w:after="0"/>
              <w:rPr>
                <w:sz w:val="20"/>
                <w:szCs w:val="20"/>
                <w:color w:val="auto"/>
              </w:rPr>
            </w:pPr>
            <w:r>
              <w:rPr>
                <w:rFonts w:ascii="Arial" w:cs="Arial" w:eastAsia="Arial" w:hAnsi="Arial"/>
                <w:sz w:val="14"/>
                <w:szCs w:val="14"/>
                <w:color w:val="auto"/>
              </w:rPr>
              <w:t>Net operating income</w:t>
            </w:r>
          </w:p>
        </w:tc>
        <w:tc>
          <w:tcPr>
            <w:tcW w:w="420" w:type="dxa"/>
            <w:vAlign w:val="bottom"/>
          </w:tcPr>
          <w:p>
            <w:pPr>
              <w:spacing w:after="0"/>
              <w:rPr>
                <w:sz w:val="15"/>
                <w:szCs w:val="15"/>
                <w:color w:val="auto"/>
              </w:rPr>
            </w:pPr>
          </w:p>
        </w:tc>
        <w:tc>
          <w:tcPr>
            <w:tcW w:w="1300" w:type="dxa"/>
            <w:vAlign w:val="bottom"/>
          </w:tcPr>
          <w:p>
            <w:pPr>
              <w:jc w:val="right"/>
              <w:ind w:right="64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center"/>
              <w:ind w:right="329"/>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29"/>
              <w:spacing w:after="0"/>
              <w:rPr>
                <w:sz w:val="20"/>
                <w:szCs w:val="20"/>
                <w:color w:val="auto"/>
              </w:rPr>
            </w:pPr>
            <w:r>
              <w:rPr>
                <w:rFonts w:ascii="Arial" w:cs="Arial" w:eastAsia="Arial" w:hAnsi="Arial"/>
                <w:sz w:val="14"/>
                <w:szCs w:val="14"/>
                <w:color w:val="auto"/>
              </w:rPr>
              <w:t>2017</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Pastoria Energy Facility</w:t>
            </w: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4,573</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4,056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3,854</w:t>
            </w:r>
          </w:p>
        </w:tc>
      </w:tr>
      <w:tr>
        <w:trPr>
          <w:trHeight w:val="191"/>
        </w:trPr>
        <w:tc>
          <w:tcPr>
            <w:tcW w:w="5980" w:type="dxa"/>
            <w:vAlign w:val="bottom"/>
          </w:tcPr>
          <w:p>
            <w:pPr>
              <w:ind w:left="20"/>
              <w:spacing w:after="0"/>
              <w:rPr>
                <w:sz w:val="20"/>
                <w:szCs w:val="20"/>
                <w:color w:val="auto"/>
              </w:rPr>
            </w:pPr>
            <w:r>
              <w:rPr>
                <w:rFonts w:ascii="Arial" w:cs="Arial" w:eastAsia="Arial" w:hAnsi="Arial"/>
                <w:sz w:val="14"/>
                <w:szCs w:val="14"/>
                <w:color w:val="auto"/>
              </w:rPr>
              <w:t>TRCC</w:t>
            </w:r>
          </w:p>
        </w:tc>
        <w:tc>
          <w:tcPr>
            <w:tcW w:w="420" w:type="dxa"/>
            <w:vAlign w:val="bottom"/>
          </w:tcPr>
          <w:p>
            <w:pPr>
              <w:spacing w:after="0"/>
              <w:rPr>
                <w:sz w:val="16"/>
                <w:szCs w:val="16"/>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1,488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1,482</w:t>
            </w:r>
          </w:p>
        </w:tc>
      </w:tr>
      <w:tr>
        <w:trPr>
          <w:trHeight w:val="22"/>
        </w:trPr>
        <w:tc>
          <w:tcPr>
            <w:tcW w:w="5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Communication leases</w:t>
            </w:r>
          </w:p>
        </w:tc>
        <w:tc>
          <w:tcPr>
            <w:tcW w:w="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912</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894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799</w:t>
            </w:r>
          </w:p>
        </w:tc>
      </w:tr>
      <w:tr>
        <w:trPr>
          <w:trHeight w:val="191"/>
        </w:trPr>
        <w:tc>
          <w:tcPr>
            <w:tcW w:w="5980" w:type="dxa"/>
            <w:vAlign w:val="bottom"/>
          </w:tcPr>
          <w:p>
            <w:pPr>
              <w:ind w:left="20"/>
              <w:spacing w:after="0"/>
              <w:rPr>
                <w:sz w:val="20"/>
                <w:szCs w:val="20"/>
                <w:color w:val="auto"/>
              </w:rPr>
            </w:pPr>
            <w:r>
              <w:rPr>
                <w:rFonts w:ascii="Arial" w:cs="Arial" w:eastAsia="Arial" w:hAnsi="Arial"/>
                <w:sz w:val="14"/>
                <w:szCs w:val="14"/>
                <w:color w:val="auto"/>
              </w:rPr>
              <w:t>Other commercial leases</w:t>
            </w:r>
          </w:p>
        </w:tc>
        <w:tc>
          <w:tcPr>
            <w:tcW w:w="420" w:type="dxa"/>
            <w:vAlign w:val="bottom"/>
          </w:tcPr>
          <w:p>
            <w:pPr>
              <w:spacing w:after="0"/>
              <w:rPr>
                <w:sz w:val="16"/>
                <w:szCs w:val="16"/>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618</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Commercial/Industrial net operating income</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7,623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7,059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6,753</w:t>
            </w:r>
          </w:p>
        </w:tc>
      </w:tr>
      <w:tr>
        <w:trPr>
          <w:trHeight w:val="20"/>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01"/>
        </w:trPr>
        <w:tc>
          <w:tcPr>
            <w:tcW w:w="5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4"/>
                <w:szCs w:val="14"/>
                <w:color w:val="auto"/>
                <w:w w:val="90"/>
              </w:rPr>
              <w:t>Year-Ended December 31,</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20" w:type="dxa"/>
            <w:vAlign w:val="bottom"/>
          </w:tcPr>
          <w:p>
            <w:pPr>
              <w:spacing w:after="0"/>
              <w:rPr>
                <w:sz w:val="15"/>
                <w:szCs w:val="15"/>
                <w:color w:val="auto"/>
              </w:rPr>
            </w:pPr>
          </w:p>
        </w:tc>
        <w:tc>
          <w:tcPr>
            <w:tcW w:w="1300" w:type="dxa"/>
            <w:vAlign w:val="bottom"/>
          </w:tcPr>
          <w:p>
            <w:pPr>
              <w:jc w:val="right"/>
              <w:ind w:right="64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center"/>
              <w:ind w:right="329"/>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29"/>
              <w:spacing w:after="0"/>
              <w:rPr>
                <w:sz w:val="20"/>
                <w:szCs w:val="20"/>
                <w:color w:val="auto"/>
              </w:rPr>
            </w:pPr>
            <w:r>
              <w:rPr>
                <w:rFonts w:ascii="Arial" w:cs="Arial" w:eastAsia="Arial" w:hAnsi="Arial"/>
                <w:sz w:val="14"/>
                <w:szCs w:val="14"/>
                <w:color w:val="auto"/>
              </w:rPr>
              <w:t>2017</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Commercial/Industrial operating income</w:t>
            </w: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3,831</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2,724</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2,472</w:t>
            </w:r>
          </w:p>
        </w:tc>
      </w:tr>
      <w:tr>
        <w:trPr>
          <w:trHeight w:val="191"/>
        </w:trPr>
        <w:tc>
          <w:tcPr>
            <w:tcW w:w="5980" w:type="dxa"/>
            <w:vAlign w:val="bottom"/>
          </w:tcPr>
          <w:p>
            <w:pPr>
              <w:ind w:left="140"/>
              <w:spacing w:after="0"/>
              <w:rPr>
                <w:sz w:val="20"/>
                <w:szCs w:val="20"/>
                <w:color w:val="auto"/>
              </w:rPr>
            </w:pPr>
            <w:r>
              <w:rPr>
                <w:rFonts w:ascii="Arial" w:cs="Arial" w:eastAsia="Arial" w:hAnsi="Arial"/>
                <w:sz w:val="14"/>
                <w:szCs w:val="14"/>
                <w:color w:val="auto"/>
              </w:rPr>
              <w:t>Plus: Commercial/Industrial depreciation and amortization</w:t>
            </w:r>
          </w:p>
        </w:tc>
        <w:tc>
          <w:tcPr>
            <w:tcW w:w="420" w:type="dxa"/>
            <w:vAlign w:val="bottom"/>
          </w:tcPr>
          <w:p>
            <w:pPr>
              <w:spacing w:after="0"/>
              <w:rPr>
                <w:sz w:val="16"/>
                <w:szCs w:val="16"/>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650</w:t>
            </w:r>
          </w:p>
        </w:tc>
      </w:tr>
      <w:tr>
        <w:trPr>
          <w:trHeight w:val="22"/>
        </w:trPr>
        <w:tc>
          <w:tcPr>
            <w:tcW w:w="5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Plus: General, administrative and other expenses</w:t>
            </w:r>
          </w:p>
        </w:tc>
        <w:tc>
          <w:tcPr>
            <w:tcW w:w="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11,907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5,241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5,570</w:t>
            </w:r>
          </w:p>
        </w:tc>
      </w:tr>
      <w:tr>
        <w:trPr>
          <w:trHeight w:val="191"/>
        </w:trPr>
        <w:tc>
          <w:tcPr>
            <w:tcW w:w="5980" w:type="dxa"/>
            <w:vAlign w:val="bottom"/>
          </w:tcPr>
          <w:p>
            <w:pPr>
              <w:ind w:left="140"/>
              <w:spacing w:after="0"/>
              <w:rPr>
                <w:sz w:val="20"/>
                <w:szCs w:val="20"/>
                <w:color w:val="auto"/>
              </w:rPr>
            </w:pPr>
            <w:r>
              <w:rPr>
                <w:rFonts w:ascii="Arial" w:cs="Arial" w:eastAsia="Arial" w:hAnsi="Arial"/>
                <w:sz w:val="14"/>
                <w:szCs w:val="14"/>
                <w:color w:val="auto"/>
              </w:rPr>
              <w:t>Less: Other revenues including land sales</w:t>
            </w:r>
          </w:p>
        </w:tc>
        <w:tc>
          <w:tcPr>
            <w:tcW w:w="420" w:type="dxa"/>
            <w:vAlign w:val="bottom"/>
          </w:tcPr>
          <w:p>
            <w:pPr>
              <w:spacing w:after="0"/>
              <w:rPr>
                <w:sz w:val="16"/>
                <w:szCs w:val="16"/>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(8,632)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(1,939)</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Commercial/Industrial net operating income</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7,623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7,059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6,753</w:t>
            </w:r>
          </w:p>
        </w:tc>
      </w:tr>
      <w:tr>
        <w:trPr>
          <w:trHeight w:val="20"/>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schedule reconciles net income from unconsolidated joint ventures to NOI of unconsolidated joint ventures.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color w:val="auto"/>
                <w:w w:val="91"/>
              </w:rPr>
              <w:t>Year-Ended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70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320" w:type="dxa"/>
            <w:vAlign w:val="bottom"/>
          </w:tcPr>
          <w:p>
            <w:pPr>
              <w:spacing w:after="0"/>
              <w:rPr>
                <w:sz w:val="15"/>
                <w:szCs w:val="15"/>
                <w:color w:val="auto"/>
              </w:rPr>
            </w:pPr>
          </w:p>
        </w:tc>
        <w:tc>
          <w:tcPr>
            <w:tcW w:w="1060" w:type="dxa"/>
            <w:vAlign w:val="bottom"/>
          </w:tcPr>
          <w:p>
            <w:pPr>
              <w:jc w:val="right"/>
              <w:ind w:right="46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Arial" w:cs="Arial" w:eastAsia="Arial" w:hAnsi="Arial"/>
                <w:sz w:val="14"/>
                <w:szCs w:val="14"/>
                <w:color w:val="auto"/>
              </w:rPr>
              <w:t>2017</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of unconsolidated joint ventures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30,213</w:t>
            </w:r>
          </w:p>
        </w:tc>
        <w:tc>
          <w:tcPr>
            <w:tcW w:w="42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5,734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6,371</w:t>
            </w: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Plus: Interest expense of unconsolidated joint ventures</w:t>
            </w:r>
          </w:p>
        </w:tc>
        <w:tc>
          <w:tcPr>
            <w:tcW w:w="3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5,438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4,912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3,364</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of unconsolidated joint ventures</w:t>
            </w: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35,651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10,646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9,735</w:t>
            </w: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Plus: Depreciation and amortization of unconsolidated joint ventures</w:t>
            </w:r>
          </w:p>
        </w:tc>
        <w:tc>
          <w:tcPr>
            <w:tcW w:w="3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7,773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8,125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10,361</w:t>
            </w:r>
          </w:p>
        </w:tc>
      </w:tr>
      <w:tr>
        <w:trPr>
          <w:trHeight w:val="22"/>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Gain on sale of asset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(17,537)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7"/>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 of unconsolidated joint ventures</w:t>
            </w: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25,887</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18,771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20,096</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006EBF"/>
        </w:rPr>
        <w:t>ITEM 7A.</w:t>
        <w:tab/>
        <w:t>QUANTITATIVE AND QUALITATIVE DISCLOSURES ABOUT MARKET RISK</w:t>
      </w:r>
    </w:p>
    <w:p>
      <w:pPr>
        <w:spacing w:after="0" w:line="140"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Financial Market Risks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Our exposure to financial market risks includes changes to interest rates and credit risks related to marketable securities, interest rates related to our outstanding indebtedness and trade receivables.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596" w:right="319" w:bottom="1440" w:gutter="0" w:footer="0" w:header="0"/>
        </w:sectPr>
      </w:pPr>
    </w:p>
    <w:bookmarkStart w:id="55" w:name="page56"/>
    <w:bookmarkEnd w:id="55"/>
    <w:p>
      <w:pPr>
        <w:ind w:right="40"/>
        <w:spacing w:after="0" w:line="267" w:lineRule="auto"/>
        <w:rPr>
          <w:sz w:val="20"/>
          <w:szCs w:val="20"/>
          <w:color w:val="auto"/>
        </w:rPr>
      </w:pPr>
      <w:r>
        <w:rPr>
          <w:rFonts w:ascii="Arial" w:cs="Arial" w:eastAsia="Arial" w:hAnsi="Arial"/>
          <w:sz w:val="14"/>
          <w:szCs w:val="14"/>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99" w:lineRule="exact"/>
        <w:rPr>
          <w:sz w:val="20"/>
          <w:szCs w:val="20"/>
          <w:color w:val="auto"/>
        </w:rPr>
      </w:pPr>
    </w:p>
    <w:p>
      <w:pPr>
        <w:ind w:right="160"/>
        <w:spacing w:after="0" w:line="368" w:lineRule="auto"/>
        <w:rPr>
          <w:sz w:val="20"/>
          <w:szCs w:val="20"/>
          <w:color w:val="auto"/>
        </w:rPr>
      </w:pPr>
      <w:r>
        <w:rPr>
          <w:rFonts w:ascii="Arial" w:cs="Arial" w:eastAsia="Arial" w:hAnsi="Arial"/>
          <w:sz w:val="12"/>
          <w:szCs w:val="12"/>
          <w:color w:val="auto"/>
        </w:rPr>
        <w:t>Our current RLC has no outstanding balance.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4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are exposed to interest rate risk on our long-term debt. Long-term debt consists of two term loans, one for $58,768,000 and is tied to LIBOR plus a margin of 1.70%. The interest rate for the term of this loan has been fixed through the use of an interest rate swap that fixed the rate at 4.16%. The outstanding balance on the second term loan is $3,129,000 and has a fixed rate of 4.25%. We believe it is prudent at times to limit the variability of floating-rate interest payments and have from time-to-time entered into interest rate swap arrangements to manage those fluctuations, as we did with the Term Loan.</w:t>
      </w:r>
    </w:p>
    <w:p>
      <w:pPr>
        <w:spacing w:after="0" w:line="103"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99"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Interest Rate Sensitivity Financial Market Risks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At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percentage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Thereafter</w:t>
            </w:r>
          </w:p>
        </w:tc>
        <w:tc>
          <w:tcPr>
            <w:tcW w:w="24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22"/>
        </w:trPr>
        <w:tc>
          <w:tcPr>
            <w:tcW w:w="2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38,133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39,033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39,084</w:t>
            </w:r>
          </w:p>
        </w:tc>
        <w:tc>
          <w:tcPr>
            <w:tcW w:w="0" w:type="dxa"/>
            <w:vAlign w:val="bottom"/>
          </w:tcPr>
          <w:p>
            <w:pPr>
              <w:spacing w:after="0"/>
              <w:rPr>
                <w:sz w:val="1"/>
                <w:szCs w:val="1"/>
                <w:color w:val="auto"/>
              </w:rPr>
            </w:pPr>
          </w:p>
        </w:tc>
      </w:tr>
      <w:tr>
        <w:trPr>
          <w:trHeight w:val="191"/>
        </w:trPr>
        <w:tc>
          <w:tcPr>
            <w:tcW w:w="2640" w:type="dxa"/>
            <w:vAlign w:val="bottom"/>
          </w:tcPr>
          <w:p>
            <w:pPr>
              <w:ind w:left="140"/>
              <w:spacing w:after="0"/>
              <w:rPr>
                <w:sz w:val="20"/>
                <w:szCs w:val="20"/>
                <w:color w:val="auto"/>
              </w:rPr>
            </w:pPr>
            <w:r>
              <w:rPr>
                <w:rFonts w:ascii="Arial" w:cs="Arial" w:eastAsia="Arial" w:hAnsi="Arial"/>
                <w:sz w:val="14"/>
                <w:szCs w:val="14"/>
                <w:color w:val="auto"/>
              </w:rPr>
              <w:t>Weighted average interest rate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20"/>
              <w:spacing w:after="0"/>
              <w:rPr>
                <w:sz w:val="20"/>
                <w:szCs w:val="20"/>
                <w:color w:val="auto"/>
              </w:rPr>
            </w:pPr>
            <w:r>
              <w:rPr>
                <w:rFonts w:ascii="Arial" w:cs="Arial" w:eastAsia="Arial" w:hAnsi="Arial"/>
                <w:sz w:val="14"/>
                <w:szCs w:val="14"/>
                <w:color w:val="auto"/>
              </w:rPr>
              <w:t>Long-term debt ($4.75M note)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3,129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Weighted average interest rate</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20"/>
              <w:spacing w:after="0"/>
              <w:rPr>
                <w:sz w:val="20"/>
                <w:szCs w:val="20"/>
                <w:color w:val="auto"/>
              </w:rPr>
            </w:pPr>
            <w:r>
              <w:rPr>
                <w:rFonts w:ascii="Arial" w:cs="Arial" w:eastAsia="Arial" w:hAnsi="Arial"/>
                <w:sz w:val="14"/>
                <w:szCs w:val="14"/>
                <w:color w:val="auto"/>
              </w:rPr>
              <w:t>Long-term debt ($70.0M note)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3,881</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4,051</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4,221</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4,429</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4,624</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37,562</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58,768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58,768</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Weighted average interest rate</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26"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color w:val="auto"/>
        </w:rPr>
        <w:t>Interest Rate Sensitivity Financial Market Risks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At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percentage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0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Thereafter</w:t>
            </w:r>
          </w:p>
        </w:tc>
        <w:tc>
          <w:tcPr>
            <w:tcW w:w="24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22"/>
        </w:trPr>
        <w:tc>
          <w:tcPr>
            <w:tcW w:w="2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43,627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20,111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64,138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63,749</w:t>
            </w:r>
          </w:p>
        </w:tc>
        <w:tc>
          <w:tcPr>
            <w:tcW w:w="0" w:type="dxa"/>
            <w:vAlign w:val="bottom"/>
          </w:tcPr>
          <w:p>
            <w:pPr>
              <w:spacing w:after="0"/>
              <w:rPr>
                <w:sz w:val="1"/>
                <w:szCs w:val="1"/>
                <w:color w:val="auto"/>
              </w:rPr>
            </w:pPr>
          </w:p>
        </w:tc>
      </w:tr>
      <w:tr>
        <w:trPr>
          <w:trHeight w:val="191"/>
        </w:trPr>
        <w:tc>
          <w:tcPr>
            <w:tcW w:w="2540" w:type="dxa"/>
            <w:vAlign w:val="bottom"/>
          </w:tcPr>
          <w:p>
            <w:pPr>
              <w:ind w:left="140"/>
              <w:spacing w:after="0"/>
              <w:rPr>
                <w:sz w:val="20"/>
                <w:szCs w:val="20"/>
                <w:color w:val="auto"/>
              </w:rPr>
            </w:pPr>
            <w:r>
              <w:rPr>
                <w:rFonts w:ascii="Arial" w:cs="Arial" w:eastAsia="Arial" w:hAnsi="Arial"/>
                <w:sz w:val="14"/>
                <w:szCs w:val="14"/>
                <w:color w:val="auto"/>
              </w:rPr>
              <w:t>Weighted average interest rate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40" w:type="dxa"/>
            <w:vAlign w:val="bottom"/>
          </w:tcPr>
          <w:p>
            <w:pPr>
              <w:ind w:left="20"/>
              <w:spacing w:after="0"/>
              <w:rPr>
                <w:sz w:val="20"/>
                <w:szCs w:val="20"/>
                <w:color w:val="auto"/>
              </w:rPr>
            </w:pPr>
            <w:r>
              <w:rPr>
                <w:rFonts w:ascii="Arial" w:cs="Arial" w:eastAsia="Arial" w:hAnsi="Arial"/>
                <w:sz w:val="14"/>
                <w:szCs w:val="14"/>
                <w:color w:val="auto"/>
              </w:rPr>
              <w:t>Long-term debt ($4.75M note)</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1,841</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3,418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3,418</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Weighted average interest rate</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40" w:type="dxa"/>
            <w:vAlign w:val="bottom"/>
          </w:tcPr>
          <w:p>
            <w:pPr>
              <w:ind w:left="20"/>
              <w:spacing w:after="0"/>
              <w:rPr>
                <w:sz w:val="20"/>
                <w:szCs w:val="20"/>
                <w:color w:val="auto"/>
              </w:rPr>
            </w:pPr>
            <w:r>
              <w:rPr>
                <w:rFonts w:ascii="Arial" w:cs="Arial" w:eastAsia="Arial" w:hAnsi="Arial"/>
                <w:sz w:val="14"/>
                <w:szCs w:val="14"/>
                <w:color w:val="auto"/>
              </w:rPr>
              <w:t>Long-term debt ($70.0M note)</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3,715</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3,881</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4,051</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4,221</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4,429</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42,186</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62,483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62,483</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Weighted average interest rate</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40" w:type="dxa"/>
            <w:vAlign w:val="bottom"/>
          </w:tcPr>
          <w:p>
            <w:pPr>
              <w:ind w:left="20"/>
              <w:spacing w:after="0"/>
              <w:rPr>
                <w:sz w:val="20"/>
                <w:szCs w:val="20"/>
                <w:color w:val="auto"/>
              </w:rPr>
            </w:pPr>
            <w:r>
              <w:rPr>
                <w:rFonts w:ascii="Arial" w:cs="Arial" w:eastAsia="Arial" w:hAnsi="Arial"/>
                <w:sz w:val="14"/>
                <w:szCs w:val="14"/>
                <w:color w:val="auto"/>
              </w:rPr>
              <w:t>Long-term debt (other)</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 average interest rate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680"/>
        <w:spacing w:after="0" w:line="442" w:lineRule="auto"/>
        <w:rPr>
          <w:sz w:val="20"/>
          <w:szCs w:val="20"/>
          <w:color w:val="auto"/>
        </w:rPr>
      </w:pPr>
      <w:r>
        <w:rPr>
          <w:rFonts w:ascii="Arial" w:cs="Arial" w:eastAsia="Arial" w:hAnsi="Arial"/>
          <w:sz w:val="14"/>
          <w:szCs w:val="14"/>
          <w:color w:val="auto"/>
        </w:rPr>
        <w:t xml:space="preserve">Our risk with regard to fluctuations in interest rates has decreased slightly related to marketable securities since these balances have decreased compared to the prior year. </w:t>
      </w:r>
      <w:r>
        <w:rPr>
          <w:rFonts w:ascii="Arial" w:cs="Arial" w:eastAsia="Arial" w:hAnsi="Arial"/>
          <w:sz w:val="14"/>
          <w:szCs w:val="14"/>
          <w:u w:val="single" w:color="auto"/>
          <w:color w:val="auto"/>
        </w:rPr>
        <w:t>Commodity Price Exposure</w:t>
      </w:r>
    </w:p>
    <w:p>
      <w:pPr>
        <w:spacing w:after="0" w:line="1"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As of December 31, 2019, we have exposure to adverse price fluctuations associated with certain inventories and accounts receivable. Farming inventories consist of farming cultural and processing costs related to 2019 and 2018 crop production. The farming costs inventoried are recorded at actual costs incurred. Historically, these costs have been recovered each year when that year’s crop harvest has been sold.</w:t>
      </w:r>
    </w:p>
    <w:p>
      <w:pPr>
        <w:spacing w:after="0" w:line="99"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With respect to accounts receivable, the amount at risk relates primarily to farm crops. These receivables are recorded as estimates of the prices that ultimately will be received for the crops. The final price is generally not known for several months following the close of our fiscal year. Of the $9,950,000 of accounts receivable outstanding at December 31, 2019, $3,075,000 or 31%, is at risk to changing prices. Of the amount at risk to changing prices, $1,160,000 is attributable to pistachios, and $1,915,000 is attributable to almonds.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The price estimated for recording accounts receivable for pistachios recorded at December 31, 2019 was $1.98 per pound, as compared to $2.01 per pound at December 31, 2018. For each $0.01</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change in the price per pound of pistachios, our receivable for pistachios increases or decreases by $5,800. Although the final price per pound of pistachios (and therefore the extent of the risk) is not</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presently known, over the last three years prices have ranged from $1.98 to $2.01. With respect to almonds, the price estimated for recording the receivable was $2.63 per pound, as compared to</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$2.62 per pound at December 31, 2018. For each $0.01 change in the price per pound of almonds, our receivable for almonds increases or decreases by $7,300. The range of final prices over the last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three years for almonds has ranged from $2.57 to $2.63 per pound.</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006EBF"/>
        </w:rPr>
        <w:t>ITEM 8.</w:t>
        <w:tab/>
        <w:t>FINANCIAL STATEMENTS AND SUPPLEMENTARY DATA</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response to this Item is submitted in a separate section of this Form 10-K.</w:t>
      </w:r>
    </w:p>
    <w:p>
      <w:pPr>
        <w:spacing w:after="0" w:line="196"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006EBF"/>
        </w:rPr>
        <w:t>ITEM 9.</w:t>
      </w:r>
      <w:r>
        <w:rPr>
          <w:sz w:val="20"/>
          <w:szCs w:val="20"/>
          <w:color w:val="auto"/>
        </w:rPr>
        <w:tab/>
      </w:r>
      <w:r>
        <w:rPr>
          <w:rFonts w:ascii="Arial" w:cs="Arial" w:eastAsia="Arial" w:hAnsi="Arial"/>
          <w:sz w:val="14"/>
          <w:szCs w:val="14"/>
          <w:b w:val="1"/>
          <w:bCs w:val="1"/>
          <w:color w:val="006EBF"/>
        </w:rPr>
        <w:t>CHANGES IN AND DISAGREEMENTS WITH ACCOUNTANTS ON ACCOUNTING AND FINANCIAL DISCLOSURE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468" w:right="319" w:bottom="1440" w:gutter="0" w:footer="0" w:header="0"/>
        </w:sectPr>
      </w:pPr>
    </w:p>
    <w:bookmarkStart w:id="57" w:name="page58"/>
    <w:bookmarkEnd w:id="57"/>
    <w:p>
      <w:pPr>
        <w:spacing w:after="0"/>
        <w:tabs>
          <w:tab w:leader="none" w:pos="740" w:val="left"/>
        </w:tabs>
        <w:rPr>
          <w:sz w:val="20"/>
          <w:szCs w:val="20"/>
          <w:color w:val="auto"/>
        </w:rPr>
      </w:pPr>
      <w:r>
        <w:rPr>
          <w:rFonts w:ascii="Arial" w:cs="Arial" w:eastAsia="Arial" w:hAnsi="Arial"/>
          <w:sz w:val="14"/>
          <w:szCs w:val="14"/>
          <w:b w:val="1"/>
          <w:bCs w:val="1"/>
          <w:color w:val="006EBF"/>
        </w:rPr>
        <w:t>ITEM 9A.</w:t>
        <w:tab/>
        <w:t>CONTROLS AND PROCEDURES</w:t>
      </w:r>
    </w:p>
    <w:p>
      <w:pPr>
        <w:spacing w:after="0" w:line="140" w:lineRule="exact"/>
        <w:rPr>
          <w:sz w:val="20"/>
          <w:szCs w:val="20"/>
          <w:color w:val="auto"/>
        </w:rPr>
      </w:pPr>
    </w:p>
    <w:p>
      <w:pPr>
        <w:ind w:left="420" w:hanging="415"/>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Evaluation of Disclosure Controls and Procedures</w:t>
      </w:r>
    </w:p>
    <w:p>
      <w:pPr>
        <w:spacing w:after="0" w:line="136"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As of the end of the period covered by this report, we carried out an evaluation, under the supervision and with the participation of our management, including our Chief Executive Officer, Chief Financial Officer and Controller,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our disclosure controls and procedures are effective as of December 31, 2019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was recorded, processed, summarized and reported within the time period required by the rules and regulations of the SEC.</w:t>
      </w:r>
    </w:p>
    <w:p>
      <w:pPr>
        <w:spacing w:after="0" w:line="107" w:lineRule="exact"/>
        <w:rPr>
          <w:sz w:val="20"/>
          <w:szCs w:val="20"/>
          <w:color w:val="auto"/>
        </w:rPr>
      </w:pPr>
    </w:p>
    <w:p>
      <w:pPr>
        <w:ind w:left="420" w:hanging="415"/>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Internal Control Over Financial Reporting</w:t>
      </w:r>
    </w:p>
    <w:p>
      <w:pPr>
        <w:spacing w:after="0" w:line="136"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90"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See Management’s Report on Internal Control Over Financial Reporting and the Report of Independent Registered Public Accounting Firm On Internal Control over Financial Reporting following ITEM 15(a)(2) - FINANCIAL STATEMENT SCHEDULES of this Form 10-K.</w:t>
      </w:r>
    </w:p>
    <w:p>
      <w:pPr>
        <w:spacing w:after="0" w:line="14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006EBF"/>
        </w:rPr>
        <w:t>ITEM 9B.</w:t>
        <w:tab/>
        <w:t>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TRC issued a press release on March 10, 2020 for the fourth-quarter and year-ended December 31, 2019 financial results.</w:t>
      </w:r>
    </w:p>
    <w:p>
      <w:pPr>
        <w:spacing w:after="0" w:line="122" w:lineRule="exact"/>
        <w:rPr>
          <w:sz w:val="20"/>
          <w:szCs w:val="20"/>
          <w:color w:val="auto"/>
        </w:rPr>
      </w:pPr>
    </w:p>
    <w:p>
      <w:pPr>
        <w:ind w:left="5360"/>
        <w:spacing w:after="0"/>
        <w:rPr>
          <w:sz w:val="20"/>
          <w:szCs w:val="20"/>
          <w:color w:val="auto"/>
        </w:rPr>
      </w:pPr>
      <w:r>
        <w:rPr>
          <w:rFonts w:ascii="Arial" w:cs="Arial" w:eastAsia="Arial" w:hAnsi="Arial"/>
          <w:sz w:val="14"/>
          <w:szCs w:val="14"/>
          <w:b w:val="1"/>
          <w:bCs w:val="1"/>
          <w:u w:val="single" w:color="auto"/>
          <w:color w:val="auto"/>
        </w:rPr>
        <w:t>PART III</w:t>
      </w:r>
    </w:p>
    <w:p>
      <w:pPr>
        <w:spacing w:after="0" w:line="20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006EBF"/>
        </w:rPr>
        <w:t>ITEM 10.</w:t>
        <w:tab/>
        <w:t>DIRECTORS, EXECUTIVE OFFICERS AND CORPORATE GOVERNANCE</w:t>
      </w:r>
    </w:p>
    <w:p>
      <w:pPr>
        <w:spacing w:after="0" w:line="76"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Information as to our Executive Officers is set forth in Part I, Item 1 of this Form 10-K under “Information about our Executive Officers.” The other information required by this Item is incorporated by reference from the definitive proxy statement to be filed by us with the SEC with respect to our 2020 Annual Meeting of Stockholders and will be found under the captions "The Election of Directors," "Code of Business Conduct and Ethics and Corporate Governance Guidelines," "Corporate Governance Matters" and, if applicable, "Delinquent Section 16(a) Reports."</w:t>
      </w:r>
    </w:p>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006EBF"/>
        </w:rPr>
        <w:t>ITEM 11.</w:t>
        <w:tab/>
        <w:t>EXECUTIVE COMPENSATION</w:t>
      </w:r>
    </w:p>
    <w:p>
      <w:pPr>
        <w:spacing w:after="0" w:line="7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Information required by this Item is incorporated by reference from the definitive proxy statement to be filed by us with the SEC with respect to our 2020 Annual Meeting of Stockholders and will be found under the captions "Compensation Discussion and Analysis," and "Compensation Committee Report."</w:t>
      </w:r>
    </w:p>
    <w:p>
      <w:pPr>
        <w:spacing w:after="0" w:line="149"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006EBF"/>
        </w:rPr>
        <w:t>ITEM 12.</w:t>
        <w:tab/>
        <w:t>SECURITY OWNERSHIP OF CERTAIN BENEFICIAL OWNERS AND MANAGEMENT AND RELATED STOCKHOLDER MATTERS</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  Security Ownership of Certain Beneficial Owners and Management.</w:t>
      </w:r>
    </w:p>
    <w:p>
      <w:pPr>
        <w:spacing w:after="0" w:line="136" w:lineRule="exact"/>
        <w:rPr>
          <w:sz w:val="20"/>
          <w:szCs w:val="20"/>
          <w:color w:val="auto"/>
        </w:rPr>
      </w:pPr>
    </w:p>
    <w:p>
      <w:pPr>
        <w:ind w:right="160"/>
        <w:spacing w:after="0" w:line="321" w:lineRule="auto"/>
        <w:rPr>
          <w:sz w:val="20"/>
          <w:szCs w:val="20"/>
          <w:color w:val="auto"/>
        </w:rPr>
      </w:pPr>
      <w:r>
        <w:rPr>
          <w:rFonts w:ascii="Arial" w:cs="Arial" w:eastAsia="Arial" w:hAnsi="Arial"/>
          <w:sz w:val="13"/>
          <w:szCs w:val="13"/>
          <w:color w:val="auto"/>
        </w:rPr>
        <w:t>Information required by this Item with respect to security ownership of certain beneficial owners and management is incorporated by reference from the definitive proxy statement to be filed by us with the SEC with respect to our 2020 Annual Meeting of Stockholders and will be found under the caption "Stock Ownership of Certain Beneficial Owners and Management."</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  Securities Authorized for Issuance under Equity Compensation Plans.</w:t>
      </w:r>
    </w:p>
    <w:p>
      <w:pPr>
        <w:spacing w:after="0" w:line="136" w:lineRule="exact"/>
        <w:rPr>
          <w:sz w:val="20"/>
          <w:szCs w:val="20"/>
          <w:color w:val="auto"/>
        </w:rPr>
      </w:pPr>
    </w:p>
    <w:p>
      <w:pPr>
        <w:ind w:right="420"/>
        <w:spacing w:after="0" w:line="262" w:lineRule="auto"/>
        <w:rPr>
          <w:sz w:val="20"/>
          <w:szCs w:val="20"/>
          <w:color w:val="auto"/>
        </w:rPr>
      </w:pPr>
      <w:r>
        <w:rPr>
          <w:rFonts w:ascii="Arial" w:cs="Arial" w:eastAsia="Arial" w:hAnsi="Arial"/>
          <w:sz w:val="14"/>
          <w:szCs w:val="14"/>
          <w:color w:val="auto"/>
        </w:rPr>
        <w:t>The following table shows aggregated information as of December 31, 2019 with respect to all of our compensation plans under which our equity securities were authorized for issuance. At December 31, 2019, we had, and we presently have, no other compensation contracts or arrangements for the issuance of any such equity securities and there were then, and continue to be, no compensation plans, contracts or arrangements which were not approved by our stockholders. More detailed information with respect to our compensation plans is included in Note 11 (Stock Compensation - Restricted Stock and Performance Share Grants) of the Notes to Consolidated Financial Statements.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00" w:top="655" w:right="35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Equity Compensation Plans Approved by Security Holders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tcPr>
          <w:p>
            <w:pPr>
              <w:jc w:val="center"/>
              <w:spacing w:after="0"/>
              <w:rPr>
                <w:sz w:val="20"/>
                <w:szCs w:val="20"/>
                <w:color w:val="auto"/>
              </w:rPr>
            </w:pPr>
            <w:r>
              <w:rPr>
                <w:rFonts w:ascii="Arial" w:cs="Arial" w:eastAsia="Arial" w:hAnsi="Arial"/>
                <w:sz w:val="11"/>
                <w:szCs w:val="11"/>
                <w:color w:val="auto"/>
                <w:w w:val="93"/>
              </w:rPr>
              <w:t>Number of securities remaining</w:t>
            </w:r>
          </w:p>
        </w:tc>
      </w:tr>
      <w:tr>
        <w:trPr>
          <w:trHeight w:val="117"/>
        </w:trPr>
        <w:tc>
          <w:tcPr>
            <w:tcW w:w="2940" w:type="dxa"/>
            <w:vAlign w:val="bottom"/>
            <w:gridSpan w:val="2"/>
          </w:tcPr>
          <w:p>
            <w:pPr>
              <w:jc w:val="center"/>
              <w:ind w:right="120"/>
              <w:spacing w:after="0" w:line="117" w:lineRule="exact"/>
              <w:rPr>
                <w:sz w:val="20"/>
                <w:szCs w:val="20"/>
                <w:color w:val="auto"/>
              </w:rPr>
            </w:pPr>
            <w:r>
              <w:rPr>
                <w:rFonts w:ascii="Arial" w:cs="Arial" w:eastAsia="Arial" w:hAnsi="Arial"/>
                <w:sz w:val="11"/>
                <w:szCs w:val="11"/>
                <w:color w:val="auto"/>
                <w:w w:val="97"/>
              </w:rPr>
              <w:t>Equity</w:t>
            </w:r>
          </w:p>
        </w:tc>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tcPr>
          <w:p>
            <w:pPr>
              <w:jc w:val="center"/>
              <w:spacing w:after="0" w:line="117" w:lineRule="exact"/>
              <w:rPr>
                <w:sz w:val="20"/>
                <w:szCs w:val="20"/>
                <w:color w:val="auto"/>
              </w:rPr>
            </w:pPr>
            <w:r>
              <w:rPr>
                <w:rFonts w:ascii="Arial" w:cs="Arial" w:eastAsia="Arial" w:hAnsi="Arial"/>
                <w:sz w:val="11"/>
                <w:szCs w:val="11"/>
                <w:color w:val="auto"/>
                <w:w w:val="91"/>
              </w:rPr>
              <w:t>available for future issuance</w:t>
            </w:r>
          </w:p>
        </w:tc>
      </w:tr>
      <w:tr>
        <w:trPr>
          <w:trHeight w:val="117"/>
        </w:trPr>
        <w:tc>
          <w:tcPr>
            <w:tcW w:w="2940" w:type="dxa"/>
            <w:vAlign w:val="bottom"/>
            <w:gridSpan w:val="2"/>
          </w:tcPr>
          <w:p>
            <w:pPr>
              <w:jc w:val="center"/>
              <w:ind w:right="120"/>
              <w:spacing w:after="0" w:line="117" w:lineRule="exact"/>
              <w:rPr>
                <w:sz w:val="20"/>
                <w:szCs w:val="20"/>
                <w:color w:val="auto"/>
              </w:rPr>
            </w:pPr>
            <w:r>
              <w:rPr>
                <w:rFonts w:ascii="Arial" w:cs="Arial" w:eastAsia="Arial" w:hAnsi="Arial"/>
                <w:sz w:val="11"/>
                <w:szCs w:val="11"/>
                <w:color w:val="auto"/>
                <w:w w:val="91"/>
              </w:rPr>
              <w:t>compensation plans</w:t>
            </w:r>
          </w:p>
        </w:tc>
        <w:tc>
          <w:tcPr>
            <w:tcW w:w="2820" w:type="dxa"/>
            <w:vAlign w:val="bottom"/>
            <w:gridSpan w:val="2"/>
          </w:tcPr>
          <w:p>
            <w:pPr>
              <w:jc w:val="center"/>
              <w:ind w:right="100"/>
              <w:spacing w:after="0" w:line="117" w:lineRule="exact"/>
              <w:rPr>
                <w:sz w:val="20"/>
                <w:szCs w:val="20"/>
                <w:color w:val="auto"/>
              </w:rPr>
            </w:pPr>
            <w:r>
              <w:rPr>
                <w:rFonts w:ascii="Arial" w:cs="Arial" w:eastAsia="Arial" w:hAnsi="Arial"/>
                <w:sz w:val="11"/>
                <w:szCs w:val="11"/>
                <w:color w:val="auto"/>
                <w:w w:val="93"/>
              </w:rPr>
              <w:t>Number of securities to be</w:t>
            </w:r>
          </w:p>
        </w:tc>
        <w:tc>
          <w:tcPr>
            <w:tcW w:w="2820" w:type="dxa"/>
            <w:vAlign w:val="bottom"/>
            <w:gridSpan w:val="2"/>
          </w:tcPr>
          <w:p>
            <w:pPr>
              <w:jc w:val="center"/>
              <w:ind w:right="120"/>
              <w:spacing w:after="0" w:line="117" w:lineRule="exact"/>
              <w:rPr>
                <w:sz w:val="20"/>
                <w:szCs w:val="20"/>
                <w:color w:val="auto"/>
              </w:rPr>
            </w:pPr>
            <w:r>
              <w:rPr>
                <w:rFonts w:ascii="Arial" w:cs="Arial" w:eastAsia="Arial" w:hAnsi="Arial"/>
                <w:sz w:val="11"/>
                <w:szCs w:val="11"/>
                <w:color w:val="auto"/>
                <w:w w:val="91"/>
              </w:rPr>
              <w:t>Weighted-average</w:t>
            </w:r>
          </w:p>
        </w:tc>
        <w:tc>
          <w:tcPr>
            <w:tcW w:w="2700" w:type="dxa"/>
            <w:vAlign w:val="bottom"/>
          </w:tcPr>
          <w:p>
            <w:pPr>
              <w:jc w:val="center"/>
              <w:spacing w:after="0" w:line="117" w:lineRule="exact"/>
              <w:rPr>
                <w:sz w:val="20"/>
                <w:szCs w:val="20"/>
                <w:color w:val="auto"/>
              </w:rPr>
            </w:pPr>
            <w:r>
              <w:rPr>
                <w:rFonts w:ascii="Arial" w:cs="Arial" w:eastAsia="Arial" w:hAnsi="Arial"/>
                <w:sz w:val="11"/>
                <w:szCs w:val="11"/>
                <w:color w:val="auto"/>
                <w:w w:val="92"/>
              </w:rPr>
              <w:t>under equity compensation</w:t>
            </w:r>
          </w:p>
        </w:tc>
      </w:tr>
      <w:tr>
        <w:trPr>
          <w:trHeight w:val="117"/>
        </w:trPr>
        <w:tc>
          <w:tcPr>
            <w:tcW w:w="2940" w:type="dxa"/>
            <w:vAlign w:val="bottom"/>
            <w:gridSpan w:val="2"/>
          </w:tcPr>
          <w:p>
            <w:pPr>
              <w:jc w:val="center"/>
              <w:ind w:right="100"/>
              <w:spacing w:after="0" w:line="117" w:lineRule="exact"/>
              <w:rPr>
                <w:sz w:val="20"/>
                <w:szCs w:val="20"/>
                <w:color w:val="auto"/>
              </w:rPr>
            </w:pPr>
            <w:r>
              <w:rPr>
                <w:rFonts w:ascii="Arial" w:cs="Arial" w:eastAsia="Arial" w:hAnsi="Arial"/>
                <w:sz w:val="11"/>
                <w:szCs w:val="11"/>
                <w:color w:val="auto"/>
                <w:w w:val="92"/>
              </w:rPr>
              <w:t>approved by</w:t>
            </w:r>
          </w:p>
        </w:tc>
        <w:tc>
          <w:tcPr>
            <w:tcW w:w="2820" w:type="dxa"/>
            <w:vAlign w:val="bottom"/>
            <w:gridSpan w:val="2"/>
          </w:tcPr>
          <w:p>
            <w:pPr>
              <w:jc w:val="center"/>
              <w:ind w:right="80"/>
              <w:spacing w:after="0" w:line="117" w:lineRule="exact"/>
              <w:rPr>
                <w:sz w:val="20"/>
                <w:szCs w:val="20"/>
                <w:color w:val="auto"/>
              </w:rPr>
            </w:pPr>
            <w:r>
              <w:rPr>
                <w:rFonts w:ascii="Arial" w:cs="Arial" w:eastAsia="Arial" w:hAnsi="Arial"/>
                <w:sz w:val="11"/>
                <w:szCs w:val="11"/>
                <w:color w:val="auto"/>
                <w:w w:val="91"/>
              </w:rPr>
              <w:t>issued upon exercise of</w:t>
            </w:r>
          </w:p>
        </w:tc>
        <w:tc>
          <w:tcPr>
            <w:tcW w:w="2820" w:type="dxa"/>
            <w:vAlign w:val="bottom"/>
            <w:gridSpan w:val="2"/>
          </w:tcPr>
          <w:p>
            <w:pPr>
              <w:jc w:val="center"/>
              <w:ind w:right="100"/>
              <w:spacing w:after="0" w:line="117" w:lineRule="exact"/>
              <w:rPr>
                <w:sz w:val="20"/>
                <w:szCs w:val="20"/>
                <w:color w:val="auto"/>
              </w:rPr>
            </w:pPr>
            <w:r>
              <w:rPr>
                <w:rFonts w:ascii="Arial" w:cs="Arial" w:eastAsia="Arial" w:hAnsi="Arial"/>
                <w:sz w:val="11"/>
                <w:szCs w:val="11"/>
                <w:color w:val="auto"/>
                <w:w w:val="94"/>
              </w:rPr>
              <w:t>exercise price of</w:t>
            </w:r>
          </w:p>
        </w:tc>
        <w:tc>
          <w:tcPr>
            <w:tcW w:w="2700" w:type="dxa"/>
            <w:vAlign w:val="bottom"/>
          </w:tcPr>
          <w:p>
            <w:pPr>
              <w:jc w:val="center"/>
              <w:spacing w:after="0" w:line="117" w:lineRule="exact"/>
              <w:rPr>
                <w:sz w:val="20"/>
                <w:szCs w:val="20"/>
                <w:color w:val="auto"/>
              </w:rPr>
            </w:pPr>
            <w:r>
              <w:rPr>
                <w:rFonts w:ascii="Arial" w:cs="Arial" w:eastAsia="Arial" w:hAnsi="Arial"/>
                <w:sz w:val="11"/>
                <w:szCs w:val="11"/>
                <w:color w:val="auto"/>
                <w:w w:val="94"/>
              </w:rPr>
              <w:t>plans (excluding securities</w:t>
            </w:r>
          </w:p>
        </w:tc>
      </w:tr>
      <w:tr>
        <w:trPr>
          <w:trHeight w:val="149"/>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security holders *</w:t>
            </w:r>
          </w:p>
        </w:tc>
        <w:tc>
          <w:tcPr>
            <w:tcW w:w="120" w:type="dxa"/>
            <w:vAlign w:val="bottom"/>
            <w:tcBorders>
              <w:bottom w:val="single" w:sz="8" w:color="CCEEFF"/>
            </w:tcBorders>
          </w:tcPr>
          <w:p>
            <w:pPr>
              <w:spacing w:after="0"/>
              <w:rPr>
                <w:sz w:val="12"/>
                <w:szCs w:val="12"/>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2"/>
              </w:rPr>
              <w:t>outstanding grants</w:t>
            </w:r>
          </w:p>
        </w:tc>
        <w:tc>
          <w:tcPr>
            <w:tcW w:w="100" w:type="dxa"/>
            <w:vAlign w:val="bottom"/>
            <w:tcBorders>
              <w:bottom w:val="single" w:sz="8" w:color="CCEEFF"/>
            </w:tcBorders>
          </w:tcPr>
          <w:p>
            <w:pPr>
              <w:spacing w:after="0"/>
              <w:rPr>
                <w:sz w:val="12"/>
                <w:szCs w:val="12"/>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2"/>
              </w:rPr>
              <w:t>outstanding grants</w:t>
            </w:r>
          </w:p>
        </w:tc>
        <w:tc>
          <w:tcPr>
            <w:tcW w:w="100" w:type="dxa"/>
            <w:vAlign w:val="bottom"/>
            <w:tcBorders>
              <w:bottom w:val="single" w:sz="8" w:color="CCEEFF"/>
            </w:tcBorders>
          </w:tcPr>
          <w:p>
            <w:pPr>
              <w:spacing w:after="0"/>
              <w:rPr>
                <w:sz w:val="12"/>
                <w:szCs w:val="12"/>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reflected in column (a))</w:t>
            </w:r>
          </w:p>
        </w:tc>
      </w:tr>
      <w:tr>
        <w:trPr>
          <w:trHeight w:val="196"/>
        </w:trPr>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8"/>
              </w:rPr>
              <w:t>(a)</w:t>
            </w: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8"/>
              </w:rPr>
              <w:t>(b)</w:t>
            </w:r>
          </w:p>
        </w:tc>
        <w:tc>
          <w:tcPr>
            <w:tcW w:w="27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(c)</w:t>
            </w:r>
          </w:p>
        </w:tc>
      </w:tr>
      <w:tr>
        <w:trPr>
          <w:trHeight w:val="180"/>
        </w:trPr>
        <w:tc>
          <w:tcPr>
            <w:tcW w:w="294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Restricted stock</w:t>
            </w:r>
          </w:p>
        </w:tc>
        <w:tc>
          <w:tcPr>
            <w:tcW w:w="2720" w:type="dxa"/>
            <w:vAlign w:val="bottom"/>
          </w:tcPr>
          <w:p>
            <w:pPr>
              <w:jc w:val="center"/>
              <w:spacing w:after="0"/>
              <w:rPr>
                <w:sz w:val="20"/>
                <w:szCs w:val="20"/>
                <w:color w:val="auto"/>
              </w:rPr>
            </w:pPr>
            <w:r>
              <w:rPr>
                <w:rFonts w:ascii="Arial" w:cs="Arial" w:eastAsia="Arial" w:hAnsi="Arial"/>
                <w:sz w:val="14"/>
                <w:szCs w:val="14"/>
                <w:color w:val="auto"/>
                <w:w w:val="90"/>
              </w:rPr>
              <w:t>409,373</w:t>
            </w:r>
          </w:p>
        </w:tc>
        <w:tc>
          <w:tcPr>
            <w:tcW w:w="100" w:type="dxa"/>
            <w:vAlign w:val="bottom"/>
          </w:tcPr>
          <w:p>
            <w:pPr>
              <w:spacing w:after="0"/>
              <w:rPr>
                <w:sz w:val="15"/>
                <w:szCs w:val="15"/>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Final price determined</w:t>
            </w:r>
          </w:p>
        </w:tc>
        <w:tc>
          <w:tcPr>
            <w:tcW w:w="2700" w:type="dxa"/>
            <w:vAlign w:val="bottom"/>
          </w:tcPr>
          <w:p>
            <w:pPr>
              <w:jc w:val="center"/>
              <w:spacing w:after="0"/>
              <w:rPr>
                <w:sz w:val="20"/>
                <w:szCs w:val="20"/>
                <w:color w:val="auto"/>
              </w:rPr>
            </w:pPr>
            <w:r>
              <w:rPr>
                <w:rFonts w:ascii="Arial" w:cs="Arial" w:eastAsia="Arial" w:hAnsi="Arial"/>
                <w:sz w:val="14"/>
                <w:szCs w:val="14"/>
                <w:color w:val="auto"/>
                <w:w w:val="90"/>
              </w:rPr>
              <w:t>774,243</w:t>
            </w:r>
          </w:p>
        </w:tc>
      </w:tr>
      <w:tr>
        <w:trPr>
          <w:trHeight w:val="170"/>
        </w:trPr>
        <w:tc>
          <w:tcPr>
            <w:tcW w:w="29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grants and restricted</w:t>
            </w: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at time of vesting</w:t>
            </w:r>
          </w:p>
        </w:tc>
        <w:tc>
          <w:tcPr>
            <w:tcW w:w="2700" w:type="dxa"/>
            <w:vAlign w:val="bottom"/>
          </w:tcPr>
          <w:p>
            <w:pPr>
              <w:spacing w:after="0"/>
              <w:rPr>
                <w:sz w:val="14"/>
                <w:szCs w:val="14"/>
                <w:color w:val="auto"/>
              </w:rPr>
            </w:pPr>
          </w:p>
        </w:tc>
      </w:tr>
      <w:tr>
        <w:trPr>
          <w:trHeight w:val="170"/>
        </w:trPr>
        <w:tc>
          <w:tcPr>
            <w:tcW w:w="294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stock units at target</w:t>
            </w: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80"/>
        </w:trPr>
        <w:tc>
          <w:tcPr>
            <w:tcW w:w="29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goal achievement</w:t>
            </w: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r>
    </w:tbl>
    <w:p>
      <w:pPr>
        <w:spacing w:after="0" w:line="134" w:lineRule="exact"/>
        <w:rPr>
          <w:sz w:val="20"/>
          <w:szCs w:val="20"/>
          <w:color w:val="auto"/>
        </w:rPr>
      </w:pPr>
    </w:p>
    <w:p>
      <w:pPr>
        <w:ind w:left="40"/>
        <w:spacing w:after="0"/>
        <w:rPr>
          <w:sz w:val="20"/>
          <w:szCs w:val="20"/>
          <w:color w:val="auto"/>
        </w:rPr>
      </w:pPr>
      <w:r>
        <w:rPr>
          <w:rFonts w:ascii="Arial" w:cs="Arial" w:eastAsia="Arial" w:hAnsi="Arial"/>
          <w:sz w:val="11"/>
          <w:szCs w:val="11"/>
          <w:color w:val="auto"/>
        </w:rPr>
        <w:t>* The Company does not use equity compensation plans that have not been approved by the security holders.</w:t>
      </w:r>
    </w:p>
    <w:p>
      <w:pPr>
        <w:spacing w:after="0" w:line="192"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006EBF"/>
        </w:rPr>
        <w:t>ITEM 13.</w:t>
      </w:r>
      <w:r>
        <w:rPr>
          <w:sz w:val="20"/>
          <w:szCs w:val="20"/>
          <w:color w:val="auto"/>
        </w:rPr>
        <w:tab/>
      </w:r>
      <w:r>
        <w:rPr>
          <w:rFonts w:ascii="Arial" w:cs="Arial" w:eastAsia="Arial" w:hAnsi="Arial"/>
          <w:sz w:val="14"/>
          <w:szCs w:val="14"/>
          <w:b w:val="1"/>
          <w:bCs w:val="1"/>
          <w:color w:val="006EBF"/>
        </w:rPr>
        <w:t>CERTAIN RELATIONSHIPS AND RELATED TRANSACTIONS, AND DIRECTOR INDEPENDENCE</w:t>
      </w:r>
    </w:p>
    <w:p>
      <w:pPr>
        <w:spacing w:after="0" w:line="76"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Information required by this Item is incorporated by reference from the definitive proxy statement to be filed by us with the SEC with respect to our 2020 Annual Meeting of Stockholders and will be found under the captions "Related Person Transactions" and "Corporate Governance Matters."</w:t>
      </w:r>
    </w:p>
    <w:p>
      <w:pPr>
        <w:spacing w:after="0" w:line="149"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006EBF"/>
        </w:rPr>
        <w:t>ITEM 14.</w:t>
        <w:tab/>
        <w:t>PRINCIPAL ACCOUNTANT FEES AND SERVICES</w:t>
      </w:r>
    </w:p>
    <w:p>
      <w:pPr>
        <w:spacing w:after="0" w:line="76"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Information required by this Item is incorporated by reference from the definitive proxy statement to be filed by us with the SEC with respect to our 2020 Annual Meeting of Stockholders and will be found under the caption "Independent Registered Public Accounting Firm."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422" w:right="31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4"/>
          <w:szCs w:val="14"/>
          <w:b w:val="1"/>
          <w:bCs w:val="1"/>
          <w:u w:val="single" w:color="auto"/>
          <w:color w:val="auto"/>
        </w:rPr>
        <w:t>PART IV</w:t>
      </w:r>
    </w:p>
    <w:p>
      <w:pPr>
        <w:spacing w:after="0" w:line="9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006EBF"/>
        </w:rPr>
        <w:t>ITEM 15.</w:t>
        <w:tab/>
        <w:t>EXHIBITS AND FINANCIAL STATEMENT SCHEDULES</w:t>
      </w:r>
    </w:p>
    <w:p>
      <w:pPr>
        <w:spacing w:after="0" w:line="140" w:lineRule="exact"/>
        <w:rPr>
          <w:sz w:val="20"/>
          <w:szCs w:val="20"/>
          <w:color w:val="auto"/>
        </w:rPr>
      </w:pPr>
    </w:p>
    <w:p>
      <w:pPr>
        <w:ind w:left="20"/>
        <w:spacing w:after="0"/>
        <w:tabs>
          <w:tab w:leader="none" w:pos="9940" w:val="left"/>
        </w:tabs>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u w:val="single" w:color="auto"/>
          <w:color w:val="auto"/>
        </w:rPr>
        <w:t>Documents filed as part of this report:</w:t>
      </w:r>
      <w:r>
        <w:rPr>
          <w:sz w:val="20"/>
          <w:szCs w:val="20"/>
          <w:color w:val="auto"/>
        </w:rPr>
        <w:tab/>
      </w:r>
      <w:r>
        <w:rPr>
          <w:rFonts w:ascii="Arial" w:cs="Arial" w:eastAsia="Arial" w:hAnsi="Arial"/>
          <w:sz w:val="12"/>
          <w:szCs w:val="12"/>
          <w:u w:val="single" w:color="auto"/>
          <w:color w:val="auto"/>
        </w:rPr>
        <w:t>Page Number</w:t>
      </w:r>
    </w:p>
    <w:p>
      <w:pPr>
        <w:spacing w:after="0" w:line="51" w:lineRule="exact"/>
        <w:rPr>
          <w:sz w:val="20"/>
          <w:szCs w:val="20"/>
          <w:color w:val="auto"/>
        </w:rPr>
      </w:pPr>
    </w:p>
    <w:p>
      <w:pPr>
        <w:ind w:left="500" w:hanging="33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u w:val="single" w:color="auto"/>
          <w:color w:val="auto"/>
        </w:rPr>
        <w:t>Consolidated Financial Statements:</w:t>
      </w:r>
    </w:p>
    <w:p>
      <w:pPr>
        <w:spacing w:after="0" w:line="51" w:lineRule="exact"/>
        <w:rPr>
          <w:sz w:val="20"/>
          <w:szCs w:val="20"/>
          <w:color w:val="auto"/>
        </w:rPr>
      </w:pPr>
    </w:p>
    <w:tbl>
      <w:tblPr>
        <w:tblLayout w:type="fixed"/>
        <w:tblInd w:w="1100" w:type="dxa"/>
        <w:tblCellMar>
          <w:top w:w="0" w:type="dxa"/>
          <w:left w:w="0" w:type="dxa"/>
          <w:bottom w:w="0" w:type="dxa"/>
          <w:right w:w="0" w:type="dxa"/>
        </w:tblCellMar>
      </w:tblPr>
      <w:tr>
        <w:trPr>
          <w:trHeight w:val="180"/>
        </w:trPr>
        <w:tc>
          <w:tcPr>
            <w:tcW w:w="280" w:type="dxa"/>
            <w:vAlign w:val="bottom"/>
          </w:tcPr>
          <w:p>
            <w:pPr>
              <w:jc w:val="right"/>
              <w:ind w:right="49"/>
              <w:spacing w:after="0"/>
              <w:rPr>
                <w:sz w:val="20"/>
                <w:szCs w:val="20"/>
                <w:color w:val="auto"/>
              </w:rPr>
            </w:pPr>
            <w:r>
              <w:rPr>
                <w:rFonts w:ascii="Arial" w:cs="Arial" w:eastAsia="Arial" w:hAnsi="Arial"/>
                <w:sz w:val="14"/>
                <w:szCs w:val="14"/>
                <w:color w:val="auto"/>
                <w:w w:val="71"/>
              </w:rPr>
              <w:t>1.1</w:t>
            </w:r>
          </w:p>
        </w:tc>
        <w:tc>
          <w:tcPr>
            <w:tcW w:w="8040" w:type="dxa"/>
            <w:vAlign w:val="bottom"/>
          </w:tcPr>
          <w:p>
            <w:pPr>
              <w:ind w:left="140"/>
              <w:spacing w:after="0"/>
              <w:rPr>
                <w:rFonts w:ascii="Arial" w:cs="Arial" w:eastAsia="Arial" w:hAnsi="Arial"/>
                <w:sz w:val="14"/>
                <w:szCs w:val="14"/>
                <w:color w:val="auto"/>
              </w:rPr>
            </w:pPr>
            <w:hyperlink w:anchor="page68">
              <w:r>
                <w:rPr>
                  <w:rFonts w:ascii="Arial" w:cs="Arial" w:eastAsia="Arial" w:hAnsi="Arial"/>
                  <w:sz w:val="14"/>
                  <w:szCs w:val="14"/>
                  <w:color w:val="auto"/>
                </w:rPr>
                <w:t>Management's Report on Internal Control Over Financial Reporting</w:t>
              </w:r>
            </w:hyperlink>
          </w:p>
        </w:tc>
        <w:tc>
          <w:tcPr>
            <w:tcW w:w="1840" w:type="dxa"/>
            <w:vAlign w:val="bottom"/>
          </w:tcPr>
          <w:p>
            <w:pPr>
              <w:jc w:val="right"/>
              <w:spacing w:after="0"/>
              <w:rPr>
                <w:rFonts w:ascii="Arial" w:cs="Arial" w:eastAsia="Arial" w:hAnsi="Arial"/>
                <w:sz w:val="14"/>
                <w:szCs w:val="14"/>
                <w:color w:val="auto"/>
              </w:rPr>
            </w:pPr>
            <w:hyperlink w:anchor="page68">
              <w:r>
                <w:rPr>
                  <w:rFonts w:ascii="Arial" w:cs="Arial" w:eastAsia="Arial" w:hAnsi="Arial"/>
                  <w:sz w:val="14"/>
                  <w:szCs w:val="14"/>
                  <w:color w:val="auto"/>
                </w:rPr>
                <w:t>68</w:t>
              </w:r>
            </w:hyperlink>
          </w:p>
        </w:tc>
      </w:tr>
      <w:tr>
        <w:trPr>
          <w:trHeight w:val="212"/>
        </w:trPr>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4"/>
                <w:szCs w:val="14"/>
                <w:color w:val="auto"/>
              </w:rPr>
            </w:pPr>
            <w:hyperlink w:anchor="page69">
              <w:r>
                <w:rPr>
                  <w:rFonts w:ascii="Arial" w:cs="Arial" w:eastAsia="Arial" w:hAnsi="Arial"/>
                  <w:sz w:val="14"/>
                  <w:szCs w:val="14"/>
                  <w:color w:val="auto"/>
                </w:rPr>
                <w:t>Report of Independent Registered Public Accounting Firm on Internal Control Over Financial Reporting</w:t>
              </w:r>
            </w:hyperlink>
          </w:p>
        </w:tc>
        <w:tc>
          <w:tcPr>
            <w:tcW w:w="1840" w:type="dxa"/>
            <w:vAlign w:val="bottom"/>
          </w:tcPr>
          <w:p>
            <w:pPr>
              <w:jc w:val="right"/>
              <w:spacing w:after="0"/>
              <w:rPr>
                <w:rFonts w:ascii="Arial" w:cs="Arial" w:eastAsia="Arial" w:hAnsi="Arial"/>
                <w:sz w:val="14"/>
                <w:szCs w:val="14"/>
                <w:color w:val="auto"/>
              </w:rPr>
            </w:pPr>
            <w:hyperlink w:anchor="page69">
              <w:r>
                <w:rPr>
                  <w:rFonts w:ascii="Arial" w:cs="Arial" w:eastAsia="Arial" w:hAnsi="Arial"/>
                  <w:sz w:val="14"/>
                  <w:szCs w:val="14"/>
                  <w:color w:val="auto"/>
                </w:rPr>
                <w:t>69</w:t>
              </w:r>
            </w:hyperlink>
          </w:p>
        </w:tc>
      </w:tr>
      <w:tr>
        <w:trPr>
          <w:trHeight w:val="212"/>
        </w:trPr>
        <w:tc>
          <w:tcPr>
            <w:tcW w:w="280" w:type="dxa"/>
            <w:vAlign w:val="bottom"/>
          </w:tcPr>
          <w:p>
            <w:pPr>
              <w:spacing w:after="0"/>
              <w:rPr>
                <w:sz w:val="18"/>
                <w:szCs w:val="18"/>
                <w:color w:val="auto"/>
              </w:rPr>
            </w:pPr>
          </w:p>
        </w:tc>
        <w:tc>
          <w:tcPr>
            <w:tcW w:w="8040" w:type="dxa"/>
            <w:vAlign w:val="bottom"/>
          </w:tcPr>
          <w:p>
            <w:pPr>
              <w:ind w:left="140"/>
              <w:spacing w:after="0"/>
              <w:rPr>
                <w:rFonts w:ascii="Arial" w:cs="Arial" w:eastAsia="Arial" w:hAnsi="Arial"/>
                <w:sz w:val="14"/>
                <w:szCs w:val="14"/>
                <w:color w:val="auto"/>
              </w:rPr>
            </w:pPr>
            <w:hyperlink w:anchor="page70">
              <w:r>
                <w:rPr>
                  <w:rFonts w:ascii="Arial" w:cs="Arial" w:eastAsia="Arial" w:hAnsi="Arial"/>
                  <w:sz w:val="14"/>
                  <w:szCs w:val="14"/>
                  <w:color w:val="auto"/>
                </w:rPr>
                <w:t>Report of Independent Registered Public Accounting Firm</w:t>
              </w:r>
            </w:hyperlink>
          </w:p>
        </w:tc>
        <w:tc>
          <w:tcPr>
            <w:tcW w:w="1840" w:type="dxa"/>
            <w:vAlign w:val="bottom"/>
          </w:tcPr>
          <w:p>
            <w:pPr>
              <w:jc w:val="right"/>
              <w:spacing w:after="0"/>
              <w:rPr>
                <w:rFonts w:ascii="Arial" w:cs="Arial" w:eastAsia="Arial" w:hAnsi="Arial"/>
                <w:sz w:val="14"/>
                <w:szCs w:val="14"/>
                <w:color w:val="auto"/>
              </w:rPr>
            </w:pPr>
            <w:hyperlink w:anchor="page70">
              <w:r>
                <w:rPr>
                  <w:rFonts w:ascii="Arial" w:cs="Arial" w:eastAsia="Arial" w:hAnsi="Arial"/>
                  <w:sz w:val="14"/>
                  <w:szCs w:val="14"/>
                  <w:color w:val="auto"/>
                </w:rPr>
                <w:t>70</w:t>
              </w:r>
            </w:hyperlink>
          </w:p>
        </w:tc>
      </w:tr>
      <w:tr>
        <w:trPr>
          <w:trHeight w:val="212"/>
        </w:trPr>
        <w:tc>
          <w:tcPr>
            <w:tcW w:w="280" w:type="dxa"/>
            <w:vAlign w:val="bottom"/>
          </w:tcPr>
          <w:p>
            <w:pPr>
              <w:jc w:val="right"/>
              <w:ind w:right="49"/>
              <w:spacing w:after="0"/>
              <w:rPr>
                <w:sz w:val="20"/>
                <w:szCs w:val="20"/>
                <w:color w:val="auto"/>
              </w:rPr>
            </w:pPr>
            <w:r>
              <w:rPr>
                <w:rFonts w:ascii="Arial" w:cs="Arial" w:eastAsia="Arial" w:hAnsi="Arial"/>
                <w:sz w:val="14"/>
                <w:szCs w:val="14"/>
                <w:color w:val="auto"/>
                <w:w w:val="71"/>
              </w:rPr>
              <w:t>1.2</w:t>
            </w:r>
          </w:p>
        </w:tc>
        <w:tc>
          <w:tcPr>
            <w:tcW w:w="8040" w:type="dxa"/>
            <w:vAlign w:val="bottom"/>
          </w:tcPr>
          <w:p>
            <w:pPr>
              <w:ind w:left="140"/>
              <w:spacing w:after="0"/>
              <w:rPr>
                <w:rFonts w:ascii="Arial" w:cs="Arial" w:eastAsia="Arial" w:hAnsi="Arial"/>
                <w:sz w:val="14"/>
                <w:szCs w:val="14"/>
                <w:color w:val="auto"/>
              </w:rPr>
            </w:pPr>
            <w:hyperlink w:anchor="page72">
              <w:r>
                <w:rPr>
                  <w:rFonts w:ascii="Arial" w:cs="Arial" w:eastAsia="Arial" w:hAnsi="Arial"/>
                  <w:sz w:val="14"/>
                  <w:szCs w:val="14"/>
                  <w:color w:val="auto"/>
                </w:rPr>
                <w:t>Consolidated Balance Sheets – Years Ended December 31, 2019 and 2018</w:t>
              </w:r>
            </w:hyperlink>
          </w:p>
        </w:tc>
        <w:tc>
          <w:tcPr>
            <w:tcW w:w="1840" w:type="dxa"/>
            <w:vAlign w:val="bottom"/>
          </w:tcPr>
          <w:p>
            <w:pPr>
              <w:jc w:val="right"/>
              <w:spacing w:after="0"/>
              <w:rPr>
                <w:rFonts w:ascii="Arial" w:cs="Arial" w:eastAsia="Arial" w:hAnsi="Arial"/>
                <w:sz w:val="14"/>
                <w:szCs w:val="14"/>
                <w:color w:val="auto"/>
              </w:rPr>
            </w:pPr>
            <w:hyperlink w:anchor="page72">
              <w:r>
                <w:rPr>
                  <w:rFonts w:ascii="Arial" w:cs="Arial" w:eastAsia="Arial" w:hAnsi="Arial"/>
                  <w:sz w:val="14"/>
                  <w:szCs w:val="14"/>
                  <w:color w:val="auto"/>
                </w:rPr>
                <w:t>72</w:t>
              </w:r>
            </w:hyperlink>
          </w:p>
        </w:tc>
      </w:tr>
      <w:tr>
        <w:trPr>
          <w:trHeight w:val="212"/>
        </w:trPr>
        <w:tc>
          <w:tcPr>
            <w:tcW w:w="280" w:type="dxa"/>
            <w:vAlign w:val="bottom"/>
          </w:tcPr>
          <w:p>
            <w:pPr>
              <w:jc w:val="right"/>
              <w:ind w:right="49"/>
              <w:spacing w:after="0"/>
              <w:rPr>
                <w:sz w:val="20"/>
                <w:szCs w:val="20"/>
                <w:color w:val="auto"/>
              </w:rPr>
            </w:pPr>
            <w:r>
              <w:rPr>
                <w:rFonts w:ascii="Arial" w:cs="Arial" w:eastAsia="Arial" w:hAnsi="Arial"/>
                <w:sz w:val="14"/>
                <w:szCs w:val="14"/>
                <w:color w:val="auto"/>
                <w:w w:val="71"/>
              </w:rPr>
              <w:t>1.3</w:t>
            </w:r>
          </w:p>
        </w:tc>
        <w:tc>
          <w:tcPr>
            <w:tcW w:w="8040" w:type="dxa"/>
            <w:vAlign w:val="bottom"/>
          </w:tcPr>
          <w:p>
            <w:pPr>
              <w:ind w:left="140"/>
              <w:spacing w:after="0"/>
              <w:rPr>
                <w:rFonts w:ascii="Arial" w:cs="Arial" w:eastAsia="Arial" w:hAnsi="Arial"/>
                <w:sz w:val="14"/>
                <w:szCs w:val="14"/>
                <w:color w:val="auto"/>
              </w:rPr>
            </w:pPr>
            <w:hyperlink w:anchor="page73">
              <w:r>
                <w:rPr>
                  <w:rFonts w:ascii="Arial" w:cs="Arial" w:eastAsia="Arial" w:hAnsi="Arial"/>
                  <w:sz w:val="14"/>
                  <w:szCs w:val="14"/>
                  <w:color w:val="auto"/>
                </w:rPr>
                <w:t>Consolidated Statements of Operations - Years Ended December 31, 2019, 2018 and 2017</w:t>
              </w:r>
            </w:hyperlink>
          </w:p>
        </w:tc>
        <w:tc>
          <w:tcPr>
            <w:tcW w:w="1840" w:type="dxa"/>
            <w:vAlign w:val="bottom"/>
          </w:tcPr>
          <w:p>
            <w:pPr>
              <w:jc w:val="right"/>
              <w:spacing w:after="0"/>
              <w:rPr>
                <w:rFonts w:ascii="Arial" w:cs="Arial" w:eastAsia="Arial" w:hAnsi="Arial"/>
                <w:sz w:val="14"/>
                <w:szCs w:val="14"/>
                <w:color w:val="auto"/>
              </w:rPr>
            </w:pPr>
            <w:hyperlink w:anchor="page73">
              <w:r>
                <w:rPr>
                  <w:rFonts w:ascii="Arial" w:cs="Arial" w:eastAsia="Arial" w:hAnsi="Arial"/>
                  <w:sz w:val="14"/>
                  <w:szCs w:val="14"/>
                  <w:color w:val="auto"/>
                </w:rPr>
                <w:t>73</w:t>
              </w:r>
            </w:hyperlink>
          </w:p>
        </w:tc>
      </w:tr>
      <w:tr>
        <w:trPr>
          <w:trHeight w:val="212"/>
        </w:trPr>
        <w:tc>
          <w:tcPr>
            <w:tcW w:w="280" w:type="dxa"/>
            <w:vAlign w:val="bottom"/>
          </w:tcPr>
          <w:p>
            <w:pPr>
              <w:jc w:val="right"/>
              <w:ind w:right="49"/>
              <w:spacing w:after="0"/>
              <w:rPr>
                <w:sz w:val="20"/>
                <w:szCs w:val="20"/>
                <w:color w:val="auto"/>
              </w:rPr>
            </w:pPr>
            <w:r>
              <w:rPr>
                <w:rFonts w:ascii="Arial" w:cs="Arial" w:eastAsia="Arial" w:hAnsi="Arial"/>
                <w:sz w:val="14"/>
                <w:szCs w:val="14"/>
                <w:color w:val="auto"/>
                <w:w w:val="71"/>
              </w:rPr>
              <w:t>1.4</w:t>
            </w:r>
          </w:p>
        </w:tc>
        <w:tc>
          <w:tcPr>
            <w:tcW w:w="8040" w:type="dxa"/>
            <w:vAlign w:val="bottom"/>
          </w:tcPr>
          <w:p>
            <w:pPr>
              <w:ind w:left="140"/>
              <w:spacing w:after="0"/>
              <w:rPr>
                <w:rFonts w:ascii="Arial" w:cs="Arial" w:eastAsia="Arial" w:hAnsi="Arial"/>
                <w:sz w:val="14"/>
                <w:szCs w:val="14"/>
                <w:color w:val="auto"/>
              </w:rPr>
            </w:pPr>
            <w:hyperlink w:anchor="page74">
              <w:r>
                <w:rPr>
                  <w:rFonts w:ascii="Arial" w:cs="Arial" w:eastAsia="Arial" w:hAnsi="Arial"/>
                  <w:sz w:val="14"/>
                  <w:szCs w:val="14"/>
                  <w:color w:val="auto"/>
                </w:rPr>
                <w:t>Consolidated Statements of Comprehensive Income (Loss) - Years Ended December 31, 2019, 2018 and 2017</w:t>
              </w:r>
            </w:hyperlink>
          </w:p>
        </w:tc>
        <w:tc>
          <w:tcPr>
            <w:tcW w:w="1840" w:type="dxa"/>
            <w:vAlign w:val="bottom"/>
          </w:tcPr>
          <w:p>
            <w:pPr>
              <w:jc w:val="right"/>
              <w:spacing w:after="0"/>
              <w:rPr>
                <w:rFonts w:ascii="Arial" w:cs="Arial" w:eastAsia="Arial" w:hAnsi="Arial"/>
                <w:sz w:val="14"/>
                <w:szCs w:val="14"/>
                <w:color w:val="auto"/>
              </w:rPr>
            </w:pPr>
            <w:hyperlink w:anchor="page74">
              <w:r>
                <w:rPr>
                  <w:rFonts w:ascii="Arial" w:cs="Arial" w:eastAsia="Arial" w:hAnsi="Arial"/>
                  <w:sz w:val="14"/>
                  <w:szCs w:val="14"/>
                  <w:color w:val="auto"/>
                </w:rPr>
                <w:t>74</w:t>
              </w:r>
            </w:hyperlink>
          </w:p>
        </w:tc>
      </w:tr>
      <w:tr>
        <w:trPr>
          <w:trHeight w:val="212"/>
        </w:trPr>
        <w:tc>
          <w:tcPr>
            <w:tcW w:w="280" w:type="dxa"/>
            <w:vAlign w:val="bottom"/>
          </w:tcPr>
          <w:p>
            <w:pPr>
              <w:jc w:val="right"/>
              <w:ind w:right="49"/>
              <w:spacing w:after="0"/>
              <w:rPr>
                <w:sz w:val="20"/>
                <w:szCs w:val="20"/>
                <w:color w:val="auto"/>
              </w:rPr>
            </w:pPr>
            <w:r>
              <w:rPr>
                <w:rFonts w:ascii="Arial" w:cs="Arial" w:eastAsia="Arial" w:hAnsi="Arial"/>
                <w:sz w:val="14"/>
                <w:szCs w:val="14"/>
                <w:color w:val="auto"/>
                <w:w w:val="71"/>
              </w:rPr>
              <w:t>1.5</w:t>
            </w:r>
          </w:p>
        </w:tc>
        <w:tc>
          <w:tcPr>
            <w:tcW w:w="8040" w:type="dxa"/>
            <w:vAlign w:val="bottom"/>
          </w:tcPr>
          <w:p>
            <w:pPr>
              <w:ind w:left="140"/>
              <w:spacing w:after="0"/>
              <w:rPr>
                <w:rFonts w:ascii="Arial" w:cs="Arial" w:eastAsia="Arial" w:hAnsi="Arial"/>
                <w:sz w:val="14"/>
                <w:szCs w:val="14"/>
                <w:color w:val="auto"/>
              </w:rPr>
            </w:pPr>
            <w:hyperlink w:anchor="page75">
              <w:r>
                <w:rPr>
                  <w:rFonts w:ascii="Arial" w:cs="Arial" w:eastAsia="Arial" w:hAnsi="Arial"/>
                  <w:sz w:val="14"/>
                  <w:szCs w:val="14"/>
                  <w:color w:val="auto"/>
                </w:rPr>
                <w:t>Consolidated Statements of Equity - Years Ended December 31, 2019, 2018 and 2017</w:t>
              </w:r>
            </w:hyperlink>
          </w:p>
        </w:tc>
        <w:tc>
          <w:tcPr>
            <w:tcW w:w="1840" w:type="dxa"/>
            <w:vAlign w:val="bottom"/>
          </w:tcPr>
          <w:p>
            <w:pPr>
              <w:jc w:val="right"/>
              <w:spacing w:after="0"/>
              <w:rPr>
                <w:rFonts w:ascii="Arial" w:cs="Arial" w:eastAsia="Arial" w:hAnsi="Arial"/>
                <w:sz w:val="14"/>
                <w:szCs w:val="14"/>
                <w:color w:val="auto"/>
              </w:rPr>
            </w:pPr>
            <w:hyperlink w:anchor="page75">
              <w:r>
                <w:rPr>
                  <w:rFonts w:ascii="Arial" w:cs="Arial" w:eastAsia="Arial" w:hAnsi="Arial"/>
                  <w:sz w:val="14"/>
                  <w:szCs w:val="14"/>
                  <w:color w:val="auto"/>
                </w:rPr>
                <w:t>75</w:t>
              </w:r>
            </w:hyperlink>
          </w:p>
        </w:tc>
      </w:tr>
      <w:tr>
        <w:trPr>
          <w:trHeight w:val="212"/>
        </w:trPr>
        <w:tc>
          <w:tcPr>
            <w:tcW w:w="280" w:type="dxa"/>
            <w:vAlign w:val="bottom"/>
          </w:tcPr>
          <w:p>
            <w:pPr>
              <w:jc w:val="right"/>
              <w:ind w:right="49"/>
              <w:spacing w:after="0"/>
              <w:rPr>
                <w:sz w:val="20"/>
                <w:szCs w:val="20"/>
                <w:color w:val="auto"/>
              </w:rPr>
            </w:pPr>
            <w:r>
              <w:rPr>
                <w:rFonts w:ascii="Arial" w:cs="Arial" w:eastAsia="Arial" w:hAnsi="Arial"/>
                <w:sz w:val="14"/>
                <w:szCs w:val="14"/>
                <w:color w:val="auto"/>
                <w:w w:val="71"/>
              </w:rPr>
              <w:t>1.6</w:t>
            </w:r>
          </w:p>
        </w:tc>
        <w:tc>
          <w:tcPr>
            <w:tcW w:w="8040" w:type="dxa"/>
            <w:vAlign w:val="bottom"/>
          </w:tcPr>
          <w:p>
            <w:pPr>
              <w:ind w:left="140"/>
              <w:spacing w:after="0"/>
              <w:rPr>
                <w:rFonts w:ascii="Arial" w:cs="Arial" w:eastAsia="Arial" w:hAnsi="Arial"/>
                <w:sz w:val="14"/>
                <w:szCs w:val="14"/>
                <w:color w:val="auto"/>
              </w:rPr>
            </w:pPr>
            <w:hyperlink w:anchor="page76">
              <w:r>
                <w:rPr>
                  <w:rFonts w:ascii="Arial" w:cs="Arial" w:eastAsia="Arial" w:hAnsi="Arial"/>
                  <w:sz w:val="14"/>
                  <w:szCs w:val="14"/>
                  <w:color w:val="auto"/>
                </w:rPr>
                <w:t>Consolidated Statements of Cash Flows - Years Ended December 31, 2019, 2018 and 2017</w:t>
              </w:r>
            </w:hyperlink>
          </w:p>
        </w:tc>
        <w:tc>
          <w:tcPr>
            <w:tcW w:w="1840" w:type="dxa"/>
            <w:vAlign w:val="bottom"/>
          </w:tcPr>
          <w:p>
            <w:pPr>
              <w:jc w:val="right"/>
              <w:spacing w:after="0"/>
              <w:rPr>
                <w:rFonts w:ascii="Arial" w:cs="Arial" w:eastAsia="Arial" w:hAnsi="Arial"/>
                <w:sz w:val="14"/>
                <w:szCs w:val="14"/>
                <w:color w:val="auto"/>
              </w:rPr>
            </w:pPr>
            <w:hyperlink w:anchor="page76">
              <w:r>
                <w:rPr>
                  <w:rFonts w:ascii="Arial" w:cs="Arial" w:eastAsia="Arial" w:hAnsi="Arial"/>
                  <w:sz w:val="14"/>
                  <w:szCs w:val="14"/>
                  <w:color w:val="auto"/>
                </w:rPr>
                <w:t>76</w:t>
              </w:r>
            </w:hyperlink>
          </w:p>
        </w:tc>
      </w:tr>
      <w:tr>
        <w:trPr>
          <w:trHeight w:val="212"/>
        </w:trPr>
        <w:tc>
          <w:tcPr>
            <w:tcW w:w="280" w:type="dxa"/>
            <w:vAlign w:val="bottom"/>
          </w:tcPr>
          <w:p>
            <w:pPr>
              <w:jc w:val="right"/>
              <w:ind w:right="49"/>
              <w:spacing w:after="0"/>
              <w:rPr>
                <w:sz w:val="20"/>
                <w:szCs w:val="20"/>
                <w:color w:val="auto"/>
              </w:rPr>
            </w:pPr>
            <w:r>
              <w:rPr>
                <w:rFonts w:ascii="Arial" w:cs="Arial" w:eastAsia="Arial" w:hAnsi="Arial"/>
                <w:sz w:val="14"/>
                <w:szCs w:val="14"/>
                <w:color w:val="auto"/>
                <w:w w:val="71"/>
              </w:rPr>
              <w:t>1.7</w:t>
            </w:r>
          </w:p>
        </w:tc>
        <w:tc>
          <w:tcPr>
            <w:tcW w:w="8040" w:type="dxa"/>
            <w:vAlign w:val="bottom"/>
          </w:tcPr>
          <w:p>
            <w:pPr>
              <w:ind w:left="140"/>
              <w:spacing w:after="0"/>
              <w:rPr>
                <w:rFonts w:ascii="Arial" w:cs="Arial" w:eastAsia="Arial" w:hAnsi="Arial"/>
                <w:sz w:val="14"/>
                <w:szCs w:val="14"/>
                <w:color w:val="auto"/>
              </w:rPr>
            </w:pPr>
            <w:hyperlink w:anchor="page78">
              <w:r>
                <w:rPr>
                  <w:rFonts w:ascii="Arial" w:cs="Arial" w:eastAsia="Arial" w:hAnsi="Arial"/>
                  <w:sz w:val="14"/>
                  <w:szCs w:val="14"/>
                  <w:color w:val="auto"/>
                </w:rPr>
                <w:t>Notes to Consolidated Financial Statements</w:t>
              </w:r>
            </w:hyperlink>
          </w:p>
        </w:tc>
        <w:tc>
          <w:tcPr>
            <w:tcW w:w="1840" w:type="dxa"/>
            <w:vAlign w:val="bottom"/>
          </w:tcPr>
          <w:p>
            <w:pPr>
              <w:jc w:val="right"/>
              <w:spacing w:after="0"/>
              <w:rPr>
                <w:rFonts w:ascii="Arial" w:cs="Arial" w:eastAsia="Arial" w:hAnsi="Arial"/>
                <w:sz w:val="14"/>
                <w:szCs w:val="14"/>
                <w:color w:val="auto"/>
              </w:rPr>
            </w:pPr>
            <w:hyperlink w:anchor="page78">
              <w:r>
                <w:rPr>
                  <w:rFonts w:ascii="Arial" w:cs="Arial" w:eastAsia="Arial" w:hAnsi="Arial"/>
                  <w:sz w:val="14"/>
                  <w:szCs w:val="14"/>
                  <w:color w:val="auto"/>
                </w:rPr>
                <w:t>78</w:t>
              </w:r>
            </w:hyperlink>
          </w:p>
        </w:tc>
      </w:tr>
    </w:tbl>
    <w:p>
      <w:pPr>
        <w:spacing w:after="0" w:line="32" w:lineRule="exact"/>
        <w:rPr>
          <w:sz w:val="20"/>
          <w:szCs w:val="20"/>
          <w:color w:val="auto"/>
        </w:rPr>
      </w:pPr>
    </w:p>
    <w:p>
      <w:pPr>
        <w:ind w:left="500" w:hanging="33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Supplemental Financial Statement Schedules:</w:t>
      </w:r>
    </w:p>
    <w:p>
      <w:pPr>
        <w:spacing w:after="0" w:line="51" w:lineRule="exact"/>
        <w:rPr>
          <w:sz w:val="20"/>
          <w:szCs w:val="20"/>
          <w:color w:val="auto"/>
        </w:rPr>
      </w:pPr>
    </w:p>
    <w:tbl>
      <w:tblPr>
        <w:tblLayout w:type="fixed"/>
        <w:tblInd w:w="160" w:type="dxa"/>
        <w:tblCellMar>
          <w:top w:w="0" w:type="dxa"/>
          <w:left w:w="0" w:type="dxa"/>
          <w:bottom w:w="0" w:type="dxa"/>
          <w:right w:w="0" w:type="dxa"/>
        </w:tblCellMar>
      </w:tblPr>
      <w:tr>
        <w:trPr>
          <w:trHeight w:val="180"/>
        </w:trPr>
        <w:tc>
          <w:tcPr>
            <w:tcW w:w="34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None.</w:t>
            </w:r>
          </w:p>
        </w:tc>
        <w:tc>
          <w:tcPr>
            <w:tcW w:w="86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1"/>
        </w:trPr>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3</w:t>
            </w:r>
          </w:p>
        </w:tc>
        <w:tc>
          <w:tcPr>
            <w:tcW w:w="880" w:type="dxa"/>
            <w:vAlign w:val="bottom"/>
            <w:gridSpan w:val="2"/>
          </w:tcPr>
          <w:p>
            <w:pPr>
              <w:spacing w:after="0"/>
              <w:rPr>
                <w:sz w:val="20"/>
                <w:szCs w:val="20"/>
                <w:color w:val="auto"/>
              </w:rPr>
            </w:pPr>
            <w:r>
              <w:rPr>
                <w:rFonts w:ascii="Arial" w:cs="Arial" w:eastAsia="Arial" w:hAnsi="Arial"/>
                <w:sz w:val="14"/>
                <w:szCs w:val="14"/>
                <w:color w:val="auto"/>
              </w:rPr>
              <w:t>Exhibits:</w:t>
            </w:r>
          </w:p>
        </w:tc>
        <w:tc>
          <w:tcPr>
            <w:tcW w:w="86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4"/>
        </w:trPr>
        <w:tc>
          <w:tcPr>
            <w:tcW w:w="3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80" w:type="dxa"/>
            <w:vAlign w:val="bottom"/>
          </w:tcPr>
          <w:p>
            <w:pPr>
              <w:jc w:val="right"/>
              <w:ind w:right="49"/>
              <w:spacing w:after="0"/>
              <w:rPr>
                <w:sz w:val="20"/>
                <w:szCs w:val="20"/>
                <w:color w:val="auto"/>
              </w:rPr>
            </w:pPr>
            <w:r>
              <w:rPr>
                <w:rFonts w:ascii="Arial" w:cs="Arial" w:eastAsia="Arial" w:hAnsi="Arial"/>
                <w:sz w:val="14"/>
                <w:szCs w:val="14"/>
                <w:color w:val="auto"/>
              </w:rPr>
              <w:t>3.1</w:t>
            </w:r>
          </w:p>
        </w:tc>
        <w:tc>
          <w:tcPr>
            <w:tcW w:w="8620" w:type="dxa"/>
            <w:vAlign w:val="bottom"/>
          </w:tcPr>
          <w:p>
            <w:pPr>
              <w:ind w:left="140"/>
              <w:spacing w:after="0"/>
              <w:rPr>
                <w:rFonts w:ascii="Arial" w:cs="Arial" w:eastAsia="Arial" w:hAnsi="Arial"/>
                <w:sz w:val="14"/>
                <w:szCs w:val="14"/>
                <w:color w:val="auto"/>
              </w:rPr>
            </w:pPr>
            <w:hyperlink r:id="rId23">
              <w:r>
                <w:rPr>
                  <w:rFonts w:ascii="Arial" w:cs="Arial" w:eastAsia="Arial" w:hAnsi="Arial"/>
                  <w:sz w:val="14"/>
                  <w:szCs w:val="14"/>
                  <w:color w:val="auto"/>
                </w:rPr>
                <w:t>Restated Certificate of Incorporation</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1</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3.2</w:t>
            </w:r>
          </w:p>
        </w:tc>
        <w:tc>
          <w:tcPr>
            <w:tcW w:w="8620" w:type="dxa"/>
            <w:vAlign w:val="bottom"/>
          </w:tcPr>
          <w:p>
            <w:pPr>
              <w:ind w:left="140"/>
              <w:spacing w:after="0"/>
              <w:rPr>
                <w:rFonts w:ascii="Arial" w:cs="Arial" w:eastAsia="Arial" w:hAnsi="Arial"/>
                <w:sz w:val="14"/>
                <w:szCs w:val="14"/>
                <w:color w:val="auto"/>
              </w:rPr>
            </w:pPr>
            <w:hyperlink r:id="rId24">
              <w:r>
                <w:rPr>
                  <w:rFonts w:ascii="Arial" w:cs="Arial" w:eastAsia="Arial" w:hAnsi="Arial"/>
                  <w:sz w:val="14"/>
                  <w:szCs w:val="14"/>
                  <w:color w:val="auto"/>
                </w:rPr>
                <w:t>Amended and Restated Bylaws</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2</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4.3</w:t>
            </w:r>
          </w:p>
        </w:tc>
        <w:tc>
          <w:tcPr>
            <w:tcW w:w="8620" w:type="dxa"/>
            <w:vAlign w:val="bottom"/>
          </w:tcPr>
          <w:p>
            <w:pPr>
              <w:ind w:left="140"/>
              <w:spacing w:after="0"/>
              <w:rPr>
                <w:rFonts w:ascii="Arial" w:cs="Arial" w:eastAsia="Arial" w:hAnsi="Arial"/>
                <w:sz w:val="14"/>
                <w:szCs w:val="14"/>
                <w:color w:val="auto"/>
              </w:rPr>
            </w:pPr>
            <w:hyperlink r:id="rId25">
              <w:r>
                <w:rPr>
                  <w:rFonts w:ascii="Arial" w:cs="Arial" w:eastAsia="Arial" w:hAnsi="Arial"/>
                  <w:sz w:val="14"/>
                  <w:szCs w:val="14"/>
                  <w:color w:val="auto"/>
                </w:rPr>
                <w:t>Registration and Reimbursement Agreement</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5</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4.4</w:t>
            </w:r>
          </w:p>
        </w:tc>
        <w:tc>
          <w:tcPr>
            <w:tcW w:w="8620" w:type="dxa"/>
            <w:vAlign w:val="bottom"/>
          </w:tcPr>
          <w:p>
            <w:pPr>
              <w:ind w:left="140"/>
              <w:spacing w:after="0"/>
              <w:rPr>
                <w:rFonts w:ascii="Arial" w:cs="Arial" w:eastAsia="Arial" w:hAnsi="Arial"/>
                <w:sz w:val="14"/>
                <w:szCs w:val="14"/>
                <w:color w:val="auto"/>
              </w:rPr>
            </w:pPr>
            <w:hyperlink w:anchor="page113">
              <w:r>
                <w:rPr>
                  <w:rFonts w:ascii="Arial" w:cs="Arial" w:eastAsia="Arial" w:hAnsi="Arial"/>
                  <w:sz w:val="14"/>
                  <w:szCs w:val="14"/>
                  <w:color w:val="auto"/>
                </w:rPr>
                <w:t>Description of Securities</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Filed herewith</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4.5</w:t>
            </w:r>
          </w:p>
        </w:tc>
        <w:tc>
          <w:tcPr>
            <w:tcW w:w="8620" w:type="dxa"/>
            <w:vAlign w:val="bottom"/>
          </w:tcPr>
          <w:p>
            <w:pPr>
              <w:ind w:left="140"/>
              <w:spacing w:after="0"/>
              <w:rPr>
                <w:rFonts w:ascii="Arial" w:cs="Arial" w:eastAsia="Arial" w:hAnsi="Arial"/>
                <w:sz w:val="14"/>
                <w:szCs w:val="14"/>
                <w:color w:val="auto"/>
              </w:rPr>
            </w:pPr>
            <w:hyperlink r:id="rId26">
              <w:r>
                <w:rPr>
                  <w:rFonts w:ascii="Arial" w:cs="Arial" w:eastAsia="Arial" w:hAnsi="Arial"/>
                  <w:sz w:val="14"/>
                  <w:szCs w:val="14"/>
                  <w:color w:val="auto"/>
                </w:rPr>
                <w:t>Form of Indenture for Debt</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37</w:t>
            </w:r>
          </w:p>
        </w:tc>
      </w:tr>
      <w:tr>
        <w:trPr>
          <w:trHeight w:val="202"/>
        </w:trPr>
        <w:tc>
          <w:tcPr>
            <w:tcW w:w="340" w:type="dxa"/>
            <w:vAlign w:val="bottom"/>
          </w:tcPr>
          <w:p>
            <w:pPr>
              <w:spacing w:after="0"/>
              <w:rPr>
                <w:sz w:val="17"/>
                <w:szCs w:val="17"/>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10.1</w:t>
            </w:r>
          </w:p>
        </w:tc>
        <w:tc>
          <w:tcPr>
            <w:tcW w:w="8620" w:type="dxa"/>
            <w:vAlign w:val="bottom"/>
          </w:tcPr>
          <w:p>
            <w:pPr>
              <w:ind w:left="140"/>
              <w:spacing w:after="0"/>
              <w:rPr>
                <w:sz w:val="20"/>
                <w:szCs w:val="20"/>
                <w:color w:val="auto"/>
              </w:rPr>
            </w:pPr>
            <w:r>
              <w:rPr>
                <w:rFonts w:ascii="Arial" w:cs="Arial" w:eastAsia="Arial" w:hAnsi="Arial"/>
                <w:sz w:val="14"/>
                <w:szCs w:val="14"/>
                <w:color w:val="auto"/>
                <w:w w:val="97"/>
              </w:rPr>
              <w:t>Water Service Contract with Wheeler Ridge-Maricopa Water Storage District (without exhibits), amendments originally filed under Item 11 to</w:t>
            </w:r>
          </w:p>
        </w:tc>
        <w:tc>
          <w:tcPr>
            <w:tcW w:w="1260" w:type="dxa"/>
            <w:vAlign w:val="bottom"/>
          </w:tcPr>
          <w:p>
            <w:pPr>
              <w:spacing w:after="0"/>
              <w:rPr>
                <w:sz w:val="17"/>
                <w:szCs w:val="17"/>
                <w:color w:val="auto"/>
              </w:rPr>
            </w:pPr>
          </w:p>
        </w:tc>
      </w:tr>
      <w:tr>
        <w:trPr>
          <w:trHeight w:val="180"/>
        </w:trPr>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20" w:type="dxa"/>
            <w:vAlign w:val="bottom"/>
          </w:tcPr>
          <w:p>
            <w:pPr>
              <w:ind w:left="140"/>
              <w:spacing w:after="0"/>
              <w:rPr>
                <w:sz w:val="20"/>
                <w:szCs w:val="20"/>
                <w:color w:val="auto"/>
              </w:rPr>
            </w:pPr>
            <w:r>
              <w:rPr>
                <w:rFonts w:ascii="Arial" w:cs="Arial" w:eastAsia="Arial" w:hAnsi="Arial"/>
                <w:sz w:val="14"/>
                <w:szCs w:val="14"/>
                <w:color w:val="auto"/>
              </w:rPr>
              <w:t>Registrant's Annual Report on Form 10-K</w:t>
            </w:r>
          </w:p>
        </w:tc>
        <w:tc>
          <w:tcPr>
            <w:tcW w:w="1260" w:type="dxa"/>
            <w:vAlign w:val="bottom"/>
          </w:tcPr>
          <w:p>
            <w:pPr>
              <w:jc w:val="right"/>
              <w:spacing w:after="0"/>
              <w:rPr>
                <w:sz w:val="20"/>
                <w:szCs w:val="20"/>
                <w:color w:val="auto"/>
              </w:rPr>
            </w:pPr>
            <w:r>
              <w:rPr>
                <w:rFonts w:ascii="Arial" w:cs="Arial" w:eastAsia="Arial" w:hAnsi="Arial"/>
                <w:sz w:val="14"/>
                <w:szCs w:val="14"/>
                <w:color w:val="auto"/>
              </w:rPr>
              <w:t>FN 6</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10.7</w:t>
            </w:r>
          </w:p>
        </w:tc>
        <w:tc>
          <w:tcPr>
            <w:tcW w:w="8620" w:type="dxa"/>
            <w:vAlign w:val="bottom"/>
          </w:tcPr>
          <w:p>
            <w:pPr>
              <w:ind w:left="140"/>
              <w:spacing w:after="0"/>
              <w:rPr>
                <w:rFonts w:ascii="Arial" w:cs="Arial" w:eastAsia="Arial" w:hAnsi="Arial"/>
                <w:sz w:val="14"/>
                <w:szCs w:val="14"/>
                <w:color w:val="auto"/>
              </w:rPr>
            </w:pPr>
            <w:hyperlink r:id="rId27">
              <w:r>
                <w:rPr>
                  <w:rFonts w:ascii="Arial" w:cs="Arial" w:eastAsia="Arial" w:hAnsi="Arial"/>
                  <w:sz w:val="14"/>
                  <w:szCs w:val="14"/>
                  <w:color w:val="auto"/>
                </w:rPr>
                <w:t>*Severance Agreement</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7</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10.8</w:t>
            </w:r>
          </w:p>
        </w:tc>
        <w:tc>
          <w:tcPr>
            <w:tcW w:w="8620" w:type="dxa"/>
            <w:vAlign w:val="bottom"/>
          </w:tcPr>
          <w:p>
            <w:pPr>
              <w:ind w:left="140"/>
              <w:spacing w:after="0"/>
              <w:rPr>
                <w:rFonts w:ascii="Arial" w:cs="Arial" w:eastAsia="Arial" w:hAnsi="Arial"/>
                <w:sz w:val="14"/>
                <w:szCs w:val="14"/>
                <w:color w:val="auto"/>
              </w:rPr>
            </w:pPr>
            <w:hyperlink r:id="rId27">
              <w:r>
                <w:rPr>
                  <w:rFonts w:ascii="Arial" w:cs="Arial" w:eastAsia="Arial" w:hAnsi="Arial"/>
                  <w:sz w:val="14"/>
                  <w:szCs w:val="14"/>
                  <w:color w:val="auto"/>
                </w:rPr>
                <w:t>*Director Compensation Plan</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7</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10.9</w:t>
            </w:r>
          </w:p>
        </w:tc>
        <w:tc>
          <w:tcPr>
            <w:tcW w:w="8620" w:type="dxa"/>
            <w:vAlign w:val="bottom"/>
          </w:tcPr>
          <w:p>
            <w:pPr>
              <w:ind w:left="140"/>
              <w:spacing w:after="0"/>
              <w:rPr>
                <w:rFonts w:ascii="Arial" w:cs="Arial" w:eastAsia="Arial" w:hAnsi="Arial"/>
                <w:sz w:val="14"/>
                <w:szCs w:val="14"/>
                <w:color w:val="auto"/>
              </w:rPr>
            </w:pPr>
            <w:hyperlink r:id="rId28">
              <w:r>
                <w:rPr>
                  <w:rFonts w:ascii="Arial" w:cs="Arial" w:eastAsia="Arial" w:hAnsi="Arial"/>
                  <w:sz w:val="14"/>
                  <w:szCs w:val="14"/>
                  <w:color w:val="auto"/>
                </w:rPr>
                <w:t>*Amended and Restated Non-Employee Director Stock Incentive Plan</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8</w:t>
            </w:r>
          </w:p>
        </w:tc>
      </w:tr>
      <w:tr>
        <w:trPr>
          <w:trHeight w:val="318"/>
        </w:trPr>
        <w:tc>
          <w:tcPr>
            <w:tcW w:w="340" w:type="dxa"/>
            <w:vAlign w:val="bottom"/>
          </w:tcPr>
          <w:p>
            <w:pPr>
              <w:spacing w:after="0"/>
              <w:rPr>
                <w:sz w:val="24"/>
                <w:szCs w:val="24"/>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10.9(1)</w:t>
            </w:r>
          </w:p>
        </w:tc>
        <w:tc>
          <w:tcPr>
            <w:tcW w:w="8620" w:type="dxa"/>
            <w:vAlign w:val="bottom"/>
          </w:tcPr>
          <w:p>
            <w:pPr>
              <w:ind w:left="140"/>
              <w:spacing w:after="0"/>
              <w:rPr>
                <w:rFonts w:ascii="Arial" w:cs="Arial" w:eastAsia="Arial" w:hAnsi="Arial"/>
                <w:sz w:val="14"/>
                <w:szCs w:val="14"/>
                <w:color w:val="auto"/>
              </w:rPr>
            </w:pPr>
            <w:hyperlink r:id="rId27">
              <w:r>
                <w:rPr>
                  <w:rFonts w:ascii="Arial" w:cs="Arial" w:eastAsia="Arial" w:hAnsi="Arial"/>
                  <w:sz w:val="14"/>
                  <w:szCs w:val="14"/>
                  <w:color w:val="auto"/>
                </w:rPr>
                <w:t>*Stock Option Agreement Pursuant to the Non-Employee Director Stock Incentive Plan</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7</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10.10</w:t>
            </w:r>
          </w:p>
        </w:tc>
        <w:tc>
          <w:tcPr>
            <w:tcW w:w="8620" w:type="dxa"/>
            <w:vAlign w:val="bottom"/>
          </w:tcPr>
          <w:p>
            <w:pPr>
              <w:ind w:left="140"/>
              <w:spacing w:after="0"/>
              <w:rPr>
                <w:rFonts w:ascii="Arial" w:cs="Arial" w:eastAsia="Arial" w:hAnsi="Arial"/>
                <w:sz w:val="14"/>
                <w:szCs w:val="14"/>
                <w:color w:val="auto"/>
              </w:rPr>
            </w:pPr>
            <w:hyperlink r:id="rId29">
              <w:r>
                <w:rPr>
                  <w:rFonts w:ascii="Arial" w:cs="Arial" w:eastAsia="Arial" w:hAnsi="Arial"/>
                  <w:sz w:val="14"/>
                  <w:szCs w:val="14"/>
                  <w:color w:val="auto"/>
                </w:rPr>
                <w:t>*Amended and Restated 1998 Stock Incentive Plan</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9</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10.10(1)</w:t>
            </w:r>
          </w:p>
        </w:tc>
        <w:tc>
          <w:tcPr>
            <w:tcW w:w="8620" w:type="dxa"/>
            <w:vAlign w:val="bottom"/>
          </w:tcPr>
          <w:p>
            <w:pPr>
              <w:ind w:left="140"/>
              <w:spacing w:after="0"/>
              <w:rPr>
                <w:rFonts w:ascii="Arial" w:cs="Arial" w:eastAsia="Arial" w:hAnsi="Arial"/>
                <w:sz w:val="14"/>
                <w:szCs w:val="14"/>
                <w:color w:val="auto"/>
              </w:rPr>
            </w:pPr>
            <w:hyperlink r:id="rId27">
              <w:r>
                <w:rPr>
                  <w:rFonts w:ascii="Arial" w:cs="Arial" w:eastAsia="Arial" w:hAnsi="Arial"/>
                  <w:sz w:val="14"/>
                  <w:szCs w:val="14"/>
                  <w:color w:val="auto"/>
                </w:rPr>
                <w:t>*Stock Option Agreement Pursuant to the 1998 Stock Incentive Plan</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7</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10.12</w:t>
            </w:r>
          </w:p>
        </w:tc>
        <w:tc>
          <w:tcPr>
            <w:tcW w:w="8620" w:type="dxa"/>
            <w:vAlign w:val="bottom"/>
          </w:tcPr>
          <w:p>
            <w:pPr>
              <w:ind w:left="140"/>
              <w:spacing w:after="0"/>
              <w:rPr>
                <w:rFonts w:ascii="Arial" w:cs="Arial" w:eastAsia="Arial" w:hAnsi="Arial"/>
                <w:sz w:val="14"/>
                <w:szCs w:val="14"/>
                <w:color w:val="auto"/>
              </w:rPr>
            </w:pPr>
            <w:hyperlink r:id="rId30">
              <w:r>
                <w:rPr>
                  <w:rFonts w:ascii="Arial" w:cs="Arial" w:eastAsia="Arial" w:hAnsi="Arial"/>
                  <w:sz w:val="14"/>
                  <w:szCs w:val="14"/>
                  <w:color w:val="auto"/>
                </w:rPr>
                <w:t>Ground Lease with Pastoria Energy Facility L.L.C.</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10</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10.15</w:t>
            </w:r>
          </w:p>
        </w:tc>
        <w:tc>
          <w:tcPr>
            <w:tcW w:w="8620" w:type="dxa"/>
            <w:vAlign w:val="bottom"/>
          </w:tcPr>
          <w:p>
            <w:pPr>
              <w:ind w:left="140"/>
              <w:spacing w:after="0"/>
              <w:rPr>
                <w:rFonts w:ascii="Arial" w:cs="Arial" w:eastAsia="Arial" w:hAnsi="Arial"/>
                <w:sz w:val="14"/>
                <w:szCs w:val="14"/>
                <w:color w:val="auto"/>
              </w:rPr>
            </w:pPr>
            <w:hyperlink r:id="rId31">
              <w:r>
                <w:rPr>
                  <w:rFonts w:ascii="Arial" w:cs="Arial" w:eastAsia="Arial" w:hAnsi="Arial"/>
                  <w:sz w:val="14"/>
                  <w:szCs w:val="14"/>
                  <w:color w:val="auto"/>
                </w:rPr>
                <w:t>Form of Securities Purchase Agreement</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11</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10.16</w:t>
            </w:r>
          </w:p>
        </w:tc>
        <w:tc>
          <w:tcPr>
            <w:tcW w:w="8620" w:type="dxa"/>
            <w:vAlign w:val="bottom"/>
          </w:tcPr>
          <w:p>
            <w:pPr>
              <w:ind w:left="140"/>
              <w:spacing w:after="0"/>
              <w:rPr>
                <w:rFonts w:ascii="Arial" w:cs="Arial" w:eastAsia="Arial" w:hAnsi="Arial"/>
                <w:sz w:val="14"/>
                <w:szCs w:val="14"/>
                <w:color w:val="auto"/>
              </w:rPr>
            </w:pPr>
            <w:hyperlink r:id="rId32">
              <w:r>
                <w:rPr>
                  <w:rFonts w:ascii="Arial" w:cs="Arial" w:eastAsia="Arial" w:hAnsi="Arial"/>
                  <w:sz w:val="14"/>
                  <w:szCs w:val="14"/>
                  <w:color w:val="auto"/>
                </w:rPr>
                <w:t>Form of Registration Rights Agreement</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12</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10.17</w:t>
            </w:r>
          </w:p>
        </w:tc>
        <w:tc>
          <w:tcPr>
            <w:tcW w:w="8620" w:type="dxa"/>
            <w:vAlign w:val="bottom"/>
          </w:tcPr>
          <w:p>
            <w:pPr>
              <w:ind w:left="140"/>
              <w:spacing w:after="0"/>
              <w:rPr>
                <w:rFonts w:ascii="Arial" w:cs="Arial" w:eastAsia="Arial" w:hAnsi="Arial"/>
                <w:sz w:val="14"/>
                <w:szCs w:val="14"/>
                <w:color w:val="auto"/>
              </w:rPr>
            </w:pPr>
            <w:hyperlink r:id="rId33">
              <w:r>
                <w:rPr>
                  <w:rFonts w:ascii="Arial" w:cs="Arial" w:eastAsia="Arial" w:hAnsi="Arial"/>
                  <w:sz w:val="14"/>
                  <w:szCs w:val="14"/>
                  <w:color w:val="auto"/>
                </w:rPr>
                <w:t>*2004 Stock Incentive Program</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13</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10.18</w:t>
            </w:r>
          </w:p>
        </w:tc>
        <w:tc>
          <w:tcPr>
            <w:tcW w:w="8620" w:type="dxa"/>
            <w:vAlign w:val="bottom"/>
          </w:tcPr>
          <w:p>
            <w:pPr>
              <w:ind w:left="140"/>
              <w:spacing w:after="0"/>
              <w:rPr>
                <w:rFonts w:ascii="Arial" w:cs="Arial" w:eastAsia="Arial" w:hAnsi="Arial"/>
                <w:sz w:val="14"/>
                <w:szCs w:val="14"/>
                <w:color w:val="auto"/>
              </w:rPr>
            </w:pPr>
            <w:hyperlink r:id="rId34">
              <w:r>
                <w:rPr>
                  <w:rFonts w:ascii="Arial" w:cs="Arial" w:eastAsia="Arial" w:hAnsi="Arial"/>
                  <w:sz w:val="14"/>
                  <w:szCs w:val="14"/>
                  <w:color w:val="auto"/>
                </w:rPr>
                <w:t>*Form of Restricted Stock Agreement for Directors</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13</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10.19</w:t>
            </w:r>
          </w:p>
        </w:tc>
        <w:tc>
          <w:tcPr>
            <w:tcW w:w="8620" w:type="dxa"/>
            <w:vAlign w:val="bottom"/>
          </w:tcPr>
          <w:p>
            <w:pPr>
              <w:ind w:left="140"/>
              <w:spacing w:after="0"/>
              <w:rPr>
                <w:rFonts w:ascii="Arial" w:cs="Arial" w:eastAsia="Arial" w:hAnsi="Arial"/>
                <w:sz w:val="14"/>
                <w:szCs w:val="14"/>
                <w:color w:val="auto"/>
              </w:rPr>
            </w:pPr>
            <w:hyperlink r:id="rId35">
              <w:r>
                <w:rPr>
                  <w:rFonts w:ascii="Arial" w:cs="Arial" w:eastAsia="Arial" w:hAnsi="Arial"/>
                  <w:sz w:val="14"/>
                  <w:szCs w:val="14"/>
                  <w:color w:val="auto"/>
                </w:rPr>
                <w:t>*Form of Restricted Stock Unit Agreement</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13</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10.23</w:t>
            </w:r>
          </w:p>
        </w:tc>
        <w:tc>
          <w:tcPr>
            <w:tcW w:w="8620" w:type="dxa"/>
            <w:vAlign w:val="bottom"/>
          </w:tcPr>
          <w:p>
            <w:pPr>
              <w:ind w:left="140"/>
              <w:spacing w:after="0"/>
              <w:rPr>
                <w:rFonts w:ascii="Arial" w:cs="Arial" w:eastAsia="Arial" w:hAnsi="Arial"/>
                <w:sz w:val="14"/>
                <w:szCs w:val="14"/>
                <w:color w:val="auto"/>
              </w:rPr>
            </w:pPr>
            <w:hyperlink r:id="rId36">
              <w:r>
                <w:rPr>
                  <w:rFonts w:ascii="Arial" w:cs="Arial" w:eastAsia="Arial" w:hAnsi="Arial"/>
                  <w:sz w:val="14"/>
                  <w:szCs w:val="14"/>
                  <w:color w:val="auto"/>
                </w:rPr>
                <w:t>Limited Liability Company Agreement of Tejon Mountain Village LLC</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14</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10.24</w:t>
            </w:r>
          </w:p>
        </w:tc>
        <w:tc>
          <w:tcPr>
            <w:tcW w:w="8620" w:type="dxa"/>
            <w:vAlign w:val="bottom"/>
          </w:tcPr>
          <w:p>
            <w:pPr>
              <w:ind w:left="140"/>
              <w:spacing w:after="0"/>
              <w:rPr>
                <w:rFonts w:ascii="Arial" w:cs="Arial" w:eastAsia="Arial" w:hAnsi="Arial"/>
                <w:sz w:val="14"/>
                <w:szCs w:val="14"/>
                <w:color w:val="auto"/>
              </w:rPr>
            </w:pPr>
            <w:hyperlink r:id="rId37">
              <w:r>
                <w:rPr>
                  <w:rFonts w:ascii="Arial" w:cs="Arial" w:eastAsia="Arial" w:hAnsi="Arial"/>
                  <w:sz w:val="14"/>
                  <w:szCs w:val="14"/>
                  <w:color w:val="auto"/>
                </w:rPr>
                <w:t>Tejon Ranch Conservation and Land Use Agreement</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15</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10.25</w:t>
            </w:r>
          </w:p>
        </w:tc>
        <w:tc>
          <w:tcPr>
            <w:tcW w:w="8620" w:type="dxa"/>
            <w:vAlign w:val="bottom"/>
          </w:tcPr>
          <w:p>
            <w:pPr>
              <w:ind w:left="140"/>
              <w:spacing w:after="0"/>
              <w:rPr>
                <w:rFonts w:ascii="Arial" w:cs="Arial" w:eastAsia="Arial" w:hAnsi="Arial"/>
                <w:sz w:val="14"/>
                <w:szCs w:val="14"/>
                <w:color w:val="auto"/>
              </w:rPr>
            </w:pPr>
            <w:hyperlink r:id="rId38">
              <w:r>
                <w:rPr>
                  <w:rFonts w:ascii="Arial" w:cs="Arial" w:eastAsia="Arial" w:hAnsi="Arial"/>
                  <w:sz w:val="14"/>
                  <w:szCs w:val="14"/>
                  <w:color w:val="auto"/>
                </w:rPr>
                <w:t>Second Amended and Restated Limited Liability Agreement of Centennial Founders, LLC</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16</w:t>
            </w:r>
          </w:p>
        </w:tc>
      </w:tr>
      <w:tr>
        <w:trPr>
          <w:trHeight w:val="212"/>
        </w:trPr>
        <w:tc>
          <w:tcPr>
            <w:tcW w:w="340" w:type="dxa"/>
            <w:vAlign w:val="bottom"/>
          </w:tcPr>
          <w:p>
            <w:pPr>
              <w:spacing w:after="0"/>
              <w:rPr>
                <w:sz w:val="18"/>
                <w:szCs w:val="18"/>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color w:val="auto"/>
              </w:rPr>
              <w:t>10.26</w:t>
            </w:r>
          </w:p>
        </w:tc>
        <w:tc>
          <w:tcPr>
            <w:tcW w:w="8620" w:type="dxa"/>
            <w:vAlign w:val="bottom"/>
          </w:tcPr>
          <w:p>
            <w:pPr>
              <w:ind w:left="140"/>
              <w:spacing w:after="0"/>
              <w:rPr>
                <w:rFonts w:ascii="Arial" w:cs="Arial" w:eastAsia="Arial" w:hAnsi="Arial"/>
                <w:sz w:val="14"/>
                <w:szCs w:val="14"/>
                <w:color w:val="auto"/>
              </w:rPr>
            </w:pPr>
            <w:hyperlink r:id="rId39">
              <w:r>
                <w:rPr>
                  <w:rFonts w:ascii="Arial" w:cs="Arial" w:eastAsia="Arial" w:hAnsi="Arial"/>
                  <w:sz w:val="14"/>
                  <w:szCs w:val="14"/>
                  <w:color w:val="auto"/>
                </w:rPr>
                <w:t>*Executive Employment Agreement - Allen E. Lyda</w:t>
              </w:r>
            </w:hyperlink>
          </w:p>
        </w:tc>
        <w:tc>
          <w:tcPr>
            <w:tcW w:w="1260" w:type="dxa"/>
            <w:vAlign w:val="bottom"/>
          </w:tcPr>
          <w:p>
            <w:pPr>
              <w:jc w:val="right"/>
              <w:spacing w:after="0"/>
              <w:rPr>
                <w:sz w:val="20"/>
                <w:szCs w:val="20"/>
                <w:color w:val="auto"/>
              </w:rPr>
            </w:pPr>
            <w:r>
              <w:rPr>
                <w:rFonts w:ascii="Arial" w:cs="Arial" w:eastAsia="Arial" w:hAnsi="Arial"/>
                <w:sz w:val="14"/>
                <w:szCs w:val="14"/>
                <w:color w:val="auto"/>
              </w:rPr>
              <w:t>FN 17</w:t>
            </w:r>
          </w:p>
        </w:tc>
      </w:tr>
      <w:tr>
        <w:trPr>
          <w:trHeight w:val="361"/>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20" w:type="dxa"/>
            <w:vAlign w:val="bottom"/>
          </w:tcPr>
          <w:p>
            <w:pPr>
              <w:ind w:left="4200"/>
              <w:spacing w:after="0"/>
              <w:rPr>
                <w:sz w:val="20"/>
                <w:szCs w:val="20"/>
                <w:color w:val="auto"/>
              </w:rPr>
            </w:pPr>
            <w:r>
              <w:rPr>
                <w:rFonts w:ascii="Arial" w:cs="Arial" w:eastAsia="Arial" w:hAnsi="Arial"/>
                <w:sz w:val="14"/>
                <w:szCs w:val="14"/>
                <w:color w:val="auto"/>
              </w:rPr>
              <w:t>60</w:t>
            </w:r>
          </w:p>
        </w:tc>
        <w:tc>
          <w:tcPr>
            <w:tcW w:w="1260" w:type="dxa"/>
            <w:vAlign w:val="bottom"/>
          </w:tcPr>
          <w:p>
            <w:pPr>
              <w:spacing w:after="0"/>
              <w:rPr>
                <w:sz w:val="24"/>
                <w:szCs w:val="24"/>
                <w:color w:val="auto"/>
              </w:rPr>
            </w:pPr>
          </w:p>
        </w:tc>
      </w:tr>
    </w:tbl>
    <w:p>
      <w:pPr>
        <w:sectPr>
          <w:pgSz w:w="11900" w:h="16838" w:orient="portrait"/>
          <w:cols w:equalWidth="0" w:num="1">
            <w:col w:w="11260"/>
          </w:cols>
          <w:pgMar w:left="300" w:top="655"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10.27</w:t>
            </w:r>
          </w:p>
        </w:tc>
        <w:tc>
          <w:tcPr>
            <w:tcW w:w="8120" w:type="dxa"/>
            <w:vAlign w:val="bottom"/>
          </w:tcPr>
          <w:p>
            <w:pPr>
              <w:ind w:left="140"/>
              <w:spacing w:after="0"/>
              <w:rPr>
                <w:rFonts w:ascii="Arial" w:cs="Arial" w:eastAsia="Arial" w:hAnsi="Arial"/>
                <w:sz w:val="14"/>
                <w:szCs w:val="14"/>
                <w:color w:val="auto"/>
              </w:rPr>
            </w:pPr>
            <w:hyperlink r:id="rId40">
              <w:r>
                <w:rPr>
                  <w:rFonts w:ascii="Arial" w:cs="Arial" w:eastAsia="Arial" w:hAnsi="Arial"/>
                  <w:sz w:val="14"/>
                  <w:szCs w:val="14"/>
                  <w:color w:val="auto"/>
                </w:rPr>
                <w:t>Limited Liability Company Agreement of TRCC/Rock Outlet Center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18</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10.28</w:t>
            </w:r>
          </w:p>
        </w:tc>
        <w:tc>
          <w:tcPr>
            <w:tcW w:w="8120" w:type="dxa"/>
            <w:vAlign w:val="bottom"/>
          </w:tcPr>
          <w:p>
            <w:pPr>
              <w:ind w:left="140"/>
              <w:spacing w:after="0"/>
              <w:rPr>
                <w:rFonts w:ascii="Arial" w:cs="Arial" w:eastAsia="Arial" w:hAnsi="Arial"/>
                <w:sz w:val="14"/>
                <w:szCs w:val="14"/>
                <w:color w:val="auto"/>
              </w:rPr>
            </w:pPr>
            <w:hyperlink r:id="rId41">
              <w:r>
                <w:rPr>
                  <w:rFonts w:ascii="Arial" w:cs="Arial" w:eastAsia="Arial" w:hAnsi="Arial"/>
                  <w:sz w:val="14"/>
                  <w:szCs w:val="14"/>
                  <w:color w:val="auto"/>
                </w:rPr>
                <w:t>Warrant Agreement</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19</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10.29</w:t>
            </w:r>
          </w:p>
        </w:tc>
        <w:tc>
          <w:tcPr>
            <w:tcW w:w="8120" w:type="dxa"/>
            <w:vAlign w:val="bottom"/>
          </w:tcPr>
          <w:p>
            <w:pPr>
              <w:ind w:left="140"/>
              <w:spacing w:after="0"/>
              <w:rPr>
                <w:rFonts w:ascii="Arial" w:cs="Arial" w:eastAsia="Arial" w:hAnsi="Arial"/>
                <w:sz w:val="14"/>
                <w:szCs w:val="14"/>
                <w:color w:val="auto"/>
              </w:rPr>
            </w:pPr>
            <w:hyperlink r:id="rId42">
              <w:r>
                <w:rPr>
                  <w:rFonts w:ascii="Arial" w:cs="Arial" w:eastAsia="Arial" w:hAnsi="Arial"/>
                  <w:sz w:val="14"/>
                  <w:szCs w:val="14"/>
                  <w:color w:val="auto"/>
                </w:rPr>
                <w:t>Amendments to Limited Liability Company Agreement of Tejon Mountain Village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20</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10.30</w:t>
            </w:r>
          </w:p>
        </w:tc>
        <w:tc>
          <w:tcPr>
            <w:tcW w:w="8120" w:type="dxa"/>
            <w:vAlign w:val="bottom"/>
          </w:tcPr>
          <w:p>
            <w:pPr>
              <w:ind w:left="140"/>
              <w:spacing w:after="0"/>
              <w:rPr>
                <w:rFonts w:ascii="Arial" w:cs="Arial" w:eastAsia="Arial" w:hAnsi="Arial"/>
                <w:sz w:val="14"/>
                <w:szCs w:val="14"/>
                <w:color w:val="auto"/>
              </w:rPr>
            </w:pPr>
            <w:hyperlink r:id="rId43">
              <w:r>
                <w:rPr>
                  <w:rFonts w:ascii="Arial" w:cs="Arial" w:eastAsia="Arial" w:hAnsi="Arial"/>
                  <w:sz w:val="14"/>
                  <w:szCs w:val="14"/>
                  <w:color w:val="auto"/>
                </w:rPr>
                <w:t>Membership Interest Purchase Agreement - TMV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21</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10.31</w:t>
            </w:r>
          </w:p>
        </w:tc>
        <w:tc>
          <w:tcPr>
            <w:tcW w:w="8120" w:type="dxa"/>
            <w:vAlign w:val="bottom"/>
          </w:tcPr>
          <w:p>
            <w:pPr>
              <w:ind w:left="140"/>
              <w:spacing w:after="0"/>
              <w:rPr>
                <w:rFonts w:ascii="Arial" w:cs="Arial" w:eastAsia="Arial" w:hAnsi="Arial"/>
                <w:sz w:val="14"/>
                <w:szCs w:val="14"/>
                <w:color w:val="auto"/>
              </w:rPr>
            </w:pPr>
            <w:hyperlink r:id="rId44">
              <w:r>
                <w:rPr>
                  <w:rFonts w:ascii="Arial" w:cs="Arial" w:eastAsia="Arial" w:hAnsi="Arial"/>
                  <w:sz w:val="14"/>
                  <w:szCs w:val="14"/>
                  <w:color w:val="auto"/>
                </w:rPr>
                <w:t>Amended and Restated Credit Agreement</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22</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10.32</w:t>
            </w:r>
          </w:p>
        </w:tc>
        <w:tc>
          <w:tcPr>
            <w:tcW w:w="8120" w:type="dxa"/>
            <w:vAlign w:val="bottom"/>
          </w:tcPr>
          <w:p>
            <w:pPr>
              <w:ind w:left="140"/>
              <w:spacing w:after="0"/>
              <w:rPr>
                <w:rFonts w:ascii="Arial" w:cs="Arial" w:eastAsia="Arial" w:hAnsi="Arial"/>
                <w:sz w:val="14"/>
                <w:szCs w:val="14"/>
                <w:color w:val="auto"/>
              </w:rPr>
            </w:pPr>
            <w:hyperlink r:id="rId45">
              <w:r>
                <w:rPr>
                  <w:rFonts w:ascii="Arial" w:cs="Arial" w:eastAsia="Arial" w:hAnsi="Arial"/>
                  <w:sz w:val="14"/>
                  <w:szCs w:val="14"/>
                  <w:color w:val="auto"/>
                </w:rPr>
                <w:t>Term Note</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22</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10.33</w:t>
            </w:r>
          </w:p>
        </w:tc>
        <w:tc>
          <w:tcPr>
            <w:tcW w:w="8120" w:type="dxa"/>
            <w:vAlign w:val="bottom"/>
          </w:tcPr>
          <w:p>
            <w:pPr>
              <w:ind w:left="140"/>
              <w:spacing w:after="0"/>
              <w:rPr>
                <w:rFonts w:ascii="Arial" w:cs="Arial" w:eastAsia="Arial" w:hAnsi="Arial"/>
                <w:sz w:val="14"/>
                <w:szCs w:val="14"/>
                <w:color w:val="auto"/>
              </w:rPr>
            </w:pPr>
            <w:hyperlink r:id="rId46">
              <w:r>
                <w:rPr>
                  <w:rFonts w:ascii="Arial" w:cs="Arial" w:eastAsia="Arial" w:hAnsi="Arial"/>
                  <w:sz w:val="14"/>
                  <w:szCs w:val="14"/>
                  <w:color w:val="auto"/>
                </w:rPr>
                <w:t>Revolving Line of Credit</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22</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10.34</w:t>
            </w:r>
          </w:p>
        </w:tc>
        <w:tc>
          <w:tcPr>
            <w:tcW w:w="8120" w:type="dxa"/>
            <w:vAlign w:val="bottom"/>
          </w:tcPr>
          <w:p>
            <w:pPr>
              <w:ind w:left="140"/>
              <w:spacing w:after="0"/>
              <w:rPr>
                <w:rFonts w:ascii="Arial" w:cs="Arial" w:eastAsia="Arial" w:hAnsi="Arial"/>
                <w:sz w:val="14"/>
                <w:szCs w:val="14"/>
                <w:color w:val="auto"/>
              </w:rPr>
            </w:pPr>
            <w:hyperlink r:id="rId47">
              <w:r>
                <w:rPr>
                  <w:rFonts w:ascii="Arial" w:cs="Arial" w:eastAsia="Arial" w:hAnsi="Arial"/>
                  <w:sz w:val="14"/>
                  <w:szCs w:val="14"/>
                  <w:color w:val="auto"/>
                </w:rPr>
                <w:t>Amendments to Lease Agreement with Pastoria Energy Facility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23</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10.35</w:t>
            </w:r>
          </w:p>
        </w:tc>
        <w:tc>
          <w:tcPr>
            <w:tcW w:w="8120" w:type="dxa"/>
            <w:vAlign w:val="bottom"/>
          </w:tcPr>
          <w:p>
            <w:pPr>
              <w:ind w:left="140"/>
              <w:spacing w:after="0"/>
              <w:rPr>
                <w:rFonts w:ascii="Arial" w:cs="Arial" w:eastAsia="Arial" w:hAnsi="Arial"/>
                <w:sz w:val="14"/>
                <w:szCs w:val="14"/>
                <w:color w:val="auto"/>
              </w:rPr>
            </w:pPr>
            <w:hyperlink r:id="rId48">
              <w:r>
                <w:rPr>
                  <w:rFonts w:ascii="Arial" w:cs="Arial" w:eastAsia="Arial" w:hAnsi="Arial"/>
                  <w:sz w:val="14"/>
                  <w:szCs w:val="14"/>
                  <w:color w:val="auto"/>
                </w:rPr>
                <w:t>Water Supply Agreement with Pastoria Energy Facility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24</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10.37</w:t>
            </w:r>
          </w:p>
        </w:tc>
        <w:tc>
          <w:tcPr>
            <w:tcW w:w="8120" w:type="dxa"/>
            <w:vAlign w:val="bottom"/>
          </w:tcPr>
          <w:p>
            <w:pPr>
              <w:ind w:left="140"/>
              <w:spacing w:after="0"/>
              <w:rPr>
                <w:rFonts w:ascii="Arial" w:cs="Arial" w:eastAsia="Arial" w:hAnsi="Arial"/>
                <w:sz w:val="14"/>
                <w:szCs w:val="14"/>
                <w:color w:val="auto"/>
              </w:rPr>
            </w:pPr>
            <w:hyperlink r:id="rId49">
              <w:r>
                <w:rPr>
                  <w:rFonts w:ascii="Arial" w:cs="Arial" w:eastAsia="Arial" w:hAnsi="Arial"/>
                  <w:sz w:val="14"/>
                  <w:szCs w:val="14"/>
                  <w:color w:val="auto"/>
                </w:rPr>
                <w:t>Limited Liability Company Agreement of TRC-MRC 2,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26</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10.38</w:t>
            </w:r>
          </w:p>
        </w:tc>
        <w:tc>
          <w:tcPr>
            <w:tcW w:w="8120" w:type="dxa"/>
            <w:vAlign w:val="bottom"/>
          </w:tcPr>
          <w:p>
            <w:pPr>
              <w:ind w:left="140"/>
              <w:spacing w:after="0"/>
              <w:rPr>
                <w:rFonts w:ascii="Arial" w:cs="Arial" w:eastAsia="Arial" w:hAnsi="Arial"/>
                <w:sz w:val="14"/>
                <w:szCs w:val="14"/>
                <w:color w:val="auto"/>
              </w:rPr>
            </w:pPr>
            <w:hyperlink r:id="rId50">
              <w:r>
                <w:rPr>
                  <w:rFonts w:ascii="Arial" w:cs="Arial" w:eastAsia="Arial" w:hAnsi="Arial"/>
                  <w:sz w:val="14"/>
                  <w:szCs w:val="14"/>
                  <w:color w:val="auto"/>
                </w:rPr>
                <w:t>Limited Liability Company Agreement of TRC-MRC 1,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27</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10.39</w:t>
            </w:r>
          </w:p>
        </w:tc>
        <w:tc>
          <w:tcPr>
            <w:tcW w:w="8120" w:type="dxa"/>
            <w:vAlign w:val="bottom"/>
          </w:tcPr>
          <w:p>
            <w:pPr>
              <w:ind w:left="140"/>
              <w:spacing w:after="0"/>
              <w:rPr>
                <w:rFonts w:ascii="Arial" w:cs="Arial" w:eastAsia="Arial" w:hAnsi="Arial"/>
                <w:sz w:val="14"/>
                <w:szCs w:val="14"/>
                <w:color w:val="auto"/>
              </w:rPr>
            </w:pPr>
            <w:hyperlink r:id="rId51">
              <w:r>
                <w:rPr>
                  <w:rFonts w:ascii="Arial" w:cs="Arial" w:eastAsia="Arial" w:hAnsi="Arial"/>
                  <w:sz w:val="14"/>
                  <w:szCs w:val="14"/>
                  <w:color w:val="auto"/>
                </w:rPr>
                <w:t>Centennial Redemption and Withdrawal Agreement</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28</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10.40</w:t>
            </w:r>
          </w:p>
        </w:tc>
        <w:tc>
          <w:tcPr>
            <w:tcW w:w="8120" w:type="dxa"/>
            <w:vAlign w:val="bottom"/>
          </w:tcPr>
          <w:p>
            <w:pPr>
              <w:ind w:left="140"/>
              <w:spacing w:after="0"/>
              <w:rPr>
                <w:rFonts w:ascii="Arial" w:cs="Arial" w:eastAsia="Arial" w:hAnsi="Arial"/>
                <w:sz w:val="14"/>
                <w:szCs w:val="14"/>
                <w:color w:val="auto"/>
              </w:rPr>
            </w:pPr>
            <w:hyperlink r:id="rId52">
              <w:r>
                <w:rPr>
                  <w:rFonts w:ascii="Arial" w:cs="Arial" w:eastAsia="Arial" w:hAnsi="Arial"/>
                  <w:sz w:val="14"/>
                  <w:szCs w:val="14"/>
                  <w:color w:val="auto"/>
                </w:rPr>
                <w:t>First Amendment to Second Amended and Restated Limited Liability Company Agreement of Centennial Founders,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29</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10.41</w:t>
            </w:r>
          </w:p>
        </w:tc>
        <w:tc>
          <w:tcPr>
            <w:tcW w:w="8120" w:type="dxa"/>
            <w:vAlign w:val="bottom"/>
          </w:tcPr>
          <w:p>
            <w:pPr>
              <w:ind w:left="140"/>
              <w:spacing w:after="0"/>
              <w:rPr>
                <w:rFonts w:ascii="Arial" w:cs="Arial" w:eastAsia="Arial" w:hAnsi="Arial"/>
                <w:sz w:val="14"/>
                <w:szCs w:val="14"/>
                <w:color w:val="auto"/>
              </w:rPr>
            </w:pPr>
            <w:hyperlink r:id="rId53">
              <w:r>
                <w:rPr>
                  <w:rFonts w:ascii="Arial" w:cs="Arial" w:eastAsia="Arial" w:hAnsi="Arial"/>
                  <w:sz w:val="14"/>
                  <w:szCs w:val="14"/>
                  <w:color w:val="auto"/>
                </w:rPr>
                <w:t>Second Amendment to Second Amended and Restated Limited Liability Company Agreement of Centennial Founders,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30</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10.42</w:t>
            </w:r>
          </w:p>
        </w:tc>
        <w:tc>
          <w:tcPr>
            <w:tcW w:w="8120" w:type="dxa"/>
            <w:vAlign w:val="bottom"/>
          </w:tcPr>
          <w:p>
            <w:pPr>
              <w:ind w:left="140"/>
              <w:spacing w:after="0"/>
              <w:rPr>
                <w:rFonts w:ascii="Arial" w:cs="Arial" w:eastAsia="Arial" w:hAnsi="Arial"/>
                <w:sz w:val="14"/>
                <w:szCs w:val="14"/>
                <w:color w:val="auto"/>
              </w:rPr>
            </w:pPr>
            <w:hyperlink r:id="rId54">
              <w:r>
                <w:rPr>
                  <w:rFonts w:ascii="Arial" w:cs="Arial" w:eastAsia="Arial" w:hAnsi="Arial"/>
                  <w:sz w:val="14"/>
                  <w:szCs w:val="14"/>
                  <w:color w:val="auto"/>
                </w:rPr>
                <w:t>Limited Liability Company Agreement of TRC-MRC 3,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31</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10.43</w:t>
            </w:r>
          </w:p>
        </w:tc>
        <w:tc>
          <w:tcPr>
            <w:tcW w:w="8120" w:type="dxa"/>
            <w:vAlign w:val="bottom"/>
          </w:tcPr>
          <w:p>
            <w:pPr>
              <w:ind w:left="140"/>
              <w:spacing w:after="0"/>
              <w:rPr>
                <w:rFonts w:ascii="Arial" w:cs="Arial" w:eastAsia="Arial" w:hAnsi="Arial"/>
                <w:sz w:val="14"/>
                <w:szCs w:val="14"/>
                <w:color w:val="auto"/>
              </w:rPr>
            </w:pPr>
            <w:hyperlink r:id="rId55">
              <w:r>
                <w:rPr>
                  <w:rFonts w:ascii="Arial" w:cs="Arial" w:eastAsia="Arial" w:hAnsi="Arial"/>
                  <w:sz w:val="14"/>
                  <w:szCs w:val="14"/>
                  <w:color w:val="auto"/>
                </w:rPr>
                <w:t>Fourth Amendment to Second Amended and Restated Limited Liability Company Agreement of Centennial Founders,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32</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10.44</w:t>
            </w:r>
          </w:p>
        </w:tc>
        <w:tc>
          <w:tcPr>
            <w:tcW w:w="8120" w:type="dxa"/>
            <w:vAlign w:val="bottom"/>
          </w:tcPr>
          <w:p>
            <w:pPr>
              <w:ind w:left="140"/>
              <w:spacing w:after="0"/>
              <w:rPr>
                <w:rFonts w:ascii="Arial" w:cs="Arial" w:eastAsia="Arial" w:hAnsi="Arial"/>
                <w:sz w:val="14"/>
                <w:szCs w:val="14"/>
                <w:color w:val="auto"/>
              </w:rPr>
            </w:pPr>
            <w:hyperlink r:id="rId56">
              <w:r>
                <w:rPr>
                  <w:rFonts w:ascii="Arial" w:cs="Arial" w:eastAsia="Arial" w:hAnsi="Arial"/>
                  <w:sz w:val="14"/>
                  <w:szCs w:val="14"/>
                  <w:color w:val="auto"/>
                </w:rPr>
                <w:t>Centennial Redemption and Withdrawal Agreement - CalAtlantic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33</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10.45</w:t>
            </w:r>
          </w:p>
        </w:tc>
        <w:tc>
          <w:tcPr>
            <w:tcW w:w="8120" w:type="dxa"/>
            <w:vAlign w:val="bottom"/>
          </w:tcPr>
          <w:p>
            <w:pPr>
              <w:ind w:left="140"/>
              <w:spacing w:after="0"/>
              <w:rPr>
                <w:rFonts w:ascii="Arial" w:cs="Arial" w:eastAsia="Arial" w:hAnsi="Arial"/>
                <w:sz w:val="14"/>
                <w:szCs w:val="14"/>
                <w:color w:val="auto"/>
              </w:rPr>
            </w:pPr>
            <w:hyperlink r:id="rId57">
              <w:r>
                <w:rPr>
                  <w:rFonts w:ascii="Arial" w:cs="Arial" w:eastAsia="Arial" w:hAnsi="Arial"/>
                  <w:sz w:val="14"/>
                  <w:szCs w:val="14"/>
                  <w:color w:val="auto"/>
                </w:rPr>
                <w:t>Amended Revolving Line of Credit</w:t>
              </w:r>
            </w:hyperlink>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FN 34</w:t>
            </w: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10.46</w:t>
            </w:r>
          </w:p>
        </w:tc>
        <w:tc>
          <w:tcPr>
            <w:tcW w:w="8120" w:type="dxa"/>
            <w:vAlign w:val="bottom"/>
          </w:tcPr>
          <w:p>
            <w:pPr>
              <w:ind w:left="140"/>
              <w:spacing w:after="0"/>
              <w:rPr>
                <w:rFonts w:ascii="Arial" w:cs="Arial" w:eastAsia="Arial" w:hAnsi="Arial"/>
                <w:sz w:val="14"/>
                <w:szCs w:val="14"/>
                <w:color w:val="auto"/>
              </w:rPr>
            </w:pPr>
            <w:hyperlink r:id="rId58">
              <w:r>
                <w:rPr>
                  <w:rFonts w:ascii="Arial" w:cs="Arial" w:eastAsia="Arial" w:hAnsi="Arial"/>
                  <w:sz w:val="14"/>
                  <w:szCs w:val="14"/>
                  <w:color w:val="auto"/>
                </w:rPr>
                <w:t>Amended Term Note</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35</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10.47</w:t>
            </w:r>
          </w:p>
        </w:tc>
        <w:tc>
          <w:tcPr>
            <w:tcW w:w="8120" w:type="dxa"/>
            <w:vAlign w:val="bottom"/>
          </w:tcPr>
          <w:p>
            <w:pPr>
              <w:ind w:left="140"/>
              <w:spacing w:after="0"/>
              <w:rPr>
                <w:rFonts w:ascii="Arial" w:cs="Arial" w:eastAsia="Arial" w:hAnsi="Arial"/>
                <w:sz w:val="14"/>
                <w:szCs w:val="14"/>
                <w:color w:val="auto"/>
              </w:rPr>
            </w:pPr>
            <w:hyperlink w:anchor="page115">
              <w:r>
                <w:rPr>
                  <w:rFonts w:ascii="Arial" w:cs="Arial" w:eastAsia="Arial" w:hAnsi="Arial"/>
                  <w:sz w:val="14"/>
                  <w:szCs w:val="14"/>
                  <w:color w:val="auto"/>
                </w:rPr>
                <w:t>Executive Severance Agreement - Gregory S. Bielli</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16.1</w:t>
            </w:r>
          </w:p>
        </w:tc>
        <w:tc>
          <w:tcPr>
            <w:tcW w:w="8120" w:type="dxa"/>
            <w:vAlign w:val="bottom"/>
          </w:tcPr>
          <w:p>
            <w:pPr>
              <w:ind w:left="140"/>
              <w:spacing w:after="0"/>
              <w:rPr>
                <w:rFonts w:ascii="Arial" w:cs="Arial" w:eastAsia="Arial" w:hAnsi="Arial"/>
                <w:sz w:val="14"/>
                <w:szCs w:val="14"/>
                <w:color w:val="auto"/>
              </w:rPr>
            </w:pPr>
            <w:hyperlink r:id="rId59">
              <w:r>
                <w:rPr>
                  <w:rFonts w:ascii="Arial" w:cs="Arial" w:eastAsia="Arial" w:hAnsi="Arial"/>
                  <w:sz w:val="14"/>
                  <w:szCs w:val="14"/>
                  <w:color w:val="auto"/>
                </w:rPr>
                <w:t>Letter dated March 19, 2019 from Ernst &amp; Young LLP to the Securities and Exchange Commission</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FN 36</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21</w:t>
            </w:r>
          </w:p>
        </w:tc>
        <w:tc>
          <w:tcPr>
            <w:tcW w:w="8120" w:type="dxa"/>
            <w:vAlign w:val="bottom"/>
          </w:tcPr>
          <w:p>
            <w:pPr>
              <w:ind w:left="140"/>
              <w:spacing w:after="0"/>
              <w:rPr>
                <w:rFonts w:ascii="Arial" w:cs="Arial" w:eastAsia="Arial" w:hAnsi="Arial"/>
                <w:sz w:val="14"/>
                <w:szCs w:val="14"/>
                <w:color w:val="auto"/>
              </w:rPr>
            </w:pPr>
            <w:hyperlink w:anchor="page120">
              <w:r>
                <w:rPr>
                  <w:rFonts w:ascii="Arial" w:cs="Arial" w:eastAsia="Arial" w:hAnsi="Arial"/>
                  <w:sz w:val="14"/>
                  <w:szCs w:val="14"/>
                  <w:color w:val="auto"/>
                </w:rPr>
                <w:t>List of Subsidiaries of Registrant</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23.1</w:t>
            </w:r>
          </w:p>
        </w:tc>
        <w:tc>
          <w:tcPr>
            <w:tcW w:w="8120" w:type="dxa"/>
            <w:vAlign w:val="bottom"/>
          </w:tcPr>
          <w:p>
            <w:pPr>
              <w:ind w:left="140"/>
              <w:spacing w:after="0"/>
              <w:rPr>
                <w:rFonts w:ascii="Arial" w:cs="Arial" w:eastAsia="Arial" w:hAnsi="Arial"/>
                <w:sz w:val="14"/>
                <w:szCs w:val="14"/>
                <w:color w:val="auto"/>
              </w:rPr>
            </w:pPr>
            <w:hyperlink w:anchor="page121">
              <w:r>
                <w:rPr>
                  <w:rFonts w:ascii="Arial" w:cs="Arial" w:eastAsia="Arial" w:hAnsi="Arial"/>
                  <w:sz w:val="14"/>
                  <w:szCs w:val="14"/>
                  <w:color w:val="auto"/>
                </w:rPr>
                <w:t>Consent of Deloitte &amp; Touche LLP, independent registered public accounting firm (Los Angeles, CA)</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23.2</w:t>
            </w:r>
          </w:p>
        </w:tc>
        <w:tc>
          <w:tcPr>
            <w:tcW w:w="8120" w:type="dxa"/>
            <w:vAlign w:val="bottom"/>
          </w:tcPr>
          <w:p>
            <w:pPr>
              <w:ind w:left="140"/>
              <w:spacing w:after="0"/>
              <w:rPr>
                <w:rFonts w:ascii="Arial" w:cs="Arial" w:eastAsia="Arial" w:hAnsi="Arial"/>
                <w:sz w:val="14"/>
                <w:szCs w:val="14"/>
                <w:color w:val="auto"/>
              </w:rPr>
            </w:pPr>
            <w:hyperlink w:anchor="page122">
              <w:r>
                <w:rPr>
                  <w:rFonts w:ascii="Arial" w:cs="Arial" w:eastAsia="Arial" w:hAnsi="Arial"/>
                  <w:sz w:val="14"/>
                  <w:szCs w:val="14"/>
                  <w:color w:val="auto"/>
                </w:rPr>
                <w:t>Consent of Ernst &amp; Young LLP, independent registered public accounting firm (Los Angeles, CA)</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23.3</w:t>
            </w:r>
          </w:p>
        </w:tc>
        <w:tc>
          <w:tcPr>
            <w:tcW w:w="8120" w:type="dxa"/>
            <w:vAlign w:val="bottom"/>
          </w:tcPr>
          <w:p>
            <w:pPr>
              <w:ind w:left="140"/>
              <w:spacing w:after="0"/>
              <w:rPr>
                <w:rFonts w:ascii="Arial" w:cs="Arial" w:eastAsia="Arial" w:hAnsi="Arial"/>
                <w:sz w:val="14"/>
                <w:szCs w:val="14"/>
                <w:color w:val="auto"/>
              </w:rPr>
            </w:pPr>
            <w:hyperlink w:anchor="page123">
              <w:r>
                <w:rPr>
                  <w:rFonts w:ascii="Arial" w:cs="Arial" w:eastAsia="Arial" w:hAnsi="Arial"/>
                  <w:sz w:val="14"/>
                  <w:szCs w:val="14"/>
                  <w:color w:val="auto"/>
                </w:rPr>
                <w:t>Consent of RSM US LLP, independent registered public accounting firm</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31.1</w:t>
            </w:r>
          </w:p>
        </w:tc>
        <w:tc>
          <w:tcPr>
            <w:tcW w:w="8120" w:type="dxa"/>
            <w:vAlign w:val="bottom"/>
          </w:tcPr>
          <w:p>
            <w:pPr>
              <w:ind w:left="140"/>
              <w:spacing w:after="0"/>
              <w:rPr>
                <w:rFonts w:ascii="Arial" w:cs="Arial" w:eastAsia="Arial" w:hAnsi="Arial"/>
                <w:sz w:val="14"/>
                <w:szCs w:val="14"/>
                <w:color w:val="auto"/>
              </w:rPr>
            </w:pPr>
            <w:hyperlink w:anchor="page124">
              <w:r>
                <w:rPr>
                  <w:rFonts w:ascii="Arial" w:cs="Arial" w:eastAsia="Arial" w:hAnsi="Arial"/>
                  <w:sz w:val="14"/>
                  <w:szCs w:val="14"/>
                  <w:color w:val="auto"/>
                </w:rPr>
                <w:t>Certification as adopted pursuant to Section 302 of the Sarbanes-Oxley Act of 2002</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31.2</w:t>
            </w:r>
          </w:p>
        </w:tc>
        <w:tc>
          <w:tcPr>
            <w:tcW w:w="8120" w:type="dxa"/>
            <w:vAlign w:val="bottom"/>
          </w:tcPr>
          <w:p>
            <w:pPr>
              <w:ind w:left="140"/>
              <w:spacing w:after="0"/>
              <w:rPr>
                <w:rFonts w:ascii="Arial" w:cs="Arial" w:eastAsia="Arial" w:hAnsi="Arial"/>
                <w:sz w:val="14"/>
                <w:szCs w:val="14"/>
                <w:color w:val="auto"/>
              </w:rPr>
            </w:pPr>
            <w:hyperlink w:anchor="page125">
              <w:r>
                <w:rPr>
                  <w:rFonts w:ascii="Arial" w:cs="Arial" w:eastAsia="Arial" w:hAnsi="Arial"/>
                  <w:sz w:val="14"/>
                  <w:szCs w:val="14"/>
                  <w:color w:val="auto"/>
                </w:rPr>
                <w:t>Certification as adopted pursuant to Section 302 of the Sarbanes-Oxley Act of 2002</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8120" w:type="dxa"/>
            <w:vAlign w:val="bottom"/>
          </w:tcPr>
          <w:p>
            <w:pPr>
              <w:ind w:left="140"/>
              <w:spacing w:after="0"/>
              <w:rPr>
                <w:rFonts w:ascii="Arial" w:cs="Arial" w:eastAsia="Arial" w:hAnsi="Arial"/>
                <w:sz w:val="14"/>
                <w:szCs w:val="14"/>
                <w:color w:val="auto"/>
              </w:rPr>
            </w:pPr>
            <w:hyperlink w:anchor="page126">
              <w:r>
                <w:rPr>
                  <w:rFonts w:ascii="Arial" w:cs="Arial" w:eastAsia="Arial" w:hAnsi="Arial"/>
                  <w:sz w:val="14"/>
                  <w:szCs w:val="14"/>
                  <w:color w:val="auto"/>
                </w:rPr>
                <w:t>Certification Pursuant to 18 U.S.C. Section 1350, as Adopted Pursuant to Section 906 of the Sarbanes-Oxley Act of 2002</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8120" w:type="dxa"/>
            <w:vAlign w:val="bottom"/>
          </w:tcPr>
          <w:p>
            <w:pPr>
              <w:ind w:left="140"/>
              <w:spacing w:after="0"/>
              <w:rPr>
                <w:rFonts w:ascii="Arial" w:cs="Arial" w:eastAsia="Arial" w:hAnsi="Arial"/>
                <w:sz w:val="14"/>
                <w:szCs w:val="14"/>
                <w:color w:val="auto"/>
              </w:rPr>
            </w:pPr>
            <w:hyperlink w:anchor="page127">
              <w:r>
                <w:rPr>
                  <w:rFonts w:ascii="Arial" w:cs="Arial" w:eastAsia="Arial" w:hAnsi="Arial"/>
                  <w:sz w:val="14"/>
                  <w:szCs w:val="14"/>
                  <w:color w:val="auto"/>
                </w:rPr>
                <w:t>Financial Statements of Petro Travel Plaza Holdings LLC</w:t>
              </w:r>
            </w:hyperlink>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1"/>
                <w:szCs w:val="11"/>
                <w:color w:val="auto"/>
              </w:rPr>
              <w:t>101.INS</w:t>
            </w:r>
          </w:p>
        </w:tc>
        <w:tc>
          <w:tcPr>
            <w:tcW w:w="8120" w:type="dxa"/>
            <w:vAlign w:val="bottom"/>
          </w:tcPr>
          <w:p>
            <w:pPr>
              <w:ind w:left="140"/>
              <w:spacing w:after="0"/>
              <w:rPr>
                <w:sz w:val="20"/>
                <w:szCs w:val="20"/>
                <w:color w:val="auto"/>
              </w:rPr>
            </w:pPr>
            <w:r>
              <w:rPr>
                <w:rFonts w:ascii="Arial" w:cs="Arial" w:eastAsia="Arial" w:hAnsi="Arial"/>
                <w:sz w:val="14"/>
                <w:szCs w:val="14"/>
                <w:color w:val="auto"/>
              </w:rPr>
              <w:t>XBRL Instance Document.</w:t>
            </w:r>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1"/>
                <w:szCs w:val="11"/>
                <w:color w:val="auto"/>
                <w:w w:val="89"/>
              </w:rPr>
              <w:t>101.SCH</w:t>
            </w:r>
          </w:p>
        </w:tc>
        <w:tc>
          <w:tcPr>
            <w:tcW w:w="8120" w:type="dxa"/>
            <w:vAlign w:val="bottom"/>
          </w:tcPr>
          <w:p>
            <w:pPr>
              <w:ind w:left="140"/>
              <w:spacing w:after="0"/>
              <w:rPr>
                <w:sz w:val="20"/>
                <w:szCs w:val="20"/>
                <w:color w:val="auto"/>
              </w:rPr>
            </w:pPr>
            <w:r>
              <w:rPr>
                <w:rFonts w:ascii="Arial" w:cs="Arial" w:eastAsia="Arial" w:hAnsi="Arial"/>
                <w:sz w:val="14"/>
                <w:szCs w:val="14"/>
                <w:color w:val="auto"/>
              </w:rPr>
              <w:t>XBRL Taxonomy Extension Schema Document.</w:t>
            </w:r>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1"/>
                <w:szCs w:val="11"/>
                <w:color w:val="auto"/>
                <w:w w:val="93"/>
              </w:rPr>
              <w:t>101.CAL</w:t>
            </w:r>
          </w:p>
        </w:tc>
        <w:tc>
          <w:tcPr>
            <w:tcW w:w="8120" w:type="dxa"/>
            <w:vAlign w:val="bottom"/>
          </w:tcPr>
          <w:p>
            <w:pPr>
              <w:ind w:left="140"/>
              <w:spacing w:after="0"/>
              <w:rPr>
                <w:sz w:val="20"/>
                <w:szCs w:val="20"/>
                <w:color w:val="auto"/>
              </w:rPr>
            </w:pPr>
            <w:r>
              <w:rPr>
                <w:rFonts w:ascii="Arial" w:cs="Arial" w:eastAsia="Arial" w:hAnsi="Arial"/>
                <w:sz w:val="14"/>
                <w:szCs w:val="14"/>
                <w:color w:val="auto"/>
              </w:rPr>
              <w:t>XBRL Taxonomy Extension Calculation Linkbase Document.</w:t>
            </w:r>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1"/>
                <w:szCs w:val="11"/>
                <w:color w:val="auto"/>
                <w:w w:val="92"/>
              </w:rPr>
              <w:t>101.DEF</w:t>
            </w:r>
          </w:p>
        </w:tc>
        <w:tc>
          <w:tcPr>
            <w:tcW w:w="8120" w:type="dxa"/>
            <w:vAlign w:val="bottom"/>
          </w:tcPr>
          <w:p>
            <w:pPr>
              <w:ind w:left="140"/>
              <w:spacing w:after="0"/>
              <w:rPr>
                <w:sz w:val="20"/>
                <w:szCs w:val="20"/>
                <w:color w:val="auto"/>
              </w:rPr>
            </w:pPr>
            <w:r>
              <w:rPr>
                <w:rFonts w:ascii="Arial" w:cs="Arial" w:eastAsia="Arial" w:hAnsi="Arial"/>
                <w:sz w:val="14"/>
                <w:szCs w:val="14"/>
                <w:color w:val="auto"/>
              </w:rPr>
              <w:t>XBRL Taxonomy Extension Definition Linkbase Document.</w:t>
            </w:r>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1"/>
                <w:szCs w:val="11"/>
                <w:color w:val="auto"/>
                <w:w w:val="94"/>
              </w:rPr>
              <w:t>101.LAB</w:t>
            </w:r>
          </w:p>
        </w:tc>
        <w:tc>
          <w:tcPr>
            <w:tcW w:w="8120" w:type="dxa"/>
            <w:vAlign w:val="bottom"/>
          </w:tcPr>
          <w:p>
            <w:pPr>
              <w:ind w:left="140"/>
              <w:spacing w:after="0"/>
              <w:rPr>
                <w:sz w:val="20"/>
                <w:szCs w:val="20"/>
                <w:color w:val="auto"/>
              </w:rPr>
            </w:pPr>
            <w:r>
              <w:rPr>
                <w:rFonts w:ascii="Arial" w:cs="Arial" w:eastAsia="Arial" w:hAnsi="Arial"/>
                <w:sz w:val="14"/>
                <w:szCs w:val="14"/>
                <w:color w:val="auto"/>
              </w:rPr>
              <w:t>XBRL Taxonomy Extension Label Linkbase Document.</w:t>
            </w:r>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2"/>
        </w:trPr>
        <w:tc>
          <w:tcPr>
            <w:tcW w:w="540" w:type="dxa"/>
            <w:vAlign w:val="bottom"/>
          </w:tcPr>
          <w:p>
            <w:pPr>
              <w:jc w:val="right"/>
              <w:ind w:right="52"/>
              <w:spacing w:after="0"/>
              <w:rPr>
                <w:sz w:val="20"/>
                <w:szCs w:val="20"/>
                <w:color w:val="auto"/>
              </w:rPr>
            </w:pPr>
            <w:r>
              <w:rPr>
                <w:rFonts w:ascii="Arial" w:cs="Arial" w:eastAsia="Arial" w:hAnsi="Arial"/>
                <w:sz w:val="11"/>
                <w:szCs w:val="11"/>
                <w:color w:val="auto"/>
                <w:w w:val="90"/>
              </w:rPr>
              <w:t>101.PRE</w:t>
            </w:r>
          </w:p>
        </w:tc>
        <w:tc>
          <w:tcPr>
            <w:tcW w:w="8120" w:type="dxa"/>
            <w:vAlign w:val="bottom"/>
          </w:tcPr>
          <w:p>
            <w:pPr>
              <w:ind w:left="140"/>
              <w:spacing w:after="0"/>
              <w:rPr>
                <w:sz w:val="20"/>
                <w:szCs w:val="20"/>
                <w:color w:val="auto"/>
              </w:rPr>
            </w:pPr>
            <w:r>
              <w:rPr>
                <w:rFonts w:ascii="Arial" w:cs="Arial" w:eastAsia="Arial" w:hAnsi="Arial"/>
                <w:sz w:val="14"/>
                <w:szCs w:val="14"/>
                <w:color w:val="auto"/>
              </w:rPr>
              <w:t>XBRL Taxonomy Extension Presentation Linkbase Document.</w:t>
            </w:r>
          </w:p>
        </w:tc>
        <w:tc>
          <w:tcPr>
            <w:tcW w:w="1760" w:type="dxa"/>
            <w:vAlign w:val="bottom"/>
          </w:tcPr>
          <w:p>
            <w:pPr>
              <w:jc w:val="right"/>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bl>
    <w:p>
      <w:pPr>
        <w:ind w:left="680" w:hanging="320"/>
        <w:spacing w:after="0" w:line="192" w:lineRule="auto"/>
        <w:tabs>
          <w:tab w:leader="none" w:pos="680" w:val="left"/>
        </w:tabs>
        <w:numPr>
          <w:ilvl w:val="0"/>
          <w:numId w:val="32"/>
        </w:numPr>
        <w:rPr>
          <w:rFonts w:ascii="Arial" w:cs="Arial" w:eastAsia="Arial" w:hAnsi="Arial"/>
          <w:sz w:val="23"/>
          <w:szCs w:val="23"/>
          <w:color w:val="auto"/>
          <w:vertAlign w:val="subscript"/>
        </w:rPr>
      </w:pPr>
      <w:r>
        <w:rPr>
          <w:rFonts w:ascii="Arial" w:cs="Arial" w:eastAsia="Arial" w:hAnsi="Arial"/>
          <w:sz w:val="14"/>
          <w:szCs w:val="14"/>
          <w:color w:val="auto"/>
        </w:rPr>
        <w:t>Management contract, compensatory plan or arrangement.</w:t>
      </w:r>
    </w:p>
    <w:p>
      <w:pPr>
        <w:spacing w:after="0" w:line="139" w:lineRule="exact"/>
        <w:rPr>
          <w:sz w:val="20"/>
          <w:szCs w:val="20"/>
          <w:color w:val="auto"/>
        </w:rPr>
      </w:pPr>
    </w:p>
    <w:p>
      <w:pPr>
        <w:ind w:left="540" w:right="100" w:hanging="668"/>
        <w:spacing w:after="0" w:line="306" w:lineRule="auto"/>
        <w:tabs>
          <w:tab w:leader="none" w:pos="520" w:val="left"/>
        </w:tabs>
        <w:rPr>
          <w:sz w:val="20"/>
          <w:szCs w:val="20"/>
          <w:color w:val="auto"/>
        </w:rPr>
      </w:pPr>
      <w:r>
        <w:rPr>
          <w:rFonts w:ascii="Arial" w:cs="Arial" w:eastAsia="Arial" w:hAnsi="Arial"/>
          <w:sz w:val="14"/>
          <w:szCs w:val="14"/>
          <w:color w:val="auto"/>
        </w:rPr>
        <w:t>FN 1</w:t>
      </w:r>
      <w:r>
        <w:rPr>
          <w:sz w:val="20"/>
          <w:szCs w:val="20"/>
          <w:color w:val="auto"/>
        </w:rPr>
        <w:tab/>
      </w:r>
      <w:r>
        <w:rPr>
          <w:rFonts w:ascii="Arial" w:cs="Arial" w:eastAsia="Arial" w:hAnsi="Arial"/>
          <w:sz w:val="13"/>
          <w:szCs w:val="13"/>
          <w:color w:val="auto"/>
        </w:rPr>
        <w:t>This document, filed with the Securities and Exchange Commission in Washington D.C. (file number 333-231032) as Exhibit 4.1 to our Registration Statement on Form S-3 filed on April 25, 2019, is incorporated herein by reference. This Exhibit was not filed with the Securities and Exchange Commission in an electronic format.</w:t>
      </w:r>
    </w:p>
    <w:p>
      <w:pPr>
        <w:spacing w:after="0" w:line="1" w:lineRule="exact"/>
        <w:rPr>
          <w:sz w:val="20"/>
          <w:szCs w:val="20"/>
          <w:color w:val="auto"/>
        </w:rPr>
      </w:pPr>
    </w:p>
    <w:p>
      <w:pPr>
        <w:ind w:left="540" w:right="220" w:hanging="668"/>
        <w:spacing w:after="0" w:line="281" w:lineRule="auto"/>
        <w:tabs>
          <w:tab w:leader="none" w:pos="520" w:val="left"/>
        </w:tabs>
        <w:rPr>
          <w:sz w:val="20"/>
          <w:szCs w:val="20"/>
          <w:color w:val="auto"/>
        </w:rPr>
      </w:pPr>
      <w:r>
        <w:rPr>
          <w:rFonts w:ascii="Arial" w:cs="Arial" w:eastAsia="Arial" w:hAnsi="Arial"/>
          <w:sz w:val="14"/>
          <w:szCs w:val="14"/>
          <w:color w:val="auto"/>
        </w:rPr>
        <w:t>FN 2</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99.1 to our Current Report on Form 8-K filed on September 20, 2017, is incorporated herein by reference.</w:t>
      </w:r>
    </w:p>
    <w:p>
      <w:pPr>
        <w:spacing w:after="0" w:line="153"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0420"/>
          </w:cols>
          <w:pgMar w:left="1140" w:top="426" w:right="339" w:bottom="1440" w:gutter="0" w:footer="0" w:header="0"/>
        </w:sectPr>
      </w:pPr>
    </w:p>
    <w:bookmarkStart w:id="61" w:name="page62"/>
    <w:bookmarkEnd w:id="61"/>
    <w:p>
      <w:pPr>
        <w:ind w:left="240" w:right="260" w:hanging="668"/>
        <w:spacing w:after="0" w:line="281" w:lineRule="auto"/>
        <w:tabs>
          <w:tab w:leader="none" w:pos="220" w:val="left"/>
        </w:tabs>
        <w:rPr>
          <w:sz w:val="20"/>
          <w:szCs w:val="20"/>
          <w:color w:val="auto"/>
        </w:rPr>
      </w:pPr>
      <w:r>
        <w:rPr>
          <w:rFonts w:ascii="Arial" w:cs="Arial" w:eastAsia="Arial" w:hAnsi="Arial"/>
          <w:sz w:val="14"/>
          <w:szCs w:val="14"/>
          <w:color w:val="auto"/>
        </w:rPr>
        <w:t>FN 5</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4.1 to our Current Report on Form 8-K filed on December 20, 2005, is incorporated herein by reference.</w:t>
      </w:r>
    </w:p>
    <w:p>
      <w:pPr>
        <w:spacing w:after="0" w:line="5" w:lineRule="exact"/>
        <w:rPr>
          <w:sz w:val="20"/>
          <w:szCs w:val="20"/>
          <w:color w:val="auto"/>
        </w:rPr>
      </w:pPr>
    </w:p>
    <w:p>
      <w:pPr>
        <w:ind w:left="240" w:right="220" w:hanging="668"/>
        <w:spacing w:after="0" w:line="306" w:lineRule="auto"/>
        <w:tabs>
          <w:tab w:leader="none" w:pos="220" w:val="left"/>
        </w:tabs>
        <w:rPr>
          <w:sz w:val="20"/>
          <w:szCs w:val="20"/>
          <w:color w:val="auto"/>
        </w:rPr>
      </w:pPr>
      <w:r>
        <w:rPr>
          <w:rFonts w:ascii="Arial" w:cs="Arial" w:eastAsia="Arial" w:hAnsi="Arial"/>
          <w:sz w:val="14"/>
          <w:szCs w:val="14"/>
          <w:color w:val="auto"/>
        </w:rPr>
        <w:t>FN 6</w:t>
      </w:r>
      <w:r>
        <w:rPr>
          <w:sz w:val="20"/>
          <w:szCs w:val="20"/>
          <w:color w:val="auto"/>
        </w:rPr>
        <w:tab/>
      </w:r>
      <w:r>
        <w:rPr>
          <w:rFonts w:ascii="Arial" w:cs="Arial" w:eastAsia="Arial" w:hAnsi="Arial"/>
          <w:sz w:val="13"/>
          <w:szCs w:val="13"/>
          <w:color w:val="auto"/>
        </w:rPr>
        <w:t>This document, filed with the Securities and Exchange Commission in Washington D.C. (file number 1-7183) under Item 14 to our Annual Report on Form 10-K for year ended December 31, 1994, is incorporated herein by reference. This Exhibit was not filed with the Securities and Exchange Commission in an electronic format.</w:t>
      </w:r>
    </w:p>
    <w:p>
      <w:pPr>
        <w:spacing w:after="0" w:line="1" w:lineRule="exact"/>
        <w:rPr>
          <w:sz w:val="20"/>
          <w:szCs w:val="20"/>
          <w:color w:val="auto"/>
        </w:rPr>
      </w:pPr>
    </w:p>
    <w:p>
      <w:pPr>
        <w:ind w:left="240" w:right="260" w:hanging="668"/>
        <w:spacing w:after="0" w:line="281" w:lineRule="auto"/>
        <w:tabs>
          <w:tab w:leader="none" w:pos="220" w:val="left"/>
        </w:tabs>
        <w:rPr>
          <w:sz w:val="20"/>
          <w:szCs w:val="20"/>
          <w:color w:val="auto"/>
        </w:rPr>
      </w:pPr>
      <w:r>
        <w:rPr>
          <w:rFonts w:ascii="Arial" w:cs="Arial" w:eastAsia="Arial" w:hAnsi="Arial"/>
          <w:sz w:val="14"/>
          <w:szCs w:val="14"/>
          <w:color w:val="auto"/>
        </w:rPr>
        <w:t>FN 7</w:t>
      </w:r>
      <w:r>
        <w:rPr>
          <w:sz w:val="20"/>
          <w:szCs w:val="20"/>
          <w:color w:val="auto"/>
        </w:rPr>
        <w:tab/>
      </w:r>
      <w:r>
        <w:rPr>
          <w:rFonts w:ascii="Arial" w:cs="Arial" w:eastAsia="Arial" w:hAnsi="Arial"/>
          <w:sz w:val="14"/>
          <w:szCs w:val="14"/>
          <w:color w:val="auto"/>
        </w:rPr>
        <w:t>This document, filed with the Securities and Exchange Commission in Washington D.C. (file number 1-7183) under Item 14 to our Annual Report on Form 10-K, for the period ending December 31, 1997, is incorporated herein by reference.</w:t>
      </w:r>
    </w:p>
    <w:p>
      <w:pPr>
        <w:spacing w:after="0" w:line="5" w:lineRule="exact"/>
        <w:rPr>
          <w:sz w:val="20"/>
          <w:szCs w:val="20"/>
          <w:color w:val="auto"/>
        </w:rPr>
      </w:pPr>
    </w:p>
    <w:p>
      <w:pPr>
        <w:ind w:left="240" w:right="200" w:hanging="668"/>
        <w:spacing w:after="0" w:line="281" w:lineRule="auto"/>
        <w:tabs>
          <w:tab w:leader="none" w:pos="220" w:val="left"/>
        </w:tabs>
        <w:rPr>
          <w:sz w:val="20"/>
          <w:szCs w:val="20"/>
          <w:color w:val="auto"/>
        </w:rPr>
      </w:pPr>
      <w:r>
        <w:rPr>
          <w:rFonts w:ascii="Arial" w:cs="Arial" w:eastAsia="Arial" w:hAnsi="Arial"/>
          <w:sz w:val="14"/>
          <w:szCs w:val="14"/>
          <w:color w:val="auto"/>
        </w:rPr>
        <w:t>FN 8</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10.9 to our Annual Report on Form 10-K for the year ended December 31, 2008, is incorporated herein by reference.</w:t>
      </w:r>
    </w:p>
    <w:p>
      <w:pPr>
        <w:spacing w:after="0" w:line="5" w:lineRule="exact"/>
        <w:rPr>
          <w:sz w:val="20"/>
          <w:szCs w:val="20"/>
          <w:color w:val="auto"/>
        </w:rPr>
      </w:pPr>
    </w:p>
    <w:p>
      <w:pPr>
        <w:ind w:left="240" w:right="120" w:hanging="668"/>
        <w:spacing w:after="0" w:line="281" w:lineRule="auto"/>
        <w:tabs>
          <w:tab w:leader="none" w:pos="220" w:val="left"/>
        </w:tabs>
        <w:rPr>
          <w:sz w:val="20"/>
          <w:szCs w:val="20"/>
          <w:color w:val="auto"/>
        </w:rPr>
      </w:pPr>
      <w:r>
        <w:rPr>
          <w:rFonts w:ascii="Arial" w:cs="Arial" w:eastAsia="Arial" w:hAnsi="Arial"/>
          <w:sz w:val="14"/>
          <w:szCs w:val="14"/>
          <w:color w:val="auto"/>
        </w:rPr>
        <w:t>FN 9</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10.10 to our Annual Report on Form 10-K for the year ended December 31, 2008, is incorporated herein by reference</w:t>
      </w:r>
    </w:p>
    <w:p>
      <w:pPr>
        <w:spacing w:after="0" w:line="5" w:lineRule="exact"/>
        <w:rPr>
          <w:sz w:val="20"/>
          <w:szCs w:val="20"/>
          <w:color w:val="auto"/>
        </w:rPr>
      </w:pPr>
    </w:p>
    <w:p>
      <w:pPr>
        <w:ind w:left="240" w:right="200" w:hanging="738"/>
        <w:spacing w:after="0" w:line="281" w:lineRule="auto"/>
        <w:tabs>
          <w:tab w:leader="none" w:pos="220" w:val="left"/>
        </w:tabs>
        <w:rPr>
          <w:sz w:val="20"/>
          <w:szCs w:val="20"/>
          <w:color w:val="auto"/>
        </w:rPr>
      </w:pPr>
      <w:r>
        <w:rPr>
          <w:rFonts w:ascii="Arial" w:cs="Arial" w:eastAsia="Arial" w:hAnsi="Arial"/>
          <w:sz w:val="14"/>
          <w:szCs w:val="14"/>
          <w:color w:val="auto"/>
        </w:rPr>
        <w:t>FN 10</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10.16 to our Annual Report on Form 10-K for the year ended December 31, 2001, is incorporated herein by reference.</w:t>
      </w:r>
    </w:p>
    <w:p>
      <w:pPr>
        <w:spacing w:after="0" w:line="5" w:lineRule="exact"/>
        <w:rPr>
          <w:sz w:val="20"/>
          <w:szCs w:val="20"/>
          <w:color w:val="auto"/>
        </w:rPr>
      </w:pPr>
    </w:p>
    <w:p>
      <w:pPr>
        <w:ind w:left="240" w:right="260" w:hanging="733"/>
        <w:spacing w:after="0" w:line="281" w:lineRule="auto"/>
        <w:tabs>
          <w:tab w:leader="none" w:pos="220" w:val="left"/>
        </w:tabs>
        <w:rPr>
          <w:sz w:val="20"/>
          <w:szCs w:val="20"/>
          <w:color w:val="auto"/>
        </w:rPr>
      </w:pPr>
      <w:r>
        <w:rPr>
          <w:rFonts w:ascii="Arial" w:cs="Arial" w:eastAsia="Arial" w:hAnsi="Arial"/>
          <w:sz w:val="14"/>
          <w:szCs w:val="14"/>
          <w:color w:val="auto"/>
        </w:rPr>
        <w:t>FN 11</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4.1 to our Current Report on Form 8-K filed on May 7, 2004, is incorporated herein by reference.</w:t>
      </w:r>
    </w:p>
    <w:p>
      <w:pPr>
        <w:spacing w:after="0" w:line="5" w:lineRule="exact"/>
        <w:rPr>
          <w:sz w:val="20"/>
          <w:szCs w:val="20"/>
          <w:color w:val="auto"/>
        </w:rPr>
      </w:pPr>
    </w:p>
    <w:p>
      <w:pPr>
        <w:ind w:left="240" w:right="260" w:hanging="738"/>
        <w:spacing w:after="0" w:line="281" w:lineRule="auto"/>
        <w:tabs>
          <w:tab w:leader="none" w:pos="220" w:val="left"/>
        </w:tabs>
        <w:rPr>
          <w:sz w:val="20"/>
          <w:szCs w:val="20"/>
          <w:color w:val="auto"/>
        </w:rPr>
      </w:pPr>
      <w:r>
        <w:rPr>
          <w:rFonts w:ascii="Arial" w:cs="Arial" w:eastAsia="Arial" w:hAnsi="Arial"/>
          <w:sz w:val="14"/>
          <w:szCs w:val="14"/>
          <w:color w:val="auto"/>
        </w:rPr>
        <w:t>FN 12</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4.2 to our Current Report on Form 8-K filed on May 7, 2004, is incorporated herein by reference.</w:t>
      </w:r>
    </w:p>
    <w:p>
      <w:pPr>
        <w:spacing w:after="0" w:line="5" w:lineRule="exact"/>
        <w:rPr>
          <w:sz w:val="20"/>
          <w:szCs w:val="20"/>
          <w:color w:val="auto"/>
        </w:rPr>
      </w:pPr>
    </w:p>
    <w:p>
      <w:pPr>
        <w:ind w:left="240" w:right="160" w:hanging="738"/>
        <w:spacing w:after="0" w:line="281" w:lineRule="auto"/>
        <w:tabs>
          <w:tab w:leader="none" w:pos="220" w:val="left"/>
        </w:tabs>
        <w:rPr>
          <w:sz w:val="20"/>
          <w:szCs w:val="20"/>
          <w:color w:val="auto"/>
        </w:rPr>
      </w:pPr>
      <w:r>
        <w:rPr>
          <w:rFonts w:ascii="Arial" w:cs="Arial" w:eastAsia="Arial" w:hAnsi="Arial"/>
          <w:sz w:val="14"/>
          <w:szCs w:val="14"/>
          <w:color w:val="auto"/>
        </w:rPr>
        <w:t>FN 13</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Exhibits 10.21-10.23 to our Annual Report on Form 10-K for the year ended December 31, 2004, is incorporated herein by reference.</w:t>
      </w:r>
    </w:p>
    <w:p>
      <w:pPr>
        <w:spacing w:after="0" w:line="5" w:lineRule="exact"/>
        <w:rPr>
          <w:sz w:val="20"/>
          <w:szCs w:val="20"/>
          <w:color w:val="auto"/>
        </w:rPr>
      </w:pPr>
    </w:p>
    <w:p>
      <w:pPr>
        <w:ind w:left="240" w:right="160" w:hanging="738"/>
        <w:spacing w:after="0" w:line="281" w:lineRule="auto"/>
        <w:tabs>
          <w:tab w:leader="none" w:pos="220" w:val="left"/>
        </w:tabs>
        <w:rPr>
          <w:sz w:val="20"/>
          <w:szCs w:val="20"/>
          <w:color w:val="auto"/>
        </w:rPr>
      </w:pPr>
      <w:r>
        <w:rPr>
          <w:rFonts w:ascii="Arial" w:cs="Arial" w:eastAsia="Arial" w:hAnsi="Arial"/>
          <w:sz w:val="14"/>
          <w:szCs w:val="14"/>
          <w:color w:val="auto"/>
        </w:rPr>
        <w:t>FN 14</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10.24 to our Current Report on Form 8-K filed on May 24, 2006, is incorporated herein by reference.</w:t>
      </w:r>
    </w:p>
    <w:p>
      <w:pPr>
        <w:spacing w:after="0" w:line="5" w:lineRule="exact"/>
        <w:rPr>
          <w:sz w:val="20"/>
          <w:szCs w:val="20"/>
          <w:color w:val="auto"/>
        </w:rPr>
      </w:pPr>
    </w:p>
    <w:p>
      <w:pPr>
        <w:ind w:left="240" w:right="120" w:hanging="738"/>
        <w:spacing w:after="0" w:line="281" w:lineRule="auto"/>
        <w:tabs>
          <w:tab w:leader="none" w:pos="220" w:val="left"/>
        </w:tabs>
        <w:rPr>
          <w:sz w:val="20"/>
          <w:szCs w:val="20"/>
          <w:color w:val="auto"/>
        </w:rPr>
      </w:pPr>
      <w:r>
        <w:rPr>
          <w:rFonts w:ascii="Arial" w:cs="Arial" w:eastAsia="Arial" w:hAnsi="Arial"/>
          <w:sz w:val="14"/>
          <w:szCs w:val="14"/>
          <w:color w:val="auto"/>
        </w:rPr>
        <w:t>FN 15</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10.28 to our Current Report on Form 8-K filed on June 23, 2008, is incorporated herein by reference.</w:t>
      </w:r>
    </w:p>
    <w:p>
      <w:pPr>
        <w:spacing w:after="0" w:line="5" w:lineRule="exact"/>
        <w:rPr>
          <w:sz w:val="20"/>
          <w:szCs w:val="20"/>
          <w:color w:val="auto"/>
        </w:rPr>
      </w:pPr>
    </w:p>
    <w:p>
      <w:pPr>
        <w:ind w:left="240" w:hanging="738"/>
        <w:spacing w:after="0" w:line="281" w:lineRule="auto"/>
        <w:tabs>
          <w:tab w:leader="none" w:pos="220" w:val="left"/>
        </w:tabs>
        <w:rPr>
          <w:sz w:val="20"/>
          <w:szCs w:val="20"/>
          <w:color w:val="auto"/>
        </w:rPr>
      </w:pPr>
      <w:r>
        <w:rPr>
          <w:rFonts w:ascii="Arial" w:cs="Arial" w:eastAsia="Arial" w:hAnsi="Arial"/>
          <w:sz w:val="14"/>
          <w:szCs w:val="14"/>
          <w:color w:val="auto"/>
        </w:rPr>
        <w:t>FN 16</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10.25 to our Quarterly Report on Form 10-Q for the period ending June 30, 2009, is incorporated herein by reference.</w:t>
      </w:r>
    </w:p>
    <w:p>
      <w:pPr>
        <w:spacing w:after="0" w:line="5" w:lineRule="exact"/>
        <w:rPr>
          <w:sz w:val="20"/>
          <w:szCs w:val="20"/>
          <w:color w:val="auto"/>
        </w:rPr>
      </w:pPr>
    </w:p>
    <w:p>
      <w:pPr>
        <w:ind w:left="240" w:hanging="738"/>
        <w:spacing w:after="0" w:line="281" w:lineRule="auto"/>
        <w:tabs>
          <w:tab w:leader="none" w:pos="220" w:val="left"/>
        </w:tabs>
        <w:rPr>
          <w:sz w:val="20"/>
          <w:szCs w:val="20"/>
          <w:color w:val="auto"/>
        </w:rPr>
      </w:pPr>
      <w:r>
        <w:rPr>
          <w:rFonts w:ascii="Arial" w:cs="Arial" w:eastAsia="Arial" w:hAnsi="Arial"/>
          <w:sz w:val="14"/>
          <w:szCs w:val="14"/>
          <w:color w:val="auto"/>
        </w:rPr>
        <w:t>FN 17</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10.26 to our Quarterly Report on Form 10-Q for the period ending March 31, 2013, is incorporated herein by reference.</w:t>
      </w:r>
    </w:p>
    <w:p>
      <w:pPr>
        <w:spacing w:after="0" w:line="5" w:lineRule="exact"/>
        <w:rPr>
          <w:sz w:val="20"/>
          <w:szCs w:val="20"/>
          <w:color w:val="auto"/>
        </w:rPr>
      </w:pPr>
    </w:p>
    <w:p>
      <w:pPr>
        <w:ind w:left="240" w:right="120" w:hanging="738"/>
        <w:spacing w:after="0" w:line="281" w:lineRule="auto"/>
        <w:tabs>
          <w:tab w:leader="none" w:pos="220" w:val="left"/>
        </w:tabs>
        <w:rPr>
          <w:sz w:val="20"/>
          <w:szCs w:val="20"/>
          <w:color w:val="auto"/>
        </w:rPr>
      </w:pPr>
      <w:r>
        <w:rPr>
          <w:rFonts w:ascii="Arial" w:cs="Arial" w:eastAsia="Arial" w:hAnsi="Arial"/>
          <w:sz w:val="14"/>
          <w:szCs w:val="14"/>
          <w:color w:val="auto"/>
        </w:rPr>
        <w:t>FN 18</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10.27 to our Current Report on Form 8-K filed on June 4, 2013, is incorporated herein by reference.</w:t>
      </w:r>
    </w:p>
    <w:p>
      <w:pPr>
        <w:spacing w:after="0" w:line="5" w:lineRule="exact"/>
        <w:rPr>
          <w:sz w:val="20"/>
          <w:szCs w:val="20"/>
          <w:color w:val="auto"/>
        </w:rPr>
      </w:pPr>
    </w:p>
    <w:p>
      <w:pPr>
        <w:ind w:left="240" w:right="180" w:hanging="738"/>
        <w:spacing w:after="0" w:line="281" w:lineRule="auto"/>
        <w:tabs>
          <w:tab w:leader="none" w:pos="220" w:val="left"/>
        </w:tabs>
        <w:rPr>
          <w:sz w:val="20"/>
          <w:szCs w:val="20"/>
          <w:color w:val="auto"/>
        </w:rPr>
      </w:pPr>
      <w:r>
        <w:rPr>
          <w:rFonts w:ascii="Arial" w:cs="Arial" w:eastAsia="Arial" w:hAnsi="Arial"/>
          <w:sz w:val="14"/>
          <w:szCs w:val="14"/>
          <w:color w:val="auto"/>
        </w:rPr>
        <w:t>FN 19</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10.1 to our Current Report on Form 8-K filed on August 8, 2013, is incorporated herein by reference.</w:t>
      </w:r>
    </w:p>
    <w:p>
      <w:pPr>
        <w:spacing w:after="0" w:line="5" w:lineRule="exact"/>
        <w:rPr>
          <w:sz w:val="20"/>
          <w:szCs w:val="20"/>
          <w:color w:val="auto"/>
        </w:rPr>
      </w:pPr>
    </w:p>
    <w:p>
      <w:pPr>
        <w:ind w:left="240" w:right="60" w:hanging="738"/>
        <w:spacing w:after="0" w:line="281" w:lineRule="auto"/>
        <w:tabs>
          <w:tab w:leader="none" w:pos="220" w:val="left"/>
        </w:tabs>
        <w:rPr>
          <w:sz w:val="20"/>
          <w:szCs w:val="20"/>
          <w:color w:val="auto"/>
        </w:rPr>
      </w:pPr>
      <w:r>
        <w:rPr>
          <w:rFonts w:ascii="Arial" w:cs="Arial" w:eastAsia="Arial" w:hAnsi="Arial"/>
          <w:sz w:val="14"/>
          <w:szCs w:val="14"/>
          <w:color w:val="auto"/>
        </w:rPr>
        <w:t>FN 20</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10.29 to our Amended Annual Report on Form 10-K/A for the year ended December 31, 2013, is incorporated herein by reference.</w:t>
      </w:r>
    </w:p>
    <w:p>
      <w:pPr>
        <w:spacing w:after="0" w:line="5" w:lineRule="exact"/>
        <w:rPr>
          <w:sz w:val="20"/>
          <w:szCs w:val="20"/>
          <w:color w:val="auto"/>
        </w:rPr>
      </w:pPr>
    </w:p>
    <w:p>
      <w:pPr>
        <w:ind w:left="240" w:right="120" w:hanging="738"/>
        <w:spacing w:after="0" w:line="281" w:lineRule="auto"/>
        <w:tabs>
          <w:tab w:leader="none" w:pos="220" w:val="left"/>
        </w:tabs>
        <w:rPr>
          <w:sz w:val="20"/>
          <w:szCs w:val="20"/>
          <w:color w:val="auto"/>
        </w:rPr>
      </w:pPr>
      <w:r>
        <w:rPr>
          <w:rFonts w:ascii="Arial" w:cs="Arial" w:eastAsia="Arial" w:hAnsi="Arial"/>
          <w:sz w:val="14"/>
          <w:szCs w:val="14"/>
          <w:color w:val="auto"/>
        </w:rPr>
        <w:t>FN 21</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10.30 to our Current Report on Form 8-K filed on July 16, 2014, is incorporated herein by reference.</w:t>
      </w:r>
    </w:p>
    <w:p>
      <w:pPr>
        <w:spacing w:after="0" w:line="5" w:lineRule="exact"/>
        <w:rPr>
          <w:sz w:val="20"/>
          <w:szCs w:val="20"/>
          <w:color w:val="auto"/>
        </w:rPr>
      </w:pPr>
    </w:p>
    <w:p>
      <w:pPr>
        <w:ind w:left="240" w:right="160" w:hanging="738"/>
        <w:spacing w:after="0" w:line="281" w:lineRule="auto"/>
        <w:tabs>
          <w:tab w:leader="none" w:pos="220" w:val="left"/>
        </w:tabs>
        <w:rPr>
          <w:sz w:val="20"/>
          <w:szCs w:val="20"/>
          <w:color w:val="auto"/>
        </w:rPr>
      </w:pPr>
      <w:r>
        <w:rPr>
          <w:rFonts w:ascii="Arial" w:cs="Arial" w:eastAsia="Arial" w:hAnsi="Arial"/>
          <w:sz w:val="14"/>
          <w:szCs w:val="14"/>
          <w:color w:val="auto"/>
        </w:rPr>
        <w:t>FN 22</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Exhibits 10.31-10.33 to our Current Report on Form 8-K filed on October 17, 2014, is incorporated herein by reference.</w:t>
      </w:r>
    </w:p>
    <w:p>
      <w:pPr>
        <w:spacing w:after="0" w:line="5" w:lineRule="exact"/>
        <w:rPr>
          <w:sz w:val="20"/>
          <w:szCs w:val="20"/>
          <w:color w:val="auto"/>
        </w:rPr>
      </w:pPr>
    </w:p>
    <w:p>
      <w:pPr>
        <w:ind w:left="240" w:right="120" w:hanging="738"/>
        <w:spacing w:after="0" w:line="281" w:lineRule="auto"/>
        <w:tabs>
          <w:tab w:leader="none" w:pos="220" w:val="left"/>
        </w:tabs>
        <w:rPr>
          <w:sz w:val="20"/>
          <w:szCs w:val="20"/>
          <w:color w:val="auto"/>
        </w:rPr>
      </w:pPr>
      <w:r>
        <w:rPr>
          <w:rFonts w:ascii="Arial" w:cs="Arial" w:eastAsia="Arial" w:hAnsi="Arial"/>
          <w:sz w:val="14"/>
          <w:szCs w:val="14"/>
          <w:color w:val="auto"/>
        </w:rPr>
        <w:t>FN 23</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10.34 to our Annual Report on Form 10-K for the year ended December 31, 2014, is incorporated herein by reference.</w:t>
      </w:r>
    </w:p>
    <w:p>
      <w:pPr>
        <w:spacing w:after="0" w:line="5" w:lineRule="exact"/>
        <w:rPr>
          <w:sz w:val="20"/>
          <w:szCs w:val="20"/>
          <w:color w:val="auto"/>
        </w:rPr>
      </w:pPr>
    </w:p>
    <w:p>
      <w:pPr>
        <w:ind w:left="240" w:hanging="738"/>
        <w:spacing w:after="0" w:line="281" w:lineRule="auto"/>
        <w:tabs>
          <w:tab w:leader="none" w:pos="220" w:val="left"/>
        </w:tabs>
        <w:rPr>
          <w:sz w:val="20"/>
          <w:szCs w:val="20"/>
          <w:color w:val="auto"/>
        </w:rPr>
      </w:pPr>
      <w:r>
        <w:rPr>
          <w:rFonts w:ascii="Arial" w:cs="Arial" w:eastAsia="Arial" w:hAnsi="Arial"/>
          <w:sz w:val="14"/>
          <w:szCs w:val="14"/>
          <w:color w:val="auto"/>
        </w:rPr>
        <w:t>FN 24</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10.35 to our Quarterly Report on Form 10-Q for the period ending June 30, 2015, is incorporated herein by reference.</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0080"/>
          </w:cols>
          <w:pgMar w:left="1440" w:top="426" w:right="379" w:bottom="1440" w:gutter="0" w:footer="0" w:header="0"/>
        </w:sectPr>
      </w:pPr>
    </w:p>
    <w:bookmarkStart w:id="62" w:name="page63"/>
    <w:bookmarkEnd w:id="62"/>
    <w:p>
      <w:pPr>
        <w:ind w:left="1380" w:hanging="738"/>
        <w:spacing w:after="0" w:line="281" w:lineRule="auto"/>
        <w:tabs>
          <w:tab w:leader="none" w:pos="1360" w:val="left"/>
        </w:tabs>
        <w:rPr>
          <w:sz w:val="20"/>
          <w:szCs w:val="20"/>
          <w:color w:val="auto"/>
        </w:rPr>
      </w:pPr>
      <w:r>
        <w:rPr>
          <w:rFonts w:ascii="Arial" w:cs="Arial" w:eastAsia="Arial" w:hAnsi="Arial"/>
          <w:sz w:val="14"/>
          <w:szCs w:val="14"/>
          <w:color w:val="auto"/>
        </w:rPr>
        <w:t>FN 26</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10.37 to our Quarterly Report on Form 10-Q for the period ending June 30, 2016, is incorporated herein by reference.</w:t>
      </w:r>
    </w:p>
    <w:p>
      <w:pPr>
        <w:spacing w:after="0" w:line="5" w:lineRule="exact"/>
        <w:rPr>
          <w:sz w:val="20"/>
          <w:szCs w:val="20"/>
          <w:color w:val="auto"/>
        </w:rPr>
      </w:pPr>
    </w:p>
    <w:p>
      <w:pPr>
        <w:ind w:left="1380" w:hanging="738"/>
        <w:spacing w:after="0" w:line="281" w:lineRule="auto"/>
        <w:tabs>
          <w:tab w:leader="none" w:pos="1360" w:val="left"/>
        </w:tabs>
        <w:rPr>
          <w:sz w:val="20"/>
          <w:szCs w:val="20"/>
          <w:color w:val="auto"/>
        </w:rPr>
      </w:pPr>
      <w:r>
        <w:rPr>
          <w:rFonts w:ascii="Arial" w:cs="Arial" w:eastAsia="Arial" w:hAnsi="Arial"/>
          <w:sz w:val="14"/>
          <w:szCs w:val="14"/>
          <w:color w:val="auto"/>
        </w:rPr>
        <w:t>FN 27</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10.38 to our Quarterly Report on Form 10-Q for the period ending September 30, 2016, is incorporated herein by reference.</w:t>
      </w:r>
    </w:p>
    <w:p>
      <w:pPr>
        <w:spacing w:after="0" w:line="5" w:lineRule="exact"/>
        <w:rPr>
          <w:sz w:val="20"/>
          <w:szCs w:val="20"/>
          <w:color w:val="auto"/>
        </w:rPr>
      </w:pPr>
    </w:p>
    <w:p>
      <w:pPr>
        <w:ind w:left="1380" w:right="120" w:hanging="738"/>
        <w:spacing w:after="0" w:line="281" w:lineRule="auto"/>
        <w:tabs>
          <w:tab w:leader="none" w:pos="1360" w:val="left"/>
        </w:tabs>
        <w:rPr>
          <w:sz w:val="20"/>
          <w:szCs w:val="20"/>
          <w:color w:val="auto"/>
        </w:rPr>
      </w:pPr>
      <w:r>
        <w:rPr>
          <w:rFonts w:ascii="Arial" w:cs="Arial" w:eastAsia="Arial" w:hAnsi="Arial"/>
          <w:sz w:val="14"/>
          <w:szCs w:val="14"/>
          <w:color w:val="auto"/>
        </w:rPr>
        <w:t>FN 28</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10.39 to our Annual Report on Form 10-K for the year ended December 31, 2016, is incorporated herein by reference.</w:t>
      </w:r>
    </w:p>
    <w:p>
      <w:pPr>
        <w:spacing w:after="0" w:line="5" w:lineRule="exact"/>
        <w:rPr>
          <w:sz w:val="20"/>
          <w:szCs w:val="20"/>
          <w:color w:val="auto"/>
        </w:rPr>
      </w:pPr>
    </w:p>
    <w:p>
      <w:pPr>
        <w:ind w:left="1380" w:right="120" w:hanging="738"/>
        <w:spacing w:after="0" w:line="281" w:lineRule="auto"/>
        <w:tabs>
          <w:tab w:leader="none" w:pos="1360" w:val="left"/>
        </w:tabs>
        <w:rPr>
          <w:sz w:val="20"/>
          <w:szCs w:val="20"/>
          <w:color w:val="auto"/>
        </w:rPr>
      </w:pPr>
      <w:r>
        <w:rPr>
          <w:rFonts w:ascii="Arial" w:cs="Arial" w:eastAsia="Arial" w:hAnsi="Arial"/>
          <w:sz w:val="14"/>
          <w:szCs w:val="14"/>
          <w:color w:val="auto"/>
        </w:rPr>
        <w:t>FN 29</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10.40 to our Annual Report on Form 10-K for the year ended December 31, 2016, is incorporated herein by reference.</w:t>
      </w:r>
    </w:p>
    <w:p>
      <w:pPr>
        <w:spacing w:after="0" w:line="5" w:lineRule="exact"/>
        <w:rPr>
          <w:sz w:val="20"/>
          <w:szCs w:val="20"/>
          <w:color w:val="auto"/>
        </w:rPr>
      </w:pPr>
    </w:p>
    <w:p>
      <w:pPr>
        <w:ind w:left="1380" w:right="120" w:hanging="738"/>
        <w:spacing w:after="0" w:line="281" w:lineRule="auto"/>
        <w:tabs>
          <w:tab w:leader="none" w:pos="1360" w:val="left"/>
        </w:tabs>
        <w:rPr>
          <w:sz w:val="20"/>
          <w:szCs w:val="20"/>
          <w:color w:val="auto"/>
        </w:rPr>
      </w:pPr>
      <w:r>
        <w:rPr>
          <w:rFonts w:ascii="Arial" w:cs="Arial" w:eastAsia="Arial" w:hAnsi="Arial"/>
          <w:sz w:val="14"/>
          <w:szCs w:val="14"/>
          <w:color w:val="auto"/>
        </w:rPr>
        <w:t>FN 30</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10.41 to our Annual Report on Form 10-K for the year ended December 31, 2016, is incorporated herein by reference.</w:t>
      </w:r>
    </w:p>
    <w:p>
      <w:pPr>
        <w:spacing w:after="0" w:line="5" w:lineRule="exact"/>
        <w:rPr>
          <w:sz w:val="20"/>
          <w:szCs w:val="20"/>
          <w:color w:val="auto"/>
        </w:rPr>
      </w:pPr>
    </w:p>
    <w:p>
      <w:pPr>
        <w:ind w:left="1380" w:hanging="738"/>
        <w:spacing w:after="0" w:line="281" w:lineRule="auto"/>
        <w:tabs>
          <w:tab w:leader="none" w:pos="1360" w:val="left"/>
        </w:tabs>
        <w:rPr>
          <w:sz w:val="20"/>
          <w:szCs w:val="20"/>
          <w:color w:val="auto"/>
        </w:rPr>
      </w:pPr>
      <w:r>
        <w:rPr>
          <w:rFonts w:ascii="Arial" w:cs="Arial" w:eastAsia="Arial" w:hAnsi="Arial"/>
          <w:sz w:val="14"/>
          <w:szCs w:val="14"/>
          <w:color w:val="auto"/>
        </w:rPr>
        <w:t>FN 31</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10.42 to our Quarterly Report on Form 10-Q for the period ending September 30, 2018, is incorporated herein by reference.</w:t>
      </w:r>
    </w:p>
    <w:p>
      <w:pPr>
        <w:spacing w:after="0" w:line="5" w:lineRule="exact"/>
        <w:rPr>
          <w:sz w:val="20"/>
          <w:szCs w:val="20"/>
          <w:color w:val="auto"/>
        </w:rPr>
      </w:pPr>
    </w:p>
    <w:p>
      <w:pPr>
        <w:ind w:left="1380" w:right="120" w:hanging="738"/>
        <w:spacing w:after="0" w:line="281" w:lineRule="auto"/>
        <w:tabs>
          <w:tab w:leader="none" w:pos="1360" w:val="left"/>
        </w:tabs>
        <w:rPr>
          <w:sz w:val="20"/>
          <w:szCs w:val="20"/>
          <w:color w:val="auto"/>
        </w:rPr>
      </w:pPr>
      <w:r>
        <w:rPr>
          <w:rFonts w:ascii="Arial" w:cs="Arial" w:eastAsia="Arial" w:hAnsi="Arial"/>
          <w:sz w:val="14"/>
          <w:szCs w:val="14"/>
          <w:color w:val="auto"/>
        </w:rPr>
        <w:t>FN 32</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10.43 to our Annual Report on Form 10-K for the year ended December 31, 2018, is incorporated herein by reference.</w:t>
      </w:r>
    </w:p>
    <w:p>
      <w:pPr>
        <w:spacing w:after="0" w:line="5" w:lineRule="exact"/>
        <w:rPr>
          <w:sz w:val="20"/>
          <w:szCs w:val="20"/>
          <w:color w:val="auto"/>
        </w:rPr>
      </w:pPr>
    </w:p>
    <w:p>
      <w:pPr>
        <w:ind w:left="1380" w:right="120" w:hanging="738"/>
        <w:spacing w:after="0" w:line="281" w:lineRule="auto"/>
        <w:tabs>
          <w:tab w:leader="none" w:pos="1360" w:val="left"/>
        </w:tabs>
        <w:rPr>
          <w:sz w:val="20"/>
          <w:szCs w:val="20"/>
          <w:color w:val="auto"/>
        </w:rPr>
      </w:pPr>
      <w:r>
        <w:rPr>
          <w:rFonts w:ascii="Arial" w:cs="Arial" w:eastAsia="Arial" w:hAnsi="Arial"/>
          <w:sz w:val="14"/>
          <w:szCs w:val="14"/>
          <w:color w:val="auto"/>
        </w:rPr>
        <w:t>FN 33</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10.44 to our Annual Report on Form 10-K for the year ended December 31, 2018, is incorporated herein by reference.</w:t>
      </w:r>
    </w:p>
    <w:p>
      <w:pPr>
        <w:spacing w:after="0" w:line="5" w:lineRule="exact"/>
        <w:rPr>
          <w:sz w:val="20"/>
          <w:szCs w:val="20"/>
          <w:color w:val="auto"/>
        </w:rPr>
      </w:pPr>
    </w:p>
    <w:p>
      <w:pPr>
        <w:ind w:left="1380" w:hanging="738"/>
        <w:spacing w:after="0" w:line="281" w:lineRule="auto"/>
        <w:tabs>
          <w:tab w:leader="none" w:pos="1360" w:val="left"/>
        </w:tabs>
        <w:rPr>
          <w:sz w:val="20"/>
          <w:szCs w:val="20"/>
          <w:color w:val="auto"/>
        </w:rPr>
      </w:pPr>
      <w:r>
        <w:rPr>
          <w:rFonts w:ascii="Arial" w:cs="Arial" w:eastAsia="Arial" w:hAnsi="Arial"/>
          <w:sz w:val="14"/>
          <w:szCs w:val="14"/>
          <w:color w:val="auto"/>
        </w:rPr>
        <w:t>FN 34</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10.45 to our Quarterly Report on Form 10-Q for the period ending September 30, 2019, is incorporated herein by reference.</w:t>
      </w:r>
    </w:p>
    <w:p>
      <w:pPr>
        <w:spacing w:after="0" w:line="5" w:lineRule="exact"/>
        <w:rPr>
          <w:sz w:val="20"/>
          <w:szCs w:val="20"/>
          <w:color w:val="auto"/>
        </w:rPr>
      </w:pPr>
    </w:p>
    <w:p>
      <w:pPr>
        <w:ind w:left="1380" w:hanging="738"/>
        <w:spacing w:after="0" w:line="281" w:lineRule="auto"/>
        <w:tabs>
          <w:tab w:leader="none" w:pos="1360" w:val="left"/>
        </w:tabs>
        <w:rPr>
          <w:sz w:val="20"/>
          <w:szCs w:val="20"/>
          <w:color w:val="auto"/>
        </w:rPr>
      </w:pPr>
      <w:r>
        <w:rPr>
          <w:rFonts w:ascii="Arial" w:cs="Arial" w:eastAsia="Arial" w:hAnsi="Arial"/>
          <w:sz w:val="14"/>
          <w:szCs w:val="14"/>
          <w:color w:val="auto"/>
        </w:rPr>
        <w:t>FN 35</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10.46 to our Quarterly Report on Form 10-Q for the period ending September 30, 2019, is incorporated herein by reference.</w:t>
      </w:r>
    </w:p>
    <w:p>
      <w:pPr>
        <w:spacing w:after="0" w:line="5" w:lineRule="exact"/>
        <w:rPr>
          <w:sz w:val="20"/>
          <w:szCs w:val="20"/>
          <w:color w:val="auto"/>
        </w:rPr>
      </w:pPr>
    </w:p>
    <w:p>
      <w:pPr>
        <w:ind w:left="1380" w:right="180" w:hanging="738"/>
        <w:spacing w:after="0" w:line="281" w:lineRule="auto"/>
        <w:tabs>
          <w:tab w:leader="none" w:pos="1360" w:val="left"/>
        </w:tabs>
        <w:rPr>
          <w:sz w:val="20"/>
          <w:szCs w:val="20"/>
          <w:color w:val="auto"/>
        </w:rPr>
      </w:pPr>
      <w:r>
        <w:rPr>
          <w:rFonts w:ascii="Arial" w:cs="Arial" w:eastAsia="Arial" w:hAnsi="Arial"/>
          <w:sz w:val="14"/>
          <w:szCs w:val="14"/>
          <w:color w:val="auto"/>
        </w:rPr>
        <w:t>FN 36</w:t>
      </w:r>
      <w:r>
        <w:rPr>
          <w:sz w:val="20"/>
          <w:szCs w:val="20"/>
          <w:color w:val="auto"/>
        </w:rPr>
        <w:tab/>
      </w:r>
      <w:r>
        <w:rPr>
          <w:rFonts w:ascii="Arial" w:cs="Arial" w:eastAsia="Arial" w:hAnsi="Arial"/>
          <w:sz w:val="14"/>
          <w:szCs w:val="14"/>
          <w:color w:val="auto"/>
        </w:rPr>
        <w:t>This document, filed with the Securities and Exchange Commission in Washington, D.C. (file number 1-7183) as Exhibit 99.1 to our Current Report on Form 8-K filed on March 21, 2019, is incorporated herein by reference.</w:t>
      </w:r>
    </w:p>
    <w:p>
      <w:pPr>
        <w:spacing w:after="0" w:line="5" w:lineRule="exact"/>
        <w:rPr>
          <w:sz w:val="20"/>
          <w:szCs w:val="20"/>
          <w:color w:val="auto"/>
        </w:rPr>
      </w:pPr>
    </w:p>
    <w:p>
      <w:pPr>
        <w:ind w:left="1380" w:right="60" w:hanging="738"/>
        <w:spacing w:after="0" w:line="281" w:lineRule="auto"/>
        <w:tabs>
          <w:tab w:leader="none" w:pos="1360" w:val="left"/>
        </w:tabs>
        <w:rPr>
          <w:sz w:val="20"/>
          <w:szCs w:val="20"/>
          <w:color w:val="auto"/>
        </w:rPr>
      </w:pPr>
      <w:r>
        <w:rPr>
          <w:rFonts w:ascii="Arial" w:cs="Arial" w:eastAsia="Arial" w:hAnsi="Arial"/>
          <w:sz w:val="14"/>
          <w:szCs w:val="14"/>
          <w:color w:val="auto"/>
        </w:rPr>
        <w:t>FN 37</w:t>
      </w:r>
      <w:r>
        <w:rPr>
          <w:sz w:val="20"/>
          <w:szCs w:val="20"/>
          <w:color w:val="auto"/>
        </w:rPr>
        <w:tab/>
      </w:r>
      <w:r>
        <w:rPr>
          <w:rFonts w:ascii="Arial" w:cs="Arial" w:eastAsia="Arial" w:hAnsi="Arial"/>
          <w:sz w:val="14"/>
          <w:szCs w:val="14"/>
          <w:color w:val="auto"/>
        </w:rPr>
        <w:t>This document, filed with the Securities and Exchange Commission in Washington D.C. (file number 333-231032) as Exhibit 4.6 to our Registration Statement on Form S-3 filed on April 25, 2019, is incorporated herein by reference.</w:t>
      </w:r>
    </w:p>
    <w:p>
      <w:pPr>
        <w:spacing w:after="0" w:line="5" w:lineRule="exact"/>
        <w:rPr>
          <w:sz w:val="20"/>
          <w:szCs w:val="20"/>
          <w:color w:val="auto"/>
        </w:rPr>
      </w:pPr>
    </w:p>
    <w:p>
      <w:pPr>
        <w:ind w:left="220" w:hanging="194"/>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Exhibits. The exhibits being filed with this report are attached at the end of this report.</w:t>
      </w:r>
    </w:p>
    <w:p>
      <w:pPr>
        <w:spacing w:after="0" w:line="51" w:lineRule="exact"/>
        <w:rPr>
          <w:rFonts w:ascii="Arial" w:cs="Arial" w:eastAsia="Arial" w:hAnsi="Arial"/>
          <w:sz w:val="14"/>
          <w:szCs w:val="14"/>
          <w:color w:val="auto"/>
        </w:rPr>
      </w:pPr>
    </w:p>
    <w:p>
      <w:pPr>
        <w:ind w:left="220" w:hanging="194"/>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Financial Statement Schedules - The response to this portion of Item 15 is submitted as a separate section of this report.</w:t>
      </w:r>
    </w:p>
    <w:p>
      <w:pPr>
        <w:spacing w:after="0" w:line="11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006EBF"/>
        </w:rPr>
        <w:t>ITEM 16.</w:t>
        <w:tab/>
        <w:t>FORM 10-K SUMMARY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20"/>
          </w:cols>
          <w:pgMar w:left="300" w:top="426" w:right="37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TEJON RANCH CO.</w:t>
            </w:r>
          </w:p>
        </w:tc>
      </w:tr>
      <w:tr>
        <w:trPr>
          <w:trHeight w:val="467"/>
        </w:trPr>
        <w:tc>
          <w:tcPr>
            <w:tcW w:w="3220" w:type="dxa"/>
            <w:vAlign w:val="bottom"/>
          </w:tcPr>
          <w:p>
            <w:pPr>
              <w:spacing w:after="0"/>
              <w:rPr>
                <w:sz w:val="20"/>
                <w:szCs w:val="20"/>
                <w:color w:val="auto"/>
              </w:rPr>
            </w:pPr>
            <w:r>
              <w:rPr>
                <w:rFonts w:ascii="Arial" w:cs="Arial" w:eastAsia="Arial" w:hAnsi="Arial"/>
                <w:sz w:val="14"/>
                <w:szCs w:val="14"/>
                <w:color w:val="auto"/>
              </w:rPr>
              <w:t>March 10, 2020</w:t>
            </w:r>
          </w:p>
        </w:tc>
        <w:tc>
          <w:tcPr>
            <w:tcW w:w="3540" w:type="dxa"/>
            <w:vAlign w:val="bottom"/>
          </w:tcPr>
          <w:p>
            <w:pPr>
              <w:ind w:left="2780"/>
              <w:spacing w:after="0"/>
              <w:rPr>
                <w:sz w:val="20"/>
                <w:szCs w:val="20"/>
                <w:color w:val="auto"/>
              </w:rPr>
            </w:pPr>
            <w:r>
              <w:rPr>
                <w:rFonts w:ascii="Arial" w:cs="Arial" w:eastAsia="Arial" w:hAnsi="Arial"/>
                <w:sz w:val="14"/>
                <w:szCs w:val="14"/>
                <w:color w:val="auto"/>
              </w:rPr>
              <w:t>BY:</w:t>
            </w:r>
          </w:p>
        </w:tc>
        <w:tc>
          <w:tcPr>
            <w:tcW w:w="220" w:type="dxa"/>
            <w:vAlign w:val="bottom"/>
          </w:tcPr>
          <w:p>
            <w:pPr>
              <w:ind w:left="20"/>
              <w:spacing w:after="0"/>
              <w:rPr>
                <w:sz w:val="20"/>
                <w:szCs w:val="20"/>
                <w:color w:val="auto"/>
              </w:rPr>
            </w:pPr>
            <w:r>
              <w:rPr>
                <w:rFonts w:ascii="Arial" w:cs="Arial" w:eastAsia="Arial" w:hAnsi="Arial"/>
                <w:sz w:val="14"/>
                <w:szCs w:val="14"/>
                <w:color w:val="auto"/>
              </w:rPr>
              <w:t>/s/</w:t>
            </w:r>
          </w:p>
        </w:tc>
        <w:tc>
          <w:tcPr>
            <w:tcW w:w="4280" w:type="dxa"/>
            <w:vAlign w:val="bottom"/>
          </w:tcPr>
          <w:p>
            <w:pPr>
              <w:ind w:left="80"/>
              <w:spacing w:after="0"/>
              <w:rPr>
                <w:sz w:val="20"/>
                <w:szCs w:val="20"/>
                <w:color w:val="auto"/>
              </w:rPr>
            </w:pPr>
            <w:r>
              <w:rPr>
                <w:rFonts w:ascii="Arial" w:cs="Arial" w:eastAsia="Arial" w:hAnsi="Arial"/>
                <w:sz w:val="14"/>
                <w:szCs w:val="14"/>
                <w:color w:val="auto"/>
              </w:rPr>
              <w:t>Gregory S. Bielli</w:t>
            </w:r>
          </w:p>
        </w:tc>
      </w:tr>
      <w:tr>
        <w:trPr>
          <w:trHeight w:val="22"/>
        </w:trPr>
        <w:tc>
          <w:tcPr>
            <w:tcW w:w="3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500" w:type="dxa"/>
            <w:vAlign w:val="bottom"/>
            <w:tcBorders>
              <w:bottom w:val="single" w:sz="8" w:color="auto"/>
            </w:tcBorders>
            <w:gridSpan w:val="2"/>
          </w:tcPr>
          <w:p>
            <w:pPr>
              <w:spacing w:after="0" w:line="20" w:lineRule="exact"/>
              <w:rPr>
                <w:sz w:val="1"/>
                <w:szCs w:val="1"/>
                <w:color w:val="auto"/>
              </w:rPr>
            </w:pPr>
          </w:p>
        </w:tc>
      </w:tr>
      <w:tr>
        <w:trPr>
          <w:trHeight w:val="181"/>
        </w:trPr>
        <w:tc>
          <w:tcPr>
            <w:tcW w:w="32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500" w:type="dxa"/>
            <w:vAlign w:val="bottom"/>
            <w:gridSpan w:val="2"/>
          </w:tcPr>
          <w:p>
            <w:pPr>
              <w:ind w:left="20"/>
              <w:spacing w:after="0"/>
              <w:rPr>
                <w:sz w:val="20"/>
                <w:szCs w:val="20"/>
                <w:color w:val="auto"/>
              </w:rPr>
            </w:pPr>
            <w:r>
              <w:rPr>
                <w:rFonts w:ascii="Arial" w:cs="Arial" w:eastAsia="Arial" w:hAnsi="Arial"/>
                <w:sz w:val="14"/>
                <w:szCs w:val="14"/>
                <w:color w:val="auto"/>
              </w:rPr>
              <w:t>Gregory S. Bielli</w:t>
            </w:r>
          </w:p>
        </w:tc>
      </w:tr>
      <w:tr>
        <w:trPr>
          <w:trHeight w:val="212"/>
        </w:trPr>
        <w:tc>
          <w:tcPr>
            <w:tcW w:w="3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212"/>
        </w:trPr>
        <w:tc>
          <w:tcPr>
            <w:tcW w:w="3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Arial" w:cs="Arial" w:eastAsia="Arial" w:hAnsi="Arial"/>
                <w:sz w:val="14"/>
                <w:szCs w:val="14"/>
                <w:color w:val="auto"/>
              </w:rPr>
              <w:t>(Principal Executive Officer)</w:t>
            </w:r>
          </w:p>
        </w:tc>
      </w:tr>
      <w:tr>
        <w:trPr>
          <w:trHeight w:val="700"/>
        </w:trPr>
        <w:tc>
          <w:tcPr>
            <w:tcW w:w="3220" w:type="dxa"/>
            <w:vAlign w:val="bottom"/>
          </w:tcPr>
          <w:p>
            <w:pPr>
              <w:spacing w:after="0"/>
              <w:rPr>
                <w:sz w:val="20"/>
                <w:szCs w:val="20"/>
                <w:color w:val="auto"/>
              </w:rPr>
            </w:pPr>
            <w:r>
              <w:rPr>
                <w:rFonts w:ascii="Arial" w:cs="Arial" w:eastAsia="Arial" w:hAnsi="Arial"/>
                <w:sz w:val="14"/>
                <w:szCs w:val="14"/>
                <w:color w:val="auto"/>
              </w:rPr>
              <w:t>March 10, 2020</w:t>
            </w:r>
          </w:p>
        </w:tc>
        <w:tc>
          <w:tcPr>
            <w:tcW w:w="3540" w:type="dxa"/>
            <w:vAlign w:val="bottom"/>
          </w:tcPr>
          <w:p>
            <w:pPr>
              <w:ind w:left="2780"/>
              <w:spacing w:after="0"/>
              <w:rPr>
                <w:sz w:val="20"/>
                <w:szCs w:val="20"/>
                <w:color w:val="auto"/>
              </w:rPr>
            </w:pPr>
            <w:r>
              <w:rPr>
                <w:rFonts w:ascii="Arial" w:cs="Arial" w:eastAsia="Arial" w:hAnsi="Arial"/>
                <w:sz w:val="14"/>
                <w:szCs w:val="14"/>
                <w:color w:val="auto"/>
              </w:rPr>
              <w:t>BY:</w:t>
            </w:r>
          </w:p>
        </w:tc>
        <w:tc>
          <w:tcPr>
            <w:tcW w:w="220" w:type="dxa"/>
            <w:vAlign w:val="bottom"/>
          </w:tcPr>
          <w:p>
            <w:pPr>
              <w:ind w:left="20"/>
              <w:spacing w:after="0"/>
              <w:rPr>
                <w:sz w:val="20"/>
                <w:szCs w:val="20"/>
                <w:color w:val="auto"/>
              </w:rPr>
            </w:pPr>
            <w:r>
              <w:rPr>
                <w:rFonts w:ascii="Arial" w:cs="Arial" w:eastAsia="Arial" w:hAnsi="Arial"/>
                <w:sz w:val="14"/>
                <w:szCs w:val="14"/>
                <w:color w:val="auto"/>
              </w:rPr>
              <w:t>/s/</w:t>
            </w:r>
          </w:p>
        </w:tc>
        <w:tc>
          <w:tcPr>
            <w:tcW w:w="4280" w:type="dxa"/>
            <w:vAlign w:val="bottom"/>
          </w:tcPr>
          <w:p>
            <w:pPr>
              <w:ind w:left="80"/>
              <w:spacing w:after="0"/>
              <w:rPr>
                <w:sz w:val="20"/>
                <w:szCs w:val="20"/>
                <w:color w:val="auto"/>
              </w:rPr>
            </w:pPr>
            <w:r>
              <w:rPr>
                <w:rFonts w:ascii="Arial" w:cs="Arial" w:eastAsia="Arial" w:hAnsi="Arial"/>
                <w:sz w:val="14"/>
                <w:szCs w:val="14"/>
                <w:color w:val="auto"/>
              </w:rPr>
              <w:t>Robert D. Velasquez</w:t>
            </w:r>
          </w:p>
        </w:tc>
      </w:tr>
      <w:tr>
        <w:trPr>
          <w:trHeight w:val="22"/>
        </w:trPr>
        <w:tc>
          <w:tcPr>
            <w:tcW w:w="3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500" w:type="dxa"/>
            <w:vAlign w:val="bottom"/>
            <w:tcBorders>
              <w:bottom w:val="single" w:sz="8" w:color="auto"/>
            </w:tcBorders>
            <w:gridSpan w:val="2"/>
          </w:tcPr>
          <w:p>
            <w:pPr>
              <w:spacing w:after="0" w:line="20" w:lineRule="exact"/>
              <w:rPr>
                <w:sz w:val="1"/>
                <w:szCs w:val="1"/>
                <w:color w:val="auto"/>
              </w:rPr>
            </w:pPr>
          </w:p>
        </w:tc>
      </w:tr>
      <w:tr>
        <w:trPr>
          <w:trHeight w:val="181"/>
        </w:trPr>
        <w:tc>
          <w:tcPr>
            <w:tcW w:w="32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500" w:type="dxa"/>
            <w:vAlign w:val="bottom"/>
            <w:gridSpan w:val="2"/>
          </w:tcPr>
          <w:p>
            <w:pPr>
              <w:ind w:left="20"/>
              <w:spacing w:after="0"/>
              <w:rPr>
                <w:sz w:val="20"/>
                <w:szCs w:val="20"/>
                <w:color w:val="auto"/>
              </w:rPr>
            </w:pPr>
            <w:r>
              <w:rPr>
                <w:rFonts w:ascii="Arial" w:cs="Arial" w:eastAsia="Arial" w:hAnsi="Arial"/>
                <w:sz w:val="14"/>
                <w:szCs w:val="14"/>
                <w:color w:val="auto"/>
              </w:rPr>
              <w:t>Robert D. Velasquez</w:t>
            </w:r>
          </w:p>
        </w:tc>
      </w:tr>
      <w:tr>
        <w:trPr>
          <w:trHeight w:val="212"/>
        </w:trPr>
        <w:tc>
          <w:tcPr>
            <w:tcW w:w="3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Arial" w:cs="Arial" w:eastAsia="Arial" w:hAnsi="Arial"/>
                <w:sz w:val="14"/>
                <w:szCs w:val="14"/>
                <w:color w:val="auto"/>
              </w:rPr>
              <w:t>Senior Vice President of Finance and Chief Financial Officer</w:t>
            </w:r>
          </w:p>
        </w:tc>
      </w:tr>
      <w:tr>
        <w:trPr>
          <w:trHeight w:val="212"/>
        </w:trPr>
        <w:tc>
          <w:tcPr>
            <w:tcW w:w="3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Arial" w:cs="Arial" w:eastAsia="Arial" w:hAnsi="Arial"/>
                <w:sz w:val="14"/>
                <w:szCs w:val="14"/>
                <w:color w:val="auto"/>
              </w:rPr>
              <w:t>(Principal Financial and Accounting Officer)</w:t>
            </w:r>
          </w:p>
        </w:tc>
      </w:tr>
      <w:tr>
        <w:trPr>
          <w:trHeight w:val="530"/>
        </w:trPr>
        <w:tc>
          <w:tcPr>
            <w:tcW w:w="3220" w:type="dxa"/>
            <w:vAlign w:val="bottom"/>
          </w:tcPr>
          <w:p>
            <w:pPr>
              <w:spacing w:after="0"/>
              <w:rPr>
                <w:sz w:val="24"/>
                <w:szCs w:val="24"/>
                <w:color w:val="auto"/>
              </w:rPr>
            </w:pPr>
          </w:p>
        </w:tc>
        <w:tc>
          <w:tcPr>
            <w:tcW w:w="3540" w:type="dxa"/>
            <w:vAlign w:val="bottom"/>
          </w:tcPr>
          <w:p>
            <w:pPr>
              <w:jc w:val="right"/>
              <w:ind w:right="989"/>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24"/>
                <w:szCs w:val="24"/>
                <w:color w:val="auto"/>
              </w:rPr>
            </w:pPr>
          </w:p>
        </w:tc>
        <w:tc>
          <w:tcPr>
            <w:tcW w:w="4280" w:type="dxa"/>
            <w:vAlign w:val="bottom"/>
          </w:tcPr>
          <w:p>
            <w:pPr>
              <w:spacing w:after="0"/>
              <w:rPr>
                <w:sz w:val="24"/>
                <w:szCs w:val="24"/>
                <w:color w:val="auto"/>
              </w:rPr>
            </w:pPr>
          </w:p>
        </w:tc>
      </w:tr>
    </w:tbl>
    <w:p>
      <w:pPr>
        <w:sectPr>
          <w:pgSz w:w="11900" w:h="16838" w:orient="portrait"/>
          <w:cols w:equalWidth="0" w:num="1">
            <w:col w:w="11280"/>
          </w:cols>
          <w:pgMar w:left="300" w:top="464" w:right="319" w:bottom="1440" w:gutter="0" w:footer="0" w:header="0"/>
        </w:sectPr>
      </w:pPr>
    </w:p>
    <w:bookmarkStart w:id="64" w:name="page65"/>
    <w:bookmarkEnd w:id="64"/>
    <w:p>
      <w:pPr>
        <w:spacing w:after="0" w:line="281" w:lineRule="auto"/>
        <w:rPr>
          <w:sz w:val="20"/>
          <w:szCs w:val="20"/>
          <w:color w:val="auto"/>
        </w:rPr>
      </w:pPr>
      <w:r>
        <w:rPr>
          <w:rFonts w:ascii="Arial" w:cs="Arial" w:eastAsia="Arial" w:hAnsi="Arial"/>
          <w:sz w:val="14"/>
          <w:szCs w:val="14"/>
          <w:color w:val="auto"/>
        </w:rPr>
        <w:t>Pursuant to the requirements of the Securities Exchange Act of 1934, as amended, this report has been signed below by the following persons on behalf of the registrant and in the capacities and on the date indicated.</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400" w:type="dxa"/>
            <w:vAlign w:val="bottom"/>
            <w:gridSpan w:val="8"/>
          </w:tcPr>
          <w:p>
            <w:pPr>
              <w:spacing w:after="0"/>
              <w:rPr>
                <w:sz w:val="20"/>
                <w:szCs w:val="20"/>
                <w:color w:val="auto"/>
              </w:rPr>
            </w:pPr>
            <w:r>
              <w:rPr>
                <w:rFonts w:ascii="Arial" w:cs="Arial" w:eastAsia="Arial" w:hAnsi="Arial"/>
                <w:sz w:val="14"/>
                <w:szCs w:val="14"/>
                <w:color w:val="auto"/>
              </w:rPr>
              <w:t>Name</w:t>
            </w:r>
          </w:p>
        </w:tc>
        <w:tc>
          <w:tcPr>
            <w:tcW w:w="5100" w:type="dxa"/>
            <w:vAlign w:val="bottom"/>
          </w:tcPr>
          <w:p>
            <w:pPr>
              <w:ind w:left="3280"/>
              <w:spacing w:after="0"/>
              <w:rPr>
                <w:sz w:val="20"/>
                <w:szCs w:val="20"/>
                <w:color w:val="auto"/>
              </w:rPr>
            </w:pPr>
            <w:r>
              <w:rPr>
                <w:rFonts w:ascii="Arial" w:cs="Arial" w:eastAsia="Arial" w:hAnsi="Arial"/>
                <w:sz w:val="14"/>
                <w:szCs w:val="14"/>
                <w:color w:val="auto"/>
              </w:rPr>
              <w:t>Capacity</w:t>
            </w:r>
          </w:p>
        </w:tc>
        <w:tc>
          <w:tcPr>
            <w:tcW w:w="2200" w:type="dxa"/>
            <w:vAlign w:val="bottom"/>
          </w:tcPr>
          <w:p>
            <w:pPr>
              <w:jc w:val="center"/>
              <w:ind w:left="1229"/>
              <w:spacing w:after="0"/>
              <w:rPr>
                <w:sz w:val="20"/>
                <w:szCs w:val="20"/>
                <w:color w:val="auto"/>
              </w:rPr>
            </w:pPr>
            <w:r>
              <w:rPr>
                <w:rFonts w:ascii="Arial" w:cs="Arial" w:eastAsia="Arial" w:hAnsi="Arial"/>
                <w:sz w:val="14"/>
                <w:szCs w:val="14"/>
                <w:color w:val="auto"/>
                <w:w w:val="87"/>
              </w:rPr>
              <w:t>Date</w:t>
            </w:r>
          </w:p>
        </w:tc>
      </w:tr>
      <w:tr>
        <w:trPr>
          <w:trHeight w:val="435"/>
        </w:trPr>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0"/>
              </w:rPr>
              <w:t>/s/ Steven A. Betts</w:t>
            </w:r>
          </w:p>
        </w:tc>
        <w:tc>
          <w:tcPr>
            <w:tcW w:w="2340" w:type="dxa"/>
            <w:vAlign w:val="bottom"/>
            <w:gridSpan w:val="5"/>
          </w:tcPr>
          <w:p>
            <w:pPr>
              <w:spacing w:after="0"/>
              <w:rPr>
                <w:sz w:val="24"/>
                <w:szCs w:val="24"/>
                <w:color w:val="auto"/>
              </w:rPr>
            </w:pPr>
          </w:p>
        </w:tc>
        <w:tc>
          <w:tcPr>
            <w:tcW w:w="5100" w:type="dxa"/>
            <w:vAlign w:val="bottom"/>
          </w:tcPr>
          <w:p>
            <w:pPr>
              <w:ind w:left="3300"/>
              <w:spacing w:after="0"/>
              <w:rPr>
                <w:sz w:val="20"/>
                <w:szCs w:val="20"/>
                <w:color w:val="auto"/>
              </w:rPr>
            </w:pPr>
            <w:r>
              <w:rPr>
                <w:rFonts w:ascii="Arial" w:cs="Arial" w:eastAsia="Arial" w:hAnsi="Arial"/>
                <w:sz w:val="14"/>
                <w:szCs w:val="14"/>
                <w:color w:val="auto"/>
              </w:rPr>
              <w:t>Director</w:t>
            </w:r>
          </w:p>
        </w:tc>
        <w:tc>
          <w:tcPr>
            <w:tcW w:w="2200" w:type="dxa"/>
            <w:vAlign w:val="bottom"/>
          </w:tcPr>
          <w:p>
            <w:pPr>
              <w:jc w:val="center"/>
              <w:ind w:left="1229"/>
              <w:spacing w:after="0"/>
              <w:rPr>
                <w:sz w:val="20"/>
                <w:szCs w:val="20"/>
                <w:color w:val="auto"/>
              </w:rPr>
            </w:pPr>
            <w:r>
              <w:rPr>
                <w:rFonts w:ascii="Arial" w:cs="Arial" w:eastAsia="Arial" w:hAnsi="Arial"/>
                <w:sz w:val="14"/>
                <w:szCs w:val="14"/>
                <w:color w:val="auto"/>
                <w:w w:val="92"/>
              </w:rPr>
              <w:t>March 10, 2020</w:t>
            </w:r>
          </w:p>
        </w:tc>
      </w:tr>
      <w:tr>
        <w:trPr>
          <w:trHeight w:val="181"/>
        </w:trPr>
        <w:tc>
          <w:tcPr>
            <w:tcW w:w="3400" w:type="dxa"/>
            <w:vAlign w:val="bottom"/>
            <w:gridSpan w:val="8"/>
          </w:tcPr>
          <w:p>
            <w:pPr>
              <w:spacing w:after="0"/>
              <w:rPr>
                <w:sz w:val="20"/>
                <w:szCs w:val="20"/>
                <w:color w:val="auto"/>
              </w:rPr>
            </w:pPr>
            <w:r>
              <w:rPr>
                <w:rFonts w:ascii="Arial" w:cs="Arial" w:eastAsia="Arial" w:hAnsi="Arial"/>
                <w:sz w:val="14"/>
                <w:szCs w:val="14"/>
                <w:color w:val="auto"/>
              </w:rPr>
              <w:t>Steven A. Betts</w:t>
            </w:r>
          </w:p>
        </w:tc>
        <w:tc>
          <w:tcPr>
            <w:tcW w:w="51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435"/>
        </w:trPr>
        <w:tc>
          <w:tcPr>
            <w:tcW w:w="3400" w:type="dxa"/>
            <w:vAlign w:val="bottom"/>
            <w:gridSpan w:val="8"/>
          </w:tcPr>
          <w:p>
            <w:pPr>
              <w:spacing w:after="0"/>
              <w:rPr>
                <w:sz w:val="20"/>
                <w:szCs w:val="20"/>
                <w:color w:val="auto"/>
              </w:rPr>
            </w:pPr>
            <w:r>
              <w:rPr>
                <w:rFonts w:ascii="Arial" w:cs="Arial" w:eastAsia="Arial" w:hAnsi="Arial"/>
                <w:sz w:val="14"/>
                <w:szCs w:val="14"/>
                <w:color w:val="auto"/>
              </w:rPr>
              <w:t>/s/ Gregory S. Bielli</w:t>
            </w:r>
          </w:p>
        </w:tc>
        <w:tc>
          <w:tcPr>
            <w:tcW w:w="5100" w:type="dxa"/>
            <w:vAlign w:val="bottom"/>
          </w:tcPr>
          <w:p>
            <w:pPr>
              <w:ind w:left="3300"/>
              <w:spacing w:after="0"/>
              <w:rPr>
                <w:sz w:val="20"/>
                <w:szCs w:val="20"/>
                <w:color w:val="auto"/>
              </w:rPr>
            </w:pPr>
            <w:r>
              <w:rPr>
                <w:rFonts w:ascii="Arial" w:cs="Arial" w:eastAsia="Arial" w:hAnsi="Arial"/>
                <w:sz w:val="14"/>
                <w:szCs w:val="14"/>
                <w:color w:val="auto"/>
              </w:rPr>
              <w:t>Director</w:t>
            </w:r>
          </w:p>
        </w:tc>
        <w:tc>
          <w:tcPr>
            <w:tcW w:w="2200" w:type="dxa"/>
            <w:vAlign w:val="bottom"/>
          </w:tcPr>
          <w:p>
            <w:pPr>
              <w:jc w:val="center"/>
              <w:ind w:left="1229"/>
              <w:spacing w:after="0"/>
              <w:rPr>
                <w:sz w:val="20"/>
                <w:szCs w:val="20"/>
                <w:color w:val="auto"/>
              </w:rPr>
            </w:pPr>
            <w:r>
              <w:rPr>
                <w:rFonts w:ascii="Arial" w:cs="Arial" w:eastAsia="Arial" w:hAnsi="Arial"/>
                <w:sz w:val="14"/>
                <w:szCs w:val="14"/>
                <w:color w:val="auto"/>
                <w:w w:val="92"/>
              </w:rPr>
              <w:t>March 10, 2020</w:t>
            </w:r>
          </w:p>
        </w:tc>
      </w:tr>
      <w:tr>
        <w:trPr>
          <w:trHeight w:val="181"/>
        </w:trPr>
        <w:tc>
          <w:tcPr>
            <w:tcW w:w="114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Gregory S. Bielli</w:t>
            </w:r>
          </w:p>
        </w:tc>
        <w:tc>
          <w:tcPr>
            <w:tcW w:w="2260" w:type="dxa"/>
            <w:vAlign w:val="bottom"/>
            <w:gridSpan w:val="4"/>
          </w:tcPr>
          <w:p>
            <w:pPr>
              <w:spacing w:after="0"/>
              <w:rPr>
                <w:sz w:val="15"/>
                <w:szCs w:val="15"/>
                <w:color w:val="auto"/>
              </w:rPr>
            </w:pPr>
          </w:p>
        </w:tc>
        <w:tc>
          <w:tcPr>
            <w:tcW w:w="51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435"/>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/s/ Jean Fuller</w:t>
            </w:r>
          </w:p>
        </w:tc>
        <w:tc>
          <w:tcPr>
            <w:tcW w:w="2600" w:type="dxa"/>
            <w:vAlign w:val="bottom"/>
            <w:gridSpan w:val="7"/>
          </w:tcPr>
          <w:p>
            <w:pPr>
              <w:spacing w:after="0"/>
              <w:rPr>
                <w:sz w:val="24"/>
                <w:szCs w:val="24"/>
                <w:color w:val="auto"/>
              </w:rPr>
            </w:pPr>
          </w:p>
        </w:tc>
        <w:tc>
          <w:tcPr>
            <w:tcW w:w="5100" w:type="dxa"/>
            <w:vAlign w:val="bottom"/>
          </w:tcPr>
          <w:p>
            <w:pPr>
              <w:ind w:left="3300"/>
              <w:spacing w:after="0"/>
              <w:rPr>
                <w:sz w:val="20"/>
                <w:szCs w:val="20"/>
                <w:color w:val="auto"/>
              </w:rPr>
            </w:pPr>
            <w:r>
              <w:rPr>
                <w:rFonts w:ascii="Arial" w:cs="Arial" w:eastAsia="Arial" w:hAnsi="Arial"/>
                <w:sz w:val="14"/>
                <w:szCs w:val="14"/>
                <w:color w:val="auto"/>
              </w:rPr>
              <w:t>Director</w:t>
            </w:r>
          </w:p>
        </w:tc>
        <w:tc>
          <w:tcPr>
            <w:tcW w:w="2200" w:type="dxa"/>
            <w:vAlign w:val="bottom"/>
          </w:tcPr>
          <w:p>
            <w:pPr>
              <w:jc w:val="center"/>
              <w:ind w:left="1229"/>
              <w:spacing w:after="0"/>
              <w:rPr>
                <w:sz w:val="20"/>
                <w:szCs w:val="20"/>
                <w:color w:val="auto"/>
              </w:rPr>
            </w:pPr>
            <w:r>
              <w:rPr>
                <w:rFonts w:ascii="Arial" w:cs="Arial" w:eastAsia="Arial" w:hAnsi="Arial"/>
                <w:sz w:val="14"/>
                <w:szCs w:val="14"/>
                <w:color w:val="auto"/>
                <w:w w:val="92"/>
              </w:rPr>
              <w:t>March 10, 2020</w:t>
            </w:r>
          </w:p>
        </w:tc>
      </w:tr>
      <w:tr>
        <w:trPr>
          <w:trHeight w:val="181"/>
        </w:trPr>
        <w:tc>
          <w:tcPr>
            <w:tcW w:w="3400" w:type="dxa"/>
            <w:vAlign w:val="bottom"/>
            <w:gridSpan w:val="8"/>
          </w:tcPr>
          <w:p>
            <w:pPr>
              <w:spacing w:after="0"/>
              <w:rPr>
                <w:sz w:val="20"/>
                <w:szCs w:val="20"/>
                <w:color w:val="auto"/>
              </w:rPr>
            </w:pPr>
            <w:r>
              <w:rPr>
                <w:rFonts w:ascii="Arial" w:cs="Arial" w:eastAsia="Arial" w:hAnsi="Arial"/>
                <w:sz w:val="14"/>
                <w:szCs w:val="14"/>
                <w:color w:val="auto"/>
              </w:rPr>
              <w:t>Jean Fuller</w:t>
            </w:r>
          </w:p>
        </w:tc>
        <w:tc>
          <w:tcPr>
            <w:tcW w:w="51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435"/>
        </w:trPr>
        <w:tc>
          <w:tcPr>
            <w:tcW w:w="3400" w:type="dxa"/>
            <w:vAlign w:val="bottom"/>
            <w:gridSpan w:val="8"/>
          </w:tcPr>
          <w:p>
            <w:pPr>
              <w:spacing w:after="0"/>
              <w:rPr>
                <w:sz w:val="20"/>
                <w:szCs w:val="20"/>
                <w:color w:val="auto"/>
              </w:rPr>
            </w:pPr>
            <w:r>
              <w:rPr>
                <w:rFonts w:ascii="Arial" w:cs="Arial" w:eastAsia="Arial" w:hAnsi="Arial"/>
                <w:sz w:val="14"/>
                <w:szCs w:val="14"/>
                <w:color w:val="auto"/>
              </w:rPr>
              <w:t>/s/ Anthony L. Leggio</w:t>
            </w:r>
          </w:p>
        </w:tc>
        <w:tc>
          <w:tcPr>
            <w:tcW w:w="5100" w:type="dxa"/>
            <w:vAlign w:val="bottom"/>
          </w:tcPr>
          <w:p>
            <w:pPr>
              <w:ind w:left="3300"/>
              <w:spacing w:after="0"/>
              <w:rPr>
                <w:sz w:val="20"/>
                <w:szCs w:val="20"/>
                <w:color w:val="auto"/>
              </w:rPr>
            </w:pPr>
            <w:r>
              <w:rPr>
                <w:rFonts w:ascii="Arial" w:cs="Arial" w:eastAsia="Arial" w:hAnsi="Arial"/>
                <w:sz w:val="14"/>
                <w:szCs w:val="14"/>
                <w:color w:val="auto"/>
              </w:rPr>
              <w:t>Director</w:t>
            </w:r>
          </w:p>
        </w:tc>
        <w:tc>
          <w:tcPr>
            <w:tcW w:w="2200" w:type="dxa"/>
            <w:vAlign w:val="bottom"/>
          </w:tcPr>
          <w:p>
            <w:pPr>
              <w:jc w:val="center"/>
              <w:ind w:left="1229"/>
              <w:spacing w:after="0"/>
              <w:rPr>
                <w:sz w:val="20"/>
                <w:szCs w:val="20"/>
                <w:color w:val="auto"/>
              </w:rPr>
            </w:pPr>
            <w:r>
              <w:rPr>
                <w:rFonts w:ascii="Arial" w:cs="Arial" w:eastAsia="Arial" w:hAnsi="Arial"/>
                <w:sz w:val="14"/>
                <w:szCs w:val="14"/>
                <w:color w:val="auto"/>
                <w:w w:val="92"/>
              </w:rPr>
              <w:t>March 10, 2020</w:t>
            </w:r>
          </w:p>
        </w:tc>
      </w:tr>
      <w:tr>
        <w:trPr>
          <w:trHeight w:val="181"/>
        </w:trPr>
        <w:tc>
          <w:tcPr>
            <w:tcW w:w="1260" w:type="dxa"/>
            <w:vAlign w:val="bottom"/>
            <w:tcBorders>
              <w:top w:val="single" w:sz="8" w:color="auto"/>
            </w:tcBorders>
            <w:gridSpan w:val="7"/>
          </w:tcPr>
          <w:p>
            <w:pPr>
              <w:spacing w:after="0"/>
              <w:rPr>
                <w:sz w:val="20"/>
                <w:szCs w:val="20"/>
                <w:color w:val="auto"/>
              </w:rPr>
            </w:pPr>
            <w:r>
              <w:rPr>
                <w:rFonts w:ascii="Arial" w:cs="Arial" w:eastAsia="Arial" w:hAnsi="Arial"/>
                <w:sz w:val="14"/>
                <w:szCs w:val="14"/>
                <w:color w:val="auto"/>
              </w:rPr>
              <w:t>Anthony L. Leggio</w:t>
            </w:r>
          </w:p>
        </w:tc>
        <w:tc>
          <w:tcPr>
            <w:tcW w:w="21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435"/>
        </w:trPr>
        <w:tc>
          <w:tcPr>
            <w:tcW w:w="118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w w:val="92"/>
              </w:rPr>
              <w:t>/s/ Norman Metcalfe</w:t>
            </w:r>
          </w:p>
        </w:tc>
        <w:tc>
          <w:tcPr>
            <w:tcW w:w="2220" w:type="dxa"/>
            <w:vAlign w:val="bottom"/>
            <w:gridSpan w:val="3"/>
          </w:tcPr>
          <w:p>
            <w:pPr>
              <w:spacing w:after="0"/>
              <w:rPr>
                <w:sz w:val="24"/>
                <w:szCs w:val="24"/>
                <w:color w:val="auto"/>
              </w:rPr>
            </w:pPr>
          </w:p>
        </w:tc>
        <w:tc>
          <w:tcPr>
            <w:tcW w:w="5100" w:type="dxa"/>
            <w:vAlign w:val="bottom"/>
          </w:tcPr>
          <w:p>
            <w:pPr>
              <w:ind w:left="3300"/>
              <w:spacing w:after="0"/>
              <w:rPr>
                <w:sz w:val="20"/>
                <w:szCs w:val="20"/>
                <w:color w:val="auto"/>
              </w:rPr>
            </w:pPr>
            <w:r>
              <w:rPr>
                <w:rFonts w:ascii="Arial" w:cs="Arial" w:eastAsia="Arial" w:hAnsi="Arial"/>
                <w:sz w:val="14"/>
                <w:szCs w:val="14"/>
                <w:color w:val="auto"/>
              </w:rPr>
              <w:t>Director</w:t>
            </w:r>
          </w:p>
        </w:tc>
        <w:tc>
          <w:tcPr>
            <w:tcW w:w="2200" w:type="dxa"/>
            <w:vAlign w:val="bottom"/>
          </w:tcPr>
          <w:p>
            <w:pPr>
              <w:jc w:val="center"/>
              <w:ind w:left="1229"/>
              <w:spacing w:after="0"/>
              <w:rPr>
                <w:sz w:val="20"/>
                <w:szCs w:val="20"/>
                <w:color w:val="auto"/>
              </w:rPr>
            </w:pPr>
            <w:r>
              <w:rPr>
                <w:rFonts w:ascii="Arial" w:cs="Arial" w:eastAsia="Arial" w:hAnsi="Arial"/>
                <w:sz w:val="14"/>
                <w:szCs w:val="14"/>
                <w:color w:val="auto"/>
                <w:w w:val="92"/>
              </w:rPr>
              <w:t>March 10, 2020</w:t>
            </w:r>
          </w:p>
        </w:tc>
      </w:tr>
      <w:tr>
        <w:trPr>
          <w:trHeight w:val="181"/>
        </w:trPr>
        <w:tc>
          <w:tcPr>
            <w:tcW w:w="3400" w:type="dxa"/>
            <w:vAlign w:val="bottom"/>
            <w:gridSpan w:val="8"/>
          </w:tcPr>
          <w:p>
            <w:pPr>
              <w:spacing w:after="0"/>
              <w:rPr>
                <w:sz w:val="20"/>
                <w:szCs w:val="20"/>
                <w:color w:val="auto"/>
              </w:rPr>
            </w:pPr>
            <w:r>
              <w:rPr>
                <w:rFonts w:ascii="Arial" w:cs="Arial" w:eastAsia="Arial" w:hAnsi="Arial"/>
                <w:sz w:val="14"/>
                <w:szCs w:val="14"/>
                <w:color w:val="auto"/>
              </w:rPr>
              <w:t>Norman Metcalfe</w:t>
            </w:r>
          </w:p>
        </w:tc>
        <w:tc>
          <w:tcPr>
            <w:tcW w:w="51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435"/>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/s/ Geoffrey Stack</w:t>
            </w:r>
          </w:p>
        </w:tc>
        <w:tc>
          <w:tcPr>
            <w:tcW w:w="2360" w:type="dxa"/>
            <w:vAlign w:val="bottom"/>
            <w:gridSpan w:val="6"/>
          </w:tcPr>
          <w:p>
            <w:pPr>
              <w:spacing w:after="0"/>
              <w:rPr>
                <w:sz w:val="24"/>
                <w:szCs w:val="24"/>
                <w:color w:val="auto"/>
              </w:rPr>
            </w:pPr>
          </w:p>
        </w:tc>
        <w:tc>
          <w:tcPr>
            <w:tcW w:w="5100" w:type="dxa"/>
            <w:vAlign w:val="bottom"/>
          </w:tcPr>
          <w:p>
            <w:pPr>
              <w:ind w:left="3300"/>
              <w:spacing w:after="0"/>
              <w:rPr>
                <w:sz w:val="20"/>
                <w:szCs w:val="20"/>
                <w:color w:val="auto"/>
              </w:rPr>
            </w:pPr>
            <w:r>
              <w:rPr>
                <w:rFonts w:ascii="Arial" w:cs="Arial" w:eastAsia="Arial" w:hAnsi="Arial"/>
                <w:sz w:val="14"/>
                <w:szCs w:val="14"/>
                <w:color w:val="auto"/>
              </w:rPr>
              <w:t>Director</w:t>
            </w:r>
          </w:p>
        </w:tc>
        <w:tc>
          <w:tcPr>
            <w:tcW w:w="2200" w:type="dxa"/>
            <w:vAlign w:val="bottom"/>
          </w:tcPr>
          <w:p>
            <w:pPr>
              <w:jc w:val="center"/>
              <w:ind w:left="1229"/>
              <w:spacing w:after="0"/>
              <w:rPr>
                <w:sz w:val="20"/>
                <w:szCs w:val="20"/>
                <w:color w:val="auto"/>
              </w:rPr>
            </w:pPr>
            <w:r>
              <w:rPr>
                <w:rFonts w:ascii="Arial" w:cs="Arial" w:eastAsia="Arial" w:hAnsi="Arial"/>
                <w:sz w:val="14"/>
                <w:szCs w:val="14"/>
                <w:color w:val="auto"/>
                <w:w w:val="92"/>
              </w:rPr>
              <w:t>March 10, 2020</w:t>
            </w:r>
          </w:p>
        </w:tc>
      </w:tr>
      <w:tr>
        <w:trPr>
          <w:trHeight w:val="181"/>
        </w:trPr>
        <w:tc>
          <w:tcPr>
            <w:tcW w:w="3400" w:type="dxa"/>
            <w:vAlign w:val="bottom"/>
            <w:gridSpan w:val="8"/>
          </w:tcPr>
          <w:p>
            <w:pPr>
              <w:spacing w:after="0"/>
              <w:rPr>
                <w:sz w:val="20"/>
                <w:szCs w:val="20"/>
                <w:color w:val="auto"/>
              </w:rPr>
            </w:pPr>
            <w:r>
              <w:rPr>
                <w:rFonts w:ascii="Arial" w:cs="Arial" w:eastAsia="Arial" w:hAnsi="Arial"/>
                <w:sz w:val="14"/>
                <w:szCs w:val="14"/>
                <w:color w:val="auto"/>
              </w:rPr>
              <w:t>Geoffrey Stack</w:t>
            </w:r>
          </w:p>
        </w:tc>
        <w:tc>
          <w:tcPr>
            <w:tcW w:w="51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435"/>
        </w:trPr>
        <w:tc>
          <w:tcPr>
            <w:tcW w:w="3400" w:type="dxa"/>
            <w:vAlign w:val="bottom"/>
            <w:gridSpan w:val="8"/>
          </w:tcPr>
          <w:p>
            <w:pPr>
              <w:spacing w:after="0"/>
              <w:rPr>
                <w:sz w:val="20"/>
                <w:szCs w:val="20"/>
                <w:color w:val="auto"/>
              </w:rPr>
            </w:pPr>
            <w:r>
              <w:rPr>
                <w:rFonts w:ascii="Arial" w:cs="Arial" w:eastAsia="Arial" w:hAnsi="Arial"/>
                <w:sz w:val="14"/>
                <w:szCs w:val="14"/>
                <w:color w:val="auto"/>
              </w:rPr>
              <w:t>/s/ Daniel R. Tisch</w:t>
            </w:r>
          </w:p>
        </w:tc>
        <w:tc>
          <w:tcPr>
            <w:tcW w:w="5100" w:type="dxa"/>
            <w:vAlign w:val="bottom"/>
          </w:tcPr>
          <w:p>
            <w:pPr>
              <w:ind w:left="3300"/>
              <w:spacing w:after="0"/>
              <w:rPr>
                <w:sz w:val="20"/>
                <w:szCs w:val="20"/>
                <w:color w:val="auto"/>
              </w:rPr>
            </w:pPr>
            <w:r>
              <w:rPr>
                <w:rFonts w:ascii="Arial" w:cs="Arial" w:eastAsia="Arial" w:hAnsi="Arial"/>
                <w:sz w:val="14"/>
                <w:szCs w:val="14"/>
                <w:color w:val="auto"/>
              </w:rPr>
              <w:t>Director</w:t>
            </w:r>
          </w:p>
        </w:tc>
        <w:tc>
          <w:tcPr>
            <w:tcW w:w="2200" w:type="dxa"/>
            <w:vAlign w:val="bottom"/>
          </w:tcPr>
          <w:p>
            <w:pPr>
              <w:jc w:val="center"/>
              <w:ind w:left="1229"/>
              <w:spacing w:after="0"/>
              <w:rPr>
                <w:sz w:val="20"/>
                <w:szCs w:val="20"/>
                <w:color w:val="auto"/>
              </w:rPr>
            </w:pPr>
            <w:r>
              <w:rPr>
                <w:rFonts w:ascii="Arial" w:cs="Arial" w:eastAsia="Arial" w:hAnsi="Arial"/>
                <w:sz w:val="14"/>
                <w:szCs w:val="14"/>
                <w:color w:val="auto"/>
                <w:w w:val="92"/>
              </w:rPr>
              <w:t>March 10, 2020</w:t>
            </w:r>
          </w:p>
        </w:tc>
      </w:tr>
      <w:tr>
        <w:trPr>
          <w:trHeight w:val="181"/>
        </w:trPr>
        <w:tc>
          <w:tcPr>
            <w:tcW w:w="10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Daniel R. Tisch</w:t>
            </w:r>
          </w:p>
        </w:tc>
        <w:tc>
          <w:tcPr>
            <w:tcW w:w="2340" w:type="dxa"/>
            <w:vAlign w:val="bottom"/>
            <w:gridSpan w:val="5"/>
          </w:tcPr>
          <w:p>
            <w:pPr>
              <w:spacing w:after="0"/>
              <w:rPr>
                <w:sz w:val="15"/>
                <w:szCs w:val="15"/>
                <w:color w:val="auto"/>
              </w:rPr>
            </w:pPr>
          </w:p>
        </w:tc>
        <w:tc>
          <w:tcPr>
            <w:tcW w:w="51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435"/>
        </w:trPr>
        <w:tc>
          <w:tcPr>
            <w:tcW w:w="120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w w:val="94"/>
              </w:rPr>
              <w:t>/s/ Michael H. Winer</w:t>
            </w:r>
          </w:p>
        </w:tc>
        <w:tc>
          <w:tcPr>
            <w:tcW w:w="2200" w:type="dxa"/>
            <w:vAlign w:val="bottom"/>
            <w:gridSpan w:val="2"/>
          </w:tcPr>
          <w:p>
            <w:pPr>
              <w:spacing w:after="0"/>
              <w:rPr>
                <w:sz w:val="24"/>
                <w:szCs w:val="24"/>
                <w:color w:val="auto"/>
              </w:rPr>
            </w:pPr>
          </w:p>
        </w:tc>
        <w:tc>
          <w:tcPr>
            <w:tcW w:w="5100" w:type="dxa"/>
            <w:vAlign w:val="bottom"/>
          </w:tcPr>
          <w:p>
            <w:pPr>
              <w:ind w:left="3300"/>
              <w:spacing w:after="0"/>
              <w:rPr>
                <w:sz w:val="20"/>
                <w:szCs w:val="20"/>
                <w:color w:val="auto"/>
              </w:rPr>
            </w:pPr>
            <w:r>
              <w:rPr>
                <w:rFonts w:ascii="Arial" w:cs="Arial" w:eastAsia="Arial" w:hAnsi="Arial"/>
                <w:sz w:val="14"/>
                <w:szCs w:val="14"/>
                <w:color w:val="auto"/>
              </w:rPr>
              <w:t>Director</w:t>
            </w:r>
          </w:p>
        </w:tc>
        <w:tc>
          <w:tcPr>
            <w:tcW w:w="2200" w:type="dxa"/>
            <w:vAlign w:val="bottom"/>
          </w:tcPr>
          <w:p>
            <w:pPr>
              <w:jc w:val="center"/>
              <w:ind w:left="1229"/>
              <w:spacing w:after="0"/>
              <w:rPr>
                <w:sz w:val="20"/>
                <w:szCs w:val="20"/>
                <w:color w:val="auto"/>
              </w:rPr>
            </w:pPr>
            <w:r>
              <w:rPr>
                <w:rFonts w:ascii="Arial" w:cs="Arial" w:eastAsia="Arial" w:hAnsi="Arial"/>
                <w:sz w:val="14"/>
                <w:szCs w:val="14"/>
                <w:color w:val="auto"/>
                <w:w w:val="92"/>
              </w:rPr>
              <w:t>March 10, 2020</w:t>
            </w:r>
          </w:p>
        </w:tc>
      </w:tr>
      <w:tr>
        <w:trPr>
          <w:trHeight w:val="181"/>
        </w:trPr>
        <w:tc>
          <w:tcPr>
            <w:tcW w:w="3400" w:type="dxa"/>
            <w:vAlign w:val="bottom"/>
            <w:gridSpan w:val="8"/>
          </w:tcPr>
          <w:p>
            <w:pPr>
              <w:spacing w:after="0"/>
              <w:rPr>
                <w:sz w:val="20"/>
                <w:szCs w:val="20"/>
                <w:color w:val="auto"/>
              </w:rPr>
            </w:pPr>
            <w:r>
              <w:rPr>
                <w:rFonts w:ascii="Arial" w:cs="Arial" w:eastAsia="Arial" w:hAnsi="Arial"/>
                <w:sz w:val="14"/>
                <w:szCs w:val="14"/>
                <w:color w:val="auto"/>
              </w:rPr>
              <w:t>Michael H. Winer</w:t>
            </w:r>
          </w:p>
        </w:tc>
        <w:tc>
          <w:tcPr>
            <w:tcW w:w="51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361"/>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100" w:type="dxa"/>
            <w:vAlign w:val="bottom"/>
          </w:tcPr>
          <w:p>
            <w:pPr>
              <w:ind w:left="2160"/>
              <w:spacing w:after="0"/>
              <w:rPr>
                <w:sz w:val="20"/>
                <w:szCs w:val="20"/>
                <w:color w:val="auto"/>
              </w:rPr>
            </w:pPr>
            <w:r>
              <w:rPr>
                <w:rFonts w:ascii="Arial" w:cs="Arial" w:eastAsia="Arial" w:hAnsi="Arial"/>
                <w:sz w:val="14"/>
                <w:szCs w:val="14"/>
                <w:color w:val="auto"/>
              </w:rPr>
              <w:t>65</w:t>
            </w:r>
          </w:p>
        </w:tc>
        <w:tc>
          <w:tcPr>
            <w:tcW w:w="2200" w:type="dxa"/>
            <w:vAlign w:val="bottom"/>
          </w:tcPr>
          <w:p>
            <w:pPr>
              <w:spacing w:after="0"/>
              <w:rPr>
                <w:sz w:val="24"/>
                <w:szCs w:val="24"/>
                <w:color w:val="auto"/>
              </w:rPr>
            </w:pPr>
          </w:p>
        </w:tc>
      </w:tr>
    </w:tbl>
    <w:p>
      <w:pPr>
        <w:sectPr>
          <w:pgSz w:w="11900" w:h="16838" w:orient="portrait"/>
          <w:cols w:equalWidth="0" w:num="1">
            <w:col w:w="11120"/>
          </w:cols>
          <w:pgMar w:left="300" w:top="299" w:right="47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Annual Report on Form 10-K</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8, Item 15(a) (1) and (2), (b) and (c)</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List of Financial Statements and Financial Statement Schedules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Financial Statements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Certain Exhibits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Year Ended December 31, 2019</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Tejon Ranch Co.</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Tejon Ranch,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9019"/>
          </w:cols>
          <w:pgMar w:left="1440" w:top="1440"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t>Form 10-K - Item 15(a)(1) and (2)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Financial Statements and Financial Statement Schedules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15(a)(1) -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consolidated financial statements of Tejon Ranch Co. and subsidiaries are included in Item 8:</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9360" w:type="dxa"/>
            <w:vAlign w:val="bottom"/>
          </w:tcPr>
          <w:p>
            <w:pPr>
              <w:spacing w:after="0"/>
              <w:rPr>
                <w:sz w:val="12"/>
                <w:szCs w:val="12"/>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5"/>
              </w:rPr>
              <w:t>Page</w:t>
            </w:r>
          </w:p>
        </w:tc>
      </w:tr>
      <w:tr>
        <w:trPr>
          <w:trHeight w:val="190"/>
        </w:trPr>
        <w:tc>
          <w:tcPr>
            <w:tcW w:w="9360" w:type="dxa"/>
            <w:vAlign w:val="bottom"/>
          </w:tcPr>
          <w:p>
            <w:pPr>
              <w:spacing w:after="0"/>
              <w:rPr>
                <w:rFonts w:ascii="Arial" w:cs="Arial" w:eastAsia="Arial" w:hAnsi="Arial"/>
                <w:sz w:val="14"/>
                <w:szCs w:val="14"/>
                <w:color w:val="auto"/>
              </w:rPr>
            </w:pPr>
            <w:hyperlink w:anchor="page68">
              <w:r>
                <w:rPr>
                  <w:rFonts w:ascii="Arial" w:cs="Arial" w:eastAsia="Arial" w:hAnsi="Arial"/>
                  <w:sz w:val="14"/>
                  <w:szCs w:val="14"/>
                  <w:color w:val="auto"/>
                </w:rPr>
                <w:t>Management’s Report on Internal Control Over Financial Reporting</w:t>
              </w:r>
            </w:hyperlink>
          </w:p>
        </w:tc>
        <w:tc>
          <w:tcPr>
            <w:tcW w:w="1900" w:type="dxa"/>
            <w:vAlign w:val="bottom"/>
          </w:tcPr>
          <w:p>
            <w:pPr>
              <w:jc w:val="center"/>
              <w:spacing w:after="0"/>
              <w:rPr>
                <w:rFonts w:ascii="Arial" w:cs="Arial" w:eastAsia="Arial" w:hAnsi="Arial"/>
                <w:sz w:val="14"/>
                <w:szCs w:val="14"/>
                <w:color w:val="auto"/>
                <w:w w:val="89"/>
              </w:rPr>
            </w:pPr>
            <w:hyperlink w:anchor="page68">
              <w:r>
                <w:rPr>
                  <w:rFonts w:ascii="Arial" w:cs="Arial" w:eastAsia="Arial" w:hAnsi="Arial"/>
                  <w:sz w:val="14"/>
                  <w:szCs w:val="14"/>
                  <w:color w:val="auto"/>
                  <w:w w:val="89"/>
                </w:rPr>
                <w:t>68</w:t>
              </w:r>
            </w:hyperlink>
          </w:p>
        </w:tc>
      </w:tr>
      <w:tr>
        <w:trPr>
          <w:trHeight w:val="212"/>
        </w:trPr>
        <w:tc>
          <w:tcPr>
            <w:tcW w:w="9360" w:type="dxa"/>
            <w:vAlign w:val="bottom"/>
          </w:tcPr>
          <w:p>
            <w:pPr>
              <w:spacing w:after="0"/>
              <w:rPr>
                <w:rFonts w:ascii="Arial" w:cs="Arial" w:eastAsia="Arial" w:hAnsi="Arial"/>
                <w:sz w:val="14"/>
                <w:szCs w:val="14"/>
                <w:color w:val="auto"/>
              </w:rPr>
            </w:pPr>
            <w:hyperlink w:anchor="page69">
              <w:r>
                <w:rPr>
                  <w:rFonts w:ascii="Arial" w:cs="Arial" w:eastAsia="Arial" w:hAnsi="Arial"/>
                  <w:sz w:val="14"/>
                  <w:szCs w:val="14"/>
                  <w:color w:val="auto"/>
                </w:rPr>
                <w:t>Report of Independent Registered Public Accounting Firm on Internal Control Over Financial Reporting</w:t>
              </w:r>
            </w:hyperlink>
          </w:p>
        </w:tc>
        <w:tc>
          <w:tcPr>
            <w:tcW w:w="1900" w:type="dxa"/>
            <w:vAlign w:val="bottom"/>
          </w:tcPr>
          <w:p>
            <w:pPr>
              <w:jc w:val="center"/>
              <w:spacing w:after="0"/>
              <w:rPr>
                <w:rFonts w:ascii="Arial" w:cs="Arial" w:eastAsia="Arial" w:hAnsi="Arial"/>
                <w:sz w:val="14"/>
                <w:szCs w:val="14"/>
                <w:color w:val="auto"/>
                <w:w w:val="89"/>
              </w:rPr>
            </w:pPr>
            <w:hyperlink w:anchor="page69">
              <w:r>
                <w:rPr>
                  <w:rFonts w:ascii="Arial" w:cs="Arial" w:eastAsia="Arial" w:hAnsi="Arial"/>
                  <w:sz w:val="14"/>
                  <w:szCs w:val="14"/>
                  <w:color w:val="auto"/>
                  <w:w w:val="89"/>
                </w:rPr>
                <w:t>69</w:t>
              </w:r>
            </w:hyperlink>
          </w:p>
        </w:tc>
      </w:tr>
      <w:tr>
        <w:trPr>
          <w:trHeight w:val="212"/>
        </w:trPr>
        <w:tc>
          <w:tcPr>
            <w:tcW w:w="9360" w:type="dxa"/>
            <w:vAlign w:val="bottom"/>
          </w:tcPr>
          <w:p>
            <w:pPr>
              <w:spacing w:after="0"/>
              <w:rPr>
                <w:rFonts w:ascii="Arial" w:cs="Arial" w:eastAsia="Arial" w:hAnsi="Arial"/>
                <w:sz w:val="14"/>
                <w:szCs w:val="14"/>
                <w:color w:val="auto"/>
              </w:rPr>
            </w:pPr>
            <w:hyperlink w:anchor="page70">
              <w:r>
                <w:rPr>
                  <w:rFonts w:ascii="Arial" w:cs="Arial" w:eastAsia="Arial" w:hAnsi="Arial"/>
                  <w:sz w:val="14"/>
                  <w:szCs w:val="14"/>
                  <w:color w:val="auto"/>
                </w:rPr>
                <w:t>Report of Independent Registered Public Accounting Firm</w:t>
              </w:r>
            </w:hyperlink>
          </w:p>
        </w:tc>
        <w:tc>
          <w:tcPr>
            <w:tcW w:w="1900" w:type="dxa"/>
            <w:vAlign w:val="bottom"/>
          </w:tcPr>
          <w:p>
            <w:pPr>
              <w:jc w:val="center"/>
              <w:spacing w:after="0"/>
              <w:rPr>
                <w:rFonts w:ascii="Arial" w:cs="Arial" w:eastAsia="Arial" w:hAnsi="Arial"/>
                <w:sz w:val="14"/>
                <w:szCs w:val="14"/>
                <w:color w:val="auto"/>
                <w:w w:val="89"/>
              </w:rPr>
            </w:pPr>
            <w:hyperlink w:anchor="page70">
              <w:r>
                <w:rPr>
                  <w:rFonts w:ascii="Arial" w:cs="Arial" w:eastAsia="Arial" w:hAnsi="Arial"/>
                  <w:sz w:val="14"/>
                  <w:szCs w:val="14"/>
                  <w:color w:val="auto"/>
                  <w:w w:val="89"/>
                </w:rPr>
                <w:t>70</w:t>
              </w:r>
            </w:hyperlink>
          </w:p>
        </w:tc>
      </w:tr>
      <w:tr>
        <w:trPr>
          <w:trHeight w:val="212"/>
        </w:trPr>
        <w:tc>
          <w:tcPr>
            <w:tcW w:w="9360" w:type="dxa"/>
            <w:vAlign w:val="bottom"/>
          </w:tcPr>
          <w:p>
            <w:pPr>
              <w:spacing w:after="0"/>
              <w:rPr>
                <w:sz w:val="20"/>
                <w:szCs w:val="20"/>
                <w:color w:val="auto"/>
              </w:rPr>
            </w:pPr>
            <w:r>
              <w:rPr>
                <w:rFonts w:ascii="Arial" w:cs="Arial" w:eastAsia="Arial" w:hAnsi="Arial"/>
                <w:sz w:val="14"/>
                <w:szCs w:val="14"/>
                <w:color w:val="auto"/>
              </w:rPr>
              <w:t>Consolidated Balance Sheets - Years Ended December 31, 2019 and 2018</w:t>
            </w:r>
          </w:p>
        </w:tc>
        <w:tc>
          <w:tcPr>
            <w:tcW w:w="1900" w:type="dxa"/>
            <w:vAlign w:val="bottom"/>
          </w:tcPr>
          <w:p>
            <w:pPr>
              <w:jc w:val="center"/>
              <w:spacing w:after="0"/>
              <w:rPr>
                <w:rFonts w:ascii="Arial" w:cs="Arial" w:eastAsia="Arial" w:hAnsi="Arial"/>
                <w:sz w:val="14"/>
                <w:szCs w:val="14"/>
                <w:color w:val="auto"/>
                <w:w w:val="89"/>
              </w:rPr>
            </w:pPr>
            <w:hyperlink w:anchor="page72">
              <w:r>
                <w:rPr>
                  <w:rFonts w:ascii="Arial" w:cs="Arial" w:eastAsia="Arial" w:hAnsi="Arial"/>
                  <w:sz w:val="14"/>
                  <w:szCs w:val="14"/>
                  <w:color w:val="auto"/>
                  <w:w w:val="89"/>
                </w:rPr>
                <w:t>72</w:t>
              </w:r>
            </w:hyperlink>
          </w:p>
        </w:tc>
      </w:tr>
      <w:tr>
        <w:trPr>
          <w:trHeight w:val="212"/>
        </w:trPr>
        <w:tc>
          <w:tcPr>
            <w:tcW w:w="9360" w:type="dxa"/>
            <w:vAlign w:val="bottom"/>
          </w:tcPr>
          <w:p>
            <w:pPr>
              <w:spacing w:after="0"/>
              <w:rPr>
                <w:rFonts w:ascii="Arial" w:cs="Arial" w:eastAsia="Arial" w:hAnsi="Arial"/>
                <w:sz w:val="14"/>
                <w:szCs w:val="14"/>
                <w:color w:val="auto"/>
              </w:rPr>
            </w:pPr>
            <w:hyperlink w:anchor="page73">
              <w:r>
                <w:rPr>
                  <w:rFonts w:ascii="Arial" w:cs="Arial" w:eastAsia="Arial" w:hAnsi="Arial"/>
                  <w:sz w:val="14"/>
                  <w:szCs w:val="14"/>
                  <w:color w:val="auto"/>
                </w:rPr>
                <w:t>Consolidated Statements of Operations - Years Ended December 31, 2019, 2018, and 2017</w:t>
              </w:r>
            </w:hyperlink>
          </w:p>
        </w:tc>
        <w:tc>
          <w:tcPr>
            <w:tcW w:w="1900" w:type="dxa"/>
            <w:vAlign w:val="bottom"/>
          </w:tcPr>
          <w:p>
            <w:pPr>
              <w:jc w:val="center"/>
              <w:spacing w:after="0"/>
              <w:rPr>
                <w:rFonts w:ascii="Arial" w:cs="Arial" w:eastAsia="Arial" w:hAnsi="Arial"/>
                <w:sz w:val="14"/>
                <w:szCs w:val="14"/>
                <w:color w:val="auto"/>
                <w:w w:val="89"/>
              </w:rPr>
            </w:pPr>
            <w:hyperlink w:anchor="page73">
              <w:r>
                <w:rPr>
                  <w:rFonts w:ascii="Arial" w:cs="Arial" w:eastAsia="Arial" w:hAnsi="Arial"/>
                  <w:sz w:val="14"/>
                  <w:szCs w:val="14"/>
                  <w:color w:val="auto"/>
                  <w:w w:val="89"/>
                </w:rPr>
                <w:t>73</w:t>
              </w:r>
            </w:hyperlink>
          </w:p>
        </w:tc>
      </w:tr>
      <w:tr>
        <w:trPr>
          <w:trHeight w:val="212"/>
        </w:trPr>
        <w:tc>
          <w:tcPr>
            <w:tcW w:w="9360" w:type="dxa"/>
            <w:vAlign w:val="bottom"/>
          </w:tcPr>
          <w:p>
            <w:pPr>
              <w:spacing w:after="0"/>
              <w:rPr>
                <w:rFonts w:ascii="Arial" w:cs="Arial" w:eastAsia="Arial" w:hAnsi="Arial"/>
                <w:sz w:val="14"/>
                <w:szCs w:val="14"/>
                <w:color w:val="auto"/>
              </w:rPr>
            </w:pPr>
            <w:hyperlink w:anchor="page74">
              <w:r>
                <w:rPr>
                  <w:rFonts w:ascii="Arial" w:cs="Arial" w:eastAsia="Arial" w:hAnsi="Arial"/>
                  <w:sz w:val="14"/>
                  <w:szCs w:val="14"/>
                  <w:color w:val="auto"/>
                </w:rPr>
                <w:t>Consolidated Statements of Comprehensive Income (Loss) - Years Ended December 31, 2019, 2018 and 2017</w:t>
              </w:r>
            </w:hyperlink>
          </w:p>
        </w:tc>
        <w:tc>
          <w:tcPr>
            <w:tcW w:w="1900" w:type="dxa"/>
            <w:vAlign w:val="bottom"/>
          </w:tcPr>
          <w:p>
            <w:pPr>
              <w:jc w:val="center"/>
              <w:spacing w:after="0"/>
              <w:rPr>
                <w:rFonts w:ascii="Arial" w:cs="Arial" w:eastAsia="Arial" w:hAnsi="Arial"/>
                <w:sz w:val="14"/>
                <w:szCs w:val="14"/>
                <w:color w:val="auto"/>
                <w:w w:val="89"/>
              </w:rPr>
            </w:pPr>
            <w:hyperlink w:anchor="page74">
              <w:r>
                <w:rPr>
                  <w:rFonts w:ascii="Arial" w:cs="Arial" w:eastAsia="Arial" w:hAnsi="Arial"/>
                  <w:sz w:val="14"/>
                  <w:szCs w:val="14"/>
                  <w:color w:val="auto"/>
                  <w:w w:val="89"/>
                </w:rPr>
                <w:t>74</w:t>
              </w:r>
            </w:hyperlink>
          </w:p>
        </w:tc>
      </w:tr>
      <w:tr>
        <w:trPr>
          <w:trHeight w:val="212"/>
        </w:trPr>
        <w:tc>
          <w:tcPr>
            <w:tcW w:w="9360" w:type="dxa"/>
            <w:vAlign w:val="bottom"/>
          </w:tcPr>
          <w:p>
            <w:pPr>
              <w:spacing w:after="0"/>
              <w:rPr>
                <w:rFonts w:ascii="Arial" w:cs="Arial" w:eastAsia="Arial" w:hAnsi="Arial"/>
                <w:sz w:val="14"/>
                <w:szCs w:val="14"/>
                <w:color w:val="auto"/>
              </w:rPr>
            </w:pPr>
            <w:hyperlink w:anchor="page75">
              <w:r>
                <w:rPr>
                  <w:rFonts w:ascii="Arial" w:cs="Arial" w:eastAsia="Arial" w:hAnsi="Arial"/>
                  <w:sz w:val="14"/>
                  <w:szCs w:val="14"/>
                  <w:color w:val="auto"/>
                </w:rPr>
                <w:t>Consolidated Statements of Equity - Years Ended December 31, 2019, 2018 and 2017</w:t>
              </w:r>
            </w:hyperlink>
          </w:p>
        </w:tc>
        <w:tc>
          <w:tcPr>
            <w:tcW w:w="1900" w:type="dxa"/>
            <w:vAlign w:val="bottom"/>
          </w:tcPr>
          <w:p>
            <w:pPr>
              <w:jc w:val="center"/>
              <w:spacing w:after="0"/>
              <w:rPr>
                <w:rFonts w:ascii="Arial" w:cs="Arial" w:eastAsia="Arial" w:hAnsi="Arial"/>
                <w:sz w:val="14"/>
                <w:szCs w:val="14"/>
                <w:color w:val="auto"/>
                <w:w w:val="89"/>
              </w:rPr>
            </w:pPr>
            <w:hyperlink w:anchor="page75">
              <w:r>
                <w:rPr>
                  <w:rFonts w:ascii="Arial" w:cs="Arial" w:eastAsia="Arial" w:hAnsi="Arial"/>
                  <w:sz w:val="14"/>
                  <w:szCs w:val="14"/>
                  <w:color w:val="auto"/>
                  <w:w w:val="89"/>
                </w:rPr>
                <w:t>75</w:t>
              </w:r>
            </w:hyperlink>
          </w:p>
        </w:tc>
      </w:tr>
      <w:tr>
        <w:trPr>
          <w:trHeight w:val="212"/>
        </w:trPr>
        <w:tc>
          <w:tcPr>
            <w:tcW w:w="9360" w:type="dxa"/>
            <w:vAlign w:val="bottom"/>
          </w:tcPr>
          <w:p>
            <w:pPr>
              <w:spacing w:after="0"/>
              <w:rPr>
                <w:rFonts w:ascii="Arial" w:cs="Arial" w:eastAsia="Arial" w:hAnsi="Arial"/>
                <w:sz w:val="14"/>
                <w:szCs w:val="14"/>
                <w:color w:val="auto"/>
              </w:rPr>
            </w:pPr>
            <w:hyperlink w:anchor="page76">
              <w:r>
                <w:rPr>
                  <w:rFonts w:ascii="Arial" w:cs="Arial" w:eastAsia="Arial" w:hAnsi="Arial"/>
                  <w:sz w:val="14"/>
                  <w:szCs w:val="14"/>
                  <w:color w:val="auto"/>
                </w:rPr>
                <w:t>Consolidated Statements of Cash Flows - Years Ended December 31, 2019, 2018 and 2017</w:t>
              </w:r>
            </w:hyperlink>
          </w:p>
        </w:tc>
        <w:tc>
          <w:tcPr>
            <w:tcW w:w="1900" w:type="dxa"/>
            <w:vAlign w:val="bottom"/>
          </w:tcPr>
          <w:p>
            <w:pPr>
              <w:jc w:val="center"/>
              <w:spacing w:after="0"/>
              <w:rPr>
                <w:rFonts w:ascii="Arial" w:cs="Arial" w:eastAsia="Arial" w:hAnsi="Arial"/>
                <w:sz w:val="14"/>
                <w:szCs w:val="14"/>
                <w:color w:val="auto"/>
                <w:w w:val="89"/>
              </w:rPr>
            </w:pPr>
            <w:hyperlink w:anchor="page76">
              <w:r>
                <w:rPr>
                  <w:rFonts w:ascii="Arial" w:cs="Arial" w:eastAsia="Arial" w:hAnsi="Arial"/>
                  <w:sz w:val="14"/>
                  <w:szCs w:val="14"/>
                  <w:color w:val="auto"/>
                  <w:w w:val="89"/>
                </w:rPr>
                <w:t>76</w:t>
              </w:r>
            </w:hyperlink>
          </w:p>
        </w:tc>
      </w:tr>
      <w:tr>
        <w:trPr>
          <w:trHeight w:val="212"/>
        </w:trPr>
        <w:tc>
          <w:tcPr>
            <w:tcW w:w="9360" w:type="dxa"/>
            <w:vAlign w:val="bottom"/>
          </w:tcPr>
          <w:p>
            <w:pPr>
              <w:spacing w:after="0"/>
              <w:rPr>
                <w:rFonts w:ascii="Arial" w:cs="Arial" w:eastAsia="Arial" w:hAnsi="Arial"/>
                <w:sz w:val="14"/>
                <w:szCs w:val="14"/>
                <w:color w:val="auto"/>
              </w:rPr>
            </w:pPr>
            <w:hyperlink w:anchor="page78">
              <w:r>
                <w:rPr>
                  <w:rFonts w:ascii="Arial" w:cs="Arial" w:eastAsia="Arial" w:hAnsi="Arial"/>
                  <w:sz w:val="14"/>
                  <w:szCs w:val="14"/>
                  <w:color w:val="auto"/>
                </w:rPr>
                <w:t>Notes to Consolidated Financial Statements</w:t>
              </w:r>
            </w:hyperlink>
          </w:p>
        </w:tc>
        <w:tc>
          <w:tcPr>
            <w:tcW w:w="1900" w:type="dxa"/>
            <w:vAlign w:val="bottom"/>
          </w:tcPr>
          <w:p>
            <w:pPr>
              <w:jc w:val="center"/>
              <w:spacing w:after="0"/>
              <w:rPr>
                <w:rFonts w:ascii="Arial" w:cs="Arial" w:eastAsia="Arial" w:hAnsi="Arial"/>
                <w:sz w:val="14"/>
                <w:szCs w:val="14"/>
                <w:color w:val="auto"/>
                <w:w w:val="89"/>
              </w:rPr>
            </w:pPr>
            <w:hyperlink w:anchor="page78">
              <w:r>
                <w:rPr>
                  <w:rFonts w:ascii="Arial" w:cs="Arial" w:eastAsia="Arial" w:hAnsi="Arial"/>
                  <w:sz w:val="14"/>
                  <w:szCs w:val="14"/>
                  <w:color w:val="auto"/>
                  <w:w w:val="89"/>
                </w:rPr>
                <w:t>78</w:t>
              </w:r>
            </w:hyperlink>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15(a)(2) - FINANCIAL STATEMENT SCHEDULES</w:t>
      </w:r>
    </w:p>
    <w:p>
      <w:pPr>
        <w:spacing w:after="0" w:line="76"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All schedules for which provision is made in the applicable accounting regulation of the Securities and Exchange Commission are not required under the related instructions or are inapplicable, and therefore have been omitted.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464" w:right="319" w:bottom="1440" w:gutter="0" w:footer="0" w:header="0"/>
        </w:sectPr>
      </w:pPr>
    </w:p>
    <w:bookmarkStart w:id="67" w:name="page68"/>
    <w:bookmarkEnd w:id="67"/>
    <w:p>
      <w:pPr>
        <w:jc w:val="center"/>
        <w:ind w:right="-7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management of the Company is responsible for establishing and maintaining adequate internal control over financial reporting and for the assessment of the effectiveness of internal control over financial reporting. As defined in Rule 13a-15(f) of the Exchange Act, internal control over financial reporting is a process designed by, or supervised by,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0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 xml:space="preserve">In connection with the preparation of the Company’s annual financial statements, under the supervision and with the participation of the Company’s management, including its Chief Executive Officer and Chief Financial Officer, management of the Company has undertaken an assessment of the effectiveness of the Company’s internal control over financial reporting as of December 31, 2019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(2013 Framework), or COSO. Management’s assessment included an evaluation of the design of the Company’s internal control over financial reporting and testing of the operational effectiveness of the Company’s internal control over financial reporting.</w:t>
      </w:r>
    </w:p>
    <w:p>
      <w:pPr>
        <w:spacing w:after="0" w:line="104"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Based on this assessment, management did not identify any material weakness in the Company’s internal control, and management has concluded that the Company’s internal control over financial reporting was effective as of December 31, 2019.</w:t>
      </w:r>
    </w:p>
    <w:p>
      <w:pPr>
        <w:spacing w:after="0" w:line="90"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Deloitte &amp; Touche LLP, the independent registered public accounting firm that audited the Company’s financial statements included in this report, has issued a report on the effectiveness of internal control over financial reporting, a copy of which follows.</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00"/>
          </w:cols>
          <w:pgMar w:left="300" w:top="634" w:right="39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Tejon Ranch Co.</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83"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We have audited the internal control over financial reporting of Tejon Ranch Co. and subsidiaries (the “Company”) as of December 31, 2019,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2019, based on criteria established in Internal Control - Integrated Framework (2013) issued by COSO.</w:t>
      </w:r>
    </w:p>
    <w:p>
      <w:pPr>
        <w:spacing w:after="0" w:line="124"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December 31, 2019, of the Company and our report dated March 10, 2020, expressed an unqualified opinion on those financial statements based on our audit and the report of the other auditors.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83"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83" w:lineRule="exact"/>
        <w:rPr>
          <w:sz w:val="20"/>
          <w:szCs w:val="20"/>
          <w:color w:val="auto"/>
        </w:rPr>
      </w:pPr>
    </w:p>
    <w:p>
      <w:pPr>
        <w:ind w:right="80"/>
        <w:spacing w:after="0" w:line="28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right="100"/>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10, 2020</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60"/>
          </w:cols>
          <w:pgMar w:left="300" w:top="464" w:right="3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Tejon Ranch Co.</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have audited the accompanying consolidated balance sheet of Tejon Ranch Co. and subsidiaries (the "Company") as of December 31, 2019, the related consolidated statements of operations, comprehensive income (loss), equity, and cash flows, for the year then ended, and the related notes (collectively referred to as the "financial statements"). In our opinion, based on our audit and the report of the other auditors, the financial statements present fairly, in all material respects, the financial position of the Company as of December 31, 2019, and the results of its operations and its cash flows for the year then ended in conformity with accounting principles generally accepted in the United States of America.</w:t>
      </w:r>
    </w:p>
    <w:p>
      <w:pPr>
        <w:spacing w:after="0" w:line="82" w:lineRule="exact"/>
        <w:rPr>
          <w:sz w:val="20"/>
          <w:szCs w:val="20"/>
          <w:color w:val="auto"/>
        </w:rPr>
      </w:pPr>
    </w:p>
    <w:p>
      <w:pPr>
        <w:ind w:right="120"/>
        <w:spacing w:after="0" w:line="331" w:lineRule="auto"/>
        <w:rPr>
          <w:sz w:val="20"/>
          <w:szCs w:val="20"/>
          <w:color w:val="auto"/>
        </w:rPr>
      </w:pPr>
      <w:r>
        <w:rPr>
          <w:rFonts w:ascii="Arial" w:cs="Arial" w:eastAsia="Arial" w:hAnsi="Arial"/>
          <w:sz w:val="12"/>
          <w:szCs w:val="12"/>
          <w:color w:val="auto"/>
        </w:rPr>
        <w:t>We did not audit the financial statements of Petro Travel Holdings, LLC (“Petro”), the Company's investment in which is accounted for by use of the equity method. The accompanying financial statements of the Company include its equity investment in Petro of $23,636,000 as of December 31, 2019, and its equity earnings in Petro of $8,810,000, for the year then ended. Those statements were audited by other auditors whose report has been furnished to us, and our opinion, insofar as it relates to the amounts included for Petro, is based solely on the report of the other auditors.</w:t>
      </w:r>
    </w:p>
    <w:p>
      <w:pPr>
        <w:spacing w:after="0" w:line="44" w:lineRule="exact"/>
        <w:rPr>
          <w:sz w:val="20"/>
          <w:szCs w:val="20"/>
          <w:color w:val="auto"/>
        </w:rPr>
      </w:pPr>
    </w:p>
    <w:p>
      <w:pPr>
        <w:jc w:val="both"/>
        <w:ind w:right="100"/>
        <w:spacing w:after="0" w:line="267"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Company's internal control over financial reporting as of December 31, 2019, based on the criteria established in Internal Control - Integrated Framework (2013) issued by the Committee of Sponsoring Organizations of the Treadway Commission and our report dated March 10, 2020, expressed an unqualified opinion on the Company's internal control over financial reporting based on our audit.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46"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and the report of the other auditors provide a reasonable basis for our opinion.</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March 10, 2020</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2019</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40"/>
          </w:cols>
          <w:pgMar w:left="300" w:top="592" w:right="35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Tejon Ranch Co.</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83"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color w:val="auto"/>
        </w:rPr>
        <w:t>We have audited the accompanying consolidated balance sheet of Tejon Ranch Co. and subsidiaries (the Company) as of December 31, 2018, and the related consolidated statements of operations, comprehensive income (loss), equity,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the results of its operations and its cash flows for each of the two years in the period ended December 31, 2018, in conformity with U.S. generally accepted accounting principles.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83"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w:t>
      </w:r>
      <w:r>
        <w:rPr>
          <w:rFonts w:ascii="Arial" w:cs="Arial" w:eastAsia="Arial" w:hAnsi="Arial"/>
          <w:sz w:val="14"/>
          <w:szCs w:val="14"/>
          <w:color w:val="333333"/>
        </w:rPr>
        <w:t>U.S.</w:t>
      </w:r>
      <w:r>
        <w:rPr>
          <w:rFonts w:ascii="Arial" w:cs="Arial" w:eastAsia="Arial" w:hAnsi="Arial"/>
          <w:sz w:val="14"/>
          <w:szCs w:val="14"/>
          <w:color w:val="auto"/>
        </w:rPr>
        <w:t xml:space="preserve"> federal securities laws and the applicable rules and regulations of the Securities and Exchange Commission and the PCAOB.</w:t>
      </w:r>
    </w:p>
    <w:p>
      <w:pPr>
        <w:spacing w:after="0" w:line="20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w:t>
      </w:r>
      <w:r>
        <w:rPr>
          <w:rFonts w:ascii="Arial" w:cs="Arial" w:eastAsia="Arial" w:hAnsi="Arial"/>
          <w:sz w:val="14"/>
          <w:szCs w:val="14"/>
          <w:color w:val="333333"/>
        </w:rPr>
        <w:t>included</w:t>
      </w:r>
      <w:r>
        <w:rPr>
          <w:rFonts w:ascii="Arial" w:cs="Arial" w:eastAsia="Arial" w:hAnsi="Arial"/>
          <w:sz w:val="14"/>
          <w:szCs w:val="14"/>
          <w:color w:val="auto"/>
        </w:rPr>
        <w:t xml:space="preserv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We served as the Company’s auditor from 1953 to 2019.</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March 1, 2019</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40"/>
          </w:cols>
          <w:pgMar w:left="300" w:top="592" w:right="35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gridSpan w:val="3"/>
          </w:tcPr>
          <w:p>
            <w:pPr>
              <w:jc w:val="right"/>
              <w:ind w:right="149"/>
              <w:spacing w:after="0"/>
              <w:rPr>
                <w:sz w:val="20"/>
                <w:szCs w:val="20"/>
                <w:color w:val="auto"/>
              </w:rPr>
            </w:pPr>
            <w:r>
              <w:rPr>
                <w:rFonts w:ascii="Arial" w:cs="Arial" w:eastAsia="Arial" w:hAnsi="Arial"/>
                <w:sz w:val="14"/>
                <w:szCs w:val="14"/>
                <w:color w:val="auto"/>
              </w:rPr>
              <w:t>December 31</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2019</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jc w:val="right"/>
              <w:ind w:right="66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
        </w:trPr>
        <w:tc>
          <w:tcPr>
            <w:tcW w:w="7560" w:type="dxa"/>
            <w:vAlign w:val="bottom"/>
            <w:vMerge w:val="restart"/>
          </w:tcPr>
          <w:p>
            <w:pPr>
              <w:ind w:left="20"/>
              <w:spacing w:after="0"/>
              <w:rPr>
                <w:sz w:val="20"/>
                <w:szCs w:val="20"/>
                <w:color w:val="auto"/>
              </w:rPr>
            </w:pPr>
            <w:r>
              <w:rPr>
                <w:rFonts w:ascii="Arial" w:cs="Arial" w:eastAsia="Arial" w:hAnsi="Arial"/>
                <w:sz w:val="14"/>
                <w:szCs w:val="14"/>
                <w:color w:val="auto"/>
              </w:rPr>
              <w:t>ASSETS</w:t>
            </w: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75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Cash and cash equivalents</w:t>
            </w:r>
          </w:p>
        </w:tc>
        <w:tc>
          <w:tcPr>
            <w:tcW w:w="1160" w:type="dxa"/>
            <w:vAlign w:val="bottom"/>
            <w:tcBorders>
              <w:bottom w:val="single" w:sz="8" w:color="CCEEFF"/>
            </w:tcBorders>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27,106</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15,908</w:t>
            </w:r>
          </w:p>
        </w:tc>
        <w:tc>
          <w:tcPr>
            <w:tcW w:w="0" w:type="dxa"/>
            <w:vAlign w:val="bottom"/>
          </w:tcPr>
          <w:p>
            <w:pPr>
              <w:spacing w:after="0"/>
              <w:rPr>
                <w:sz w:val="1"/>
                <w:szCs w:val="1"/>
                <w:color w:val="auto"/>
              </w:rPr>
            </w:pPr>
          </w:p>
        </w:tc>
      </w:tr>
      <w:tr>
        <w:trPr>
          <w:trHeight w:val="191"/>
        </w:trPr>
        <w:tc>
          <w:tcPr>
            <w:tcW w:w="7560" w:type="dxa"/>
            <w:vAlign w:val="bottom"/>
          </w:tcPr>
          <w:p>
            <w:pPr>
              <w:ind w:left="560"/>
              <w:spacing w:after="0"/>
              <w:rPr>
                <w:sz w:val="20"/>
                <w:szCs w:val="20"/>
                <w:color w:val="auto"/>
              </w:rPr>
            </w:pPr>
            <w:r>
              <w:rPr>
                <w:rFonts w:ascii="Arial" w:cs="Arial" w:eastAsia="Arial" w:hAnsi="Arial"/>
                <w:sz w:val="14"/>
                <w:szCs w:val="14"/>
                <w:color w:val="auto"/>
              </w:rPr>
              <w:t>Marketable securities - available-for-sale</w:t>
            </w:r>
          </w:p>
        </w:tc>
        <w:tc>
          <w:tcPr>
            <w:tcW w:w="1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39,084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63,749</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Accounts receivable</w:t>
            </w:r>
          </w:p>
        </w:tc>
        <w:tc>
          <w:tcPr>
            <w:tcW w:w="1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9,950</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10,876</w:t>
            </w:r>
          </w:p>
        </w:tc>
        <w:tc>
          <w:tcPr>
            <w:tcW w:w="0" w:type="dxa"/>
            <w:vAlign w:val="bottom"/>
          </w:tcPr>
          <w:p>
            <w:pPr>
              <w:spacing w:after="0"/>
              <w:rPr>
                <w:sz w:val="1"/>
                <w:szCs w:val="1"/>
                <w:color w:val="auto"/>
              </w:rPr>
            </w:pPr>
          </w:p>
        </w:tc>
      </w:tr>
      <w:tr>
        <w:trPr>
          <w:trHeight w:val="191"/>
        </w:trPr>
        <w:tc>
          <w:tcPr>
            <w:tcW w:w="7560" w:type="dxa"/>
            <w:vAlign w:val="bottom"/>
          </w:tcPr>
          <w:p>
            <w:pPr>
              <w:ind w:left="560"/>
              <w:spacing w:after="0"/>
              <w:rPr>
                <w:sz w:val="20"/>
                <w:szCs w:val="20"/>
                <w:color w:val="auto"/>
              </w:rPr>
            </w:pPr>
            <w:r>
              <w:rPr>
                <w:rFonts w:ascii="Arial" w:cs="Arial" w:eastAsia="Arial" w:hAnsi="Arial"/>
                <w:sz w:val="14"/>
                <w:szCs w:val="14"/>
                <w:color w:val="auto"/>
              </w:rPr>
              <w:t>Inventories</w:t>
            </w:r>
          </w:p>
        </w:tc>
        <w:tc>
          <w:tcPr>
            <w:tcW w:w="1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2,792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2,618</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1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3,252</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3,348</w:t>
            </w:r>
          </w:p>
        </w:tc>
        <w:tc>
          <w:tcPr>
            <w:tcW w:w="0" w:type="dxa"/>
            <w:vAlign w:val="bottom"/>
          </w:tcPr>
          <w:p>
            <w:pPr>
              <w:spacing w:after="0"/>
              <w:rPr>
                <w:sz w:val="1"/>
                <w:szCs w:val="1"/>
                <w:color w:val="auto"/>
              </w:rPr>
            </w:pPr>
          </w:p>
        </w:tc>
      </w:tr>
      <w:tr>
        <w:trPr>
          <w:trHeight w:val="181"/>
        </w:trPr>
        <w:tc>
          <w:tcPr>
            <w:tcW w:w="756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82,184</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96,499</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 and improvements - held for lease, net</w:t>
            </w:r>
          </w:p>
        </w:tc>
        <w:tc>
          <w:tcPr>
            <w:tcW w:w="1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18,674</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18,953</w:t>
            </w:r>
          </w:p>
        </w:tc>
        <w:tc>
          <w:tcPr>
            <w:tcW w:w="0" w:type="dxa"/>
            <w:vAlign w:val="bottom"/>
          </w:tcPr>
          <w:p>
            <w:pPr>
              <w:spacing w:after="0"/>
              <w:rPr>
                <w:sz w:val="1"/>
                <w:szCs w:val="1"/>
                <w:color w:val="auto"/>
              </w:rPr>
            </w:pPr>
          </w:p>
        </w:tc>
      </w:tr>
      <w:tr>
        <w:trPr>
          <w:trHeight w:val="180"/>
        </w:trPr>
        <w:tc>
          <w:tcPr>
            <w:tcW w:w="7560" w:type="dxa"/>
            <w:vAlign w:val="bottom"/>
          </w:tcPr>
          <w:p>
            <w:pPr>
              <w:ind w:left="20"/>
              <w:spacing w:after="0"/>
              <w:rPr>
                <w:sz w:val="20"/>
                <w:szCs w:val="20"/>
                <w:color w:val="auto"/>
              </w:rPr>
            </w:pPr>
            <w:r>
              <w:rPr>
                <w:rFonts w:ascii="Arial" w:cs="Arial" w:eastAsia="Arial" w:hAnsi="Arial"/>
                <w:sz w:val="14"/>
                <w:szCs w:val="14"/>
                <w:color w:val="auto"/>
                <w:w w:val="92"/>
              </w:rPr>
              <w:t>Real estate development (includes $104,491 at December 31, 2019 and $100,311 at December 31, 2018, attributable to Centennial</w:t>
            </w: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60" w:type="dxa"/>
            <w:vAlign w:val="bottom"/>
          </w:tcPr>
          <w:p>
            <w:pPr>
              <w:ind w:left="20"/>
              <w:spacing w:after="0"/>
              <w:rPr>
                <w:sz w:val="20"/>
                <w:szCs w:val="20"/>
                <w:color w:val="auto"/>
              </w:rPr>
            </w:pPr>
            <w:r>
              <w:rPr>
                <w:rFonts w:ascii="Arial" w:cs="Arial" w:eastAsia="Arial" w:hAnsi="Arial"/>
                <w:sz w:val="14"/>
                <w:szCs w:val="14"/>
                <w:color w:val="auto"/>
              </w:rPr>
              <w:t>Founders, LLC, Note 17)</w:t>
            </w:r>
          </w:p>
        </w:tc>
        <w:tc>
          <w:tcPr>
            <w:tcW w:w="1160" w:type="dxa"/>
            <w:vAlign w:val="bottom"/>
          </w:tcPr>
          <w:p>
            <w:pPr>
              <w:spacing w:after="0"/>
              <w:rPr>
                <w:sz w:val="15"/>
                <w:szCs w:val="15"/>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297,581</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283,385</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45,072</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46,086</w:t>
            </w:r>
          </w:p>
        </w:tc>
        <w:tc>
          <w:tcPr>
            <w:tcW w:w="0" w:type="dxa"/>
            <w:vAlign w:val="bottom"/>
          </w:tcPr>
          <w:p>
            <w:pPr>
              <w:spacing w:after="0"/>
              <w:rPr>
                <w:sz w:val="1"/>
                <w:szCs w:val="1"/>
                <w:color w:val="auto"/>
              </w:rPr>
            </w:pPr>
          </w:p>
        </w:tc>
      </w:tr>
      <w:tr>
        <w:trPr>
          <w:trHeight w:val="191"/>
        </w:trPr>
        <w:tc>
          <w:tcPr>
            <w:tcW w:w="7560" w:type="dxa"/>
            <w:vAlign w:val="bottom"/>
          </w:tcPr>
          <w:p>
            <w:pPr>
              <w:ind w:left="20"/>
              <w:spacing w:after="0"/>
              <w:rPr>
                <w:sz w:val="20"/>
                <w:szCs w:val="20"/>
                <w:color w:val="auto"/>
              </w:rPr>
            </w:pPr>
            <w:r>
              <w:rPr>
                <w:rFonts w:ascii="Arial" w:cs="Arial" w:eastAsia="Arial" w:hAnsi="Arial"/>
                <w:sz w:val="14"/>
                <w:szCs w:val="14"/>
                <w:color w:val="auto"/>
              </w:rPr>
              <w:t>Investments in unconsolidated joint ventures</w:t>
            </w:r>
          </w:p>
        </w:tc>
        <w:tc>
          <w:tcPr>
            <w:tcW w:w="1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38,240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28,602</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investment in water assets</w:t>
            </w:r>
          </w:p>
        </w:tc>
        <w:tc>
          <w:tcPr>
            <w:tcW w:w="1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54,155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51,832</w:t>
            </w:r>
          </w:p>
        </w:tc>
        <w:tc>
          <w:tcPr>
            <w:tcW w:w="0" w:type="dxa"/>
            <w:vAlign w:val="bottom"/>
          </w:tcPr>
          <w:p>
            <w:pPr>
              <w:spacing w:after="0"/>
              <w:rPr>
                <w:sz w:val="1"/>
                <w:szCs w:val="1"/>
                <w:color w:val="auto"/>
              </w:rPr>
            </w:pPr>
          </w:p>
        </w:tc>
      </w:tr>
      <w:tr>
        <w:trPr>
          <w:trHeight w:val="191"/>
        </w:trPr>
        <w:tc>
          <w:tcPr>
            <w:tcW w:w="756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1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2,803</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2,462</w:t>
            </w:r>
          </w:p>
        </w:tc>
        <w:tc>
          <w:tcPr>
            <w:tcW w:w="0" w:type="dxa"/>
            <w:vAlign w:val="bottom"/>
          </w:tcPr>
          <w:p>
            <w:pPr>
              <w:spacing w:after="0"/>
              <w:rPr>
                <w:sz w:val="1"/>
                <w:szCs w:val="1"/>
                <w:color w:val="auto"/>
              </w:rPr>
            </w:pPr>
          </w:p>
        </w:tc>
      </w:tr>
      <w:tr>
        <w:trPr>
          <w:trHeight w:val="181"/>
        </w:trPr>
        <w:tc>
          <w:tcPr>
            <w:tcW w:w="75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160" w:type="dxa"/>
            <w:vAlign w:val="bottom"/>
            <w:tcBorders>
              <w:top w:val="single" w:sz="8" w:color="auto"/>
            </w:tcBorders>
          </w:tcPr>
          <w:p>
            <w:pPr>
              <w:jc w:val="right"/>
              <w:ind w:right="98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539,422</w:t>
            </w:r>
          </w:p>
        </w:tc>
        <w:tc>
          <w:tcPr>
            <w:tcW w:w="120" w:type="dxa"/>
            <w:vAlign w:val="bottom"/>
          </w:tcPr>
          <w:p>
            <w:pPr>
              <w:spacing w:after="0"/>
              <w:rPr>
                <w:sz w:val="15"/>
                <w:szCs w:val="15"/>
                <w:color w:val="auto"/>
              </w:rPr>
            </w:pPr>
          </w:p>
        </w:tc>
        <w:tc>
          <w:tcPr>
            <w:tcW w:w="54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529,048</w:t>
            </w:r>
          </w:p>
        </w:tc>
        <w:tc>
          <w:tcPr>
            <w:tcW w:w="0" w:type="dxa"/>
            <w:vAlign w:val="bottom"/>
          </w:tcPr>
          <w:p>
            <w:pPr>
              <w:spacing w:after="0"/>
              <w:rPr>
                <w:sz w:val="1"/>
                <w:szCs w:val="1"/>
                <w:color w:val="auto"/>
              </w:rPr>
            </w:pPr>
          </w:p>
        </w:tc>
      </w:tr>
      <w:tr>
        <w:trPr>
          <w:trHeight w:val="62"/>
        </w:trPr>
        <w:tc>
          <w:tcPr>
            <w:tcW w:w="756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756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LIABILITIES AND EQUITY</w:t>
            </w:r>
          </w:p>
        </w:tc>
        <w:tc>
          <w:tcPr>
            <w:tcW w:w="1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5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Trade accounts payable</w:t>
            </w:r>
          </w:p>
        </w:tc>
        <w:tc>
          <w:tcPr>
            <w:tcW w:w="1160" w:type="dxa"/>
            <w:vAlign w:val="bottom"/>
            <w:tcBorders>
              <w:bottom w:val="single" w:sz="8" w:color="CCEEFF"/>
            </w:tcBorders>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6,145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6,037</w:t>
            </w:r>
          </w:p>
        </w:tc>
        <w:tc>
          <w:tcPr>
            <w:tcW w:w="0" w:type="dxa"/>
            <w:vAlign w:val="bottom"/>
          </w:tcPr>
          <w:p>
            <w:pPr>
              <w:spacing w:after="0"/>
              <w:rPr>
                <w:sz w:val="1"/>
                <w:szCs w:val="1"/>
                <w:color w:val="auto"/>
              </w:rPr>
            </w:pPr>
          </w:p>
        </w:tc>
      </w:tr>
      <w:tr>
        <w:trPr>
          <w:trHeight w:val="191"/>
        </w:trPr>
        <w:tc>
          <w:tcPr>
            <w:tcW w:w="7560" w:type="dxa"/>
            <w:vAlign w:val="bottom"/>
          </w:tcPr>
          <w:p>
            <w:pPr>
              <w:ind w:left="560"/>
              <w:spacing w:after="0"/>
              <w:rPr>
                <w:sz w:val="20"/>
                <w:szCs w:val="20"/>
                <w:color w:val="auto"/>
              </w:rPr>
            </w:pPr>
            <w:r>
              <w:rPr>
                <w:rFonts w:ascii="Arial" w:cs="Arial" w:eastAsia="Arial" w:hAnsi="Arial"/>
                <w:sz w:val="14"/>
                <w:szCs w:val="14"/>
                <w:color w:val="auto"/>
              </w:rPr>
              <w:t>Accrued liabilities and other</w:t>
            </w:r>
          </w:p>
        </w:tc>
        <w:tc>
          <w:tcPr>
            <w:tcW w:w="1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3,463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3,575</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Deferred income</w:t>
            </w:r>
          </w:p>
        </w:tc>
        <w:tc>
          <w:tcPr>
            <w:tcW w:w="1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1,346</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2,863</w:t>
            </w:r>
          </w:p>
        </w:tc>
        <w:tc>
          <w:tcPr>
            <w:tcW w:w="0" w:type="dxa"/>
            <w:vAlign w:val="bottom"/>
          </w:tcPr>
          <w:p>
            <w:pPr>
              <w:spacing w:after="0"/>
              <w:rPr>
                <w:sz w:val="1"/>
                <w:szCs w:val="1"/>
                <w:color w:val="auto"/>
              </w:rPr>
            </w:pPr>
          </w:p>
        </w:tc>
      </w:tr>
      <w:tr>
        <w:trPr>
          <w:trHeight w:val="191"/>
        </w:trPr>
        <w:tc>
          <w:tcPr>
            <w:tcW w:w="7560" w:type="dxa"/>
            <w:vAlign w:val="bottom"/>
          </w:tcPr>
          <w:p>
            <w:pPr>
              <w:ind w:left="560"/>
              <w:spacing w:after="0"/>
              <w:rPr>
                <w:sz w:val="20"/>
                <w:szCs w:val="20"/>
                <w:color w:val="auto"/>
              </w:rPr>
            </w:pPr>
            <w:r>
              <w:rPr>
                <w:rFonts w:ascii="Arial" w:cs="Arial" w:eastAsia="Arial" w:hAnsi="Arial"/>
                <w:sz w:val="14"/>
                <w:szCs w:val="14"/>
                <w:color w:val="auto"/>
              </w:rPr>
              <w:t>Current maturities of long-term debt</w:t>
            </w:r>
          </w:p>
        </w:tc>
        <w:tc>
          <w:tcPr>
            <w:tcW w:w="1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4,182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4,018</w:t>
            </w:r>
          </w:p>
        </w:tc>
        <w:tc>
          <w:tcPr>
            <w:tcW w:w="0" w:type="dxa"/>
            <w:vAlign w:val="bottom"/>
          </w:tcPr>
          <w:p>
            <w:pPr>
              <w:spacing w:after="0"/>
              <w:rPr>
                <w:sz w:val="1"/>
                <w:szCs w:val="1"/>
                <w:color w:val="auto"/>
              </w:rPr>
            </w:pP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1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15,136</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16,493</w:t>
            </w:r>
          </w:p>
        </w:tc>
        <w:tc>
          <w:tcPr>
            <w:tcW w:w="0" w:type="dxa"/>
            <w:vAlign w:val="bottom"/>
          </w:tcPr>
          <w:p>
            <w:pPr>
              <w:spacing w:after="0"/>
              <w:rPr>
                <w:sz w:val="1"/>
                <w:szCs w:val="1"/>
                <w:color w:val="auto"/>
              </w:rPr>
            </w:pPr>
          </w:p>
        </w:tc>
      </w:tr>
      <w:tr>
        <w:trPr>
          <w:trHeight w:val="191"/>
        </w:trPr>
        <w:tc>
          <w:tcPr>
            <w:tcW w:w="756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1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57,476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61,780</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deferred gains</w:t>
            </w:r>
          </w:p>
        </w:tc>
        <w:tc>
          <w:tcPr>
            <w:tcW w:w="1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5,731</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3,405</w:t>
            </w:r>
          </w:p>
        </w:tc>
        <w:tc>
          <w:tcPr>
            <w:tcW w:w="0" w:type="dxa"/>
            <w:vAlign w:val="bottom"/>
          </w:tcPr>
          <w:p>
            <w:pPr>
              <w:spacing w:after="0"/>
              <w:rPr>
                <w:sz w:val="1"/>
                <w:szCs w:val="1"/>
                <w:color w:val="auto"/>
              </w:rPr>
            </w:pPr>
          </w:p>
        </w:tc>
      </w:tr>
      <w:tr>
        <w:trPr>
          <w:trHeight w:val="191"/>
        </w:trPr>
        <w:tc>
          <w:tcPr>
            <w:tcW w:w="756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15,455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12,698</w:t>
            </w:r>
          </w:p>
        </w:tc>
        <w:tc>
          <w:tcPr>
            <w:tcW w:w="0" w:type="dxa"/>
            <w:vAlign w:val="bottom"/>
          </w:tcPr>
          <w:p>
            <w:pPr>
              <w:spacing w:after="0"/>
              <w:rPr>
                <w:sz w:val="1"/>
                <w:szCs w:val="1"/>
                <w:color w:val="auto"/>
              </w:rPr>
            </w:pP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Total liabilities</w:t>
            </w:r>
          </w:p>
        </w:tc>
        <w:tc>
          <w:tcPr>
            <w:tcW w:w="1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93,798</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94,376</w:t>
            </w:r>
          </w:p>
        </w:tc>
        <w:tc>
          <w:tcPr>
            <w:tcW w:w="0" w:type="dxa"/>
            <w:vAlign w:val="bottom"/>
          </w:tcPr>
          <w:p>
            <w:pPr>
              <w:spacing w:after="0"/>
              <w:rPr>
                <w:sz w:val="1"/>
                <w:szCs w:val="1"/>
                <w:color w:val="auto"/>
              </w:rPr>
            </w:pPr>
          </w:p>
        </w:tc>
      </w:tr>
      <w:tr>
        <w:trPr>
          <w:trHeight w:val="191"/>
        </w:trPr>
        <w:tc>
          <w:tcPr>
            <w:tcW w:w="756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1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560" w:type="dxa"/>
            <w:vAlign w:val="bottom"/>
          </w:tcPr>
          <w:p>
            <w:pPr>
              <w:ind w:left="300"/>
              <w:spacing w:after="0"/>
              <w:rPr>
                <w:sz w:val="20"/>
                <w:szCs w:val="20"/>
                <w:color w:val="auto"/>
              </w:rPr>
            </w:pPr>
            <w:r>
              <w:rPr>
                <w:rFonts w:ascii="Arial" w:cs="Arial" w:eastAsia="Arial" w:hAnsi="Arial"/>
                <w:sz w:val="14"/>
                <w:szCs w:val="14"/>
                <w:color w:val="auto"/>
              </w:rPr>
              <w:t>Tejon Ranch Co. Stockholders’ Equity</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Common stock, $0.50 par value per share:</w:t>
            </w:r>
          </w:p>
        </w:tc>
        <w:tc>
          <w:tcPr>
            <w:tcW w:w="1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560" w:type="dxa"/>
            <w:vAlign w:val="bottom"/>
          </w:tcPr>
          <w:p>
            <w:pPr>
              <w:ind w:left="560"/>
              <w:spacing w:after="0"/>
              <w:rPr>
                <w:sz w:val="20"/>
                <w:szCs w:val="20"/>
                <w:color w:val="auto"/>
              </w:rPr>
            </w:pPr>
            <w:r>
              <w:rPr>
                <w:rFonts w:ascii="Arial" w:cs="Arial" w:eastAsia="Arial" w:hAnsi="Arial"/>
                <w:sz w:val="14"/>
                <w:szCs w:val="14"/>
                <w:color w:val="auto"/>
              </w:rPr>
              <w:t>Authorized shares - 30,000,000</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Issued and outstanding shares - 26,096,797 at December 31, 2019 and 25,972,080 at December 31, 2018</w:t>
            </w:r>
          </w:p>
        </w:tc>
        <w:tc>
          <w:tcPr>
            <w:tcW w:w="1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13,048</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12,986</w:t>
            </w:r>
          </w:p>
        </w:tc>
        <w:tc>
          <w:tcPr>
            <w:tcW w:w="0" w:type="dxa"/>
            <w:vAlign w:val="bottom"/>
          </w:tcPr>
          <w:p>
            <w:pPr>
              <w:spacing w:after="0"/>
              <w:rPr>
                <w:sz w:val="1"/>
                <w:szCs w:val="1"/>
                <w:color w:val="auto"/>
              </w:rPr>
            </w:pPr>
          </w:p>
        </w:tc>
      </w:tr>
      <w:tr>
        <w:trPr>
          <w:trHeight w:val="191"/>
        </w:trPr>
        <w:tc>
          <w:tcPr>
            <w:tcW w:w="7560" w:type="dxa"/>
            <w:vAlign w:val="bottom"/>
          </w:tcPr>
          <w:p>
            <w:pPr>
              <w:ind w:left="560"/>
              <w:spacing w:after="0"/>
              <w:rPr>
                <w:sz w:val="20"/>
                <w:szCs w:val="20"/>
                <w:color w:val="auto"/>
              </w:rPr>
            </w:pPr>
            <w:r>
              <w:rPr>
                <w:rFonts w:ascii="Arial" w:cs="Arial" w:eastAsia="Arial" w:hAnsi="Arial"/>
                <w:sz w:val="14"/>
                <w:szCs w:val="14"/>
                <w:color w:val="auto"/>
              </w:rPr>
              <w:t>Additional paid-in capital</w:t>
            </w:r>
          </w:p>
        </w:tc>
        <w:tc>
          <w:tcPr>
            <w:tcW w:w="1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338,745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336,520</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Accumulated other comprehensive loss</w:t>
            </w:r>
          </w:p>
        </w:tc>
        <w:tc>
          <w:tcPr>
            <w:tcW w:w="1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(6,771)</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(4,857)</w:t>
            </w:r>
          </w:p>
        </w:tc>
        <w:tc>
          <w:tcPr>
            <w:tcW w:w="0" w:type="dxa"/>
            <w:vAlign w:val="bottom"/>
          </w:tcPr>
          <w:p>
            <w:pPr>
              <w:spacing w:after="0"/>
              <w:rPr>
                <w:sz w:val="1"/>
                <w:szCs w:val="1"/>
                <w:color w:val="auto"/>
              </w:rPr>
            </w:pPr>
          </w:p>
        </w:tc>
      </w:tr>
      <w:tr>
        <w:trPr>
          <w:trHeight w:val="191"/>
        </w:trPr>
        <w:tc>
          <w:tcPr>
            <w:tcW w:w="7560" w:type="dxa"/>
            <w:vAlign w:val="bottom"/>
          </w:tcPr>
          <w:p>
            <w:pPr>
              <w:ind w:left="560"/>
              <w:spacing w:after="0"/>
              <w:rPr>
                <w:sz w:val="20"/>
                <w:szCs w:val="20"/>
                <w:color w:val="auto"/>
              </w:rPr>
            </w:pPr>
            <w:r>
              <w:rPr>
                <w:rFonts w:ascii="Arial" w:cs="Arial" w:eastAsia="Arial" w:hAnsi="Arial"/>
                <w:sz w:val="14"/>
                <w:szCs w:val="14"/>
                <w:color w:val="auto"/>
              </w:rPr>
              <w:t>Retained earnings</w:t>
            </w:r>
          </w:p>
        </w:tc>
        <w:tc>
          <w:tcPr>
            <w:tcW w:w="1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85,227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74,647</w:t>
            </w:r>
          </w:p>
        </w:tc>
        <w:tc>
          <w:tcPr>
            <w:tcW w:w="0" w:type="dxa"/>
            <w:vAlign w:val="bottom"/>
          </w:tcPr>
          <w:p>
            <w:pPr>
              <w:spacing w:after="0"/>
              <w:rPr>
                <w:sz w:val="1"/>
                <w:szCs w:val="1"/>
                <w:color w:val="auto"/>
              </w:rPr>
            </w:pP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Tejon Ranch Co. Stockholders’ Equity</w:t>
            </w:r>
          </w:p>
        </w:tc>
        <w:tc>
          <w:tcPr>
            <w:tcW w:w="1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430,249</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419,296</w:t>
            </w:r>
          </w:p>
        </w:tc>
        <w:tc>
          <w:tcPr>
            <w:tcW w:w="0" w:type="dxa"/>
            <w:vAlign w:val="bottom"/>
          </w:tcPr>
          <w:p>
            <w:pPr>
              <w:spacing w:after="0"/>
              <w:rPr>
                <w:sz w:val="1"/>
                <w:szCs w:val="1"/>
                <w:color w:val="auto"/>
              </w:rPr>
            </w:pPr>
          </w:p>
        </w:tc>
      </w:tr>
      <w:tr>
        <w:trPr>
          <w:trHeight w:val="191"/>
        </w:trPr>
        <w:tc>
          <w:tcPr>
            <w:tcW w:w="7560" w:type="dxa"/>
            <w:vAlign w:val="bottom"/>
          </w:tcPr>
          <w:p>
            <w:pPr>
              <w:ind w:left="300"/>
              <w:spacing w:after="0"/>
              <w:rPr>
                <w:sz w:val="20"/>
                <w:szCs w:val="20"/>
                <w:color w:val="auto"/>
              </w:rPr>
            </w:pPr>
            <w:r>
              <w:rPr>
                <w:rFonts w:ascii="Arial" w:cs="Arial" w:eastAsia="Arial" w:hAnsi="Arial"/>
                <w:sz w:val="14"/>
                <w:szCs w:val="14"/>
                <w:color w:val="auto"/>
              </w:rPr>
              <w:t>Non-controlling interest</w:t>
            </w:r>
          </w:p>
        </w:tc>
        <w:tc>
          <w:tcPr>
            <w:tcW w:w="1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15,375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15,376</w:t>
            </w:r>
          </w:p>
        </w:tc>
        <w:tc>
          <w:tcPr>
            <w:tcW w:w="0" w:type="dxa"/>
            <w:vAlign w:val="bottom"/>
          </w:tcPr>
          <w:p>
            <w:pPr>
              <w:spacing w:after="0"/>
              <w:rPr>
                <w:sz w:val="1"/>
                <w:szCs w:val="1"/>
                <w:color w:val="auto"/>
              </w:rPr>
            </w:pP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1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445,624</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434,672</w:t>
            </w:r>
          </w:p>
        </w:tc>
        <w:tc>
          <w:tcPr>
            <w:tcW w:w="0" w:type="dxa"/>
            <w:vAlign w:val="bottom"/>
          </w:tcPr>
          <w:p>
            <w:pPr>
              <w:spacing w:after="0"/>
              <w:rPr>
                <w:sz w:val="1"/>
                <w:szCs w:val="1"/>
                <w:color w:val="auto"/>
              </w:rPr>
            </w:pPr>
          </w:p>
        </w:tc>
      </w:tr>
      <w:tr>
        <w:trPr>
          <w:trHeight w:val="181"/>
        </w:trPr>
        <w:tc>
          <w:tcPr>
            <w:tcW w:w="756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1160" w:type="dxa"/>
            <w:vAlign w:val="bottom"/>
            <w:tcBorders>
              <w:top w:val="single" w:sz="8" w:color="auto"/>
            </w:tcBorders>
          </w:tcPr>
          <w:p>
            <w:pPr>
              <w:jc w:val="right"/>
              <w:ind w:right="98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539,422</w:t>
            </w:r>
          </w:p>
        </w:tc>
        <w:tc>
          <w:tcPr>
            <w:tcW w:w="120" w:type="dxa"/>
            <w:vAlign w:val="bottom"/>
          </w:tcPr>
          <w:p>
            <w:pPr>
              <w:spacing w:after="0"/>
              <w:rPr>
                <w:sz w:val="15"/>
                <w:szCs w:val="15"/>
                <w:color w:val="auto"/>
              </w:rPr>
            </w:pPr>
          </w:p>
        </w:tc>
        <w:tc>
          <w:tcPr>
            <w:tcW w:w="54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529,048</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0"/>
          <w:szCs w:val="10"/>
          <w:color w:val="auto"/>
        </w:rPr>
        <w:t>See accompanying notes.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300" w:top="295"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60" w:type="dxa"/>
            <w:vAlign w:val="bottom"/>
            <w:gridSpan w:val="4"/>
          </w:tcPr>
          <w:p>
            <w:pPr>
              <w:ind w:left="60"/>
              <w:spacing w:after="0"/>
              <w:rPr>
                <w:sz w:val="20"/>
                <w:szCs w:val="20"/>
                <w:color w:val="auto"/>
              </w:rPr>
            </w:pPr>
            <w:r>
              <w:rPr>
                <w:rFonts w:ascii="Arial" w:cs="Arial" w:eastAsia="Arial" w:hAnsi="Arial"/>
                <w:sz w:val="14"/>
                <w:szCs w:val="14"/>
                <w:color w:val="auto"/>
                <w:w w:val="91"/>
              </w:rPr>
              <w:t>Year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0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2019</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7000" w:type="dxa"/>
            <w:vAlign w:val="bottom"/>
            <w:vMerge w:val="restart"/>
          </w:tcPr>
          <w:p>
            <w:pPr>
              <w:ind w:left="20"/>
              <w:spacing w:after="0"/>
              <w:rPr>
                <w:sz w:val="20"/>
                <w:szCs w:val="20"/>
                <w:color w:val="auto"/>
              </w:rPr>
            </w:pPr>
            <w:r>
              <w:rPr>
                <w:rFonts w:ascii="Arial" w:cs="Arial" w:eastAsia="Arial" w:hAnsi="Arial"/>
                <w:sz w:val="14"/>
                <w:szCs w:val="14"/>
                <w:color w:val="auto"/>
              </w:rPr>
              <w:t>Revenues:</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70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7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Real estate - commercial/industrial</w:t>
            </w:r>
          </w:p>
        </w:tc>
        <w:tc>
          <w:tcPr>
            <w:tcW w:w="860" w:type="dxa"/>
            <w:vAlign w:val="bottom"/>
            <w:tcBorders>
              <w:bottom w:val="single" w:sz="8" w:color="CCEEFF"/>
            </w:tcBorders>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16,792</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8,970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9,001</w:t>
            </w:r>
          </w:p>
        </w:tc>
        <w:tc>
          <w:tcPr>
            <w:tcW w:w="0" w:type="dxa"/>
            <w:vAlign w:val="bottom"/>
          </w:tcPr>
          <w:p>
            <w:pPr>
              <w:spacing w:after="0"/>
              <w:rPr>
                <w:sz w:val="1"/>
                <w:szCs w:val="1"/>
                <w:color w:val="auto"/>
              </w:rPr>
            </w:pPr>
          </w:p>
        </w:tc>
      </w:tr>
      <w:tr>
        <w:trPr>
          <w:trHeight w:val="191"/>
        </w:trPr>
        <w:tc>
          <w:tcPr>
            <w:tcW w:w="7000" w:type="dxa"/>
            <w:vAlign w:val="bottom"/>
          </w:tcPr>
          <w:p>
            <w:pPr>
              <w:ind w:left="300"/>
              <w:spacing w:after="0"/>
              <w:rPr>
                <w:sz w:val="20"/>
                <w:szCs w:val="20"/>
                <w:color w:val="auto"/>
              </w:rPr>
            </w:pPr>
            <w:r>
              <w:rPr>
                <w:rFonts w:ascii="Arial" w:cs="Arial" w:eastAsia="Arial" w:hAnsi="Arial"/>
                <w:sz w:val="14"/>
                <w:szCs w:val="14"/>
                <w:color w:val="auto"/>
              </w:rPr>
              <w:t>Mineral resources</w:t>
            </w:r>
          </w:p>
        </w:tc>
        <w:tc>
          <w:tcPr>
            <w:tcW w:w="8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9,791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14,395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5,983</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Farming</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19,331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18,563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16,434</w:t>
            </w:r>
          </w:p>
        </w:tc>
        <w:tc>
          <w:tcPr>
            <w:tcW w:w="0" w:type="dxa"/>
            <w:vAlign w:val="bottom"/>
          </w:tcPr>
          <w:p>
            <w:pPr>
              <w:spacing w:after="0"/>
              <w:rPr>
                <w:sz w:val="1"/>
                <w:szCs w:val="1"/>
                <w:color w:val="auto"/>
              </w:rPr>
            </w:pPr>
          </w:p>
        </w:tc>
      </w:tr>
      <w:tr>
        <w:trPr>
          <w:trHeight w:val="191"/>
        </w:trPr>
        <w:tc>
          <w:tcPr>
            <w:tcW w:w="7000" w:type="dxa"/>
            <w:vAlign w:val="bottom"/>
          </w:tcPr>
          <w:p>
            <w:pPr>
              <w:ind w:left="300"/>
              <w:spacing w:after="0"/>
              <w:rPr>
                <w:sz w:val="20"/>
                <w:szCs w:val="20"/>
                <w:color w:val="auto"/>
              </w:rPr>
            </w:pPr>
            <w:r>
              <w:rPr>
                <w:rFonts w:ascii="Arial" w:cs="Arial" w:eastAsia="Arial" w:hAnsi="Arial"/>
                <w:sz w:val="14"/>
                <w:szCs w:val="14"/>
                <w:color w:val="auto"/>
              </w:rPr>
              <w:t>Ranch operations</w:t>
            </w:r>
          </w:p>
        </w:tc>
        <w:tc>
          <w:tcPr>
            <w:tcW w:w="8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3,609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3,691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3,837</w:t>
            </w:r>
          </w:p>
        </w:tc>
        <w:tc>
          <w:tcPr>
            <w:tcW w:w="0" w:type="dxa"/>
            <w:vAlign w:val="bottom"/>
          </w:tcPr>
          <w:p>
            <w:pPr>
              <w:spacing w:after="0"/>
              <w:rPr>
                <w:sz w:val="1"/>
                <w:szCs w:val="1"/>
                <w:color w:val="auto"/>
              </w:rPr>
            </w:pP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revenues</w:t>
            </w:r>
          </w:p>
        </w:tc>
        <w:tc>
          <w:tcPr>
            <w:tcW w:w="8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49,523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45,619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35,255</w:t>
            </w:r>
          </w:p>
        </w:tc>
        <w:tc>
          <w:tcPr>
            <w:tcW w:w="0" w:type="dxa"/>
            <w:vAlign w:val="bottom"/>
          </w:tcPr>
          <w:p>
            <w:pPr>
              <w:spacing w:after="0"/>
              <w:rPr>
                <w:sz w:val="1"/>
                <w:szCs w:val="1"/>
                <w:color w:val="auto"/>
              </w:rPr>
            </w:pP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Real estate - commercial/industrial</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12,961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6,246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6,529</w:t>
            </w:r>
          </w:p>
        </w:tc>
        <w:tc>
          <w:tcPr>
            <w:tcW w:w="0" w:type="dxa"/>
            <w:vAlign w:val="bottom"/>
          </w:tcPr>
          <w:p>
            <w:pPr>
              <w:spacing w:after="0"/>
              <w:rPr>
                <w:sz w:val="1"/>
                <w:szCs w:val="1"/>
                <w:color w:val="auto"/>
              </w:rPr>
            </w:pPr>
          </w:p>
        </w:tc>
      </w:tr>
      <w:tr>
        <w:trPr>
          <w:trHeight w:val="191"/>
        </w:trPr>
        <w:tc>
          <w:tcPr>
            <w:tcW w:w="7000" w:type="dxa"/>
            <w:vAlign w:val="bottom"/>
          </w:tcPr>
          <w:p>
            <w:pPr>
              <w:ind w:left="300"/>
              <w:spacing w:after="0"/>
              <w:rPr>
                <w:sz w:val="20"/>
                <w:szCs w:val="20"/>
                <w:color w:val="auto"/>
              </w:rPr>
            </w:pPr>
            <w:r>
              <w:rPr>
                <w:rFonts w:ascii="Arial" w:cs="Arial" w:eastAsia="Arial" w:hAnsi="Arial"/>
                <w:sz w:val="14"/>
                <w:szCs w:val="14"/>
                <w:color w:val="auto"/>
              </w:rPr>
              <w:t>Real estate - resort/residential</w:t>
            </w:r>
          </w:p>
        </w:tc>
        <w:tc>
          <w:tcPr>
            <w:tcW w:w="8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Mineral resources</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5,818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6,223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2,964</w:t>
            </w:r>
          </w:p>
        </w:tc>
        <w:tc>
          <w:tcPr>
            <w:tcW w:w="0" w:type="dxa"/>
            <w:vAlign w:val="bottom"/>
          </w:tcPr>
          <w:p>
            <w:pPr>
              <w:spacing w:after="0"/>
              <w:rPr>
                <w:sz w:val="1"/>
                <w:szCs w:val="1"/>
                <w:color w:val="auto"/>
              </w:rPr>
            </w:pPr>
          </w:p>
        </w:tc>
      </w:tr>
      <w:tr>
        <w:trPr>
          <w:trHeight w:val="191"/>
        </w:trPr>
        <w:tc>
          <w:tcPr>
            <w:tcW w:w="7000" w:type="dxa"/>
            <w:vAlign w:val="bottom"/>
          </w:tcPr>
          <w:p>
            <w:pPr>
              <w:ind w:left="300"/>
              <w:spacing w:after="0"/>
              <w:rPr>
                <w:sz w:val="20"/>
                <w:szCs w:val="20"/>
                <w:color w:val="auto"/>
              </w:rPr>
            </w:pPr>
            <w:r>
              <w:rPr>
                <w:rFonts w:ascii="Arial" w:cs="Arial" w:eastAsia="Arial" w:hAnsi="Arial"/>
                <w:sz w:val="14"/>
                <w:szCs w:val="14"/>
                <w:color w:val="auto"/>
              </w:rPr>
              <w:t>Farming</w:t>
            </w:r>
          </w:p>
        </w:tc>
        <w:tc>
          <w:tcPr>
            <w:tcW w:w="8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w w:val="88"/>
              </w:rPr>
              <w:t>15,251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16,028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16,201</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Ranch operations</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5,316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5,451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5,411</w:t>
            </w:r>
          </w:p>
        </w:tc>
        <w:tc>
          <w:tcPr>
            <w:tcW w:w="0" w:type="dxa"/>
            <w:vAlign w:val="bottom"/>
          </w:tcPr>
          <w:p>
            <w:pPr>
              <w:spacing w:after="0"/>
              <w:rPr>
                <w:sz w:val="1"/>
                <w:szCs w:val="1"/>
                <w:color w:val="auto"/>
              </w:rPr>
            </w:pPr>
          </w:p>
        </w:tc>
      </w:tr>
      <w:tr>
        <w:trPr>
          <w:trHeight w:val="191"/>
        </w:trPr>
        <w:tc>
          <w:tcPr>
            <w:tcW w:w="7000" w:type="dxa"/>
            <w:vAlign w:val="bottom"/>
          </w:tcPr>
          <w:p>
            <w:pPr>
              <w:ind w:left="300"/>
              <w:spacing w:after="0"/>
              <w:rPr>
                <w:sz w:val="20"/>
                <w:szCs w:val="20"/>
                <w:color w:val="auto"/>
              </w:rPr>
            </w:pPr>
            <w:r>
              <w:rPr>
                <w:rFonts w:ascii="Arial" w:cs="Arial" w:eastAsia="Arial" w:hAnsi="Arial"/>
                <w:sz w:val="14"/>
                <w:szCs w:val="14"/>
                <w:color w:val="auto"/>
              </w:rPr>
              <w:t>Corporate expenses</w:t>
            </w:r>
          </w:p>
        </w:tc>
        <w:tc>
          <w:tcPr>
            <w:tcW w:w="8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9,361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9,705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9,713</w:t>
            </w:r>
          </w:p>
        </w:tc>
        <w:tc>
          <w:tcPr>
            <w:tcW w:w="0" w:type="dxa"/>
            <w:vAlign w:val="bottom"/>
          </w:tcPr>
          <w:p>
            <w:pPr>
              <w:spacing w:after="0"/>
              <w:rPr>
                <w:sz w:val="1"/>
                <w:szCs w:val="1"/>
                <w:color w:val="auto"/>
              </w:rPr>
            </w:pP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expenses</w:t>
            </w: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50,954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45,183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42,773</w:t>
            </w:r>
          </w:p>
        </w:tc>
        <w:tc>
          <w:tcPr>
            <w:tcW w:w="0" w:type="dxa"/>
            <w:vAlign w:val="bottom"/>
          </w:tcPr>
          <w:p>
            <w:pPr>
              <w:spacing w:after="0"/>
              <w:rPr>
                <w:sz w:val="1"/>
                <w:szCs w:val="1"/>
                <w:color w:val="auto"/>
              </w:rPr>
            </w:pPr>
          </w:p>
        </w:tc>
      </w:tr>
      <w:tr>
        <w:trPr>
          <w:trHeight w:val="181"/>
        </w:trPr>
        <w:tc>
          <w:tcPr>
            <w:tcW w:w="700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8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94"/>
              </w:rPr>
              <w:t>(1,431)</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(7,518)</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(loss) income:</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300"/>
              <w:spacing w:after="0"/>
              <w:rPr>
                <w:sz w:val="20"/>
                <w:szCs w:val="20"/>
                <w:color w:val="auto"/>
              </w:rPr>
            </w:pPr>
            <w:r>
              <w:rPr>
                <w:rFonts w:ascii="Arial" w:cs="Arial" w:eastAsia="Arial" w:hAnsi="Arial"/>
                <w:sz w:val="14"/>
                <w:szCs w:val="14"/>
                <w:color w:val="auto"/>
              </w:rPr>
              <w:t>Investment income</w:t>
            </w:r>
          </w:p>
        </w:tc>
        <w:tc>
          <w:tcPr>
            <w:tcW w:w="8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Other loss</w:t>
            </w:r>
          </w:p>
        </w:tc>
        <w:tc>
          <w:tcPr>
            <w:tcW w:w="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94"/>
              </w:rPr>
              <w:t>(1,824)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1"/>
        </w:trPr>
        <w:tc>
          <w:tcPr>
            <w:tcW w:w="7000" w:type="dxa"/>
            <w:vAlign w:val="bottom"/>
          </w:tcPr>
          <w:p>
            <w:pPr>
              <w:ind w:left="300"/>
              <w:spacing w:after="0"/>
              <w:rPr>
                <w:sz w:val="20"/>
                <w:szCs w:val="20"/>
                <w:color w:val="auto"/>
              </w:rPr>
            </w:pPr>
            <w:r>
              <w:rPr>
                <w:rFonts w:ascii="Arial" w:cs="Arial" w:eastAsia="Arial" w:hAnsi="Arial"/>
                <w:sz w:val="14"/>
                <w:szCs w:val="14"/>
                <w:color w:val="auto"/>
              </w:rPr>
              <w:t>Total other (loss) income</w:t>
            </w:r>
          </w:p>
        </w:tc>
        <w:tc>
          <w:tcPr>
            <w:tcW w:w="8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income from operations before equity in earnings of unconsolidated joint ventures</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94"/>
              </w:rPr>
              <w:t>(2,016)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1,721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(7,331)</w:t>
            </w:r>
          </w:p>
        </w:tc>
        <w:tc>
          <w:tcPr>
            <w:tcW w:w="0" w:type="dxa"/>
            <w:vAlign w:val="bottom"/>
          </w:tcPr>
          <w:p>
            <w:pPr>
              <w:spacing w:after="0"/>
              <w:rPr>
                <w:sz w:val="1"/>
                <w:szCs w:val="1"/>
                <w:color w:val="auto"/>
              </w:rPr>
            </w:pP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Equity in earnings of unconsolidated joint ventures, net</w:t>
            </w:r>
          </w:p>
        </w:tc>
        <w:tc>
          <w:tcPr>
            <w:tcW w:w="8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w w:val="88"/>
              </w:rPr>
              <w:t>16,575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3,834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8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14,559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5,555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(3,104)</w:t>
            </w:r>
          </w:p>
        </w:tc>
        <w:tc>
          <w:tcPr>
            <w:tcW w:w="0" w:type="dxa"/>
            <w:vAlign w:val="bottom"/>
          </w:tcPr>
          <w:p>
            <w:pPr>
              <w:spacing w:after="0"/>
              <w:rPr>
                <w:sz w:val="1"/>
                <w:szCs w:val="1"/>
                <w:color w:val="auto"/>
              </w:rPr>
            </w:pP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8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3,980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10,579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4,235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(1,821)</w:t>
            </w:r>
          </w:p>
        </w:tc>
        <w:tc>
          <w:tcPr>
            <w:tcW w:w="0" w:type="dxa"/>
            <w:vAlign w:val="bottom"/>
          </w:tcPr>
          <w:p>
            <w:pPr>
              <w:spacing w:after="0"/>
              <w:rPr>
                <w:sz w:val="1"/>
                <w:szCs w:val="1"/>
                <w:color w:val="auto"/>
              </w:rPr>
            </w:pP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860" w:type="dxa"/>
            <w:vAlign w:val="bottom"/>
          </w:tcPr>
          <w:p>
            <w:pPr>
              <w:spacing w:after="0"/>
              <w:rPr>
                <w:sz w:val="16"/>
                <w:szCs w:val="16"/>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860" w:type="dxa"/>
            <w:vAlign w:val="bottom"/>
            <w:tcBorders>
              <w:bottom w:val="single" w:sz="8" w:color="CCEEFF"/>
            </w:tcBorders>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10,580</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4,255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(loss) per share attributable to common stockholders, basic</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000" w:type="dxa"/>
            <w:vAlign w:val="bottom"/>
            <w:vMerge w:val="continue"/>
          </w:tcPr>
          <w:p>
            <w:pPr>
              <w:spacing w:after="0"/>
              <w:rPr>
                <w:sz w:val="14"/>
                <w:szCs w:val="14"/>
                <w:color w:val="auto"/>
              </w:rPr>
            </w:pPr>
          </w:p>
        </w:tc>
        <w:tc>
          <w:tcPr>
            <w:tcW w:w="860" w:type="dxa"/>
            <w:vAlign w:val="bottom"/>
          </w:tcPr>
          <w:p>
            <w:pPr>
              <w:jc w:val="right"/>
              <w:ind w:right="68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0.41</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4"/>
                <w:szCs w:val="14"/>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62"/>
        </w:trPr>
        <w:tc>
          <w:tcPr>
            <w:tcW w:w="700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Net income (loss) per share attributable to common stockholders, diluted</w:t>
            </w:r>
          </w:p>
        </w:tc>
        <w:tc>
          <w:tcPr>
            <w:tcW w:w="860" w:type="dxa"/>
            <w:vAlign w:val="bottom"/>
            <w:tcBorders>
              <w:bottom w:val="single" w:sz="8" w:color="CCEEFF"/>
            </w:tcBorders>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0.40</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0"/>
          <w:szCs w:val="10"/>
          <w:color w:val="auto"/>
        </w:rPr>
        <w:t>See accompanying notes.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295"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60" w:type="dxa"/>
            <w:vAlign w:val="bottom"/>
            <w:gridSpan w:val="4"/>
          </w:tcPr>
          <w:p>
            <w:pPr>
              <w:ind w:left="60"/>
              <w:spacing w:after="0"/>
              <w:rPr>
                <w:sz w:val="20"/>
                <w:szCs w:val="20"/>
                <w:color w:val="auto"/>
              </w:rPr>
            </w:pPr>
            <w:r>
              <w:rPr>
                <w:rFonts w:ascii="Arial" w:cs="Arial" w:eastAsia="Arial" w:hAnsi="Arial"/>
                <w:sz w:val="14"/>
                <w:szCs w:val="14"/>
                <w:color w:val="auto"/>
                <w:w w:val="91"/>
              </w:rPr>
              <w:t>Year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7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2019</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Arial" w:cs="Arial" w:eastAsia="Arial" w:hAnsi="Arial"/>
                <w:sz w:val="14"/>
                <w:szCs w:val="14"/>
                <w:color w:val="auto"/>
              </w:rPr>
              <w:t>2017</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CCEEFF"/>
            </w:tcBorders>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10,579</w:t>
            </w:r>
          </w:p>
        </w:tc>
        <w:tc>
          <w:tcPr>
            <w:tcW w:w="42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4,235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(1,821)</w:t>
            </w:r>
          </w:p>
        </w:tc>
      </w:tr>
      <w:tr>
        <w:trPr>
          <w:trHeight w:val="191"/>
        </w:trPr>
        <w:tc>
          <w:tcPr>
            <w:tcW w:w="700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Unrealized gain (loss) on available-for-sale securities</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440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91"/>
        </w:trPr>
        <w:tc>
          <w:tcPr>
            <w:tcW w:w="7000" w:type="dxa"/>
            <w:vAlign w:val="bottom"/>
          </w:tcPr>
          <w:p>
            <w:pPr>
              <w:ind w:left="300"/>
              <w:spacing w:after="0"/>
              <w:rPr>
                <w:sz w:val="20"/>
                <w:szCs w:val="20"/>
                <w:color w:val="auto"/>
              </w:rPr>
            </w:pPr>
            <w:r>
              <w:rPr>
                <w:rFonts w:ascii="Arial" w:cs="Arial" w:eastAsia="Arial" w:hAnsi="Arial"/>
                <w:sz w:val="14"/>
                <w:szCs w:val="14"/>
                <w:color w:val="auto"/>
              </w:rPr>
              <w:t>Benefit plan adjustments</w:t>
            </w:r>
          </w:p>
        </w:tc>
        <w:tc>
          <w:tcPr>
            <w:tcW w:w="8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404</w:t>
            </w: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SERP liability adjustments</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328</w:t>
            </w:r>
          </w:p>
        </w:tc>
      </w:tr>
      <w:tr>
        <w:trPr>
          <w:trHeight w:val="191"/>
        </w:trPr>
        <w:tc>
          <w:tcPr>
            <w:tcW w:w="7000" w:type="dxa"/>
            <w:vAlign w:val="bottom"/>
          </w:tcPr>
          <w:p>
            <w:pPr>
              <w:ind w:left="300"/>
              <w:spacing w:after="0"/>
              <w:rPr>
                <w:sz w:val="20"/>
                <w:szCs w:val="20"/>
                <w:color w:val="auto"/>
              </w:rPr>
            </w:pPr>
            <w:r>
              <w:rPr>
                <w:rFonts w:ascii="Arial" w:cs="Arial" w:eastAsia="Arial" w:hAnsi="Arial"/>
                <w:sz w:val="14"/>
                <w:szCs w:val="14"/>
                <w:color w:val="auto"/>
              </w:rPr>
              <w:t>Unrealized interest rate swap gains</w:t>
            </w:r>
          </w:p>
        </w:tc>
        <w:tc>
          <w:tcPr>
            <w:tcW w:w="860" w:type="dxa"/>
            <w:vAlign w:val="bottom"/>
          </w:tcPr>
          <w:p>
            <w:pPr>
              <w:spacing w:after="0"/>
              <w:rPr>
                <w:sz w:val="16"/>
                <w:szCs w:val="16"/>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w w:val="94"/>
              </w:rPr>
              <w:t>(2,809)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970</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Other comprehensive (loss) income before taxes</w:t>
            </w:r>
          </w:p>
        </w:tc>
        <w:tc>
          <w:tcPr>
            <w:tcW w:w="8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94"/>
              </w:rPr>
              <w:t>(2,658)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565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1,602</w:t>
            </w:r>
          </w:p>
        </w:tc>
      </w:tr>
      <w:tr>
        <w:trPr>
          <w:trHeight w:val="191"/>
        </w:trPr>
        <w:tc>
          <w:tcPr>
            <w:tcW w:w="7000" w:type="dxa"/>
            <w:vAlign w:val="bottom"/>
          </w:tcPr>
          <w:p>
            <w:pPr>
              <w:ind w:left="300"/>
              <w:spacing w:after="0"/>
              <w:rPr>
                <w:sz w:val="20"/>
                <w:szCs w:val="20"/>
                <w:color w:val="auto"/>
              </w:rPr>
            </w:pPr>
            <w:r>
              <w:rPr>
                <w:rFonts w:ascii="Arial" w:cs="Arial" w:eastAsia="Arial" w:hAnsi="Arial"/>
                <w:sz w:val="14"/>
                <w:szCs w:val="14"/>
                <w:color w:val="auto"/>
              </w:rPr>
              <w:t>Benefit (provision) for income taxes related to other comprehensive income items</w:t>
            </w:r>
          </w:p>
        </w:tc>
        <w:tc>
          <w:tcPr>
            <w:tcW w:w="8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(627)</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Other comprehensive (loss) income</w:t>
            </w:r>
          </w:p>
        </w:tc>
        <w:tc>
          <w:tcPr>
            <w:tcW w:w="8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94"/>
              </w:rPr>
              <w:t>(1,914)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407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975</w:t>
            </w: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8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8,665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4,642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(846)</w:t>
            </w:r>
          </w:p>
        </w:tc>
      </w:tr>
      <w:tr>
        <w:trPr>
          <w:trHeight w:val="22"/>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non-controlling interests</w:t>
            </w:r>
          </w:p>
        </w:tc>
        <w:tc>
          <w:tcPr>
            <w:tcW w:w="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1"/>
        </w:trPr>
        <w:tc>
          <w:tcPr>
            <w:tcW w:w="700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common stockholders</w:t>
            </w:r>
          </w:p>
        </w:tc>
        <w:tc>
          <w:tcPr>
            <w:tcW w:w="860" w:type="dxa"/>
            <w:vAlign w:val="bottom"/>
            <w:tcBorders>
              <w:top w:val="single" w:sz="8" w:color="auto"/>
            </w:tcBorders>
          </w:tcPr>
          <w:p>
            <w:pPr>
              <w:jc w:val="right"/>
              <w:ind w:right="689"/>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8,666</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4,662</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(822)</w:t>
            </w:r>
          </w:p>
        </w:tc>
      </w:tr>
      <w:tr>
        <w:trPr>
          <w:trHeight w:val="22"/>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00"/>
        <w:spacing w:after="0"/>
        <w:rPr>
          <w:sz w:val="20"/>
          <w:szCs w:val="20"/>
          <w:color w:val="auto"/>
        </w:rPr>
      </w:pPr>
      <w:r>
        <w:rPr>
          <w:rFonts w:ascii="Arial" w:cs="Arial" w:eastAsia="Arial" w:hAnsi="Arial"/>
          <w:sz w:val="10"/>
          <w:szCs w:val="10"/>
          <w:color w:val="auto"/>
        </w:rPr>
        <w:t>See accompanying notes.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294" w:right="319" w:bottom="1440" w:gutter="0" w:footer="0" w:header="0"/>
        </w:sectPr>
      </w:pPr>
    </w:p>
    <w:bookmarkStart w:id="74" w:name="page75"/>
    <w:bookmarkEnd w:id="74"/>
    <w:p>
      <w:pPr>
        <w:ind w:left="4620"/>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in thousands, except share information)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9"/>
        </w:trPr>
        <w:tc>
          <w:tcPr>
            <w:tcW w:w="362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Common</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Additional</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Total</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9"/>
        </w:trPr>
        <w:tc>
          <w:tcPr>
            <w:tcW w:w="362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Stock Shares</w:t>
            </w:r>
          </w:p>
        </w:tc>
        <w:tc>
          <w:tcPr>
            <w:tcW w:w="10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Common</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Paid-In</w:t>
            </w: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Comprehensive</w:t>
            </w:r>
          </w:p>
        </w:tc>
        <w:tc>
          <w:tcPr>
            <w:tcW w:w="1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Retained</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color w:val="auto"/>
                <w:w w:val="87"/>
              </w:rPr>
              <w:t>Stockholders'</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Noncontrolling</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1"/>
        </w:trPr>
        <w:tc>
          <w:tcPr>
            <w:tcW w:w="36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Outstanding</w:t>
            </w: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color w:val="auto"/>
                <w:w w:val="92"/>
              </w:rPr>
              <w:t>Stock</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Capital</w:t>
            </w: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Loss</w:t>
            </w: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Equity</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color w:val="auto"/>
                <w:w w:val="87"/>
              </w:rPr>
              <w:t>Interest</w:t>
            </w:r>
          </w:p>
        </w:tc>
        <w:tc>
          <w:tcPr>
            <w:tcW w:w="100" w:type="dxa"/>
            <w:vAlign w:val="bottom"/>
          </w:tcPr>
          <w:p>
            <w:pPr>
              <w:spacing w:after="0"/>
              <w:rPr>
                <w:sz w:val="14"/>
                <w:szCs w:val="14"/>
                <w:color w:val="auto"/>
              </w:rPr>
            </w:pPr>
          </w:p>
        </w:tc>
        <w:tc>
          <w:tcPr>
            <w:tcW w:w="780" w:type="dxa"/>
            <w:vAlign w:val="bottom"/>
          </w:tcPr>
          <w:p>
            <w:pPr>
              <w:jc w:val="right"/>
              <w:ind w:right="70"/>
              <w:spacing w:after="0"/>
              <w:rPr>
                <w:sz w:val="20"/>
                <w:szCs w:val="20"/>
                <w:color w:val="auto"/>
              </w:rPr>
            </w:pPr>
            <w:r>
              <w:rPr>
                <w:rFonts w:ascii="Arial" w:cs="Arial" w:eastAsia="Arial" w:hAnsi="Arial"/>
                <w:sz w:val="13"/>
                <w:szCs w:val="13"/>
                <w:color w:val="auto"/>
                <w:w w:val="90"/>
              </w:rPr>
              <w:t>Total Equity</w:t>
            </w:r>
          </w:p>
        </w:tc>
      </w:tr>
      <w:tr>
        <w:trPr>
          <w:trHeight w:val="26"/>
        </w:trPr>
        <w:tc>
          <w:tcPr>
            <w:tcW w:w="3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2016</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20,810,301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10,405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229,762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(6,239)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72,189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306,117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28,592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334,709</w:t>
            </w: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(1,821)</w:t>
            </w:r>
          </w:p>
        </w:tc>
      </w:tr>
      <w:tr>
        <w:trPr>
          <w:trHeight w:val="22"/>
        </w:trPr>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975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975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975</w:t>
            </w: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Restricted stock issuance</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136,777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
        </w:trPr>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4,107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4,107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4,107</w:t>
            </w: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w w:val="99"/>
              </w:rPr>
              <w:t>Shares withheld for taxes and tax benefit of vested shares</w:t>
            </w:r>
          </w:p>
        </w:tc>
        <w:tc>
          <w:tcPr>
            <w:tcW w:w="900" w:type="dxa"/>
            <w:vAlign w:val="bottom"/>
          </w:tcPr>
          <w:p>
            <w:pPr>
              <w:jc w:val="right"/>
              <w:spacing w:after="0"/>
              <w:rPr>
                <w:sz w:val="20"/>
                <w:szCs w:val="20"/>
                <w:color w:val="auto"/>
              </w:rPr>
            </w:pPr>
            <w:r>
              <w:rPr>
                <w:rFonts w:ascii="Arial" w:cs="Arial" w:eastAsia="Arial" w:hAnsi="Arial"/>
                <w:sz w:val="14"/>
                <w:szCs w:val="14"/>
                <w:color w:val="auto"/>
              </w:rPr>
              <w:t>(52,901)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(1,026)</w:t>
            </w:r>
          </w:p>
        </w:tc>
      </w:tr>
      <w:tr>
        <w:trPr>
          <w:trHeight w:val="22"/>
        </w:trPr>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Rights offering, net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5,000,596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2,500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87,367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89,867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89,867</w:t>
            </w:r>
          </w:p>
        </w:tc>
      </w:tr>
      <w:tr>
        <w:trPr>
          <w:trHeight w:val="181"/>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25,894,773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12,947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320,167</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(5,264)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70,392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398,242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28,568</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426,810</w:t>
            </w:r>
          </w:p>
        </w:tc>
      </w:tr>
      <w:tr>
        <w:trPr>
          <w:trHeight w:val="22"/>
        </w:trPr>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4,255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4,255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4,235</w:t>
            </w: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407</w:t>
            </w:r>
          </w:p>
        </w:tc>
      </w:tr>
      <w:tr>
        <w:trPr>
          <w:trHeight w:val="22"/>
        </w:trPr>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 issuance</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124,597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4,480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4,480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4,480</w:t>
            </w:r>
          </w:p>
        </w:tc>
      </w:tr>
      <w:tr>
        <w:trPr>
          <w:trHeight w:val="22"/>
        </w:trPr>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Shares withheld for taxes and tax benefit of vested shares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(47,290)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(1,071)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Rights offering, net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2"/>
        </w:trPr>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Centennial redemption of withdrawing member interest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13,172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13,172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(13,172)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r>
      <w:tr>
        <w:trPr>
          <w:trHeight w:val="181"/>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25,972,080</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12,986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336,520</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(4,857)</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74,647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419,296</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15,376</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434,672</w:t>
            </w:r>
          </w:p>
        </w:tc>
      </w:tr>
      <w:tr>
        <w:trPr>
          <w:trHeight w:val="22"/>
        </w:trPr>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10,580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10,580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10,579</w:t>
            </w: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(1,914)</w:t>
            </w:r>
          </w:p>
        </w:tc>
      </w:tr>
      <w:tr>
        <w:trPr>
          <w:trHeight w:val="22"/>
        </w:trPr>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 issuance</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221,267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3,958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3,958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3,958</w:t>
            </w:r>
          </w:p>
        </w:tc>
      </w:tr>
      <w:tr>
        <w:trPr>
          <w:trHeight w:val="22"/>
        </w:trPr>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Shares withheld for taxes and tax benefit of vested shares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(96,550)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(1,623)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r>
      <w:tr>
        <w:trPr>
          <w:trHeight w:val="181"/>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26,096,797</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13,048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338,745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(6,771)</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85,227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430,249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15,375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445,624</w:t>
            </w:r>
          </w:p>
        </w:tc>
      </w:tr>
      <w:tr>
        <w:trPr>
          <w:trHeight w:val="22"/>
        </w:trPr>
        <w:tc>
          <w:tcPr>
            <w:tcW w:w="3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See accompanying notes.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300" w:top="294"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3"/>
          <w:szCs w:val="13"/>
          <w:b w:val="1"/>
          <w:bCs w:val="1"/>
          <w:color w:val="auto"/>
        </w:rPr>
        <w:t>Tejon Ranch Co.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
              <w:spacing w:after="0"/>
              <w:rPr>
                <w:sz w:val="20"/>
                <w:szCs w:val="20"/>
                <w:color w:val="auto"/>
              </w:rPr>
            </w:pPr>
            <w:r>
              <w:rPr>
                <w:rFonts w:ascii="Arial" w:cs="Arial" w:eastAsia="Arial" w:hAnsi="Arial"/>
                <w:sz w:val="13"/>
                <w:szCs w:val="13"/>
                <w:color w:val="auto"/>
              </w:rPr>
              <w:t>Twelve Months Ended December 31,</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70"/>
              <w:spacing w:after="0"/>
              <w:rPr>
                <w:sz w:val="20"/>
                <w:szCs w:val="20"/>
                <w:color w:val="auto"/>
              </w:rPr>
            </w:pPr>
            <w:r>
              <w:rPr>
                <w:rFonts w:ascii="Arial" w:cs="Arial" w:eastAsia="Arial" w:hAnsi="Arial"/>
                <w:sz w:val="13"/>
                <w:szCs w:val="13"/>
                <w:color w:val="auto"/>
              </w:rPr>
              <w:t>2019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69"/>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349"/>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12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51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2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10,579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4,235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(1,821)</w:t>
            </w:r>
          </w:p>
        </w:tc>
        <w:tc>
          <w:tcPr>
            <w:tcW w:w="0" w:type="dxa"/>
            <w:vAlign w:val="bottom"/>
          </w:tcPr>
          <w:p>
            <w:pPr>
              <w:spacing w:after="0"/>
              <w:rPr>
                <w:sz w:val="1"/>
                <w:szCs w:val="1"/>
                <w:color w:val="auto"/>
              </w:rPr>
            </w:pPr>
          </w:p>
        </w:tc>
      </w:tr>
      <w:tr>
        <w:trPr>
          <w:trHeight w:val="176"/>
        </w:trPr>
        <w:tc>
          <w:tcPr>
            <w:tcW w:w="5120" w:type="dxa"/>
            <w:vAlign w:val="bottom"/>
          </w:tcPr>
          <w:p>
            <w:pPr>
              <w:ind w:left="220"/>
              <w:spacing w:after="0"/>
              <w:rPr>
                <w:sz w:val="20"/>
                <w:szCs w:val="20"/>
                <w:color w:val="auto"/>
              </w:rPr>
            </w:pPr>
            <w:r>
              <w:rPr>
                <w:rFonts w:ascii="Arial" w:cs="Arial" w:eastAsia="Arial" w:hAnsi="Arial"/>
                <w:sz w:val="13"/>
                <w:szCs w:val="13"/>
                <w:color w:val="auto"/>
                <w:w w:val="98"/>
              </w:rPr>
              <w:t>Adjustments to reconcile net income (loss) to net cash provided by operating activities:</w:t>
            </w: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Depreciation and amortization</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5,036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5,424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5,689</w:t>
            </w:r>
          </w:p>
        </w:tc>
        <w:tc>
          <w:tcPr>
            <w:tcW w:w="0" w:type="dxa"/>
            <w:vAlign w:val="bottom"/>
          </w:tcPr>
          <w:p>
            <w:pPr>
              <w:spacing w:after="0"/>
              <w:rPr>
                <w:sz w:val="1"/>
                <w:szCs w:val="1"/>
                <w:color w:val="auto"/>
              </w:rPr>
            </w:pPr>
          </w:p>
        </w:tc>
      </w:tr>
      <w:tr>
        <w:trPr>
          <w:trHeight w:val="191"/>
        </w:trPr>
        <w:tc>
          <w:tcPr>
            <w:tcW w:w="5120" w:type="dxa"/>
            <w:vAlign w:val="bottom"/>
          </w:tcPr>
          <w:p>
            <w:pPr>
              <w:ind w:left="380"/>
              <w:spacing w:after="0"/>
              <w:rPr>
                <w:sz w:val="20"/>
                <w:szCs w:val="20"/>
                <w:color w:val="auto"/>
              </w:rPr>
            </w:pPr>
            <w:r>
              <w:rPr>
                <w:rFonts w:ascii="Arial" w:cs="Arial" w:eastAsia="Arial" w:hAnsi="Arial"/>
                <w:sz w:val="13"/>
                <w:szCs w:val="13"/>
                <w:color w:val="auto"/>
              </w:rPr>
              <w:t>Amortization of premium/discount of marketable securities</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Equity in earnings of unconsolidated joint ventures, net</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(16,575)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191"/>
        </w:trPr>
        <w:tc>
          <w:tcPr>
            <w:tcW w:w="5120" w:type="dxa"/>
            <w:vAlign w:val="bottom"/>
          </w:tcPr>
          <w:p>
            <w:pPr>
              <w:ind w:left="380"/>
              <w:spacing w:after="0"/>
              <w:rPr>
                <w:sz w:val="20"/>
                <w:szCs w:val="20"/>
                <w:color w:val="auto"/>
              </w:rPr>
            </w:pPr>
            <w:r>
              <w:rPr>
                <w:rFonts w:ascii="Arial" w:cs="Arial" w:eastAsia="Arial" w:hAnsi="Arial"/>
                <w:sz w:val="13"/>
                <w:szCs w:val="13"/>
                <w:color w:val="auto"/>
              </w:rPr>
              <w:t>Non-cash retirement plan expense</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Loss on sale of real estate/assets</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1"/>
        </w:trPr>
        <w:tc>
          <w:tcPr>
            <w:tcW w:w="5120" w:type="dxa"/>
            <w:vAlign w:val="bottom"/>
          </w:tcPr>
          <w:p>
            <w:pPr>
              <w:ind w:left="380"/>
              <w:spacing w:after="0"/>
              <w:rPr>
                <w:sz w:val="20"/>
                <w:szCs w:val="20"/>
                <w:color w:val="auto"/>
              </w:rPr>
            </w:pPr>
            <w:r>
              <w:rPr>
                <w:rFonts w:ascii="Arial" w:cs="Arial" w:eastAsia="Arial" w:hAnsi="Arial"/>
                <w:sz w:val="13"/>
                <w:szCs w:val="13"/>
                <w:color w:val="auto"/>
              </w:rPr>
              <w:t>Non-cash profits recognized from land contribution</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Deferred income taxes</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1,259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1"/>
        </w:trPr>
        <w:tc>
          <w:tcPr>
            <w:tcW w:w="5120" w:type="dxa"/>
            <w:vAlign w:val="bottom"/>
          </w:tcPr>
          <w:p>
            <w:pPr>
              <w:ind w:left="380"/>
              <w:spacing w:after="0"/>
              <w:rPr>
                <w:sz w:val="20"/>
                <w:szCs w:val="20"/>
                <w:color w:val="auto"/>
              </w:rPr>
            </w:pPr>
            <w:r>
              <w:rPr>
                <w:rFonts w:ascii="Arial" w:cs="Arial" w:eastAsia="Arial" w:hAnsi="Arial"/>
                <w:sz w:val="13"/>
                <w:szCs w:val="13"/>
                <w:color w:val="auto"/>
              </w:rPr>
              <w:t>Stock compensation expense</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3,198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3,248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Excess tax benefit of stock-based compensation</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1"/>
        </w:trPr>
        <w:tc>
          <w:tcPr>
            <w:tcW w:w="5120" w:type="dxa"/>
            <w:vAlign w:val="bottom"/>
          </w:tcPr>
          <w:p>
            <w:pPr>
              <w:ind w:left="380"/>
              <w:spacing w:after="0"/>
              <w:rPr>
                <w:sz w:val="20"/>
                <w:szCs w:val="20"/>
                <w:color w:val="auto"/>
              </w:rPr>
            </w:pPr>
            <w:r>
              <w:rPr>
                <w:rFonts w:ascii="Arial" w:cs="Arial" w:eastAsia="Arial" w:hAnsi="Arial"/>
                <w:sz w:val="13"/>
                <w:szCs w:val="13"/>
                <w:color w:val="auto"/>
              </w:rPr>
              <w:t>Abandonment expense</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1,604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Distribution of earnings from unconsolidated joint ventures</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15,381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4,800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7,200</w:t>
            </w:r>
          </w:p>
        </w:tc>
        <w:tc>
          <w:tcPr>
            <w:tcW w:w="0" w:type="dxa"/>
            <w:vAlign w:val="bottom"/>
          </w:tcPr>
          <w:p>
            <w:pPr>
              <w:spacing w:after="0"/>
              <w:rPr>
                <w:sz w:val="1"/>
                <w:szCs w:val="1"/>
                <w:color w:val="auto"/>
              </w:rPr>
            </w:pPr>
          </w:p>
        </w:tc>
      </w:tr>
      <w:tr>
        <w:trPr>
          <w:trHeight w:val="176"/>
        </w:trPr>
        <w:tc>
          <w:tcPr>
            <w:tcW w:w="5120" w:type="dxa"/>
            <w:vAlign w:val="bottom"/>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Receivables, inventories, prepaids and other assets, net</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91"/>
        </w:trPr>
        <w:tc>
          <w:tcPr>
            <w:tcW w:w="5120" w:type="dxa"/>
            <w:vAlign w:val="bottom"/>
          </w:tcPr>
          <w:p>
            <w:pPr>
              <w:ind w:left="380"/>
              <w:spacing w:after="0"/>
              <w:rPr>
                <w:sz w:val="20"/>
                <w:szCs w:val="20"/>
                <w:color w:val="auto"/>
              </w:rPr>
            </w:pPr>
            <w:r>
              <w:rPr>
                <w:rFonts w:ascii="Arial" w:cs="Arial" w:eastAsia="Arial" w:hAnsi="Arial"/>
                <w:sz w:val="13"/>
                <w:szCs w:val="13"/>
                <w:color w:val="auto"/>
              </w:rPr>
              <w:t>Current liabilities, net</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2,646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22"/>
        </w:trPr>
        <w:tc>
          <w:tcPr>
            <w:tcW w:w="51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25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16,045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14,354</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9,830</w:t>
            </w: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Maturities and sales of marketable securities</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53,418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35,219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8,126</w:t>
            </w:r>
          </w:p>
        </w:tc>
        <w:tc>
          <w:tcPr>
            <w:tcW w:w="0" w:type="dxa"/>
            <w:vAlign w:val="bottom"/>
          </w:tcPr>
          <w:p>
            <w:pPr>
              <w:spacing w:after="0"/>
              <w:rPr>
                <w:sz w:val="1"/>
                <w:szCs w:val="1"/>
                <w:color w:val="auto"/>
              </w:rPr>
            </w:pPr>
          </w:p>
        </w:tc>
      </w:tr>
      <w:tr>
        <w:trPr>
          <w:trHeight w:val="191"/>
        </w:trPr>
        <w:tc>
          <w:tcPr>
            <w:tcW w:w="5120" w:type="dxa"/>
            <w:vAlign w:val="bottom"/>
          </w:tcPr>
          <w:p>
            <w:pPr>
              <w:ind w:left="140"/>
              <w:spacing w:after="0"/>
              <w:rPr>
                <w:sz w:val="20"/>
                <w:szCs w:val="20"/>
                <w:color w:val="auto"/>
              </w:rPr>
            </w:pPr>
            <w:r>
              <w:rPr>
                <w:rFonts w:ascii="Arial" w:cs="Arial" w:eastAsia="Arial" w:hAnsi="Arial"/>
                <w:sz w:val="13"/>
                <w:szCs w:val="13"/>
                <w:color w:val="auto"/>
              </w:rPr>
              <w:t>Purchases of marketable securities</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(28,219)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(52,716)</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Real estate and equipment expenditures</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(25,222)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(22,580)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(21,709)</w:t>
            </w:r>
          </w:p>
        </w:tc>
        <w:tc>
          <w:tcPr>
            <w:tcW w:w="0" w:type="dxa"/>
            <w:vAlign w:val="bottom"/>
          </w:tcPr>
          <w:p>
            <w:pPr>
              <w:spacing w:after="0"/>
              <w:rPr>
                <w:sz w:val="1"/>
                <w:szCs w:val="1"/>
                <w:color w:val="auto"/>
              </w:rPr>
            </w:pPr>
          </w:p>
        </w:tc>
      </w:tr>
      <w:tr>
        <w:trPr>
          <w:trHeight w:val="191"/>
        </w:trPr>
        <w:tc>
          <w:tcPr>
            <w:tcW w:w="5120" w:type="dxa"/>
            <w:vAlign w:val="bottom"/>
          </w:tcPr>
          <w:p>
            <w:pPr>
              <w:ind w:left="140"/>
              <w:spacing w:after="0"/>
              <w:rPr>
                <w:sz w:val="20"/>
                <w:szCs w:val="20"/>
                <w:color w:val="auto"/>
              </w:rPr>
            </w:pPr>
            <w:r>
              <w:rPr>
                <w:rFonts w:ascii="Arial" w:cs="Arial" w:eastAsia="Arial" w:hAnsi="Arial"/>
                <w:sz w:val="13"/>
                <w:szCs w:val="13"/>
                <w:color w:val="auto"/>
              </w:rPr>
              <w:t>Reimbursement proceeds from Communities Facilities District</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4,180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3,588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Investment in unconsolidated joint ventures</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91"/>
        </w:trPr>
        <w:tc>
          <w:tcPr>
            <w:tcW w:w="5120" w:type="dxa"/>
            <w:vAlign w:val="bottom"/>
          </w:tcPr>
          <w:p>
            <w:pPr>
              <w:ind w:left="140"/>
              <w:spacing w:after="0"/>
              <w:rPr>
                <w:sz w:val="20"/>
                <w:szCs w:val="20"/>
                <w:color w:val="auto"/>
              </w:rPr>
            </w:pPr>
            <w:r>
              <w:rPr>
                <w:rFonts w:ascii="Arial" w:cs="Arial" w:eastAsia="Arial" w:hAnsi="Arial"/>
                <w:sz w:val="13"/>
                <w:szCs w:val="13"/>
                <w:color w:val="auto"/>
              </w:rPr>
              <w:t>Distribution of equity from unconsolidated joint ventures</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3,457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2,815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3,114</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Investments in long-term water assets</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(4,717)</w:t>
            </w:r>
          </w:p>
        </w:tc>
        <w:tc>
          <w:tcPr>
            <w:tcW w:w="0" w:type="dxa"/>
            <w:vAlign w:val="bottom"/>
          </w:tcPr>
          <w:p>
            <w:pPr>
              <w:spacing w:after="0"/>
              <w:rPr>
                <w:sz w:val="1"/>
                <w:szCs w:val="1"/>
                <w:color w:val="auto"/>
              </w:rPr>
            </w:pPr>
          </w:p>
        </w:tc>
      </w:tr>
      <w:tr>
        <w:trPr>
          <w:trHeight w:val="191"/>
        </w:trPr>
        <w:tc>
          <w:tcPr>
            <w:tcW w:w="5120" w:type="dxa"/>
            <w:vAlign w:val="bottom"/>
          </w:tcPr>
          <w:p>
            <w:pPr>
              <w:ind w:left="140"/>
              <w:spacing w:after="0"/>
              <w:rPr>
                <w:sz w:val="20"/>
                <w:szCs w:val="20"/>
                <w:color w:val="auto"/>
              </w:rPr>
            </w:pPr>
            <w:r>
              <w:rPr>
                <w:rFonts w:ascii="Arial" w:cs="Arial" w:eastAsia="Arial" w:hAnsi="Arial"/>
                <w:sz w:val="13"/>
                <w:szCs w:val="13"/>
                <w:color w:val="auto"/>
              </w:rPr>
              <w:t>Other</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
        </w:trPr>
        <w:tc>
          <w:tcPr>
            <w:tcW w:w="51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by/(used) in investing activities</w:t>
            </w:r>
          </w:p>
        </w:tc>
        <w:tc>
          <w:tcPr>
            <w:tcW w:w="25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828</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(13,246)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(68,214)</w:t>
            </w: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Borrowings of line of credit</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5,000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13,300</w:t>
            </w:r>
          </w:p>
        </w:tc>
        <w:tc>
          <w:tcPr>
            <w:tcW w:w="0" w:type="dxa"/>
            <w:vAlign w:val="bottom"/>
          </w:tcPr>
          <w:p>
            <w:pPr>
              <w:spacing w:after="0"/>
              <w:rPr>
                <w:sz w:val="1"/>
                <w:szCs w:val="1"/>
                <w:color w:val="auto"/>
              </w:rPr>
            </w:pPr>
          </w:p>
        </w:tc>
      </w:tr>
      <w:tr>
        <w:trPr>
          <w:trHeight w:val="191"/>
        </w:trPr>
        <w:tc>
          <w:tcPr>
            <w:tcW w:w="5120" w:type="dxa"/>
            <w:vAlign w:val="bottom"/>
          </w:tcPr>
          <w:p>
            <w:pPr>
              <w:ind w:left="140"/>
              <w:spacing w:after="0"/>
              <w:rPr>
                <w:sz w:val="20"/>
                <w:szCs w:val="20"/>
                <w:color w:val="auto"/>
              </w:rPr>
            </w:pPr>
            <w:r>
              <w:rPr>
                <w:rFonts w:ascii="Arial" w:cs="Arial" w:eastAsia="Arial" w:hAnsi="Arial"/>
                <w:sz w:val="13"/>
                <w:szCs w:val="13"/>
                <w:color w:val="auto"/>
              </w:rPr>
              <w:t>Repayments of line of credit</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Repayments of long-term debt</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(3,908)</w:t>
            </w:r>
          </w:p>
        </w:tc>
        <w:tc>
          <w:tcPr>
            <w:tcW w:w="0" w:type="dxa"/>
            <w:vAlign w:val="bottom"/>
          </w:tcPr>
          <w:p>
            <w:pPr>
              <w:spacing w:after="0"/>
              <w:rPr>
                <w:sz w:val="1"/>
                <w:szCs w:val="1"/>
                <w:color w:val="auto"/>
              </w:rPr>
            </w:pPr>
          </w:p>
        </w:tc>
      </w:tr>
      <w:tr>
        <w:trPr>
          <w:trHeight w:val="191"/>
        </w:trPr>
        <w:tc>
          <w:tcPr>
            <w:tcW w:w="5120" w:type="dxa"/>
            <w:vAlign w:val="bottom"/>
          </w:tcPr>
          <w:p>
            <w:pPr>
              <w:ind w:left="140"/>
              <w:spacing w:after="0"/>
              <w:rPr>
                <w:sz w:val="20"/>
                <w:szCs w:val="20"/>
                <w:color w:val="auto"/>
              </w:rPr>
            </w:pPr>
            <w:r>
              <w:rPr>
                <w:rFonts w:ascii="Arial" w:cs="Arial" w:eastAsia="Arial" w:hAnsi="Arial"/>
                <w:sz w:val="13"/>
                <w:szCs w:val="13"/>
                <w:color w:val="auto"/>
              </w:rPr>
              <w:t>Net proceeds from rights offering</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89,867</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Taxes on vested stock grants</w:t>
            </w:r>
          </w:p>
        </w:tc>
        <w:tc>
          <w:tcPr>
            <w:tcW w:w="25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81"/>
        </w:trPr>
        <w:tc>
          <w:tcPr>
            <w:tcW w:w="5120" w:type="dxa"/>
            <w:vAlign w:val="bottom"/>
          </w:tcPr>
          <w:p>
            <w:pPr>
              <w:ind w:left="20"/>
              <w:spacing w:after="0"/>
              <w:rPr>
                <w:sz w:val="20"/>
                <w:szCs w:val="20"/>
                <w:color w:val="auto"/>
              </w:rPr>
            </w:pPr>
            <w:r>
              <w:rPr>
                <w:rFonts w:ascii="Arial" w:cs="Arial" w:eastAsia="Arial" w:hAnsi="Arial"/>
                <w:sz w:val="13"/>
                <w:szCs w:val="13"/>
                <w:color w:val="auto"/>
              </w:rPr>
              <w:t>Net cash (used in)/provided by financing activities</w:t>
            </w:r>
          </w:p>
        </w:tc>
        <w:tc>
          <w:tcPr>
            <w:tcW w:w="25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(5,675)</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(5,307)</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77,233</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Increase (decrease) in cash and cash equivalents</w:t>
            </w:r>
          </w:p>
        </w:tc>
        <w:tc>
          <w:tcPr>
            <w:tcW w:w="2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11,198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18,849</w:t>
            </w:r>
          </w:p>
        </w:tc>
        <w:tc>
          <w:tcPr>
            <w:tcW w:w="0" w:type="dxa"/>
            <w:vAlign w:val="bottom"/>
          </w:tcPr>
          <w:p>
            <w:pPr>
              <w:spacing w:after="0"/>
              <w:rPr>
                <w:sz w:val="1"/>
                <w:szCs w:val="1"/>
                <w:color w:val="auto"/>
              </w:rPr>
            </w:pPr>
          </w:p>
        </w:tc>
      </w:tr>
      <w:tr>
        <w:trPr>
          <w:trHeight w:val="191"/>
        </w:trPr>
        <w:tc>
          <w:tcPr>
            <w:tcW w:w="5120" w:type="dxa"/>
            <w:vAlign w:val="bottom"/>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15,908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20,107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22"/>
        </w:trPr>
        <w:tc>
          <w:tcPr>
            <w:tcW w:w="51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2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27,106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15,908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20,107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1889"/>
              <w:spacing w:after="0"/>
              <w:rPr>
                <w:sz w:val="20"/>
                <w:szCs w:val="20"/>
                <w:color w:val="auto"/>
              </w:rPr>
            </w:pPr>
            <w:r>
              <w:rPr>
                <w:rFonts w:ascii="Arial" w:cs="Arial" w:eastAsia="Arial" w:hAnsi="Arial"/>
                <w:sz w:val="14"/>
                <w:szCs w:val="14"/>
                <w:color w:val="auto"/>
              </w:rPr>
              <w:t>76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1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68" w:right="31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Non-cash investing activities</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7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Accrued capital and water expenditures included in current liabilities</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785</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2,390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3"/>
                <w:szCs w:val="13"/>
                <w:color w:val="auto"/>
              </w:rPr>
              <w:t>Contribution to unconsolidated joint venture</w:t>
            </w:r>
            <w:r>
              <w:rPr>
                <w:rFonts w:ascii="Arial" w:cs="Arial" w:eastAsia="Arial" w:hAnsi="Arial"/>
                <w:sz w:val="16"/>
                <w:szCs w:val="16"/>
                <w:color w:val="auto"/>
                <w:vertAlign w:val="superscript"/>
              </w:rPr>
              <w:t>1</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8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8,658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184"/>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 term deferred profit on land contribution</w:t>
            </w:r>
            <w:r>
              <w:rPr>
                <w:rFonts w:ascii="Arial" w:cs="Arial" w:eastAsia="Arial" w:hAnsi="Arial"/>
                <w:sz w:val="16"/>
                <w:szCs w:val="16"/>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2,038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80" w:right="140" w:firstLine="10"/>
        <w:spacing w:after="0" w:line="316" w:lineRule="auto"/>
        <w:tabs>
          <w:tab w:leader="none" w:pos="144" w:val="left"/>
        </w:tabs>
        <w:numPr>
          <w:ilvl w:val="0"/>
          <w:numId w:val="34"/>
        </w:numPr>
        <w:rPr>
          <w:rFonts w:ascii="Arial" w:cs="Arial" w:eastAsia="Arial" w:hAnsi="Arial"/>
          <w:sz w:val="14"/>
          <w:szCs w:val="14"/>
          <w:color w:val="auto"/>
          <w:vertAlign w:val="superscript"/>
        </w:rPr>
      </w:pPr>
      <w:r>
        <w:rPr>
          <w:rFonts w:ascii="Arial" w:cs="Arial" w:eastAsia="Arial" w:hAnsi="Arial"/>
          <w:sz w:val="10"/>
          <w:szCs w:val="10"/>
          <w:color w:val="auto"/>
        </w:rPr>
        <w:t>In April 2019, the Company contributed land with a fair value of $5.9 million to TRC-MRC 3, LLC, an unconsolidated joint venture formed to pursue the development, construction, leasing, and management of a 579,040 square foot industrial building on the Company's property at TRCC-East. The total cost of the land, inclusive of transaction costs was $2.8 million. The Company recognized $1.5 million in profit and deferred $1.5 million after applying the five-step revenue recognition model in accordance with Accounting Standards Codification (ASC) Topic 606 — Revenue From Contracts With Customers and ASC Topic 323, Investments — Equity Method and Joint Ventures.</w:t>
      </w:r>
    </w:p>
    <w:p>
      <w:pPr>
        <w:spacing w:after="0" w:line="281" w:lineRule="exact"/>
        <w:rPr>
          <w:sz w:val="20"/>
          <w:szCs w:val="20"/>
          <w:color w:val="auto"/>
        </w:rPr>
      </w:pPr>
    </w:p>
    <w:p>
      <w:pPr>
        <w:ind w:left="80" w:right="180" w:firstLine="64"/>
        <w:spacing w:after="0" w:line="297" w:lineRule="auto"/>
        <w:rPr>
          <w:sz w:val="20"/>
          <w:szCs w:val="20"/>
          <w:color w:val="auto"/>
        </w:rPr>
      </w:pPr>
      <w:r>
        <w:rPr>
          <w:rFonts w:ascii="Arial" w:cs="Arial" w:eastAsia="Arial" w:hAnsi="Arial"/>
          <w:sz w:val="12"/>
          <w:szCs w:val="12"/>
          <w:color w:val="auto"/>
        </w:rPr>
        <w:t>In December 2019, the Company contributed a newly constructed commercial multi-tenant building and underlying land with an aggregate fair value of $2.8 million to TA/Petro, an unconsolidated joint venture. The total cost of the building construction and land was $2.0 million. The Company recognized $0.3 million in profit and deferred $0.5 million after applying the five-step revenue recognition model in accordance with Accounting Standards Codification (ASC) Topic 606 — Revenue From Contracts With Customers and ASC Topic 323, Investments — Equity Method and Joint Ventures.</w:t>
      </w:r>
    </w:p>
    <w:p>
      <w:pPr>
        <w:spacing w:after="0" w:line="124" w:lineRule="exact"/>
        <w:rPr>
          <w:sz w:val="20"/>
          <w:szCs w:val="20"/>
          <w:color w:val="auto"/>
        </w:rPr>
      </w:pPr>
    </w:p>
    <w:p>
      <w:pPr>
        <w:ind w:left="80" w:right="100"/>
        <w:spacing w:after="0" w:line="274" w:lineRule="auto"/>
        <w:rPr>
          <w:sz w:val="20"/>
          <w:szCs w:val="20"/>
          <w:color w:val="auto"/>
        </w:rPr>
      </w:pPr>
      <w:r>
        <w:rPr>
          <w:rFonts w:ascii="Arial" w:cs="Arial" w:eastAsia="Arial" w:hAnsi="Arial"/>
          <w:sz w:val="13"/>
          <w:szCs w:val="13"/>
          <w:color w:val="auto"/>
        </w:rPr>
        <w:t>Historically, cash outflows related to land development expenditures were accounted for within investing activities. For consistency, the Company will continue to classify cash outflows and cash inflows related to land development as investing activities.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See accompanying notes.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80"/>
          </w:cols>
          <w:pgMar w:left="300" w:top="595" w:right="31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4"/>
          <w:szCs w:val="14"/>
          <w:b w:val="1"/>
          <w:bCs w:val="1"/>
          <w:color w:val="auto"/>
        </w:rPr>
        <w:t>Tejon Ranch Co.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2019</w:t>
      </w:r>
    </w:p>
    <w:p>
      <w:pPr>
        <w:spacing w:after="0" w:line="28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tab/>
        <w:t>SUMMARY OF SIGNIFICANT ACCOUNTING POLICIES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Company</w:t>
      </w:r>
    </w:p>
    <w:p>
      <w:pPr>
        <w:spacing w:after="0" w:line="76"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Tejon Ranch Co. (the Company, Tejon, we, us and our) is a diversified real estate development and agribusiness company committed to responsibly using our land and resources to meet the housing, employment, and lifestyle needs of Californians. Current operations consist of land planning and entitlement, land development, commercial land sales and leasing, leasing of land for mineral royalties, water asset management and sales, grazing leases, and farming.</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These activities are performed through our five reporting segments:</w:t>
      </w:r>
    </w:p>
    <w:p>
      <w:pPr>
        <w:spacing w:after="0" w:line="72" w:lineRule="exact"/>
        <w:rPr>
          <w:sz w:val="20"/>
          <w:szCs w:val="20"/>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Real Estate - Commercial/Industrial</w:t>
      </w:r>
    </w:p>
    <w:p>
      <w:pPr>
        <w:spacing w:after="0" w:line="72"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Real Estate - Resort/Residential</w:t>
      </w:r>
    </w:p>
    <w:p>
      <w:pPr>
        <w:spacing w:after="0" w:line="72"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Mineral Resources</w:t>
      </w:r>
    </w:p>
    <w:p>
      <w:pPr>
        <w:spacing w:after="0" w:line="72"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Farming</w:t>
      </w:r>
    </w:p>
    <w:p>
      <w:pPr>
        <w:spacing w:after="0" w:line="72"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Ranch Operations</w:t>
      </w:r>
    </w:p>
    <w:p>
      <w:pPr>
        <w:spacing w:after="0" w:line="72" w:lineRule="exact"/>
        <w:rPr>
          <w:sz w:val="20"/>
          <w:szCs w:val="20"/>
          <w:color w:val="auto"/>
        </w:rPr>
      </w:pPr>
    </w:p>
    <w:p>
      <w:pPr>
        <w:ind w:right="400"/>
        <w:spacing w:after="0" w:line="267" w:lineRule="auto"/>
        <w:rPr>
          <w:sz w:val="20"/>
          <w:szCs w:val="20"/>
          <w:color w:val="auto"/>
        </w:rPr>
      </w:pPr>
      <w:r>
        <w:rPr>
          <w:rFonts w:ascii="Arial" w:cs="Arial" w:eastAsia="Arial" w:hAnsi="Arial"/>
          <w:sz w:val="14"/>
          <w:szCs w:val="14"/>
          <w:color w:val="auto"/>
        </w:rPr>
        <w:t>Our prime asset is approximately 270,000 acres of contiguous, largely undeveloped land that, at its most southerly border, is 60 miles north of downtown Los Angeles and, at its most northerly border, is 15 miles east of Bakersfield. We create value by securing entitlements for our land, facilitating infrastructure development, strategic land planning, monetization of land through development and sales, and conservation, in order to maximize the highest and best use for our land.</w:t>
      </w:r>
    </w:p>
    <w:p>
      <w:pPr>
        <w:spacing w:after="0" w:line="9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We are involved in eight joint ventures that own, develop, and operate real estate properties. We enter into joint ventures as a means to facilitate the development of portions of our land. We are also actively engaged in land planning, land entitlement, and conservation projects.</w:t>
      </w:r>
    </w:p>
    <w:p>
      <w:pPr>
        <w:spacing w:after="0" w:line="26" w:lineRule="exact"/>
        <w:rPr>
          <w:sz w:val="20"/>
          <w:szCs w:val="20"/>
          <w:color w:val="auto"/>
        </w:rPr>
      </w:pPr>
    </w:p>
    <w:p>
      <w:pPr>
        <w:ind w:right="440"/>
        <w:spacing w:after="0" w:line="281" w:lineRule="auto"/>
        <w:rPr>
          <w:sz w:val="20"/>
          <w:szCs w:val="20"/>
          <w:color w:val="auto"/>
        </w:rPr>
      </w:pPr>
      <w:r>
        <w:rPr>
          <w:rFonts w:ascii="Arial" w:cs="Arial" w:eastAsia="Arial" w:hAnsi="Arial"/>
          <w:sz w:val="14"/>
          <w:szCs w:val="14"/>
          <w:color w:val="auto"/>
        </w:rPr>
        <w:t>Any references to the number of acres, number of buildings, square footage, number of leases, occupancy, and any amounts derived from these values in the notes to the consolidated financial statements are unaudited.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Principles of Consolidation</w:t>
      </w:r>
    </w:p>
    <w:p>
      <w:pPr>
        <w:spacing w:after="0" w:line="140" w:lineRule="exact"/>
        <w:rPr>
          <w:sz w:val="20"/>
          <w:szCs w:val="20"/>
          <w:color w:val="auto"/>
        </w:rPr>
      </w:pPr>
    </w:p>
    <w:p>
      <w:pPr>
        <w:ind w:right="640"/>
        <w:spacing w:after="0" w:line="321" w:lineRule="auto"/>
        <w:rPr>
          <w:sz w:val="20"/>
          <w:szCs w:val="20"/>
          <w:color w:val="auto"/>
        </w:rPr>
      </w:pPr>
      <w:r>
        <w:rPr>
          <w:rFonts w:ascii="Arial" w:cs="Arial" w:eastAsia="Arial" w:hAnsi="Arial"/>
          <w:sz w:val="13"/>
          <w:szCs w:val="13"/>
          <w:color w:val="auto"/>
        </w:rPr>
        <w:t>The consolidated financial statements include the accounts of the Company, and the accounts of all subsidiaries and investments in which a controlling interest is held by the Company. All intercompany transactions have been eliminated in consolidation. We have evaluated subsequent events through the date of issuance of our consolidated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Equivalents</w:t>
      </w:r>
    </w:p>
    <w:p>
      <w:pPr>
        <w:spacing w:after="0" w:line="140"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The Company considers all highly liquid investments with maturities of three months or less when purchased to be cash equivalents. The carrying amount for cash equivalents approximates fair value.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Marketable Securities</w:t>
      </w:r>
    </w:p>
    <w:p>
      <w:pPr>
        <w:spacing w:after="0" w:line="140"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The Company considers those investments not qualifying as cash equivalents, but which are readily marketable, to be marketable securities. The Company's investment portfolio is comprised of fixed income debt securities, which are classified as current assets on the consolidated balance sheets. The Company classifies all marketable securities as available-for-sale. These are stated at fair value with the unrealized gains (losses), net of tax, reported as a component of accumulated other comprehensive income (loss) in the consolidated statements of equity.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60"/>
          </w:cols>
          <w:pgMar w:left="300" w:top="634"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auto"/>
        </w:rPr>
        <w:t>Investments in Unconsolidated Joint Ventures</w:t>
      </w:r>
    </w:p>
    <w:p>
      <w:pPr>
        <w:spacing w:after="0" w:line="140" w:lineRule="exact"/>
        <w:rPr>
          <w:sz w:val="20"/>
          <w:szCs w:val="20"/>
          <w:color w:val="auto"/>
        </w:rPr>
      </w:pPr>
    </w:p>
    <w:p>
      <w:pPr>
        <w:spacing w:after="0" w:line="309" w:lineRule="auto"/>
        <w:rPr>
          <w:sz w:val="20"/>
          <w:szCs w:val="20"/>
          <w:color w:val="auto"/>
        </w:rPr>
      </w:pPr>
      <w:r>
        <w:rPr>
          <w:rFonts w:ascii="Arial" w:cs="Arial" w:eastAsia="Arial" w:hAnsi="Arial"/>
          <w:sz w:val="12"/>
          <w:szCs w:val="12"/>
          <w:color w:val="auto"/>
        </w:rPr>
        <w:t>For joint ventures that the Company does not control, but over which it exercises significant influence, the Company uses the equity method of accounting. The Company's judgment with regard to its level of influence or control of an entity involves consideration of various factors, including the form of its ownership interest; its representation in the entity's governance; its ability to participate in policy-making decisions; and the rights of other investors to participate in the decision-making process, to replace the Company as manager, and/or to liquidate the venture. These ventures are recorded at cost and adjusted for equity in earnings (losses), contributions and distributions. Any difference between the carrying amount of these investments on the Company’s balance sheet and the underlying equity in net assets on the joint venture’s balance sheet is adjusted as the related underlying assets are depreciated, amortized, or sold. In circumstances when we contribute land to a joint venture, we record our investment in the venture at fair value when the real estate is derecognized, regardless of whether the other investors in the venture contribute cash, property, or services.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The Company generally allocates income and loss from an unconsolidated joint venture based on the venture's distribution priorities, which may be different from its stated ownership percentage.</w:t>
      </w:r>
    </w:p>
    <w:p>
      <w:pPr>
        <w:spacing w:after="0" w:line="190" w:lineRule="exact"/>
        <w:rPr>
          <w:sz w:val="20"/>
          <w:szCs w:val="20"/>
          <w:color w:val="auto"/>
        </w:rPr>
      </w:pPr>
    </w:p>
    <w:p>
      <w:pPr>
        <w:ind w:right="140"/>
        <w:spacing w:after="0" w:line="284" w:lineRule="auto"/>
        <w:rPr>
          <w:sz w:val="20"/>
          <w:szCs w:val="20"/>
          <w:color w:val="auto"/>
        </w:rPr>
      </w:pPr>
      <w:r>
        <w:rPr>
          <w:rFonts w:ascii="Arial" w:cs="Arial" w:eastAsia="Arial" w:hAnsi="Arial"/>
          <w:sz w:val="13"/>
          <w:szCs w:val="13"/>
          <w:color w:val="auto"/>
        </w:rPr>
        <w:t>The Company evaluates the recoverability of its investments in unconsolidated joint ventures in accordance with accounting standards for equity investments by first reviewing each investment for any indicators of impairment. If indicators are present, the Company estimates the fair value of the investment. If the carrying value of the investment is greater than the estimated fair value, management makes an assessment of whether the impairment is “temporary” or “other-than-temporary.” In making this assessment, management considers the following: (1) the length of time and the extent to which fair value has been less than cost, (2) the financial condition and near-term prospects of the entity, and (3) the Company’s intent and ability to retain its interest long enough for a recovery in market value. If management concludes that the impairment is "other than temporary," the Company reduces the investment to its estimated fair value.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Values of Financial Instruments</w:t>
      </w:r>
    </w:p>
    <w:p>
      <w:pPr>
        <w:spacing w:after="0" w:line="140" w:lineRule="exact"/>
        <w:rPr>
          <w:sz w:val="20"/>
          <w:szCs w:val="20"/>
          <w:color w:val="auto"/>
        </w:rPr>
      </w:pPr>
    </w:p>
    <w:p>
      <w:pPr>
        <w:jc w:val="both"/>
        <w:ind w:right="120"/>
        <w:spacing w:after="0" w:line="260" w:lineRule="auto"/>
        <w:rPr>
          <w:sz w:val="20"/>
          <w:szCs w:val="20"/>
          <w:color w:val="auto"/>
        </w:rPr>
      </w:pPr>
      <w:r>
        <w:rPr>
          <w:rFonts w:ascii="Arial" w:cs="Arial" w:eastAsia="Arial" w:hAnsi="Arial"/>
          <w:sz w:val="14"/>
          <w:szCs w:val="14"/>
          <w:color w:val="auto"/>
        </w:rPr>
        <w:t>The Company follows the Financial Accounting Standards Board's authoritative guidance for fair value measurements of certain financial instruments. The guidance defines fair value, establishes a framework for measuring fair value and expands disclosures about fair value measurements. Fair value is defined as the exchange (exit) price that would be received for an asset or paid to transfer a liability in the principal or most advantageous market for the asset or liability in an orderly transaction between market participants on the measurement date. This guidance establishes a three-level hierarchy for fair value measurements based upon the inputs to the valuation of an asset or liability. Observable inputs are those which can be easily seen by market participants, while unobservable inputs are generally developed internally, utilizing management’s estimates and assumptions:</w:t>
      </w:r>
    </w:p>
    <w:p>
      <w:pPr>
        <w:spacing w:after="0" w:line="104" w:lineRule="exact"/>
        <w:rPr>
          <w:sz w:val="20"/>
          <w:szCs w:val="20"/>
          <w:color w:val="auto"/>
        </w:rPr>
      </w:pPr>
    </w:p>
    <w:p>
      <w:pPr>
        <w:ind w:left="500" w:hanging="25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Level 1 – Valuation is based on quoted prices in active markets for identical assets and liabilities.</w:t>
      </w:r>
    </w:p>
    <w:p>
      <w:pPr>
        <w:spacing w:after="0" w:line="136" w:lineRule="exact"/>
        <w:rPr>
          <w:rFonts w:ascii="Arial" w:cs="Arial" w:eastAsia="Arial" w:hAnsi="Arial"/>
          <w:sz w:val="14"/>
          <w:szCs w:val="14"/>
          <w:color w:val="auto"/>
        </w:rPr>
      </w:pPr>
    </w:p>
    <w:p>
      <w:pPr>
        <w:ind w:left="500" w:right="100" w:hanging="251"/>
        <w:spacing w:after="0" w:line="28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Level 2 – Valuation is determined from quoted prices for similar assets and liabilities in active markets, quoted prices for identical or similar instruments in markets that are not active, or by model-based techniques in which all significant inputs are observable in the market.</w:t>
      </w:r>
    </w:p>
    <w:p>
      <w:pPr>
        <w:spacing w:after="0" w:line="89" w:lineRule="exact"/>
        <w:rPr>
          <w:rFonts w:ascii="Arial" w:cs="Arial" w:eastAsia="Arial" w:hAnsi="Arial"/>
          <w:sz w:val="14"/>
          <w:szCs w:val="14"/>
          <w:color w:val="auto"/>
        </w:rPr>
      </w:pPr>
    </w:p>
    <w:p>
      <w:pPr>
        <w:ind w:left="500" w:right="480" w:hanging="251"/>
        <w:spacing w:after="0" w:line="28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Level 3 – Valuation is derived from model-based techniques in which at least one significant input is unobservable and based on our own estimates about the assumptions that market participants would use to value the asset or liability.</w:t>
      </w:r>
    </w:p>
    <w:p>
      <w:pPr>
        <w:spacing w:after="0" w:line="90" w:lineRule="exact"/>
        <w:rPr>
          <w:sz w:val="20"/>
          <w:szCs w:val="20"/>
          <w:color w:val="auto"/>
        </w:rPr>
      </w:pPr>
    </w:p>
    <w:p>
      <w:pPr>
        <w:ind w:right="500"/>
        <w:spacing w:after="0" w:line="368" w:lineRule="auto"/>
        <w:rPr>
          <w:sz w:val="20"/>
          <w:szCs w:val="20"/>
          <w:color w:val="auto"/>
        </w:rPr>
      </w:pPr>
      <w:r>
        <w:rPr>
          <w:rFonts w:ascii="Arial" w:cs="Arial" w:eastAsia="Arial" w:hAnsi="Arial"/>
          <w:sz w:val="12"/>
          <w:szCs w:val="12"/>
          <w:color w:val="auto"/>
        </w:rPr>
        <w:t>When available, we use quoted market prices in active markets to determine fair value. We consider the principal market and nonperformance risk associated with our counterparties when determining the fair value measurement. Fair value measurements are used on a recurring basis for marketable securities, investments within the pension plan and hedging instruments, if any.</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Swap Agreements</w:t>
      </w:r>
    </w:p>
    <w:p>
      <w:pPr>
        <w:spacing w:after="0" w:line="140" w:lineRule="exact"/>
        <w:rPr>
          <w:sz w:val="20"/>
          <w:szCs w:val="20"/>
          <w:color w:val="auto"/>
        </w:rPr>
      </w:pPr>
    </w:p>
    <w:p>
      <w:pPr>
        <w:ind w:right="360"/>
        <w:spacing w:after="0" w:line="262" w:lineRule="auto"/>
        <w:rPr>
          <w:sz w:val="20"/>
          <w:szCs w:val="20"/>
          <w:color w:val="auto"/>
        </w:rPr>
      </w:pPr>
      <w:r>
        <w:rPr>
          <w:rFonts w:ascii="Arial" w:cs="Arial" w:eastAsia="Arial" w:hAnsi="Arial"/>
          <w:sz w:val="14"/>
          <w:szCs w:val="14"/>
          <w:color w:val="auto"/>
        </w:rPr>
        <w:t>In October 2014, we entered into an interest rate swap agreement with Wells Fargo. In June, 2019, we amended the interest rate swap agreement to continue to hedge the Company's exposure to interest rate risk from the Term Note, and the subsequent Amended Term Note. See Note 8 (Line of Credit and Long-Term Debt) and Note 10 (Interest Rate Swap) of the Notes to Consolidated Financial Statements for further detail regarding this interest rate swap related to the Company's Credit Facility. We believe it is prudent at times to limit the variability of floating-rate interest payments and in the past have entered into interest rate swaps to manage those fluctuations.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80"/>
          </w:cols>
          <w:pgMar w:left="300" w:top="591" w:right="31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3"/>
          <w:szCs w:val="13"/>
          <w:color w:val="auto"/>
        </w:rPr>
        <w:t>We recognize interest rate swap agreements as either an asset or liability on the balance sheet at fair value. The accounting for changes in fair value (i.e., gains or losses) of a derivative instrument depends on whether it has been designated and qualifies as part of a hedging relationship and, further, on the type of hedging relationship. For those derivative instruments that are designated and qualify as hedging instruments, a company must designate the hedging instrument, based on the hedged exposure, as a fair value hedge, a cash flow hedge, or a hedge of a net investment in a foreign operation. Our interest rate swap agreement is considered a cash flow hedge because it was designed to match the terms of the Term Loan, and the subsequent Amended Term Loan, as a hedge of the exposure to variability in expected future cash flows. Hedge accounting generally provides for the matching of the timing of gain or loss recognition on the hedging instrument with the recognition of the changes in the earnings effect of the hedged transactions in a cash flow hedge. This interest rate swap agreement will be evaluated based on whether it is deemed highly effective in reducing our exposure to variable interest rates. We formally document all relationships between interest rate swap agreements and hedged items, including the method for evaluating effectiveness and the risk strategy. We make an assessment at the inception of each interest rate swap agreement and on a quarterly basis to determine whether these instruments are highly effective in offsetting changes in cash flows associated with the hedged items. If swaps qualify as highly effective, the changes in the fair values of the derivatives used as hedges would be reflected in accumulated other comprehensive income, or AOCI. Amounts classified in AOCI will be reclassified into earnings in the period during which the hedged transactions affect earnings. If swaps do not qualify as highly effective, the changes in fair values of derivatives used as hedges would be reflected in earnings.</w:t>
      </w:r>
    </w:p>
    <w:p>
      <w:pPr>
        <w:spacing w:after="0" w:line="97" w:lineRule="exact"/>
        <w:rPr>
          <w:sz w:val="20"/>
          <w:szCs w:val="20"/>
          <w:color w:val="auto"/>
        </w:rPr>
      </w:pPr>
    </w:p>
    <w:p>
      <w:pPr>
        <w:ind w:right="40"/>
        <w:spacing w:after="0" w:line="282" w:lineRule="auto"/>
        <w:rPr>
          <w:sz w:val="20"/>
          <w:szCs w:val="20"/>
          <w:color w:val="auto"/>
        </w:rPr>
      </w:pPr>
      <w:r>
        <w:rPr>
          <w:rFonts w:ascii="Arial" w:cs="Arial" w:eastAsia="Arial" w:hAnsi="Arial"/>
          <w:sz w:val="13"/>
          <w:szCs w:val="13"/>
          <w:color w:val="auto"/>
        </w:rPr>
        <w:t>The fair value of each interest rate swap agreement is determined using widely accepted valuation techniques including discounted cash flow analyses on the expected cash flows of each derivative. These analyses reflect the contractual terms of the derivatives, including the period to maturity, and use observable market-based inputs, including interest rate curves and implied volatilities (also referred to as “significant other observable inputs”). The fair values of our interest rate swap agreements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curves. The fair value calculation also includes an amount for risk of non-performance using “significant unobservable inputs” such as estimates of current credit spreads to evaluate the likelihood of default, which we have determined to be insignificant to the overall fair value of our interest rate swap agreements.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Variable Interest Entity</w:t>
      </w:r>
    </w:p>
    <w:p>
      <w:pPr>
        <w:spacing w:after="0" w:line="140"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We evaluate all of our interests in VIEs for consolidation. When our interests are determined to be variable interests, we assess whether we are deemed to be the primary beneficiary of the VIE. The primary beneficiary of a VIE is required to consolidate the VIE. A primary beneficiary is defined as the party that has both (i) the power to direct the activities of the VIE that most significantly impact its economic performance, and (ii) the obligation to absorb losses and the right to receive benefits from the VIE which could potentially be significant. We consider our variable interests as well as any variable interests of our related parties in making this determination. Where both of these factors are present, we are deemed to be the primary beneficiary and we consolidate the VIE. Where either one of these factors is not present, we are not the primary beneficiary and do not consolidate the VIE.</w:t>
      </w:r>
    </w:p>
    <w:p>
      <w:pPr>
        <w:spacing w:after="0" w:line="13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To assess whether we have the power to direct the activities of a VIE that most significantly impact the VIE’s economic performance, we consider all facts and circumstances, including our role in establishing the VIE and our ongoing rights and responsibilities. This assessment includes first, identifying the activities that most significantly impact the VIE’s economic performance; and second, identifying which party, if any, has power over those activities. In general, the parties that make the most significant decisions affecting the VIE or have the right to unilaterally remove those decision makers are deemed to have the power to direct the activities of a VIE.</w:t>
      </w:r>
    </w:p>
    <w:p>
      <w:pPr>
        <w:spacing w:after="0" w:line="146" w:lineRule="exact"/>
        <w:rPr>
          <w:sz w:val="20"/>
          <w:szCs w:val="20"/>
          <w:color w:val="auto"/>
        </w:rPr>
      </w:pPr>
    </w:p>
    <w:p>
      <w:pPr>
        <w:ind w:right="180"/>
        <w:spacing w:after="0" w:line="319" w:lineRule="auto"/>
        <w:rPr>
          <w:sz w:val="20"/>
          <w:szCs w:val="20"/>
          <w:color w:val="auto"/>
        </w:rPr>
      </w:pPr>
      <w:r>
        <w:rPr>
          <w:rFonts w:ascii="Arial" w:cs="Arial" w:eastAsia="Arial" w:hAnsi="Arial"/>
          <w:sz w:val="12"/>
          <w:szCs w:val="12"/>
          <w:color w:val="auto"/>
        </w:rPr>
        <w:t>To assess whether we have the obligation to absorb losses of the VIE or the right to receive benefits from the VIE that could potentially be significant to the VIE, we consider all of our economic interests, including debt and equity investments, servicing fees, and other arrangements deemed to be variable interests in the VIE. This assessment requires that we apply judgment in determining whether these interests, in the aggregate, are considered potentially significant to the VIE. Factors considered in assessing significance include: the design of the VIE, including its capitalization structure; subordination of interests; payment priority; relative share of interests held across various classes within the VIE’s capital structure; and the reasons why the interests are held by us.</w:t>
      </w:r>
    </w:p>
    <w:p>
      <w:pPr>
        <w:spacing w:after="0" w:line="73"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As of December 31, 2019 and 2018, we had two VIEs. One was consolidated in our financial statements while the other was not. See Note 17 (Investment in Unconsolidated and Consolidated Joint Ventures) to the Notes to Consolidated Financial Statements for further discussion.</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40"/>
          </w:cols>
          <w:pgMar w:left="300" w:top="595"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Credit Risk</w:t>
      </w:r>
    </w:p>
    <w:p>
      <w:pPr>
        <w:spacing w:after="0" w:line="140"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The Company grants credit in the course of operations to co-ops, wineries, nut marketing companies, and lessees of the Company’s facilities. The Company performs periodic credit evaluations of its customers’ financial condition and generally does not require collateral.</w:t>
      </w:r>
    </w:p>
    <w:p>
      <w:pPr>
        <w:spacing w:after="0" w:line="90"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Our commercial revenues are derived primarily from lease rental payments and operating expense reimbursements. If our client tenants fail to make rental payments under their lease, our financial condition, and cash flows could be adversely affected. We record an allowance for doubtful accounts based on our judgment of a tenant’s creditworthiness, ability to pay and probability of collection. Accounts are written off when they are deemed to be no longer collectible.</w:t>
      </w:r>
    </w:p>
    <w:p>
      <w:pPr>
        <w:spacing w:after="0" w:line="99"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During both years ended December 31, 2019 and 2018, the Pastoria Energy Facility, L.L.C., or PEF power plant lease generated approximately 9% of our total revenues. We had no other customers account for 5% or more of our revenues from operations in 2018.</w:t>
      </w:r>
    </w:p>
    <w:p>
      <w:pPr>
        <w:spacing w:after="0" w:line="90" w:lineRule="exact"/>
        <w:rPr>
          <w:sz w:val="20"/>
          <w:szCs w:val="20"/>
          <w:color w:val="auto"/>
        </w:rPr>
      </w:pPr>
    </w:p>
    <w:p>
      <w:pPr>
        <w:ind w:right="340"/>
        <w:spacing w:after="0" w:line="321" w:lineRule="auto"/>
        <w:rPr>
          <w:sz w:val="20"/>
          <w:szCs w:val="20"/>
          <w:color w:val="auto"/>
        </w:rPr>
      </w:pPr>
      <w:r>
        <w:rPr>
          <w:rFonts w:ascii="Arial" w:cs="Arial" w:eastAsia="Arial" w:hAnsi="Arial"/>
          <w:sz w:val="13"/>
          <w:szCs w:val="13"/>
          <w:color w:val="auto"/>
        </w:rPr>
        <w:t>The Company maintains its cash and cash equivalents in federally insured financial institutions. The account balances at these institutions periodically exceed FDIC insurance coverage and, as a result, there is a concentration of credit risk related to amounts on deposit in excess of FDIC insurance coverage. The Company believes that the risk is not significant.</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Farm Inventories</w:t>
      </w:r>
    </w:p>
    <w:p>
      <w:pPr>
        <w:spacing w:after="0" w:line="140"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Costs of bringing crops to harvest are inventoried when incurred. Such costs are expensed when the crops are sold. Expenses are computed and recognized on an average cost per pound or per ton basis, as appropriate. Costs incurred during the current year related to the next year’s crop are inventoried and carried in inventory until the matching crop is harvested and sold. Farm inventories held for sale are valued at the lower of cost (first-in, first-out method) or market.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w:t>
      </w:r>
    </w:p>
    <w:p>
      <w:pPr>
        <w:spacing w:after="0" w:line="140" w:lineRule="exact"/>
        <w:rPr>
          <w:sz w:val="20"/>
          <w:szCs w:val="20"/>
          <w:color w:val="auto"/>
        </w:rPr>
      </w:pPr>
    </w:p>
    <w:p>
      <w:pPr>
        <w:ind w:right="520"/>
        <w:spacing w:after="0" w:line="368" w:lineRule="auto"/>
        <w:rPr>
          <w:sz w:val="20"/>
          <w:szCs w:val="20"/>
          <w:color w:val="auto"/>
        </w:rPr>
      </w:pPr>
      <w:r>
        <w:rPr>
          <w:rFonts w:ascii="Arial" w:cs="Arial" w:eastAsia="Arial" w:hAnsi="Arial"/>
          <w:sz w:val="12"/>
          <w:szCs w:val="12"/>
          <w:color w:val="auto"/>
        </w:rPr>
        <w:t>Property and equipment are stated on the basis of cost, except for land acquired upon organization in 1936, which is stated on the basis carried by the Company’s predecessor. Depreciation is computed using the straight-line method over the estimated useful lives of the various assets. Our property and equipment and their respective estimated useful lives are as follow: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480" w:type="dxa"/>
            <w:vAlign w:val="bottom"/>
            <w:gridSpan w:val="2"/>
          </w:tcPr>
          <w:p>
            <w:pPr>
              <w:ind w:left="360"/>
              <w:spacing w:after="0"/>
              <w:rPr>
                <w:sz w:val="20"/>
                <w:szCs w:val="20"/>
                <w:color w:val="auto"/>
              </w:rPr>
            </w:pPr>
            <w:r>
              <w:rPr>
                <w:rFonts w:ascii="Arial" w:cs="Arial" w:eastAsia="Arial" w:hAnsi="Arial"/>
                <w:sz w:val="14"/>
                <w:szCs w:val="14"/>
                <w:color w:val="auto"/>
              </w:rPr>
              <w:t>Useful Life</w:t>
            </w:r>
          </w:p>
        </w:tc>
        <w:tc>
          <w:tcPr>
            <w:tcW w:w="300" w:type="dxa"/>
            <w:vAlign w:val="bottom"/>
          </w:tcPr>
          <w:p>
            <w:pPr>
              <w:spacing w:after="0"/>
              <w:rPr>
                <w:sz w:val="15"/>
                <w:szCs w:val="15"/>
                <w:color w:val="auto"/>
              </w:rPr>
            </w:pPr>
          </w:p>
        </w:tc>
        <w:tc>
          <w:tcPr>
            <w:tcW w:w="1960" w:type="dxa"/>
            <w:vAlign w:val="bottom"/>
            <w:gridSpan w:val="2"/>
          </w:tcPr>
          <w:p>
            <w:pPr>
              <w:ind w:left="220"/>
              <w:spacing w:after="0"/>
              <w:rPr>
                <w:sz w:val="20"/>
                <w:szCs w:val="20"/>
                <w:color w:val="auto"/>
              </w:rPr>
            </w:pPr>
            <w:r>
              <w:rPr>
                <w:rFonts w:ascii="Arial" w:cs="Arial" w:eastAsia="Arial" w:hAnsi="Arial"/>
                <w:sz w:val="14"/>
                <w:szCs w:val="14"/>
                <w:color w:val="auto"/>
              </w:rPr>
              <w:t>December 31, 2019</w:t>
            </w:r>
          </w:p>
        </w:tc>
        <w:tc>
          <w:tcPr>
            <w:tcW w:w="300" w:type="dxa"/>
            <w:vAlign w:val="bottom"/>
          </w:tcPr>
          <w:p>
            <w:pPr>
              <w:spacing w:after="0"/>
              <w:rPr>
                <w:sz w:val="15"/>
                <w:szCs w:val="15"/>
                <w:color w:val="auto"/>
              </w:rPr>
            </w:pPr>
          </w:p>
        </w:tc>
        <w:tc>
          <w:tcPr>
            <w:tcW w:w="1820" w:type="dxa"/>
            <w:vAlign w:val="bottom"/>
          </w:tcPr>
          <w:p>
            <w:pPr>
              <w:jc w:val="right"/>
              <w:ind w:right="429"/>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Vineyards and orchards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52,853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53,271</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Arial" w:cs="Arial" w:eastAsia="Arial" w:hAnsi="Arial"/>
                <w:sz w:val="14"/>
                <w:szCs w:val="14"/>
                <w:color w:val="auto"/>
              </w:rPr>
              <w:t>Machinery, furniture fixtures and other equipment</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3 - 10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49"/>
              <w:spacing w:after="0"/>
              <w:rPr>
                <w:sz w:val="20"/>
                <w:szCs w:val="20"/>
                <w:color w:val="auto"/>
              </w:rPr>
            </w:pPr>
            <w:r>
              <w:rPr>
                <w:rFonts w:ascii="Arial" w:cs="Arial" w:eastAsia="Arial" w:hAnsi="Arial"/>
                <w:sz w:val="14"/>
                <w:szCs w:val="14"/>
                <w:color w:val="auto"/>
              </w:rPr>
              <w:t>17,688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21,673</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10 - 27.5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8,819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8,893</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Arial" w:cs="Arial" w:eastAsia="Arial" w:hAnsi="Arial"/>
                <w:sz w:val="14"/>
                <w:szCs w:val="14"/>
                <w:color w:val="auto"/>
              </w:rPr>
              <w:t>Land and land improvements</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49"/>
              <w:spacing w:after="0"/>
              <w:rPr>
                <w:sz w:val="20"/>
                <w:szCs w:val="20"/>
                <w:color w:val="auto"/>
              </w:rPr>
            </w:pPr>
            <w:r>
              <w:rPr>
                <w:rFonts w:ascii="Arial" w:cs="Arial" w:eastAsia="Arial" w:hAnsi="Arial"/>
                <w:sz w:val="14"/>
                <w:szCs w:val="14"/>
                <w:color w:val="auto"/>
              </w:rPr>
              <w:t>7,731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7,848</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Development in process</w:t>
            </w: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6,908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7,001</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93,999</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8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98,686</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(48,927)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(52,600)</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45,072</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8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46,086</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1360" w:type="dxa"/>
            <w:vAlign w:val="bottom"/>
            <w:vMerge w:val="restart"/>
          </w:tcPr>
          <w:p>
            <w:pPr>
              <w:jc w:val="right"/>
              <w:ind w:right="989"/>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4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92"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Long-Term Water Assets</w:t>
      </w:r>
    </w:p>
    <w:p>
      <w:pPr>
        <w:spacing w:after="0" w:line="140" w:lineRule="exact"/>
        <w:rPr>
          <w:sz w:val="20"/>
          <w:szCs w:val="20"/>
          <w:color w:val="auto"/>
        </w:rPr>
      </w:pPr>
    </w:p>
    <w:p>
      <w:pPr>
        <w:ind w:right="20"/>
        <w:spacing w:after="0" w:line="284" w:lineRule="auto"/>
        <w:rPr>
          <w:sz w:val="20"/>
          <w:szCs w:val="20"/>
          <w:color w:val="auto"/>
        </w:rPr>
      </w:pPr>
      <w:r>
        <w:rPr>
          <w:rFonts w:ascii="Arial" w:cs="Arial" w:eastAsia="Arial" w:hAnsi="Arial"/>
          <w:sz w:val="13"/>
          <w:szCs w:val="13"/>
          <w:color w:val="auto"/>
        </w:rPr>
        <w:t>Long-term purchased water contracts are in place with the Tulare Lake Basin Water Storage District and the Dudley-Ridge Water Storage District. These contracts provide the Company with the right to receive water over the term of the contracts that expire in 2035. The Company also purchased a contract that allows and requires it to purchase 6,693 acre-feet of water each year from the Nickel Family LLC. The initial term of this contract runs through 2044. The purchase price of these contracts is being amortized under the straight-line basis over their contractual lives. Water contracts with the Wheeler Ridge Maricopa Water Storage District and the Tejon-Castac Water District are also in place, but were entered into with each district at inception and not purchased later from third parties, and therefore do not have a related financial value on the books of the Company. As a result, there is no amortization expense related to these contracts.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Vineyards and Orchards</w:t>
      </w:r>
    </w:p>
    <w:p>
      <w:pPr>
        <w:spacing w:after="0" w:line="140" w:lineRule="exact"/>
        <w:rPr>
          <w:sz w:val="20"/>
          <w:szCs w:val="20"/>
          <w:color w:val="auto"/>
        </w:rPr>
      </w:pPr>
    </w:p>
    <w:p>
      <w:pPr>
        <w:jc w:val="both"/>
        <w:ind w:right="120"/>
        <w:spacing w:after="0" w:line="267" w:lineRule="auto"/>
        <w:rPr>
          <w:sz w:val="20"/>
          <w:szCs w:val="20"/>
          <w:color w:val="auto"/>
        </w:rPr>
      </w:pPr>
      <w:r>
        <w:rPr>
          <w:rFonts w:ascii="Arial" w:cs="Arial" w:eastAsia="Arial" w:hAnsi="Arial"/>
          <w:sz w:val="14"/>
          <w:szCs w:val="14"/>
          <w:color w:val="auto"/>
        </w:rPr>
        <w:t>Costs of planting and developing vineyards and orchards are capitalized until the crops become commercially productive. Interest costs and depreciation of irrigation systems and trellis installations during the development stage are also capitalized. Revenues from crops earned during the development stage are netted against development costs. Depreciation commences when the crops become commercially productive.</w:t>
      </w:r>
    </w:p>
    <w:p>
      <w:pPr>
        <w:spacing w:after="0" w:line="99" w:lineRule="exact"/>
        <w:rPr>
          <w:sz w:val="20"/>
          <w:szCs w:val="20"/>
          <w:color w:val="auto"/>
        </w:rPr>
      </w:pPr>
    </w:p>
    <w:p>
      <w:pPr>
        <w:jc w:val="both"/>
        <w:ind w:right="260"/>
        <w:spacing w:after="0" w:line="267" w:lineRule="auto"/>
        <w:rPr>
          <w:sz w:val="20"/>
          <w:szCs w:val="20"/>
          <w:color w:val="auto"/>
        </w:rPr>
      </w:pPr>
      <w:r>
        <w:rPr>
          <w:rFonts w:ascii="Arial" w:cs="Arial" w:eastAsia="Arial" w:hAnsi="Arial"/>
          <w:sz w:val="14"/>
          <w:szCs w:val="14"/>
          <w:color w:val="auto"/>
        </w:rPr>
        <w:t>During the fourth quarter of 2019, the Company abandoned 313 acres of vineyards. As a result, the Company wrote off the $1,555,000 net book value related to these vineyards and other farming related assets which were previously included in the Property and equipment, net, line item within the Consolidated Balance Sheet. The $1,555,000 charge was recorded within the Other Income (Loss) line item within the Consolidated Statement of Operations.</w:t>
      </w:r>
    </w:p>
    <w:p>
      <w:pPr>
        <w:spacing w:after="0" w:line="99"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At the time farm crops are harvested, contracted, and delivered to buyers and revenues can be estimated, revenues are recognized and any related inventoried costs are expensed, which traditionally occurs during the third and fourth quarters of each year. It is not unusual for portions of our almond or pistachio crop to be sold in the year following the harvest. Orchard (almond and pistachio) revenues are based upon the contract settlement price or estimated selling price, whereas vineyard revenues are typically recognized at the contracted selling price. Estimated prices for orchard crops are based upon the quoted estimate of what the final market price will be by marketers and handlers of the orchard crops. These market price estimates are updated through the crop payment cycle as new information is received as to the final settlement price for the crop sold. These estimates are adjusted to actual upon receipt of final payment for the crop. This method of recognizing revenues on the sale of orchard crops is a standard practice within the agribusiness community. Adjustments for differences between estimates and actual revenues received are recorded during the period in which such amounts become known. The net effect of these adjustments increased farming revenue by $3,746,000 in 2019, $111,000 in 2018, and $1,804,000 in 2017. The adjustment for 2019 includes a $3,807,000 increase for pistachio revenues and a $61,000 decrease for almonds. The adjustment for 2018 is entirely related to pistachios. The adjustment for 2017 includes $352,000 for almonds and $1,452,000 for pistachios.</w:t>
      </w:r>
    </w:p>
    <w:p>
      <w:pPr>
        <w:spacing w:after="0" w:line="97"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The Almond Board of California has the authority to require producers of almonds to withhold a portion of their annual production from the marketplace through a marketing order approved by the Secretary of Agriculture. At December 31, 2019, 2018, and 2017, no such withholding was mandated.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Options and Grants</w:t>
      </w:r>
    </w:p>
    <w:p>
      <w:pPr>
        <w:spacing w:after="0" w:line="140"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The Company accounts for stock incentive plans using the fair value method of accounting. The estimated fair value of the restricted stock grants and restricted stock units are expensed over the expected vesting period. For performance-based grants the Company makes estimates of the number of shares that will actually be granted based upon estimated ranges of success in meeting defined performance measures. Periodically, the Company updates its estimates and reflects any changes to the estimate in the consolidated statements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Long-Lived Assets</w:t>
      </w:r>
    </w:p>
    <w:p>
      <w:pPr>
        <w:spacing w:after="0" w:line="140" w:lineRule="exact"/>
        <w:rPr>
          <w:sz w:val="20"/>
          <w:szCs w:val="20"/>
          <w:color w:val="auto"/>
        </w:rPr>
      </w:pPr>
    </w:p>
    <w:p>
      <w:pPr>
        <w:jc w:val="both"/>
        <w:ind w:right="60"/>
        <w:spacing w:after="0" w:line="267" w:lineRule="auto"/>
        <w:rPr>
          <w:sz w:val="20"/>
          <w:szCs w:val="20"/>
          <w:color w:val="auto"/>
        </w:rPr>
      </w:pPr>
      <w:r>
        <w:rPr>
          <w:rFonts w:ascii="Arial" w:cs="Arial" w:eastAsia="Arial" w:hAnsi="Arial"/>
          <w:sz w:val="14"/>
          <w:szCs w:val="14"/>
          <w:color w:val="auto"/>
        </w:rPr>
        <w:t>On a quarterly basis, we review current activities and changes in the business conditions of all of our operating properties prior to and subsequent to the end of each quarter to determine the existence of any triggering events requiring an impairment analysis. If triggering events are identified, we review an estimate of the future undiscounted cash flows for the properties, including, if necessary, a probability-weighted approach if multiple outcomes are under consideration.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80"/>
          </w:cols>
          <w:pgMar w:left="300" w:top="592" w:right="319" w:bottom="1440" w:gutter="0" w:footer="0" w:header="0"/>
        </w:sectPr>
      </w:pPr>
    </w:p>
    <w:bookmarkStart w:id="82" w:name="page83"/>
    <w:bookmarkEnd w:id="82"/>
    <w:p>
      <w:pPr>
        <w:ind w:right="60"/>
        <w:spacing w:after="0" w:line="279" w:lineRule="auto"/>
        <w:rPr>
          <w:sz w:val="20"/>
          <w:szCs w:val="20"/>
          <w:color w:val="auto"/>
        </w:rPr>
      </w:pPr>
      <w:r>
        <w:rPr>
          <w:rFonts w:ascii="Arial" w:cs="Arial" w:eastAsia="Arial" w:hAnsi="Arial"/>
          <w:sz w:val="13"/>
          <w:szCs w:val="13"/>
          <w:color w:val="auto"/>
        </w:rPr>
        <w:t>Long-lived assets to be held and used, including our rental properties, CIP, real estate held for development and intangibles, are individually evaluated for impairment when conditions exist that may indicate that the carrying amount of a long-lived asset may not be recoverable. The carrying amount of a long-lived asset to be held and used is not recoverable if it exceeds the sum of the undiscounted cash flows expected to result from the use and eventual disposition of the asset. Impairment indicators or triggering events for long-lived assets to be held and used, including our rental properties, CIP, real estate held for development, and intangibles, are assessed by project and include significant fluctuations in estimated net operating income, occupancy changes, significant near-term lease expirations, current and historical operating and/or cash flow losses, rental rates, and other market factors. We assess the expected undiscounted cash flows based upon numerous factors, including, but not limited to, available market information, current and historical operating results, known trends, current market/economic conditions that may affect the property, and our assumptions about the use of the asset, including, if necessary, a probability-weighted approach if multiple outcomes are under consideration. Upon determination that an impairment has occurred, a write-down is recognized to reduce the carrying amount to its estimated fair value.</w:t>
      </w:r>
    </w:p>
    <w:p>
      <w:pPr>
        <w:spacing w:after="0" w:line="95" w:lineRule="exact"/>
        <w:rPr>
          <w:sz w:val="20"/>
          <w:szCs w:val="20"/>
          <w:color w:val="auto"/>
        </w:rPr>
      </w:pPr>
    </w:p>
    <w:p>
      <w:pPr>
        <w:ind w:right="2480"/>
        <w:spacing w:after="0" w:line="442" w:lineRule="auto"/>
        <w:rPr>
          <w:sz w:val="20"/>
          <w:szCs w:val="20"/>
          <w:color w:val="auto"/>
        </w:rPr>
      </w:pPr>
      <w:r>
        <w:rPr>
          <w:rFonts w:ascii="Arial" w:cs="Arial" w:eastAsia="Arial" w:hAnsi="Arial"/>
          <w:sz w:val="14"/>
          <w:szCs w:val="14"/>
          <w:color w:val="auto"/>
        </w:rPr>
        <w:t xml:space="preserve">In addition, the Company accounts for long-lived assets to be disposed of at the lower of their carrying amounts or fair value less selling and disposal costs. As of December 31, 2019, management of the Company believes that none of its long-lived assets were impaired. </w:t>
      </w:r>
      <w:r>
        <w:rPr>
          <w:rFonts w:ascii="Arial" w:cs="Arial" w:eastAsia="Arial" w:hAnsi="Arial"/>
          <w:sz w:val="14"/>
          <w:szCs w:val="14"/>
          <w:b w:val="1"/>
          <w:bCs w:val="1"/>
          <w:color w:val="auto"/>
        </w:rPr>
        <w:t>Revenue Recognition</w:t>
      </w: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Company’s revenue is primarily derived from lease revenue from our rental portfolio, royalty revenue from mineral leases, sales of farm crops, sales of water, and land sales. On January 1, 2018, the Company implemented ASU 2014-09 “Revenue with Contracts from Customers (Topic 606)" (ASC 606). ASU 2014-09 supersedes all previous revenue recognition guidance, including industry-specific guidance. The Company recognizes revenue by following the five-step model under ASC 606 to achieve the core principle that an entity recognizes revenue to depict the transfer of goods or services to customers at an amount that reflects the consideration to which the entity expects to be entitled in exchange for those goods or services. The five-step model requires that we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we satisfy the performance obligation.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Real Estate</w:t>
      </w:r>
    </w:p>
    <w:p>
      <w:pPr>
        <w:spacing w:after="0" w:line="140"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color w:val="auto"/>
        </w:rPr>
        <w:t>Upon adoption of ASC 606, the Company is required to allocate the transaction price, on land sales with multiple performance obligations, to the performance obligations in proportion to their standalone selling prices (i.e., on a relative standalone selling price basis) and not total costs.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Easements</w:t>
      </w:r>
    </w:p>
    <w:p>
      <w:pPr>
        <w:spacing w:after="0" w:line="140"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From time to time the Company sells easements over its land, and the easements are either in the form of rights of access granted for such things as utility corridors or are in the form of conservation easements that generally require the Company to divest its rights to commercially develop a portion of its land, but do not result in a change in ownership of the land or restrict the Company from continuing other revenue generating activities on the land. The Company recognizes easement sales revenue by following the five-step model under ASC 606.</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Allocation of Costs Related to Land Sales and Leases</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When the Company sells land within one of its real estate developments and has not completed all infrastructure development related to the total project, the Company estimates, at the time of sale, future costs of the development to determine the appropriate costs of sales for the sold land and the timing of recognition of the sale. In the calculation of cost of sales or allocations to leased land, the Company uses estimates and forecasts to determine total costs at completion of the development project. These estimates of final development costs can change as conditions in the market change and costs of construction change.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Royalty Income</w:t>
      </w:r>
    </w:p>
    <w:p>
      <w:pPr>
        <w:spacing w:after="0" w:line="140"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Royalty revenues are contractually defined as to the percentage of royalty and are tied to production and market prices. The Company’s royalty arrangements generally require payment on a monthly basis with the payment based on the previous month’s activity. The Company accrues monthly royalty revenues based upon estimates and adjusts to actual as the Company receives payments. The accounting of royalty income remains largely unchanged upon implementation of ASC 606.</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300" w:top="468"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color w:val="auto"/>
        </w:rPr>
        <w:t>Rental Income</w:t>
      </w:r>
    </w:p>
    <w:p>
      <w:pPr>
        <w:spacing w:after="0" w:line="140" w:lineRule="exact"/>
        <w:rPr>
          <w:sz w:val="20"/>
          <w:szCs w:val="20"/>
          <w:color w:val="auto"/>
        </w:rPr>
      </w:pPr>
    </w:p>
    <w:p>
      <w:pPr>
        <w:ind w:right="220"/>
        <w:spacing w:after="0" w:line="288" w:lineRule="auto"/>
        <w:rPr>
          <w:sz w:val="20"/>
          <w:szCs w:val="20"/>
          <w:color w:val="auto"/>
        </w:rPr>
      </w:pPr>
      <w:r>
        <w:rPr>
          <w:rFonts w:ascii="Arial" w:cs="Arial" w:eastAsia="Arial" w:hAnsi="Arial"/>
          <w:sz w:val="13"/>
          <w:szCs w:val="13"/>
          <w:color w:val="auto"/>
        </w:rPr>
        <w:t>Rental income from leases is recognized on a straight-line basis over the respective lease terms. We classify amounts currently recognized as income, and amounts expected to be received in later years, as deferred rent in prepaid expenses and other current assets in the accompanying consolidated balance sheets. Amounts received currently, but recognized as income in future years, are classified in trade accounts payable, accrued liabilities and other, and deferred income in the accompanying consolidated balance sheets. We commence recognition of rental income at the date the property is ready for its intended use, and the client tenant takes possession of or controls the physical use of the property.</w:t>
      </w:r>
    </w:p>
    <w:p>
      <w:pPr>
        <w:spacing w:after="0" w:line="89"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During the term of each lease, we monitor the credit quality of our tenants by (i) reviewing the credit rating of tenants that are rated by a nationally recognized credit rating agency, (ii) reviewing financial statements of the tenants that are publicly available or that are required to be delivered to us pursuant to the applicable lease, (iii) monitoring news reports regarding our tenants and their respective businesses, and (iv) monitoring the timeliness of lease payments. We have employees who are assigned the responsibility for assessing and monitoring the credit quality of our tenants and any material changes in credit quality.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Expenditures</w:t>
      </w:r>
    </w:p>
    <w:p>
      <w:pPr>
        <w:spacing w:after="0" w:line="140"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Environmental expenditures that relate to current operations are expensed or capitalized as appropriate. Expenditures that relate to an existing condition caused by past operations and which do not contribute to current or future revenue generation are expensed. Liabilities are recorded when environmental assessments and/or remedial efforts are probable, and the costs can be reasonably estimated. Generally, the timing of these accruals coincides with the completion of a feasibility study or the Company’s commitment to a formal plan of action. No liabilities for environmental costs have been recorded at December 31, 2019 and 2018.</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preparation of the Company’s consolidated financial statements in accordance with GAAP requires management to make estimates and assumptions that affect the reported amounts of assets and liabilities and disclosure of contingent assets and liabilities at the financial statement dates and the reported amounts of revenue and expenses during the reporting period. Due to uncertainties inherent in the estimation process, it is reasonably possible that actual results could differ from these estimates.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Allowance for Credit Losses</w:t>
      </w:r>
    </w:p>
    <w:p>
      <w:pPr>
        <w:spacing w:after="0" w:line="72" w:lineRule="exact"/>
        <w:rPr>
          <w:sz w:val="20"/>
          <w:szCs w:val="20"/>
          <w:color w:val="auto"/>
        </w:rPr>
      </w:pPr>
    </w:p>
    <w:p>
      <w:pPr>
        <w:jc w:val="both"/>
        <w:ind w:right="100"/>
        <w:spacing w:after="0" w:line="319" w:lineRule="auto"/>
        <w:rPr>
          <w:sz w:val="20"/>
          <w:szCs w:val="20"/>
          <w:color w:val="auto"/>
        </w:rPr>
      </w:pPr>
      <w:r>
        <w:rPr>
          <w:rFonts w:ascii="Arial" w:cs="Arial" w:eastAsia="Arial" w:hAnsi="Arial"/>
          <w:sz w:val="12"/>
          <w:szCs w:val="12"/>
          <w:color w:val="auto"/>
        </w:rPr>
        <w:t>In June 2016, the Financial Accounting Standards Board, or FASB, issued Accounting Standards Update, or ASU, No. 2016-13, "Financial Instruments — Credit Losses (Topic 326)," changing the impairment model for most financial instruments by requiring companies to recognize an allowance for expected losses, rather than incurred losses as required currently by the other-than-temporary impairment model. The ASU will apply to most financial assets measured at amortized cost and certain other instruments, including trade and other receivables, loans, available-for-sale and held-to-maturity debt securities, net investments in leases, and off-balance-sheet credit exposures. The ASU will be applied as a cumulative adjustment to retained earnings as of the effective date.</w:t>
      </w:r>
    </w:p>
    <w:p>
      <w:pPr>
        <w:spacing w:after="0" w:line="9"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In November 2019, the FASB issued ASU No. 2019-10, changing effective dates for the new standards to give implementation relief to certain types of entities. The Company is required to adopt the new standards no later than January 1, 2023 according to ASU 2019-10, with early application allowed.</w:t>
      </w:r>
    </w:p>
    <w:p>
      <w:pPr>
        <w:spacing w:after="0" w:line="26" w:lineRule="exact"/>
        <w:rPr>
          <w:sz w:val="20"/>
          <w:szCs w:val="20"/>
          <w:color w:val="auto"/>
        </w:rPr>
      </w:pPr>
    </w:p>
    <w:p>
      <w:pPr>
        <w:ind w:right="120"/>
        <w:spacing w:after="0" w:line="284" w:lineRule="auto"/>
        <w:rPr>
          <w:sz w:val="20"/>
          <w:szCs w:val="20"/>
          <w:color w:val="auto"/>
        </w:rPr>
      </w:pPr>
      <w:r>
        <w:rPr>
          <w:rFonts w:ascii="Arial" w:cs="Arial" w:eastAsia="Arial" w:hAnsi="Arial"/>
          <w:sz w:val="13"/>
          <w:szCs w:val="13"/>
          <w:color w:val="auto"/>
        </w:rPr>
        <w:t>The Company adopted the new standards on January 1, 2020, and the adoption did not have any material impact on the Company's consolidated financial statements. The Company's accounts receivable balance is primarily composed of crop receivables. Based on the short-term nature of these contracts, historical experience with current customers and periodic credit evaluations of the customers' financial conditions, the Company believes its credit risk is minimal. With regards to marketable securities, the Company limits its investment to securities with investment grade ratings from Moody's or Standard and Poor's. As the Company doesn't have current intent to sell securities and it's more likely than not that the Company won't be required to sell securities before recovery of their amortized cost basis, the adoption of new standards did not have any material impact on its accounting of marketable securities.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80"/>
          </w:cols>
          <w:pgMar w:left="300" w:top="591"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i w:val="1"/>
          <w:iCs w:val="1"/>
          <w:color w:val="auto"/>
        </w:rPr>
        <w:t>Fair Value of Financial Instruments</w:t>
      </w:r>
    </w:p>
    <w:p>
      <w:pPr>
        <w:spacing w:after="0" w:line="7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August 2018, the FASB issued ASU No. 2018-13, "Fair Value Measurement (Topic 820): Disclosure Framework - Changes to the Disclosure Requirements for Fair Value Measurement." This ASU removes certain disclosure requirements related to the fair value hierarchy, such as disclosure of amounts and reasons for transfers between Level 1 and Level 2, and adds new disclosure requirements, such as disclosure of the range and weighted average of significant unobservable inputs used to develop Level 3 fair value measurement. For the Company, the new standard is effective on January 1, 2020. The Company does not expect this ASU to have any material impact on its consolidated financial statements, as the Company does not have financial instruments classified as Level 3.</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Retirement Benefits</w:t>
      </w:r>
    </w:p>
    <w:p>
      <w:pPr>
        <w:spacing w:after="0" w:line="7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August 2018, the FASB issued ASU No. 2018-14, "Changes to the Disclosure Requirements for Defined Benefit Plans." This ASU removes certain disclosure requirements, including the amounts in accumulated other comprehensive income expected to be recognized as components of net periodic benefit cost over the next fiscal year and the amount and timing of plan assets expected to be returned to the employer. This ASU also requires additional disclosures for the weighted average interest crediting rates for cash balance plans and explanations for significant gains and losses related to changes in the benefit plan obligation. This ASU is effective for fiscal years beginning after December 15, 2020. The Company does not expect this ASU to have any material impact on its consolidated financial statements and related disclosures.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Accounting Pronouncements Adopted in 2019</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 Accounting</w:t>
      </w:r>
    </w:p>
    <w:p>
      <w:pPr>
        <w:spacing w:after="0" w:line="72"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In February 2016, the FASB issued ASU No. 2016-02, "Leases." From the lessee's perspective, the new standard establishes a right-of-use, or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for a lessee. From the lessor's perspective, the new standard requires a lessor to classify leases as either sales-type, finance or operating. Entities are prohibited from using a full retrospective transition approach to adopt this guidance, and a modified retrospective approach is required to be used for all leases that exist at or commence after the beginning of the earliest comparative period presented. Entities are permitted to elect a package of expedients where an entity need not reassess (i) whether any expired or existing contracts are or contain leases, (ii) lease classification for any expired or existing leases, or (iii) initial direct costs for any existing leases.</w:t>
      </w:r>
    </w:p>
    <w:p>
      <w:pPr>
        <w:spacing w:after="0" w:line="28" w:lineRule="exact"/>
        <w:rPr>
          <w:sz w:val="20"/>
          <w:szCs w:val="20"/>
          <w:color w:val="auto"/>
        </w:rPr>
      </w:pPr>
    </w:p>
    <w:p>
      <w:pPr>
        <w:ind w:right="240"/>
        <w:spacing w:after="0" w:line="297" w:lineRule="auto"/>
        <w:rPr>
          <w:sz w:val="20"/>
          <w:szCs w:val="20"/>
          <w:color w:val="auto"/>
        </w:rPr>
      </w:pPr>
      <w:r>
        <w:rPr>
          <w:rFonts w:ascii="Arial" w:cs="Arial" w:eastAsia="Arial" w:hAnsi="Arial"/>
          <w:sz w:val="13"/>
          <w:szCs w:val="13"/>
          <w:color w:val="auto"/>
        </w:rPr>
        <w:t>In January 2018, the FASB issued ASU No. 2018-01, "Land Easement Practical Expedient for Transition to Topic 842," which permits entities to elect a transition practical expedient to not assess land easements that exist or expired before the adoption of the new standard in order to reduce the costs and complexity of complying with the transition provisions. If this practical expedient is elected, entities are effectively allowed to grandfather the accounting for easements entered into prior to the adoption of the new standards.</w:t>
      </w:r>
    </w:p>
    <w:p>
      <w:pPr>
        <w:spacing w:after="0" w:line="18" w:lineRule="exact"/>
        <w:rPr>
          <w:sz w:val="20"/>
          <w:szCs w:val="20"/>
          <w:color w:val="auto"/>
        </w:rPr>
      </w:pPr>
    </w:p>
    <w:p>
      <w:pPr>
        <w:ind w:right="100"/>
        <w:spacing w:after="0" w:line="331" w:lineRule="auto"/>
        <w:rPr>
          <w:sz w:val="20"/>
          <w:szCs w:val="20"/>
          <w:color w:val="auto"/>
        </w:rPr>
      </w:pPr>
      <w:r>
        <w:rPr>
          <w:rFonts w:ascii="Arial" w:cs="Arial" w:eastAsia="Arial" w:hAnsi="Arial"/>
          <w:sz w:val="12"/>
          <w:szCs w:val="12"/>
          <w:color w:val="auto"/>
        </w:rPr>
        <w:t>In July 2018, the FASB issued ASU No. 2018-11, "Targeted Improvements to Leases (Topic 842)," which allows entities to not apply the new leases standard in the comparative periods they present in their financial statements. Under this transition option, entities can continue to apply the legacy guidance in the comparative periods presented in the year they adopt the new standard. ASU No. 2018-11 also provides a practical expedient for lessors to combine the lease and non-lease components under certain circumstances to simplify the lessor's implementation of the new guidance.</w:t>
      </w:r>
    </w:p>
    <w:p>
      <w:pPr>
        <w:spacing w:after="0" w:line="2"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The Accounting Standards Codification Topic 842: Leases, or ASC Topic 842, became effective on January 1, 2019. The Company adopted the new standards using the modified retrospective method on January 1, 2019. The optional transition method was elected during this transition, and comparative information is not restated and will continue to be reported under the legacy guidance. The Company also elected the package of practical expedients and will account for its existing leases under the new guidance without reassessing its prior conclusions of lease identification, lease classification and initial direct costs.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80"/>
          </w:cols>
          <w:pgMar w:left="300" w:top="532"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auto"/>
        </w:rPr>
        <w:t>Lessee Impact:</w:t>
      </w:r>
    </w:p>
    <w:p>
      <w:pPr>
        <w:spacing w:after="0" w:line="13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currently leases several office copiers under 48-month lease terms. On January 1, 2019, an operating lease ROU asset and an operating lease liability were recorded on the consolidated balance sheets, both in the amount of $52,000, as a result of adopting the new guidance. The $52,000 was determined by calculating the present value of the future annual cash lease payments using a discount rate of 4.11%. The 4.11% discount rate represents the Company's incremental borrowing rate as of January 1, 2019. The implementation of the new standards did not have any impact on the consolidated statements of operations or the opening balance of retained earnings on the consolidated statements of equity.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Lessor Impact:</w:t>
      </w:r>
    </w:p>
    <w:p>
      <w:pPr>
        <w:spacing w:after="0" w:line="72"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The Company elected the land easement practical expedient upon adoption of the new guidance and is thus permitted to continue its current accounting policy for land easements that exist or expired before the effective date of the adoption. After the adoption date, the Company evaluates new or modified land easements under ASC Topic 842.</w:t>
      </w:r>
    </w:p>
    <w:p>
      <w:pPr>
        <w:spacing w:after="0" w:line="26"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Additionally, the Company elected the lessor's practical expedient and combined the lease and non-lease components due to the following criteria being met: (i) the timing and pattern of recognizing revenue for the lease components are the same as its associated non-lease components, (ii) the lease component, if accounted for separately, would be classified as an operating lease, and (iii) the lease component is the predominant component within the contract. The Company believes that combining the lease component, which is the lease revenue, and non-lease components such as common area maintenance revenue and provisions of real estate taxes and insurance, will provide more meaningful information as it is more reflective of the predominant component in the lease contracts.</w:t>
      </w:r>
    </w:p>
    <w:p>
      <w:pPr>
        <w:spacing w:after="0" w:line="40" w:lineRule="exact"/>
        <w:rPr>
          <w:sz w:val="20"/>
          <w:szCs w:val="20"/>
          <w:color w:val="auto"/>
        </w:rPr>
      </w:pPr>
    </w:p>
    <w:p>
      <w:pPr>
        <w:jc w:val="both"/>
        <w:ind w:right="20"/>
        <w:spacing w:after="0" w:line="262" w:lineRule="auto"/>
        <w:rPr>
          <w:sz w:val="20"/>
          <w:szCs w:val="20"/>
          <w:color w:val="auto"/>
        </w:rPr>
      </w:pPr>
      <w:r>
        <w:rPr>
          <w:rFonts w:ascii="Arial" w:cs="Arial" w:eastAsia="Arial" w:hAnsi="Arial"/>
          <w:sz w:val="14"/>
          <w:szCs w:val="14"/>
          <w:color w:val="auto"/>
        </w:rPr>
        <w:t>The Company does not expect significant differences in the timing and pattern of revenue recognition under the new lease guidance for all existing leases from the lessor's perspective. For new leases originated after the adoption date, the Company expects to capitalize less initial direct cost, as the definition of initial direct cost is narrower under the new guidance. Certain costs, such as legal costs incurred, were eligible for capitalization under the legacy guidance, but are no longer eligible for capitalization under the new standards. The amounts capitalized as legal costs have been de minimis in the past and would not have a material impact to the results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Derivatives and Hedging</w:t>
      </w:r>
    </w:p>
    <w:p>
      <w:pPr>
        <w:spacing w:after="0" w:line="136"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In August 2017, the FASB issued ASU No. 2017-12, "Derivatives and Hedging (Topic 815): Targeted Improvements to Accounting for Hedging Activities," which amends the hedge accounting model and allows entities to better portray the economics of their risk management activities in their financial statements. This guidance eliminates the requirement to separately measure and report hedge ineffectiveness and requires the entire change in the fair value of a hedging instrument to be presented in the same income statement line as hedged item.</w:t>
      </w:r>
    </w:p>
    <w:p>
      <w:pPr>
        <w:spacing w:after="0" w:line="18"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The Company adopted ASU No. 2017-12 on January 1, 2019 using a modified retrospective approach. The Company utilizes an interest rate swap to hedge its exposure to variable interest rate associated with borrowings based on London Interbank Offered Rate (LIBOR). The Company does not expect the transition away from LIBOR to impact the designation of the interest rate swap. The interest rate swap is designated as a cash flow hedge, and the hedge has been highly effective since inception. Therefore, no cumulative effective adjustment of previously recognized ineffectiveness was required to be recorded as a result of adopting this new guidance. The adoption of this guidance did not have an impact on the Company's consolidated financial statements.</w:t>
      </w:r>
    </w:p>
    <w:p>
      <w:pPr>
        <w:spacing w:after="0" w:line="25" w:lineRule="exact"/>
        <w:rPr>
          <w:sz w:val="20"/>
          <w:szCs w:val="20"/>
          <w:color w:val="auto"/>
        </w:rPr>
      </w:pPr>
    </w:p>
    <w:p>
      <w:pPr>
        <w:ind w:right="80"/>
        <w:spacing w:after="0" w:line="331" w:lineRule="auto"/>
        <w:rPr>
          <w:sz w:val="20"/>
          <w:szCs w:val="20"/>
          <w:color w:val="auto"/>
        </w:rPr>
      </w:pPr>
      <w:r>
        <w:rPr>
          <w:rFonts w:ascii="Arial" w:cs="Arial" w:eastAsia="Arial" w:hAnsi="Arial"/>
          <w:sz w:val="12"/>
          <w:szCs w:val="12"/>
          <w:color w:val="auto"/>
        </w:rPr>
        <w:t>In October 2018, the FASB issued ASU No. 2018-16, "Derivatives and Hedging (Topic 815): Inclusion of the Secured Overnight Financing Rate (SOFR) Overnight Index Swap (OIS) Rate as a Benchmark Interest Rate for Hedge Accounting Purposes." This ASU identified SOFR as the preferred reference rate alternative to LIBOR. The Company adopted this new guidance on January 1, 2019, and the adoption did not have an impact on the Company's consolidated financial statements. For a more detailed discussion of the benchmark interest rate, see Part I, Item 1A, "Risk Factors".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Reclassification of Certain Tax Effects from Accumulated Other Comprehensive Income</w:t>
      </w:r>
    </w:p>
    <w:p>
      <w:pPr>
        <w:spacing w:after="0" w:line="136" w:lineRule="exact"/>
        <w:rPr>
          <w:sz w:val="20"/>
          <w:szCs w:val="20"/>
          <w:color w:val="auto"/>
        </w:rPr>
      </w:pPr>
    </w:p>
    <w:p>
      <w:pPr>
        <w:ind w:right="80"/>
        <w:spacing w:after="0" w:line="319" w:lineRule="auto"/>
        <w:rPr>
          <w:sz w:val="20"/>
          <w:szCs w:val="20"/>
          <w:color w:val="auto"/>
        </w:rPr>
      </w:pPr>
      <w:r>
        <w:rPr>
          <w:rFonts w:ascii="Arial" w:cs="Arial" w:eastAsia="Arial" w:hAnsi="Arial"/>
          <w:sz w:val="12"/>
          <w:szCs w:val="12"/>
          <w:color w:val="auto"/>
        </w:rPr>
        <w:t>In February 2018, the FASB issued ASU No. 2018-02, "Income Statement — Reporting Comprehensive Income (Topic 220): Reclassification of Certain Tax Effects from Accumulated Other Comprehensive Income," which allows a reclassification from accumulated other comprehensive income, or AOCI, to retained earnings for stranded tax effects resulting from the U.S. government’s comprehensive tax legislation enacted in December 2017, commonly referred to as U.S. Tax Reform. The guidance became effective for the Company on January 1, 2019, and the Company adopted the provisions of the guidance as of the effective date. The Company did not make an election to reclassify the income tax effects of the U.S Tax Reform from AOCI to retained earnings.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60"/>
          </w:cols>
          <w:pgMar w:left="300" w:top="532"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i w:val="1"/>
          <w:iCs w:val="1"/>
          <w:color w:val="auto"/>
        </w:rPr>
        <w:t>Disclosure Simplification</w:t>
      </w:r>
    </w:p>
    <w:p>
      <w:pPr>
        <w:spacing w:after="0" w:line="72"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color w:val="auto"/>
        </w:rPr>
        <w:t>In July 2019, the FASB issued ASU No. 2019-07, "Codification Updates to SEC Sections - Amendments to SEC Paragraphs Pursuant to SEC Final Rule Releases No. 33-10532, Disclosure Update and Simplification, and Nos. 33-10231 and 33-10442, Investment Company Reporting Modernization and Miscellaneous Updates (SEC Update)." This ASU clarifies or improves the disclosure and presentation requirements of a variety of codification topics by aligning them with the SEC’s regulations, thereby eliminating redundancies and making the codification easier to apply. This ASU was effective upon issuance and did not have a significant impact on the Company’s consolidated financial statements and disclosures.</w:t>
      </w:r>
    </w:p>
    <w:p>
      <w:pPr>
        <w:spacing w:after="0" w:line="8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2.</w:t>
        <w:tab/>
        <w:t>EQUITY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 (EPS)</w:t>
      </w:r>
    </w:p>
    <w:p>
      <w:pPr>
        <w:spacing w:after="0" w:line="140" w:lineRule="exact"/>
        <w:rPr>
          <w:sz w:val="20"/>
          <w:szCs w:val="20"/>
          <w:color w:val="auto"/>
        </w:rPr>
      </w:pPr>
    </w:p>
    <w:p>
      <w:pPr>
        <w:jc w:val="both"/>
        <w:ind w:right="120"/>
        <w:spacing w:after="0" w:line="331" w:lineRule="auto"/>
        <w:rPr>
          <w:sz w:val="20"/>
          <w:szCs w:val="20"/>
          <w:color w:val="auto"/>
        </w:rPr>
      </w:pPr>
      <w:r>
        <w:rPr>
          <w:rFonts w:ascii="Arial" w:cs="Arial" w:eastAsia="Arial" w:hAnsi="Arial"/>
          <w:sz w:val="12"/>
          <w:szCs w:val="12"/>
          <w:color w:val="auto"/>
        </w:rPr>
        <w:t>Basic net income (loss) per share attributable to common stockholders is based upon the weighted-average number of shares of common stock outstanding during the year. Diluted net income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260, “Earnings Per Share.”</w:t>
      </w:r>
    </w:p>
    <w:p>
      <w:pPr>
        <w:spacing w:after="0" w:line="193" w:lineRule="exact"/>
        <w:rPr>
          <w:sz w:val="20"/>
          <w:szCs w:val="20"/>
          <w:color w:val="auto"/>
        </w:rPr>
      </w:pPr>
    </w:p>
    <w:p>
      <w:pPr>
        <w:ind w:left="7420"/>
        <w:spacing w:after="0"/>
        <w:rPr>
          <w:sz w:val="20"/>
          <w:szCs w:val="20"/>
          <w:color w:val="auto"/>
        </w:rPr>
      </w:pPr>
      <w:r>
        <w:rPr>
          <w:rFonts w:ascii="Arial" w:cs="Arial" w:eastAsia="Arial" w:hAnsi="Arial"/>
          <w:sz w:val="14"/>
          <w:szCs w:val="14"/>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26035</wp:posOffset>
            </wp:positionV>
            <wp:extent cx="357759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00" w:type="dxa"/>
            <w:vAlign w:val="bottom"/>
            <w:gridSpan w:val="2"/>
          </w:tcPr>
          <w:p>
            <w:pPr>
              <w:ind w:left="6420"/>
              <w:spacing w:after="0"/>
              <w:rPr>
                <w:sz w:val="20"/>
                <w:szCs w:val="20"/>
                <w:color w:val="auto"/>
              </w:rPr>
            </w:pPr>
            <w:r>
              <w:rPr>
                <w:rFonts w:ascii="Arial" w:cs="Arial" w:eastAsia="Arial" w:hAnsi="Arial"/>
                <w:sz w:val="14"/>
                <w:szCs w:val="14"/>
                <w:color w:val="auto"/>
                <w:w w:val="83"/>
              </w:rPr>
              <w:t>2019</w:t>
            </w:r>
          </w:p>
        </w:tc>
        <w:tc>
          <w:tcPr>
            <w:tcW w:w="1940" w:type="dxa"/>
            <w:vAlign w:val="bottom"/>
            <w:gridSpan w:val="3"/>
          </w:tcPr>
          <w:p>
            <w:pPr>
              <w:jc w:val="right"/>
              <w:ind w:right="20"/>
              <w:spacing w:after="0"/>
              <w:rPr>
                <w:sz w:val="20"/>
                <w:szCs w:val="20"/>
                <w:color w:val="auto"/>
              </w:rPr>
            </w:pPr>
            <w:r>
              <w:rPr>
                <w:rFonts w:ascii="Arial" w:cs="Arial" w:eastAsia="Arial" w:hAnsi="Arial"/>
                <w:sz w:val="14"/>
                <w:szCs w:val="14"/>
                <w:color w:val="auto"/>
              </w:rPr>
              <w:t>2018</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ind w:right="689"/>
              <w:spacing w:after="0"/>
              <w:rPr>
                <w:sz w:val="20"/>
                <w:szCs w:val="20"/>
                <w:color w:val="auto"/>
              </w:rPr>
            </w:pPr>
            <w:r>
              <w:rPr>
                <w:rFonts w:ascii="Arial" w:cs="Arial" w:eastAsia="Arial" w:hAnsi="Arial"/>
                <w:sz w:val="14"/>
                <w:szCs w:val="14"/>
                <w:color w:val="auto"/>
              </w:rPr>
              <w:t>2017</w:t>
            </w:r>
          </w:p>
        </w:tc>
      </w:tr>
      <w:tr>
        <w:trPr>
          <w:trHeight w:val="22"/>
        </w:trPr>
        <w:tc>
          <w:tcPr>
            <w:tcW w:w="6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71"/>
        </w:trPr>
        <w:tc>
          <w:tcPr>
            <w:tcW w:w="564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w:t>
            </w:r>
          </w:p>
        </w:tc>
        <w:tc>
          <w:tcPr>
            <w:tcW w:w="10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r>
      <w:tr>
        <w:trPr>
          <w:trHeight w:val="32"/>
        </w:trPr>
        <w:tc>
          <w:tcPr>
            <w:tcW w:w="5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92"/>
        </w:trPr>
        <w:tc>
          <w:tcPr>
            <w:tcW w:w="67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26,031,391</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88"/>
              </w:rPr>
              <w:t>25,948,189</w:t>
            </w:r>
          </w:p>
        </w:tc>
        <w:tc>
          <w:tcPr>
            <w:tcW w:w="1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21,677,981</w:t>
            </w:r>
          </w:p>
        </w:tc>
      </w:tr>
      <w:tr>
        <w:trPr>
          <w:trHeight w:val="191"/>
        </w:trPr>
        <w:tc>
          <w:tcPr>
            <w:tcW w:w="6700" w:type="dxa"/>
            <w:vAlign w:val="bottom"/>
            <w:gridSpan w:val="2"/>
          </w:tcPr>
          <w:p>
            <w:pPr>
              <w:ind w:left="300"/>
              <w:spacing w:after="0"/>
              <w:rPr>
                <w:sz w:val="20"/>
                <w:szCs w:val="20"/>
                <w:color w:val="auto"/>
              </w:rPr>
            </w:pPr>
            <w:r>
              <w:rPr>
                <w:rFonts w:ascii="Arial" w:cs="Arial" w:eastAsia="Arial" w:hAnsi="Arial"/>
                <w:sz w:val="14"/>
                <w:szCs w:val="14"/>
                <w:color w:val="auto"/>
              </w:rPr>
              <w:t>Common stock equivalents: stock options, grants</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117,724</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27,715</w:t>
            </w:r>
          </w:p>
        </w:tc>
        <w:tc>
          <w:tcPr>
            <w:tcW w:w="120" w:type="dxa"/>
            <w:vAlign w:val="bottom"/>
          </w:tcPr>
          <w:p>
            <w:pPr>
              <w:spacing w:after="0"/>
              <w:rPr>
                <w:sz w:val="16"/>
                <w:szCs w:val="16"/>
                <w:color w:val="auto"/>
              </w:rPr>
            </w:pPr>
          </w:p>
        </w:tc>
        <w:tc>
          <w:tcPr>
            <w:tcW w:w="1780" w:type="dxa"/>
            <w:vAlign w:val="bottom"/>
          </w:tcPr>
          <w:p>
            <w:pPr>
              <w:jc w:val="right"/>
              <w:ind w:right="29"/>
              <w:spacing w:after="0"/>
              <w:rPr>
                <w:sz w:val="20"/>
                <w:szCs w:val="20"/>
                <w:color w:val="auto"/>
              </w:rPr>
            </w:pPr>
            <w:r>
              <w:rPr>
                <w:rFonts w:ascii="Arial" w:cs="Arial" w:eastAsia="Arial" w:hAnsi="Arial"/>
                <w:sz w:val="14"/>
                <w:szCs w:val="14"/>
                <w:color w:val="auto"/>
              </w:rPr>
              <w:t>40,409</w:t>
            </w:r>
          </w:p>
        </w:tc>
      </w:tr>
      <w:tr>
        <w:trPr>
          <w:trHeight w:val="22"/>
        </w:trPr>
        <w:tc>
          <w:tcPr>
            <w:tcW w:w="56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08"/>
        </w:trPr>
        <w:tc>
          <w:tcPr>
            <w:tcW w:w="5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Diluted shares outstanding</w:t>
            </w:r>
          </w:p>
        </w:tc>
        <w:tc>
          <w:tcPr>
            <w:tcW w:w="10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26,149,115</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88"/>
              </w:rPr>
              <w:t>25,975,904</w:t>
            </w:r>
          </w:p>
        </w:tc>
        <w:tc>
          <w:tcPr>
            <w:tcW w:w="12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21,718,390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Offering</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On October 4, 2017, the Company commenced a rights offering to common shareholders the proceeds of which have been used to provide additional working capital for general corporate purposes, including to fund general infrastructure costs and the development of buildings at Tejon Ranch Commerce Center, or TRCC, to continue forward with entitlement and permitting programs for the Centennial and Grapevine communities and costs related to the preparation of the development of MV. The rights offering concluded on October 27, 2017, with the Company raising $89,701,000, net of offering costs, from the sale of 5,000,596 shares at $18.00 per share.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80"/>
          </w:cols>
          <w:pgMar w:left="300" w:top="532" w:right="319" w:bottom="1440" w:gutter="0" w:footer="0" w:header="0"/>
        </w:sectPr>
      </w:pPr>
    </w:p>
    <w:bookmarkStart w:id="87" w:name="page88"/>
    <w:bookmarkEnd w:id="87"/>
    <w:p>
      <w:pPr>
        <w:ind w:left="280" w:hanging="275"/>
        <w:spacing w:after="0"/>
        <w:tabs>
          <w:tab w:leader="none" w:pos="28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MARKETABLE SECURITIES</w:t>
      </w:r>
    </w:p>
    <w:p>
      <w:pPr>
        <w:spacing w:after="0" w:line="140"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ASC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 December 31: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gridSpan w:val="3"/>
          </w:tcPr>
          <w:p>
            <w:pPr>
              <w:jc w:val="right"/>
              <w:ind w:right="249"/>
              <w:spacing w:after="0"/>
              <w:rPr>
                <w:sz w:val="20"/>
                <w:szCs w:val="20"/>
                <w:color w:val="auto"/>
              </w:rPr>
            </w:pPr>
            <w:r>
              <w:rPr>
                <w:rFonts w:ascii="Arial" w:cs="Arial" w:eastAsia="Arial" w:hAnsi="Arial"/>
                <w:sz w:val="14"/>
                <w:szCs w:val="14"/>
                <w:color w:val="auto"/>
                <w:w w:val="96"/>
              </w:rPr>
              <w:t>2019</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w w:val="89"/>
              </w:rPr>
              <w:t>2018</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color w:val="auto"/>
                <w:w w:val="95"/>
              </w:rPr>
              <w:t>Estimated Fair</w:t>
            </w:r>
          </w:p>
        </w:tc>
        <w:tc>
          <w:tcPr>
            <w:tcW w:w="0" w:type="dxa"/>
            <w:vAlign w:val="bottom"/>
          </w:tcPr>
          <w:p>
            <w:pPr>
              <w:spacing w:after="0"/>
              <w:rPr>
                <w:sz w:val="1"/>
                <w:szCs w:val="1"/>
                <w:color w:val="auto"/>
              </w:rPr>
            </w:pPr>
          </w:p>
        </w:tc>
      </w:tr>
      <w:tr>
        <w:trPr>
          <w:trHeight w:val="180"/>
        </w:trPr>
        <w:tc>
          <w:tcPr>
            <w:tcW w:w="376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520" w:type="dxa"/>
            <w:vAlign w:val="bottom"/>
            <w:gridSpan w:val="2"/>
          </w:tcPr>
          <w:p>
            <w:pPr>
              <w:jc w:val="center"/>
              <w:ind w:left="389"/>
              <w:spacing w:after="0"/>
              <w:rPr>
                <w:sz w:val="20"/>
                <w:szCs w:val="20"/>
                <w:color w:val="auto"/>
              </w:rPr>
            </w:pPr>
            <w:r>
              <w:rPr>
                <w:rFonts w:ascii="Arial" w:cs="Arial" w:eastAsia="Arial" w:hAnsi="Arial"/>
                <w:sz w:val="14"/>
                <w:szCs w:val="14"/>
                <w:color w:val="auto"/>
                <w:w w:val="92"/>
              </w:rPr>
              <w:t>Fair Value Hierarchy</w:t>
            </w:r>
          </w:p>
        </w:tc>
        <w:tc>
          <w:tcPr>
            <w:tcW w:w="860" w:type="dxa"/>
            <w:vAlign w:val="bottom"/>
          </w:tcPr>
          <w:p>
            <w:pPr>
              <w:jc w:val="right"/>
              <w:ind w:right="329"/>
              <w:spacing w:after="0"/>
              <w:rPr>
                <w:sz w:val="20"/>
                <w:szCs w:val="20"/>
                <w:color w:val="auto"/>
              </w:rPr>
            </w:pPr>
            <w:r>
              <w:rPr>
                <w:rFonts w:ascii="Arial" w:cs="Arial" w:eastAsia="Arial" w:hAnsi="Arial"/>
                <w:sz w:val="14"/>
                <w:szCs w:val="14"/>
                <w:color w:val="auto"/>
              </w:rPr>
              <w:t>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color w:val="auto"/>
              </w:rPr>
              <w:t>Estimated Fair Value</w:t>
            </w:r>
          </w:p>
        </w:tc>
        <w:tc>
          <w:tcPr>
            <w:tcW w:w="300" w:type="dxa"/>
            <w:vAlign w:val="bottom"/>
          </w:tcPr>
          <w:p>
            <w:pPr>
              <w:spacing w:after="0"/>
              <w:rPr>
                <w:sz w:val="15"/>
                <w:szCs w:val="15"/>
                <w:color w:val="auto"/>
              </w:rPr>
            </w:pPr>
          </w:p>
        </w:tc>
        <w:tc>
          <w:tcPr>
            <w:tcW w:w="840" w:type="dxa"/>
            <w:vAlign w:val="bottom"/>
          </w:tcPr>
          <w:p>
            <w:pPr>
              <w:jc w:val="right"/>
              <w:ind w:right="309"/>
              <w:spacing w:after="0"/>
              <w:rPr>
                <w:sz w:val="20"/>
                <w:szCs w:val="20"/>
                <w:color w:val="auto"/>
              </w:rPr>
            </w:pPr>
            <w:r>
              <w:rPr>
                <w:rFonts w:ascii="Arial" w:cs="Arial" w:eastAsia="Arial" w:hAnsi="Arial"/>
                <w:sz w:val="14"/>
                <w:szCs w:val="14"/>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69"/>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2"/>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Certificates of deposit</w:t>
            </w:r>
          </w:p>
        </w:tc>
        <w:tc>
          <w:tcPr>
            <w:tcW w:w="2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37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with unrecognized losses for less than 12 months</w:t>
            </w:r>
          </w:p>
        </w:tc>
        <w:tc>
          <w:tcPr>
            <w:tcW w:w="2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640" w:type="dxa"/>
            <w:vAlign w:val="bottom"/>
            <w:tcBorders>
              <w:bottom w:val="single" w:sz="8" w:color="CCEEFF"/>
            </w:tcBorders>
            <w:gridSpan w:val="3"/>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Arial" w:cs="Arial" w:eastAsia="Arial" w:hAnsi="Arial"/>
                <w:sz w:val="14"/>
                <w:szCs w:val="14"/>
                <w:color w:val="auto"/>
              </w:rPr>
              <w:t>with unrecognized losses for more than 12 months</w:t>
            </w:r>
          </w:p>
        </w:tc>
        <w:tc>
          <w:tcPr>
            <w:tcW w:w="2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with unrecognized gains</w:t>
            </w:r>
          </w:p>
        </w:tc>
        <w:tc>
          <w:tcPr>
            <w:tcW w:w="2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1,806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760" w:type="dxa"/>
            <w:vAlign w:val="bottom"/>
          </w:tcPr>
          <w:p>
            <w:pPr>
              <w:ind w:left="300"/>
              <w:spacing w:after="0"/>
              <w:rPr>
                <w:sz w:val="20"/>
                <w:szCs w:val="20"/>
                <w:color w:val="auto"/>
              </w:rPr>
            </w:pPr>
            <w:r>
              <w:rPr>
                <w:rFonts w:ascii="Arial" w:cs="Arial" w:eastAsia="Arial" w:hAnsi="Arial"/>
                <w:sz w:val="14"/>
                <w:szCs w:val="14"/>
                <w:color w:val="auto"/>
              </w:rPr>
              <w:t>Total Certificates of deposit</w:t>
            </w:r>
          </w:p>
        </w:tc>
        <w:tc>
          <w:tcPr>
            <w:tcW w:w="2220" w:type="dxa"/>
            <w:vAlign w:val="bottom"/>
          </w:tcPr>
          <w:p>
            <w:pPr>
              <w:jc w:val="center"/>
              <w:ind w:left="689"/>
              <w:spacing w:after="0"/>
              <w:rPr>
                <w:sz w:val="20"/>
                <w:szCs w:val="20"/>
                <w:color w:val="auto"/>
              </w:rPr>
            </w:pPr>
            <w:r>
              <w:rPr>
                <w:rFonts w:ascii="Arial" w:cs="Arial" w:eastAsia="Arial" w:hAnsi="Arial"/>
                <w:sz w:val="14"/>
                <w:szCs w:val="14"/>
                <w:color w:val="auto"/>
                <w:w w:val="92"/>
              </w:rPr>
              <w:t>Level 1</w:t>
            </w: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2,050</w:t>
            </w: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2,056</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4,111</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4,060</w:t>
            </w:r>
          </w:p>
        </w:tc>
        <w:tc>
          <w:tcPr>
            <w:tcW w:w="0" w:type="dxa"/>
            <w:vAlign w:val="bottom"/>
          </w:tcPr>
          <w:p>
            <w:pPr>
              <w:spacing w:after="0"/>
              <w:rPr>
                <w:sz w:val="1"/>
                <w:szCs w:val="1"/>
                <w:color w:val="auto"/>
              </w:rPr>
            </w:pPr>
          </w:p>
        </w:tc>
      </w:tr>
      <w:tr>
        <w:trPr>
          <w:trHeight w:val="22"/>
        </w:trPr>
        <w:tc>
          <w:tcPr>
            <w:tcW w:w="37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Treasury and agency notes</w:t>
            </w:r>
          </w:p>
        </w:tc>
        <w:tc>
          <w:tcPr>
            <w:tcW w:w="2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Arial" w:cs="Arial" w:eastAsia="Arial" w:hAnsi="Arial"/>
                <w:sz w:val="14"/>
                <w:szCs w:val="14"/>
                <w:color w:val="auto"/>
              </w:rPr>
              <w:t>with unrecognized losses for less than 12 months</w:t>
            </w:r>
          </w:p>
        </w:tc>
        <w:tc>
          <w:tcPr>
            <w:tcW w:w="2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6,479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3,105</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with unrecognized losses for more than 12 months</w:t>
            </w:r>
          </w:p>
        </w:tc>
        <w:tc>
          <w:tcPr>
            <w:tcW w:w="2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23,564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23,415</w:t>
            </w: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Arial" w:cs="Arial" w:eastAsia="Arial" w:hAnsi="Arial"/>
                <w:sz w:val="14"/>
                <w:szCs w:val="14"/>
                <w:color w:val="auto"/>
              </w:rPr>
              <w:t>with unrecognized gains</w:t>
            </w:r>
          </w:p>
        </w:tc>
        <w:tc>
          <w:tcPr>
            <w:tcW w:w="2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14,434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
        </w:trPr>
        <w:tc>
          <w:tcPr>
            <w:tcW w:w="37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U.S. Treasury and agency notes</w:t>
            </w:r>
          </w:p>
        </w:tc>
        <w:tc>
          <w:tcPr>
            <w:tcW w:w="2520" w:type="dxa"/>
            <w:vAlign w:val="bottom"/>
            <w:tcBorders>
              <w:bottom w:val="single" w:sz="8" w:color="CCEEFF"/>
            </w:tcBorders>
            <w:gridSpan w:val="2"/>
            <w:shd w:val="clear" w:color="auto" w:fill="CCEEFF"/>
          </w:tcPr>
          <w:p>
            <w:pPr>
              <w:jc w:val="center"/>
              <w:ind w:left="389"/>
              <w:spacing w:after="0"/>
              <w:rPr>
                <w:sz w:val="20"/>
                <w:szCs w:val="20"/>
                <w:color w:val="auto"/>
              </w:rPr>
            </w:pPr>
            <w:r>
              <w:rPr>
                <w:rFonts w:ascii="Arial" w:cs="Arial" w:eastAsia="Arial" w:hAnsi="Arial"/>
                <w:sz w:val="14"/>
                <w:szCs w:val="14"/>
                <w:color w:val="auto"/>
                <w:w w:val="92"/>
              </w:rPr>
              <w:t>Level 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20,898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20,913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26,524</w:t>
            </w:r>
          </w:p>
        </w:tc>
        <w:tc>
          <w:tcPr>
            <w:tcW w:w="0" w:type="dxa"/>
            <w:vAlign w:val="bottom"/>
          </w:tcPr>
          <w:p>
            <w:pPr>
              <w:spacing w:after="0"/>
              <w:rPr>
                <w:sz w:val="1"/>
                <w:szCs w:val="1"/>
                <w:color w:val="auto"/>
              </w:rPr>
            </w:pPr>
          </w:p>
        </w:tc>
      </w:tr>
      <w:tr>
        <w:trPr>
          <w:trHeight w:val="171"/>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Corporate notes</w:t>
            </w:r>
          </w:p>
        </w:tc>
        <w:tc>
          <w:tcPr>
            <w:tcW w:w="2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37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with unrecognized losses for less than 12 months</w:t>
            </w:r>
          </w:p>
        </w:tc>
        <w:tc>
          <w:tcPr>
            <w:tcW w:w="2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1,002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13,696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13,665</w:t>
            </w: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Arial" w:cs="Arial" w:eastAsia="Arial" w:hAnsi="Arial"/>
                <w:sz w:val="14"/>
                <w:szCs w:val="14"/>
                <w:color w:val="auto"/>
              </w:rPr>
              <w:t>with unrecognized losses for more than 12 months</w:t>
            </w:r>
          </w:p>
        </w:tc>
        <w:tc>
          <w:tcPr>
            <w:tcW w:w="2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12,431</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with unrecognized gains</w:t>
            </w:r>
          </w:p>
        </w:tc>
        <w:tc>
          <w:tcPr>
            <w:tcW w:w="2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13,082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13,106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760" w:type="dxa"/>
            <w:vAlign w:val="bottom"/>
          </w:tcPr>
          <w:p>
            <w:pPr>
              <w:ind w:left="300"/>
              <w:spacing w:after="0"/>
              <w:rPr>
                <w:sz w:val="20"/>
                <w:szCs w:val="20"/>
                <w:color w:val="auto"/>
              </w:rPr>
            </w:pPr>
            <w:r>
              <w:rPr>
                <w:rFonts w:ascii="Arial" w:cs="Arial" w:eastAsia="Arial" w:hAnsi="Arial"/>
                <w:sz w:val="14"/>
                <w:szCs w:val="14"/>
                <w:color w:val="auto"/>
              </w:rPr>
              <w:t>Total Corporate notes</w:t>
            </w:r>
          </w:p>
        </w:tc>
        <w:tc>
          <w:tcPr>
            <w:tcW w:w="2220" w:type="dxa"/>
            <w:vAlign w:val="bottom"/>
          </w:tcPr>
          <w:p>
            <w:pPr>
              <w:jc w:val="center"/>
              <w:ind w:left="689"/>
              <w:spacing w:after="0"/>
              <w:rPr>
                <w:sz w:val="20"/>
                <w:szCs w:val="20"/>
                <w:color w:val="auto"/>
              </w:rPr>
            </w:pPr>
            <w:r>
              <w:rPr>
                <w:rFonts w:ascii="Arial" w:cs="Arial" w:eastAsia="Arial" w:hAnsi="Arial"/>
                <w:sz w:val="14"/>
                <w:szCs w:val="14"/>
                <w:color w:val="auto"/>
                <w:w w:val="92"/>
              </w:rPr>
              <w:t>Level 2</w:t>
            </w: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14,086</w:t>
            </w: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14,108</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26,238</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26,096</w:t>
            </w:r>
          </w:p>
        </w:tc>
        <w:tc>
          <w:tcPr>
            <w:tcW w:w="0" w:type="dxa"/>
            <w:vAlign w:val="bottom"/>
          </w:tcPr>
          <w:p>
            <w:pPr>
              <w:spacing w:after="0"/>
              <w:rPr>
                <w:sz w:val="1"/>
                <w:szCs w:val="1"/>
                <w:color w:val="auto"/>
              </w:rPr>
            </w:pPr>
          </w:p>
        </w:tc>
      </w:tr>
      <w:tr>
        <w:trPr>
          <w:trHeight w:val="22"/>
        </w:trPr>
        <w:tc>
          <w:tcPr>
            <w:tcW w:w="37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Municipal notes</w:t>
            </w:r>
          </w:p>
        </w:tc>
        <w:tc>
          <w:tcPr>
            <w:tcW w:w="2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Arial" w:cs="Arial" w:eastAsia="Arial" w:hAnsi="Arial"/>
                <w:sz w:val="14"/>
                <w:szCs w:val="14"/>
                <w:color w:val="auto"/>
              </w:rPr>
              <w:t>with unrecognized losses for less than 12 months</w:t>
            </w:r>
          </w:p>
        </w:tc>
        <w:tc>
          <w:tcPr>
            <w:tcW w:w="2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with unrecognized losses for more than 12 months</w:t>
            </w:r>
          </w:p>
        </w:tc>
        <w:tc>
          <w:tcPr>
            <w:tcW w:w="2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4,087</w:t>
            </w: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Arial" w:cs="Arial" w:eastAsia="Arial" w:hAnsi="Arial"/>
                <w:sz w:val="14"/>
                <w:szCs w:val="14"/>
                <w:color w:val="auto"/>
              </w:rPr>
              <w:t>with unrecognized gains</w:t>
            </w:r>
          </w:p>
        </w:tc>
        <w:tc>
          <w:tcPr>
            <w:tcW w:w="2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7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Municipal notes</w:t>
            </w:r>
          </w:p>
        </w:tc>
        <w:tc>
          <w:tcPr>
            <w:tcW w:w="2520" w:type="dxa"/>
            <w:vAlign w:val="bottom"/>
            <w:tcBorders>
              <w:bottom w:val="single" w:sz="8" w:color="CCEEFF"/>
            </w:tcBorders>
            <w:gridSpan w:val="2"/>
            <w:shd w:val="clear" w:color="auto" w:fill="CCEEFF"/>
          </w:tcPr>
          <w:p>
            <w:pPr>
              <w:jc w:val="center"/>
              <w:ind w:left="389"/>
              <w:spacing w:after="0"/>
              <w:rPr>
                <w:sz w:val="20"/>
                <w:szCs w:val="20"/>
                <w:color w:val="auto"/>
              </w:rPr>
            </w:pPr>
            <w:r>
              <w:rPr>
                <w:rFonts w:ascii="Arial" w:cs="Arial" w:eastAsia="Arial" w:hAnsi="Arial"/>
                <w:sz w:val="14"/>
                <w:szCs w:val="14"/>
                <w:color w:val="auto"/>
                <w:w w:val="92"/>
              </w:rPr>
              <w:t>Level 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2,007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7,069</w:t>
            </w:r>
          </w:p>
        </w:tc>
        <w:tc>
          <w:tcPr>
            <w:tcW w:w="0" w:type="dxa"/>
            <w:vAlign w:val="bottom"/>
          </w:tcPr>
          <w:p>
            <w:pPr>
              <w:spacing w:after="0"/>
              <w:rPr>
                <w:sz w:val="1"/>
                <w:szCs w:val="1"/>
                <w:color w:val="auto"/>
              </w:rPr>
            </w:pPr>
          </w:p>
        </w:tc>
      </w:tr>
      <w:tr>
        <w:trPr>
          <w:trHeight w:val="224"/>
        </w:trPr>
        <w:tc>
          <w:tcPr>
            <w:tcW w:w="376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76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39,033</w:t>
            </w:r>
          </w:p>
        </w:tc>
        <w:tc>
          <w:tcPr>
            <w:tcW w:w="640" w:type="dxa"/>
            <w:vAlign w:val="bottom"/>
            <w:tcBorders>
              <w:bottom w:val="single" w:sz="8" w:color="CCEEFF"/>
            </w:tcBorders>
            <w:gridSpan w:val="3"/>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39,084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64,138</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63,749</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We evaluate our securities for other-than-temporary impairment based on the specific facts and circumstances surrounding each security valued below its cost. Factors considered include the length of time the securities have been valued below cost, the financial condition of the issuer, industry reports related to the issuer, the severity of any decline, our current intention not to sell the security, and our assessment as to whether it is more likely than not that we will be required to sell the security before a recovery of its amortized cost basis. We then segregate the loss between the amounts representing a decrease in cash flows expected to be collected, or the credit loss, which is recognized through earnings, and the balance of the loss which is recognized through other comprehensive income. At December 31, 2019, the fair market value of investment securities was $51,000 above the cost basis of securities. The Company’s gross unrealized holding gains equal $60,000 and gross unrealized holding losses equal $9,000. The Company has determined that any unrealized losses in the portfolio are temporary as of December 31, 2019.</w:t>
      </w:r>
    </w:p>
    <w:p>
      <w:pPr>
        <w:spacing w:after="0" w:line="92"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As of December 31, 2019, the adjustment to accumulated other comprehensive loss in consolidated equity for the temporary change in the value of securities reflects an increase in the market value of available-for-sale securities of $440,000, which includes estimated taxes of $123,000.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80"/>
          </w:cols>
          <w:pgMar w:left="300" w:top="422"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0"/>
        </w:trPr>
        <w:tc>
          <w:tcPr>
            <w:tcW w:w="6440" w:type="dxa"/>
            <w:vAlign w:val="bottom"/>
          </w:tcPr>
          <w:p>
            <w:pPr>
              <w:spacing w:after="0"/>
              <w:rPr>
                <w:sz w:val="20"/>
                <w:szCs w:val="20"/>
                <w:color w:val="auto"/>
              </w:rPr>
            </w:pPr>
            <w:r>
              <w:rPr>
                <w:rFonts w:ascii="Arial" w:cs="Arial" w:eastAsia="Arial" w:hAnsi="Arial"/>
                <w:sz w:val="14"/>
                <w:szCs w:val="14"/>
                <w:color w:val="auto"/>
              </w:rPr>
              <w:t>The following tables summarize the maturities, at par, of marketable securities by year ($ 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424"/>
        </w:trPr>
        <w:tc>
          <w:tcPr>
            <w:tcW w:w="6440" w:type="dxa"/>
            <w:vAlign w:val="bottom"/>
          </w:tcPr>
          <w:p>
            <w:pPr>
              <w:ind w:left="20"/>
              <w:spacing w:after="0"/>
              <w:rPr>
                <w:sz w:val="20"/>
                <w:szCs w:val="20"/>
                <w:color w:val="auto"/>
              </w:rPr>
            </w:pPr>
            <w:r>
              <w:rPr>
                <w:rFonts w:ascii="Arial" w:cs="Arial" w:eastAsia="Arial" w:hAnsi="Arial"/>
                <w:sz w:val="14"/>
                <w:szCs w:val="14"/>
                <w:color w:val="auto"/>
              </w:rPr>
              <w:t>December 31, 2019</w:t>
            </w:r>
          </w:p>
        </w:tc>
        <w:tc>
          <w:tcPr>
            <w:tcW w:w="260" w:type="dxa"/>
            <w:vAlign w:val="bottom"/>
          </w:tcPr>
          <w:p>
            <w:pPr>
              <w:spacing w:after="0"/>
              <w:rPr>
                <w:sz w:val="24"/>
                <w:szCs w:val="24"/>
                <w:color w:val="auto"/>
              </w:rPr>
            </w:pPr>
          </w:p>
        </w:tc>
        <w:tc>
          <w:tcPr>
            <w:tcW w:w="880" w:type="dxa"/>
            <w:vAlign w:val="bottom"/>
          </w:tcPr>
          <w:p>
            <w:pPr>
              <w:jc w:val="right"/>
              <w:ind w:right="369"/>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4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69"/>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24"/>
                <w:szCs w:val="24"/>
                <w:color w:val="auto"/>
              </w:rPr>
            </w:pPr>
          </w:p>
        </w:tc>
        <w:tc>
          <w:tcPr>
            <w:tcW w:w="860" w:type="dxa"/>
            <w:vAlign w:val="bottom"/>
          </w:tcPr>
          <w:p>
            <w:pPr>
              <w:jc w:val="right"/>
              <w:ind w:right="329"/>
              <w:spacing w:after="0"/>
              <w:rPr>
                <w:sz w:val="20"/>
                <w:szCs w:val="20"/>
                <w:color w:val="auto"/>
              </w:rPr>
            </w:pPr>
            <w:r>
              <w:rPr>
                <w:rFonts w:ascii="Arial" w:cs="Arial" w:eastAsia="Arial" w:hAnsi="Arial"/>
                <w:sz w:val="14"/>
                <w:szCs w:val="14"/>
                <w:color w:val="auto"/>
              </w:rPr>
              <w:t>Total</w:t>
            </w: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Certificates of deposit</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2,049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2,049</w:t>
            </w:r>
          </w:p>
        </w:tc>
      </w:tr>
      <w:tr>
        <w:trPr>
          <w:trHeight w:val="191"/>
        </w:trPr>
        <w:tc>
          <w:tcPr>
            <w:tcW w:w="6440" w:type="dxa"/>
            <w:vAlign w:val="bottom"/>
          </w:tcPr>
          <w:p>
            <w:pPr>
              <w:ind w:left="20"/>
              <w:spacing w:after="0"/>
              <w:rPr>
                <w:sz w:val="20"/>
                <w:szCs w:val="20"/>
                <w:color w:val="auto"/>
              </w:rPr>
            </w:pPr>
            <w:r>
              <w:rPr>
                <w:rFonts w:ascii="Arial" w:cs="Arial" w:eastAsia="Arial" w:hAnsi="Arial"/>
                <w:sz w:val="14"/>
                <w:szCs w:val="14"/>
                <w:color w:val="auto"/>
              </w:rPr>
              <w:t>U.S. Treasury and agency notes</w:t>
            </w:r>
          </w:p>
        </w:tc>
        <w:tc>
          <w:tcPr>
            <w:tcW w:w="26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20,393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20,895</w:t>
            </w:r>
          </w:p>
        </w:tc>
      </w:tr>
      <w:tr>
        <w:trPr>
          <w:trHeight w:val="22"/>
        </w:trPr>
        <w:tc>
          <w:tcPr>
            <w:tcW w:w="6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notes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13,685</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14,085</w:t>
            </w:r>
          </w:p>
        </w:tc>
      </w:tr>
      <w:tr>
        <w:trPr>
          <w:trHeight w:val="191"/>
        </w:trPr>
        <w:tc>
          <w:tcPr>
            <w:tcW w:w="6440" w:type="dxa"/>
            <w:vAlign w:val="bottom"/>
          </w:tcPr>
          <w:p>
            <w:pPr>
              <w:ind w:left="20"/>
              <w:spacing w:after="0"/>
              <w:rPr>
                <w:sz w:val="20"/>
                <w:szCs w:val="20"/>
                <w:color w:val="auto"/>
              </w:rPr>
            </w:pPr>
            <w:r>
              <w:rPr>
                <w:rFonts w:ascii="Arial" w:cs="Arial" w:eastAsia="Arial" w:hAnsi="Arial"/>
                <w:sz w:val="14"/>
                <w:szCs w:val="14"/>
                <w:color w:val="auto"/>
              </w:rPr>
              <w:t>Municipal notes</w:t>
            </w:r>
          </w:p>
        </w:tc>
        <w:tc>
          <w:tcPr>
            <w:tcW w:w="26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2,000</w:t>
            </w: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8"/>
        </w:trPr>
        <w:tc>
          <w:tcPr>
            <w:tcW w:w="64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38,127</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902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39,029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96"/>
        </w:trPr>
        <w:tc>
          <w:tcPr>
            <w:tcW w:w="6440" w:type="dxa"/>
            <w:vAlign w:val="bottom"/>
          </w:tcPr>
          <w:p>
            <w:pPr>
              <w:ind w:left="20"/>
              <w:spacing w:after="0"/>
              <w:rPr>
                <w:sz w:val="20"/>
                <w:szCs w:val="20"/>
                <w:color w:val="auto"/>
              </w:rPr>
            </w:pPr>
            <w:r>
              <w:rPr>
                <w:rFonts w:ascii="Arial" w:cs="Arial" w:eastAsia="Arial" w:hAnsi="Arial"/>
                <w:sz w:val="14"/>
                <w:szCs w:val="14"/>
                <w:color w:val="auto"/>
              </w:rPr>
              <w:t>December 31, 2018</w:t>
            </w:r>
          </w:p>
        </w:tc>
        <w:tc>
          <w:tcPr>
            <w:tcW w:w="260" w:type="dxa"/>
            <w:vAlign w:val="bottom"/>
          </w:tcPr>
          <w:p>
            <w:pPr>
              <w:spacing w:after="0"/>
              <w:rPr>
                <w:sz w:val="24"/>
                <w:szCs w:val="24"/>
                <w:color w:val="auto"/>
              </w:rPr>
            </w:pPr>
          </w:p>
        </w:tc>
        <w:tc>
          <w:tcPr>
            <w:tcW w:w="880" w:type="dxa"/>
            <w:vAlign w:val="bottom"/>
          </w:tcPr>
          <w:p>
            <w:pPr>
              <w:jc w:val="right"/>
              <w:ind w:right="349"/>
              <w:spacing w:after="0"/>
              <w:rPr>
                <w:sz w:val="20"/>
                <w:szCs w:val="20"/>
                <w:color w:val="auto"/>
              </w:rPr>
            </w:pPr>
            <w:r>
              <w:rPr>
                <w:rFonts w:ascii="Arial" w:cs="Arial" w:eastAsia="Arial" w:hAnsi="Arial"/>
                <w:sz w:val="14"/>
                <w:szCs w:val="14"/>
                <w:color w:val="auto"/>
              </w:rPr>
              <w:t>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4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69"/>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24"/>
                <w:szCs w:val="24"/>
                <w:color w:val="auto"/>
              </w:rPr>
            </w:pPr>
          </w:p>
        </w:tc>
        <w:tc>
          <w:tcPr>
            <w:tcW w:w="860" w:type="dxa"/>
            <w:vAlign w:val="bottom"/>
          </w:tcPr>
          <w:p>
            <w:pPr>
              <w:jc w:val="right"/>
              <w:ind w:right="329"/>
              <w:spacing w:after="0"/>
              <w:rPr>
                <w:sz w:val="20"/>
                <w:szCs w:val="20"/>
                <w:color w:val="auto"/>
              </w:rPr>
            </w:pPr>
            <w:r>
              <w:rPr>
                <w:rFonts w:ascii="Arial" w:cs="Arial" w:eastAsia="Arial" w:hAnsi="Arial"/>
                <w:sz w:val="14"/>
                <w:szCs w:val="14"/>
                <w:color w:val="auto"/>
              </w:rPr>
              <w:t>Total</w:t>
            </w: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Certificates of deposit</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2,311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1,799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4,110</w:t>
            </w:r>
          </w:p>
        </w:tc>
      </w:tr>
      <w:tr>
        <w:trPr>
          <w:trHeight w:val="191"/>
        </w:trPr>
        <w:tc>
          <w:tcPr>
            <w:tcW w:w="6440" w:type="dxa"/>
            <w:vAlign w:val="bottom"/>
          </w:tcPr>
          <w:p>
            <w:pPr>
              <w:ind w:left="20"/>
              <w:spacing w:after="0"/>
              <w:rPr>
                <w:sz w:val="20"/>
                <w:szCs w:val="20"/>
                <w:color w:val="auto"/>
              </w:rPr>
            </w:pPr>
            <w:r>
              <w:rPr>
                <w:rFonts w:ascii="Arial" w:cs="Arial" w:eastAsia="Arial" w:hAnsi="Arial"/>
                <w:sz w:val="14"/>
                <w:szCs w:val="14"/>
                <w:color w:val="auto"/>
              </w:rPr>
              <w:t>U.S. Treasury and agency notes</w:t>
            </w:r>
          </w:p>
        </w:tc>
        <w:tc>
          <w:tcPr>
            <w:tcW w:w="26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17,574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9,174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26,748</w:t>
            </w:r>
          </w:p>
        </w:tc>
      </w:tr>
      <w:tr>
        <w:trPr>
          <w:trHeight w:val="22"/>
        </w:trPr>
        <w:tc>
          <w:tcPr>
            <w:tcW w:w="6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notes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18,671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7,150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400</w:t>
            </w:r>
          </w:p>
        </w:tc>
        <w:tc>
          <w:tcPr>
            <w:tcW w:w="3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26,221</w:t>
            </w:r>
          </w:p>
        </w:tc>
      </w:tr>
      <w:tr>
        <w:trPr>
          <w:trHeight w:val="191"/>
        </w:trPr>
        <w:tc>
          <w:tcPr>
            <w:tcW w:w="6440" w:type="dxa"/>
            <w:vAlign w:val="bottom"/>
          </w:tcPr>
          <w:p>
            <w:pPr>
              <w:ind w:left="20"/>
              <w:spacing w:after="0"/>
              <w:rPr>
                <w:sz w:val="20"/>
                <w:szCs w:val="20"/>
                <w:color w:val="auto"/>
              </w:rPr>
            </w:pPr>
            <w:r>
              <w:rPr>
                <w:rFonts w:ascii="Arial" w:cs="Arial" w:eastAsia="Arial" w:hAnsi="Arial"/>
                <w:sz w:val="14"/>
                <w:szCs w:val="14"/>
                <w:color w:val="auto"/>
              </w:rPr>
              <w:t>Municipal notes</w:t>
            </w:r>
          </w:p>
        </w:tc>
        <w:tc>
          <w:tcPr>
            <w:tcW w:w="26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5,111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7,111</w:t>
            </w: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8"/>
        </w:trPr>
        <w:tc>
          <w:tcPr>
            <w:tcW w:w="64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43,667</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20,123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400</w:t>
            </w:r>
          </w:p>
        </w:tc>
        <w:tc>
          <w:tcPr>
            <w:tcW w:w="3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64,190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The Company’s investments in corporate notes are with companies that have an investment grade rating from Standard &amp; Poor’s.</w:t>
      </w:r>
    </w:p>
    <w:p>
      <w:pPr>
        <w:spacing w:after="0" w:line="132" w:lineRule="exact"/>
        <w:rPr>
          <w:sz w:val="20"/>
          <w:szCs w:val="20"/>
          <w:color w:val="auto"/>
        </w:rPr>
      </w:pPr>
    </w:p>
    <w:p>
      <w:pPr>
        <w:ind w:left="280" w:hanging="275"/>
        <w:spacing w:after="0"/>
        <w:tabs>
          <w:tab w:leader="none" w:pos="28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INVENTORIES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Inventories consisted of the following at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60" w:type="dxa"/>
            <w:vAlign w:val="bottom"/>
          </w:tcPr>
          <w:p>
            <w:pPr>
              <w:spacing w:after="0"/>
              <w:rPr>
                <w:sz w:val="15"/>
                <w:szCs w:val="15"/>
                <w:color w:val="auto"/>
              </w:rPr>
            </w:pPr>
          </w:p>
        </w:tc>
        <w:tc>
          <w:tcPr>
            <w:tcW w:w="1480" w:type="dxa"/>
            <w:vAlign w:val="bottom"/>
          </w:tcPr>
          <w:p>
            <w:pPr>
              <w:jc w:val="right"/>
              <w:ind w:right="74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ind w:right="729"/>
              <w:spacing w:after="0"/>
              <w:rPr>
                <w:sz w:val="20"/>
                <w:szCs w:val="20"/>
                <w:color w:val="auto"/>
              </w:rPr>
            </w:pPr>
            <w:r>
              <w:rPr>
                <w:rFonts w:ascii="Arial" w:cs="Arial" w:eastAsia="Arial" w:hAnsi="Arial"/>
                <w:sz w:val="14"/>
                <w:szCs w:val="14"/>
                <w:color w:val="auto"/>
              </w:rPr>
              <w:t>2018</w:t>
            </w:r>
          </w:p>
        </w:tc>
      </w:tr>
      <w:tr>
        <w:trPr>
          <w:trHeight w:val="22"/>
        </w:trPr>
        <w:tc>
          <w:tcPr>
            <w:tcW w:w="7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Farming inventories</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2,444</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2,269</w:t>
            </w:r>
          </w:p>
        </w:tc>
      </w:tr>
      <w:tr>
        <w:trPr>
          <w:trHeight w:val="191"/>
        </w:trPr>
        <w:tc>
          <w:tcPr>
            <w:tcW w:w="7340" w:type="dxa"/>
            <w:vAlign w:val="bottom"/>
          </w:tcPr>
          <w:p>
            <w:pPr>
              <w:ind w:left="20"/>
              <w:spacing w:after="0"/>
              <w:rPr>
                <w:sz w:val="20"/>
                <w:szCs w:val="20"/>
                <w:color w:val="auto"/>
              </w:rPr>
            </w:pPr>
            <w:r>
              <w:rPr>
                <w:rFonts w:ascii="Arial" w:cs="Arial" w:eastAsia="Arial" w:hAnsi="Arial"/>
                <w:sz w:val="14"/>
                <w:szCs w:val="14"/>
                <w:color w:val="auto"/>
              </w:rPr>
              <w:t>Other</w:t>
            </w: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349</w:t>
            </w:r>
          </w:p>
        </w:tc>
      </w:tr>
      <w:tr>
        <w:trPr>
          <w:trHeight w:val="22"/>
        </w:trPr>
        <w:tc>
          <w:tcPr>
            <w:tcW w:w="7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8"/>
        </w:trPr>
        <w:tc>
          <w:tcPr>
            <w:tcW w:w="7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2,792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2,618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Farming inventories consist of costs incurred during the current year related to the next year’s crop, as well as any current year’s unsold product and farming chemicals.</w:t>
      </w:r>
    </w:p>
    <w:p>
      <w:pPr>
        <w:spacing w:after="0" w:line="90" w:lineRule="exact"/>
        <w:rPr>
          <w:sz w:val="20"/>
          <w:szCs w:val="20"/>
          <w:color w:val="auto"/>
        </w:rPr>
      </w:pPr>
    </w:p>
    <w:p>
      <w:pPr>
        <w:ind w:left="280" w:hanging="275"/>
        <w:spacing w:after="0"/>
        <w:tabs>
          <w:tab w:leader="none" w:pos="28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REAL ESTATE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Real estate consisted of the following as of December 31: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ind w:right="74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ind w:right="72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
        </w:trPr>
        <w:tc>
          <w:tcPr>
            <w:tcW w:w="4220" w:type="dxa"/>
            <w:vAlign w:val="bottom"/>
            <w:vMerge w:val="restart"/>
          </w:tcPr>
          <w:p>
            <w:pPr>
              <w:ind w:left="20"/>
              <w:spacing w:after="0"/>
              <w:rPr>
                <w:sz w:val="20"/>
                <w:szCs w:val="20"/>
                <w:color w:val="auto"/>
              </w:rPr>
            </w:pPr>
            <w:r>
              <w:rPr>
                <w:rFonts w:ascii="Arial" w:cs="Arial" w:eastAsia="Arial" w:hAnsi="Arial"/>
                <w:sz w:val="14"/>
                <w:szCs w:val="14"/>
                <w:color w:val="auto"/>
              </w:rPr>
              <w:t>Real estate development</w:t>
            </w:r>
          </w:p>
        </w:tc>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3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Mountain Village</w:t>
            </w:r>
          </w:p>
        </w:tc>
        <w:tc>
          <w:tcPr>
            <w:tcW w:w="3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142,567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137,571</w:t>
            </w:r>
          </w:p>
        </w:tc>
        <w:tc>
          <w:tcPr>
            <w:tcW w:w="0" w:type="dxa"/>
            <w:vAlign w:val="bottom"/>
          </w:tcPr>
          <w:p>
            <w:pPr>
              <w:spacing w:after="0"/>
              <w:rPr>
                <w:sz w:val="1"/>
                <w:szCs w:val="1"/>
                <w:color w:val="auto"/>
              </w:rPr>
            </w:pPr>
          </w:p>
        </w:tc>
      </w:tr>
      <w:tr>
        <w:trPr>
          <w:trHeight w:val="191"/>
        </w:trPr>
        <w:tc>
          <w:tcPr>
            <w:tcW w:w="4220" w:type="dxa"/>
            <w:vAlign w:val="bottom"/>
          </w:tcPr>
          <w:p>
            <w:pPr>
              <w:ind w:left="140"/>
              <w:spacing w:after="0"/>
              <w:rPr>
                <w:sz w:val="20"/>
                <w:szCs w:val="20"/>
                <w:color w:val="auto"/>
              </w:rPr>
            </w:pPr>
            <w:r>
              <w:rPr>
                <w:rFonts w:ascii="Arial" w:cs="Arial" w:eastAsia="Arial" w:hAnsi="Arial"/>
                <w:sz w:val="14"/>
                <w:szCs w:val="14"/>
                <w:color w:val="auto"/>
              </w:rPr>
              <w:t>Centennial</w:t>
            </w:r>
          </w:p>
        </w:tc>
        <w:tc>
          <w:tcPr>
            <w:tcW w:w="3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104,491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100,311</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Grapevine</w:t>
            </w:r>
          </w:p>
        </w:tc>
        <w:tc>
          <w:tcPr>
            <w:tcW w:w="3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34,813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31,175</w:t>
            </w:r>
          </w:p>
        </w:tc>
        <w:tc>
          <w:tcPr>
            <w:tcW w:w="0" w:type="dxa"/>
            <w:vAlign w:val="bottom"/>
          </w:tcPr>
          <w:p>
            <w:pPr>
              <w:spacing w:after="0"/>
              <w:rPr>
                <w:sz w:val="1"/>
                <w:szCs w:val="1"/>
                <w:color w:val="auto"/>
              </w:rPr>
            </w:pPr>
          </w:p>
        </w:tc>
      </w:tr>
      <w:tr>
        <w:trPr>
          <w:trHeight w:val="191"/>
        </w:trPr>
        <w:tc>
          <w:tcPr>
            <w:tcW w:w="4220" w:type="dxa"/>
            <w:vAlign w:val="bottom"/>
          </w:tcPr>
          <w:p>
            <w:pPr>
              <w:ind w:left="140"/>
              <w:spacing w:after="0"/>
              <w:rPr>
                <w:sz w:val="20"/>
                <w:szCs w:val="20"/>
                <w:color w:val="auto"/>
              </w:rPr>
            </w:pPr>
            <w:r>
              <w:rPr>
                <w:rFonts w:ascii="Arial" w:cs="Arial" w:eastAsia="Arial" w:hAnsi="Arial"/>
                <w:sz w:val="14"/>
                <w:szCs w:val="14"/>
                <w:color w:val="auto"/>
              </w:rPr>
              <w:t>Tejon Ranch Commerce Center</w:t>
            </w:r>
          </w:p>
        </w:tc>
        <w:tc>
          <w:tcPr>
            <w:tcW w:w="3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15,710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14,328</w:t>
            </w:r>
          </w:p>
        </w:tc>
        <w:tc>
          <w:tcPr>
            <w:tcW w:w="0" w:type="dxa"/>
            <w:vAlign w:val="bottom"/>
          </w:tcPr>
          <w:p>
            <w:pPr>
              <w:spacing w:after="0"/>
              <w:rPr>
                <w:sz w:val="1"/>
                <w:szCs w:val="1"/>
                <w:color w:val="auto"/>
              </w:rPr>
            </w:pP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 development</w:t>
            </w:r>
          </w:p>
        </w:tc>
        <w:tc>
          <w:tcPr>
            <w:tcW w:w="3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297,581</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283,385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 and improvements - held for lease, net</w:t>
            </w:r>
          </w:p>
        </w:tc>
        <w:tc>
          <w:tcPr>
            <w:tcW w:w="3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20" w:type="dxa"/>
            <w:vAlign w:val="bottom"/>
          </w:tcPr>
          <w:p>
            <w:pPr>
              <w:ind w:left="140"/>
              <w:spacing w:after="0"/>
              <w:rPr>
                <w:sz w:val="20"/>
                <w:szCs w:val="20"/>
                <w:color w:val="auto"/>
              </w:rPr>
            </w:pPr>
            <w:r>
              <w:rPr>
                <w:rFonts w:ascii="Arial" w:cs="Arial" w:eastAsia="Arial" w:hAnsi="Arial"/>
                <w:sz w:val="14"/>
                <w:szCs w:val="14"/>
                <w:color w:val="auto"/>
              </w:rPr>
              <w:t>Tejon Ranch Commerce Center</w:t>
            </w:r>
          </w:p>
        </w:tc>
        <w:tc>
          <w:tcPr>
            <w:tcW w:w="3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21,435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21,327</w:t>
            </w:r>
          </w:p>
        </w:tc>
        <w:tc>
          <w:tcPr>
            <w:tcW w:w="0" w:type="dxa"/>
            <w:vAlign w:val="bottom"/>
          </w:tcPr>
          <w:p>
            <w:pPr>
              <w:spacing w:after="0"/>
              <w:rPr>
                <w:sz w:val="1"/>
                <w:szCs w:val="1"/>
                <w:color w:val="auto"/>
              </w:rPr>
            </w:pP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 and improvements - held for lease, net</w:t>
            </w:r>
          </w:p>
        </w:tc>
        <w:tc>
          <w:tcPr>
            <w:tcW w:w="3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21,435</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21,327</w:t>
            </w:r>
          </w:p>
        </w:tc>
        <w:tc>
          <w:tcPr>
            <w:tcW w:w="0" w:type="dxa"/>
            <w:vAlign w:val="bottom"/>
          </w:tcPr>
          <w:p>
            <w:pPr>
              <w:spacing w:after="0"/>
              <w:rPr>
                <w:sz w:val="1"/>
                <w:szCs w:val="1"/>
                <w:color w:val="auto"/>
              </w:rPr>
            </w:pPr>
          </w:p>
        </w:tc>
      </w:tr>
      <w:tr>
        <w:trPr>
          <w:trHeight w:val="191"/>
        </w:trPr>
        <w:tc>
          <w:tcPr>
            <w:tcW w:w="4220" w:type="dxa"/>
            <w:vAlign w:val="bottom"/>
          </w:tcPr>
          <w:p>
            <w:pPr>
              <w:ind w:left="140"/>
              <w:spacing w:after="0"/>
              <w:rPr>
                <w:sz w:val="20"/>
                <w:szCs w:val="20"/>
                <w:color w:val="auto"/>
              </w:rPr>
            </w:pPr>
            <w:r>
              <w:rPr>
                <w:rFonts w:ascii="Arial" w:cs="Arial" w:eastAsia="Arial" w:hAnsi="Arial"/>
                <w:sz w:val="14"/>
                <w:szCs w:val="14"/>
                <w:color w:val="auto"/>
              </w:rPr>
              <w:t>Less accumulated depreciation</w:t>
            </w:r>
          </w:p>
        </w:tc>
        <w:tc>
          <w:tcPr>
            <w:tcW w:w="3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(2,761)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(2,374)</w:t>
            </w:r>
          </w:p>
        </w:tc>
        <w:tc>
          <w:tcPr>
            <w:tcW w:w="0" w:type="dxa"/>
            <w:vAlign w:val="bottom"/>
          </w:tcPr>
          <w:p>
            <w:pPr>
              <w:spacing w:after="0"/>
              <w:rPr>
                <w:sz w:val="1"/>
                <w:szCs w:val="1"/>
                <w:color w:val="auto"/>
              </w:rPr>
            </w:pP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 and improvements - held for lease, net</w:t>
            </w:r>
          </w:p>
        </w:tc>
        <w:tc>
          <w:tcPr>
            <w:tcW w:w="3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18,674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18,953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1549"/>
              <w:spacing w:after="0"/>
              <w:rPr>
                <w:sz w:val="20"/>
                <w:szCs w:val="20"/>
                <w:color w:val="auto"/>
              </w:rPr>
            </w:pPr>
            <w:r>
              <w:rPr>
                <w:rFonts w:ascii="Arial" w:cs="Arial" w:eastAsia="Arial" w:hAnsi="Arial"/>
                <w:sz w:val="14"/>
                <w:szCs w:val="14"/>
                <w:color w:val="auto"/>
              </w:rPr>
              <w:t>89</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26" w:right="319" w:bottom="1440" w:gutter="0" w:footer="0" w:header="0"/>
        </w:sectPr>
      </w:pPr>
    </w:p>
    <w:bookmarkStart w:id="89" w:name="page90"/>
    <w:bookmarkEnd w:id="89"/>
    <w:p>
      <w:pPr>
        <w:ind w:left="280" w:hanging="275"/>
        <w:spacing w:after="0"/>
        <w:tabs>
          <w:tab w:leader="none" w:pos="2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LONG-TERM WATER ASSETS</w:t>
      </w:r>
    </w:p>
    <w:p>
      <w:pPr>
        <w:spacing w:after="0" w:line="140" w:lineRule="exact"/>
        <w:rPr>
          <w:sz w:val="20"/>
          <w:szCs w:val="20"/>
          <w:color w:val="auto"/>
        </w:rPr>
      </w:pPr>
    </w:p>
    <w:p>
      <w:pPr>
        <w:ind w:right="40"/>
        <w:spacing w:after="0" w:line="321" w:lineRule="auto"/>
        <w:rPr>
          <w:sz w:val="20"/>
          <w:szCs w:val="20"/>
          <w:color w:val="auto"/>
        </w:rPr>
      </w:pPr>
      <w:r>
        <w:rPr>
          <w:rFonts w:ascii="Arial" w:cs="Arial" w:eastAsia="Arial" w:hAnsi="Arial"/>
          <w:sz w:val="13"/>
          <w:szCs w:val="13"/>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Water Banks.</w:t>
      </w:r>
    </w:p>
    <w:p>
      <w:pPr>
        <w:spacing w:after="0" w:line="67"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We have also been purchasing water for future use or sale. In 2008, we purchased 8,393 acre-feet of transferable water and in 2009 we purchased an additional 6,393 acre-feet of transferable water, all of which is now stored in the Company's water bank. We also have secured State Water Project, or SWP, entitlement under long-term SWP water contracts within the Tulare Lake Basin Water Storage District and the Dudley-Ridge Water District, totaling 3,444 acre-feet of SWP entitlement annually, subject to SWP allocations. These contracts extend through 2035 and have been transferred to AVEK for our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104"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initial term of the water purchase agreement with Nickel runs to 2044 and includes a Company option to extend the contract for an additional 35 years. The purchase cost of water in 2019 is $769 per acre-foot. The purchase cost is subject to annual cost increases based on the greater of the consumer price index or 3%.</w:t>
      </w:r>
    </w:p>
    <w:p>
      <w:pPr>
        <w:spacing w:after="0" w:line="90" w:lineRule="exact"/>
        <w:rPr>
          <w:sz w:val="20"/>
          <w:szCs w:val="20"/>
          <w:color w:val="auto"/>
        </w:rPr>
      </w:pPr>
    </w:p>
    <w:p>
      <w:pPr>
        <w:ind w:right="440"/>
        <w:spacing w:after="0" w:line="321" w:lineRule="auto"/>
        <w:rPr>
          <w:sz w:val="20"/>
          <w:szCs w:val="20"/>
          <w:color w:val="auto"/>
        </w:rPr>
      </w:pPr>
      <w:r>
        <w:rPr>
          <w:rFonts w:ascii="Arial" w:cs="Arial" w:eastAsia="Arial" w:hAnsi="Arial"/>
          <w:sz w:val="13"/>
          <w:szCs w:val="13"/>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 party users on an annual basis until this water is fully allocated to Company uses, as just described.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Water revenues and cost of sales were as follows as of December 31: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800" w:type="dxa"/>
            <w:vAlign w:val="bottom"/>
          </w:tcPr>
          <w:p>
            <w:pPr>
              <w:spacing w:after="0"/>
              <w:rPr>
                <w:sz w:val="15"/>
                <w:szCs w:val="15"/>
                <w:color w:val="auto"/>
              </w:rPr>
            </w:pPr>
          </w:p>
        </w:tc>
        <w:tc>
          <w:tcPr>
            <w:tcW w:w="1140" w:type="dxa"/>
            <w:vAlign w:val="bottom"/>
          </w:tcPr>
          <w:p>
            <w:pPr>
              <w:jc w:val="right"/>
              <w:ind w:right="749"/>
              <w:spacing w:after="0"/>
              <w:rPr>
                <w:sz w:val="20"/>
                <w:szCs w:val="20"/>
                <w:color w:val="auto"/>
              </w:rPr>
            </w:pPr>
            <w:r>
              <w:rPr>
                <w:rFonts w:ascii="Arial" w:cs="Arial" w:eastAsia="Arial" w:hAnsi="Arial"/>
                <w:sz w:val="14"/>
                <w:szCs w:val="14"/>
                <w:color w:val="auto"/>
                <w:w w:val="96"/>
              </w:rPr>
              <w:t>2019</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right"/>
              <w:ind w:right="18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right"/>
              <w:ind w:right="72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5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Acre-Feet Sold</w:t>
            </w:r>
          </w:p>
        </w:tc>
        <w:tc>
          <w:tcPr>
            <w:tcW w:w="8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4,482</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9,442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06"/>
        </w:trPr>
        <w:tc>
          <w:tcPr>
            <w:tcW w:w="5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800" w:type="dxa"/>
            <w:vAlign w:val="bottom"/>
            <w:tcBorders>
              <w:bottom w:val="single" w:sz="8" w:color="CCEEFF"/>
            </w:tcBorders>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3,997</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center"/>
              <w:ind w:right="5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9,142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191"/>
        </w:trPr>
        <w:tc>
          <w:tcPr>
            <w:tcW w:w="53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0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3,194</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ind w:left="40"/>
              <w:spacing w:after="0"/>
              <w:rPr>
                <w:sz w:val="20"/>
                <w:szCs w:val="20"/>
                <w:color w:val="auto"/>
              </w:rPr>
            </w:pPr>
            <w:r>
              <w:rPr>
                <w:rFonts w:ascii="Arial" w:cs="Arial" w:eastAsia="Arial" w:hAnsi="Arial"/>
                <w:sz w:val="14"/>
                <w:szCs w:val="14"/>
                <w:color w:val="auto"/>
              </w:rPr>
              <w:t>3,864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29"/>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2"/>
        </w:trPr>
        <w:tc>
          <w:tcPr>
            <w:tcW w:w="5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Profit</w:t>
            </w: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803</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center"/>
              <w:ind w:right="5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5,278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4"/>
                <w:szCs w:val="14"/>
                <w:color w:val="auto"/>
              </w:rPr>
              <w:t>Costs assigned to water assets held for future use were as follows ($ in thousands):</w:t>
            </w: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300" w:type="dxa"/>
            <w:vAlign w:val="bottom"/>
            <w:vMerge w:val="continue"/>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1"/>
        </w:trPr>
        <w:tc>
          <w:tcPr>
            <w:tcW w:w="5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gridSpan w:val="3"/>
          </w:tcPr>
          <w:p>
            <w:pPr>
              <w:jc w:val="center"/>
              <w:ind w:left="569"/>
              <w:spacing w:after="0"/>
              <w:rPr>
                <w:sz w:val="20"/>
                <w:szCs w:val="20"/>
                <w:color w:val="auto"/>
              </w:rPr>
            </w:pPr>
            <w:r>
              <w:rPr>
                <w:rFonts w:ascii="Arial" w:cs="Arial" w:eastAsia="Arial" w:hAnsi="Arial"/>
                <w:sz w:val="14"/>
                <w:szCs w:val="14"/>
                <w:color w:val="auto"/>
                <w:w w:val="89"/>
              </w:rPr>
              <w:t>December 31, 2019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jc w:val="right"/>
              <w:ind w:right="609"/>
              <w:spacing w:after="0"/>
              <w:rPr>
                <w:sz w:val="20"/>
                <w:szCs w:val="20"/>
                <w:color w:val="auto"/>
              </w:rPr>
            </w:pPr>
            <w:r>
              <w:rPr>
                <w:rFonts w:ascii="Arial" w:cs="Arial" w:eastAsia="Arial" w:hAnsi="Arial"/>
                <w:sz w:val="14"/>
                <w:szCs w:val="14"/>
                <w:color w:val="auto"/>
                <w:w w:val="89"/>
              </w:rPr>
              <w:t>December 31, 2018</w:t>
            </w:r>
          </w:p>
        </w:tc>
        <w:tc>
          <w:tcPr>
            <w:tcW w:w="0" w:type="dxa"/>
            <w:vAlign w:val="bottom"/>
          </w:tcPr>
          <w:p>
            <w:pPr>
              <w:spacing w:after="0"/>
              <w:rPr>
                <w:sz w:val="1"/>
                <w:szCs w:val="1"/>
                <w:color w:val="auto"/>
              </w:rPr>
            </w:pPr>
          </w:p>
        </w:tc>
      </w:tr>
      <w:tr>
        <w:trPr>
          <w:trHeight w:val="22"/>
        </w:trPr>
        <w:tc>
          <w:tcPr>
            <w:tcW w:w="5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Banked water and water for future delivery</w:t>
            </w:r>
          </w:p>
        </w:tc>
        <w:tc>
          <w:tcPr>
            <w:tcW w:w="8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9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25,265</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24,597</w:t>
            </w:r>
          </w:p>
        </w:tc>
        <w:tc>
          <w:tcPr>
            <w:tcW w:w="0" w:type="dxa"/>
            <w:vAlign w:val="bottom"/>
          </w:tcPr>
          <w:p>
            <w:pPr>
              <w:spacing w:after="0"/>
              <w:rPr>
                <w:sz w:val="1"/>
                <w:szCs w:val="1"/>
                <w:color w:val="auto"/>
              </w:rPr>
            </w:pPr>
          </w:p>
        </w:tc>
      </w:tr>
      <w:tr>
        <w:trPr>
          <w:trHeight w:val="191"/>
        </w:trPr>
        <w:tc>
          <w:tcPr>
            <w:tcW w:w="5300" w:type="dxa"/>
            <w:vAlign w:val="bottom"/>
          </w:tcPr>
          <w:p>
            <w:pPr>
              <w:ind w:left="20"/>
              <w:spacing w:after="0"/>
              <w:rPr>
                <w:sz w:val="20"/>
                <w:szCs w:val="20"/>
                <w:color w:val="auto"/>
              </w:rPr>
            </w:pPr>
            <w:r>
              <w:rPr>
                <w:rFonts w:ascii="Arial" w:cs="Arial" w:eastAsia="Arial" w:hAnsi="Arial"/>
                <w:sz w:val="14"/>
                <w:szCs w:val="14"/>
                <w:color w:val="auto"/>
              </w:rPr>
              <w:t>Transferable water</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3,054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29"/>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2"/>
        </w:trPr>
        <w:tc>
          <w:tcPr>
            <w:tcW w:w="5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water held for future use at cost</w:t>
            </w:r>
          </w:p>
        </w:tc>
        <w:tc>
          <w:tcPr>
            <w:tcW w:w="8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28,319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24,633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Water Assets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Company's carrying amounts of its purchased water contracts were as follows ($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20" w:type="dxa"/>
            <w:vAlign w:val="bottom"/>
            <w:gridSpan w:val="5"/>
          </w:tcPr>
          <w:p>
            <w:pPr>
              <w:ind w:left="340"/>
              <w:spacing w:after="0"/>
              <w:rPr>
                <w:sz w:val="20"/>
                <w:szCs w:val="20"/>
                <w:color w:val="auto"/>
              </w:rPr>
            </w:pPr>
            <w:r>
              <w:rPr>
                <w:rFonts w:ascii="Arial" w:cs="Arial" w:eastAsia="Arial" w:hAnsi="Arial"/>
                <w:sz w:val="14"/>
                <w:szCs w:val="14"/>
                <w:color w:val="auto"/>
              </w:rPr>
              <w:t>December 31, 2019</w:t>
            </w:r>
          </w:p>
        </w:tc>
        <w:tc>
          <w:tcPr>
            <w:tcW w:w="380" w:type="dxa"/>
            <w:vAlign w:val="bottom"/>
          </w:tcPr>
          <w:p>
            <w:pPr>
              <w:spacing w:after="0"/>
              <w:rPr>
                <w:sz w:val="15"/>
                <w:szCs w:val="15"/>
                <w:color w:val="auto"/>
              </w:rPr>
            </w:pPr>
          </w:p>
        </w:tc>
        <w:tc>
          <w:tcPr>
            <w:tcW w:w="2240" w:type="dxa"/>
            <w:vAlign w:val="bottom"/>
            <w:gridSpan w:val="3"/>
          </w:tcPr>
          <w:p>
            <w:pPr>
              <w:jc w:val="right"/>
              <w:ind w:right="269"/>
              <w:spacing w:after="0"/>
              <w:rPr>
                <w:sz w:val="20"/>
                <w:szCs w:val="20"/>
                <w:color w:val="auto"/>
              </w:rPr>
            </w:pPr>
            <w:r>
              <w:rPr>
                <w:rFonts w:ascii="Arial" w:cs="Arial" w:eastAsia="Arial" w:hAnsi="Arial"/>
                <w:sz w:val="14"/>
                <w:szCs w:val="14"/>
                <w:color w:val="auto"/>
              </w:rPr>
              <w:t>December 31, 2018</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Costs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2"/>
          </w:tcPr>
          <w:p>
            <w:pPr>
              <w:ind w:left="80"/>
              <w:spacing w:after="0"/>
              <w:rPr>
                <w:sz w:val="20"/>
                <w:szCs w:val="20"/>
                <w:color w:val="auto"/>
              </w:rPr>
            </w:pPr>
            <w:r>
              <w:rPr>
                <w:rFonts w:ascii="Arial" w:cs="Arial" w:eastAsia="Arial" w:hAnsi="Arial"/>
                <w:sz w:val="14"/>
                <w:szCs w:val="14"/>
                <w:color w:val="auto"/>
              </w:rPr>
              <w:t>Accumulated Depreciation</w:t>
            </w:r>
          </w:p>
        </w:tc>
        <w:tc>
          <w:tcPr>
            <w:tcW w:w="380" w:type="dxa"/>
            <w:vAlign w:val="bottom"/>
          </w:tcPr>
          <w:p>
            <w:pPr>
              <w:spacing w:after="0"/>
              <w:rPr>
                <w:sz w:val="15"/>
                <w:szCs w:val="15"/>
                <w:color w:val="auto"/>
              </w:rPr>
            </w:pPr>
          </w:p>
        </w:tc>
        <w:tc>
          <w:tcPr>
            <w:tcW w:w="1300" w:type="dxa"/>
            <w:vAlign w:val="bottom"/>
          </w:tcPr>
          <w:p>
            <w:pPr>
              <w:jc w:val="right"/>
              <w:ind w:right="629"/>
              <w:spacing w:after="0"/>
              <w:rPr>
                <w:sz w:val="20"/>
                <w:szCs w:val="20"/>
                <w:color w:val="auto"/>
              </w:rPr>
            </w:pPr>
            <w:r>
              <w:rPr>
                <w:rFonts w:ascii="Arial" w:cs="Arial" w:eastAsia="Arial" w:hAnsi="Arial"/>
                <w:sz w:val="14"/>
                <w:szCs w:val="14"/>
                <w:color w:val="auto"/>
              </w:rPr>
              <w:t>Costs</w:t>
            </w:r>
          </w:p>
        </w:tc>
        <w:tc>
          <w:tcPr>
            <w:tcW w:w="100" w:type="dxa"/>
            <w:vAlign w:val="bottom"/>
          </w:tcPr>
          <w:p>
            <w:pPr>
              <w:spacing w:after="0"/>
              <w:rPr>
                <w:sz w:val="15"/>
                <w:szCs w:val="15"/>
                <w:color w:val="auto"/>
              </w:rPr>
            </w:pPr>
          </w:p>
        </w:tc>
        <w:tc>
          <w:tcPr>
            <w:tcW w:w="1660" w:type="dxa"/>
            <w:vAlign w:val="bottom"/>
            <w:gridSpan w:val="2"/>
          </w:tcPr>
          <w:p>
            <w:pPr>
              <w:jc w:val="right"/>
              <w:ind w:right="9"/>
              <w:spacing w:after="0"/>
              <w:rPr>
                <w:sz w:val="20"/>
                <w:szCs w:val="20"/>
                <w:color w:val="auto"/>
              </w:rPr>
            </w:pPr>
            <w:r>
              <w:rPr>
                <w:rFonts w:ascii="Arial" w:cs="Arial" w:eastAsia="Arial" w:hAnsi="Arial"/>
                <w:sz w:val="14"/>
                <w:szCs w:val="14"/>
                <w:color w:val="auto"/>
                <w:w w:val="95"/>
              </w:rPr>
              <w:t>Accumulated Depreciation</w:t>
            </w:r>
          </w:p>
        </w:tc>
        <w:tc>
          <w:tcPr>
            <w:tcW w:w="0" w:type="dxa"/>
            <w:vAlign w:val="bottom"/>
          </w:tcPr>
          <w:p>
            <w:pPr>
              <w:spacing w:after="0"/>
              <w:rPr>
                <w:sz w:val="1"/>
                <w:szCs w:val="1"/>
                <w:color w:val="auto"/>
              </w:rPr>
            </w:pPr>
          </w:p>
        </w:tc>
      </w:tr>
      <w:tr>
        <w:trPr>
          <w:trHeight w:val="22"/>
        </w:trPr>
        <w:tc>
          <w:tcPr>
            <w:tcW w:w="4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Dudley-Ridge water rights</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7"/>
              </w:rPr>
              <w:t>11,581</w:t>
            </w:r>
          </w:p>
        </w:tc>
        <w:tc>
          <w:tcPr>
            <w:tcW w:w="28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(4,342)</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11,581</w:t>
            </w:r>
          </w:p>
        </w:tc>
        <w:tc>
          <w:tcPr>
            <w:tcW w:w="940" w:type="dxa"/>
            <w:vAlign w:val="bottom"/>
            <w:tcBorders>
              <w:bottom w:val="single" w:sz="8" w:color="CCEEFF"/>
            </w:tcBorders>
            <w:gridSpan w:val="2"/>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(3,860)</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Arial" w:cs="Arial" w:eastAsia="Arial" w:hAnsi="Arial"/>
                <w:sz w:val="14"/>
                <w:szCs w:val="14"/>
                <w:color w:val="auto"/>
              </w:rPr>
              <w:t>Nickel water rights</w:t>
            </w:r>
          </w:p>
        </w:tc>
        <w:tc>
          <w:tcPr>
            <w:tcW w:w="92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w w:val="97"/>
              </w:rPr>
              <w:t>18,740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(3,962)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18,740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(3,320)</w:t>
            </w:r>
          </w:p>
        </w:tc>
        <w:tc>
          <w:tcPr>
            <w:tcW w:w="0" w:type="dxa"/>
            <w:vAlign w:val="bottom"/>
          </w:tcPr>
          <w:p>
            <w:pPr>
              <w:spacing w:after="0"/>
              <w:rPr>
                <w:sz w:val="1"/>
                <w:szCs w:val="1"/>
                <w:color w:val="auto"/>
              </w:rPr>
            </w:pPr>
          </w:p>
        </w:tc>
      </w:tr>
      <w:tr>
        <w:trPr>
          <w:trHeight w:val="22"/>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Tulare Lake Basin water rights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6,479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6,479</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(2,421)</w:t>
            </w:r>
          </w:p>
        </w:tc>
        <w:tc>
          <w:tcPr>
            <w:tcW w:w="0" w:type="dxa"/>
            <w:vAlign w:val="bottom"/>
          </w:tcPr>
          <w:p>
            <w:pPr>
              <w:spacing w:after="0"/>
              <w:rPr>
                <w:sz w:val="1"/>
                <w:szCs w:val="1"/>
                <w:color w:val="auto"/>
              </w:rPr>
            </w:pPr>
          </w:p>
        </w:tc>
      </w:tr>
      <w:tr>
        <w:trPr>
          <w:trHeight w:val="181"/>
        </w:trPr>
        <w:tc>
          <w:tcPr>
            <w:tcW w:w="4040" w:type="dxa"/>
            <w:vAlign w:val="bottom"/>
          </w:tcPr>
          <w:p>
            <w:pPr>
              <w:spacing w:after="0"/>
              <w:rPr>
                <w:sz w:val="15"/>
                <w:szCs w:val="15"/>
                <w:color w:val="auto"/>
              </w:rPr>
            </w:pPr>
          </w:p>
        </w:tc>
        <w:tc>
          <w:tcPr>
            <w:tcW w:w="920" w:type="dxa"/>
            <w:vAlign w:val="bottom"/>
            <w:tcBorders>
              <w:top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97"/>
              </w:rPr>
              <w:t>36,800</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(10,964)</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36,800</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(9,601)</w:t>
            </w:r>
          </w:p>
        </w:tc>
        <w:tc>
          <w:tcPr>
            <w:tcW w:w="0" w:type="dxa"/>
            <w:vAlign w:val="bottom"/>
          </w:tcPr>
          <w:p>
            <w:pPr>
              <w:spacing w:after="0"/>
              <w:rPr>
                <w:sz w:val="1"/>
                <w:szCs w:val="1"/>
                <w:color w:val="auto"/>
              </w:rPr>
            </w:pPr>
          </w:p>
        </w:tc>
      </w:tr>
      <w:tr>
        <w:trPr>
          <w:trHeight w:val="22"/>
        </w:trPr>
        <w:tc>
          <w:tcPr>
            <w:tcW w:w="4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cost of purchased water contracts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7"/>
              </w:rPr>
              <w:t>25,836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27,199</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120"/>
              <w:spacing w:after="0"/>
              <w:rPr>
                <w:sz w:val="20"/>
                <w:szCs w:val="20"/>
                <w:color w:val="auto"/>
              </w:rPr>
            </w:pPr>
            <w:r>
              <w:rPr>
                <w:rFonts w:ascii="Arial" w:cs="Arial" w:eastAsia="Arial" w:hAnsi="Arial"/>
                <w:sz w:val="14"/>
                <w:szCs w:val="14"/>
                <w:color w:val="auto"/>
              </w:rPr>
              <w:t>Total cost water held for future use</w:t>
            </w:r>
          </w:p>
        </w:tc>
        <w:tc>
          <w:tcPr>
            <w:tcW w:w="92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w w:val="97"/>
              </w:rPr>
              <w:t>28,319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24,633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investments in water assets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97"/>
              </w:rPr>
              <w:t>54,155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51,832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w w:val="89"/>
              </w:rPr>
              <w:t>90</w:t>
            </w: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92" w:right="319" w:bottom="1440" w:gutter="0" w:footer="0" w:header="0"/>
        </w:sectPr>
      </w:pPr>
    </w:p>
    <w:bookmarkStart w:id="90" w:name="page91"/>
    <w:bookmarkEnd w:id="90"/>
    <w:p>
      <w:pPr>
        <w:jc w:val="both"/>
        <w:ind w:right="40"/>
        <w:spacing w:after="0" w:line="267" w:lineRule="auto"/>
        <w:rPr>
          <w:sz w:val="20"/>
          <w:szCs w:val="20"/>
          <w:color w:val="auto"/>
        </w:rPr>
      </w:pPr>
      <w:r>
        <w:rPr>
          <w:rFonts w:ascii="Arial" w:cs="Arial" w:eastAsia="Arial" w:hAnsi="Arial"/>
          <w:sz w:val="14"/>
          <w:szCs w:val="14"/>
          <w:color w:val="auto"/>
        </w:rPr>
        <w:t>Water contracts with the Wheeler Ridge Maricopa Water Storage District, or WRMWSD, and the Tejon-Castac Water District, or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40" w:type="dxa"/>
            <w:vAlign w:val="bottom"/>
          </w:tcPr>
          <w:p>
            <w:pPr>
              <w:ind w:left="20"/>
              <w:spacing w:after="0"/>
              <w:rPr>
                <w:sz w:val="20"/>
                <w:szCs w:val="20"/>
                <w:color w:val="auto"/>
              </w:rPr>
            </w:pPr>
            <w:r>
              <w:rPr>
                <w:rFonts w:ascii="Arial" w:cs="Arial" w:eastAsia="Arial" w:hAnsi="Arial"/>
                <w:sz w:val="14"/>
                <w:szCs w:val="14"/>
                <w:color w:val="auto"/>
              </w:rPr>
              <w:t>(in acre feet, unaudited)</w:t>
            </w:r>
          </w:p>
        </w:tc>
        <w:tc>
          <w:tcPr>
            <w:tcW w:w="2040" w:type="dxa"/>
            <w:vAlign w:val="bottom"/>
            <w:gridSpan w:val="2"/>
          </w:tcPr>
          <w:p>
            <w:pPr>
              <w:ind w:left="400"/>
              <w:spacing w:after="0"/>
              <w:rPr>
                <w:sz w:val="20"/>
                <w:szCs w:val="20"/>
                <w:color w:val="auto"/>
              </w:rPr>
            </w:pPr>
            <w:r>
              <w:rPr>
                <w:rFonts w:ascii="Arial" w:cs="Arial" w:eastAsia="Arial" w:hAnsi="Arial"/>
                <w:sz w:val="14"/>
                <w:szCs w:val="14"/>
                <w:color w:val="auto"/>
              </w:rPr>
              <w:t>December 31, 2019</w:t>
            </w:r>
          </w:p>
        </w:tc>
        <w:tc>
          <w:tcPr>
            <w:tcW w:w="1900" w:type="dxa"/>
            <w:vAlign w:val="bottom"/>
          </w:tcPr>
          <w:p>
            <w:pPr>
              <w:jc w:val="right"/>
              <w:ind w:right="329"/>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2"/>
        </w:trPr>
        <w:tc>
          <w:tcPr>
            <w:tcW w:w="7340" w:type="dxa"/>
            <w:vAlign w:val="bottom"/>
            <w:vMerge w:val="restart"/>
          </w:tcPr>
          <w:p>
            <w:pPr>
              <w:ind w:left="20"/>
              <w:spacing w:after="0"/>
              <w:rPr>
                <w:sz w:val="20"/>
                <w:szCs w:val="20"/>
                <w:color w:val="auto"/>
              </w:rPr>
            </w:pPr>
            <w:r>
              <w:rPr>
                <w:rFonts w:ascii="Arial" w:cs="Arial" w:eastAsia="Arial" w:hAnsi="Arial"/>
                <w:sz w:val="14"/>
                <w:szCs w:val="14"/>
                <w:color w:val="auto"/>
              </w:rPr>
              <w:t>Water held for future use</w:t>
            </w: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734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7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Company water bank</w:t>
            </w:r>
          </w:p>
        </w:tc>
        <w:tc>
          <w:tcPr>
            <w:tcW w:w="1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50,349</w:t>
            </w:r>
          </w:p>
        </w:tc>
        <w:tc>
          <w:tcPr>
            <w:tcW w:w="1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48,826</w:t>
            </w:r>
          </w:p>
        </w:tc>
        <w:tc>
          <w:tcPr>
            <w:tcW w:w="0" w:type="dxa"/>
            <w:vAlign w:val="bottom"/>
          </w:tcPr>
          <w:p>
            <w:pPr>
              <w:spacing w:after="0"/>
              <w:rPr>
                <w:sz w:val="1"/>
                <w:szCs w:val="1"/>
                <w:color w:val="auto"/>
              </w:rPr>
            </w:pPr>
          </w:p>
        </w:tc>
      </w:tr>
      <w:tr>
        <w:trPr>
          <w:trHeight w:val="191"/>
        </w:trPr>
        <w:tc>
          <w:tcPr>
            <w:tcW w:w="7340" w:type="dxa"/>
            <w:vAlign w:val="bottom"/>
          </w:tcPr>
          <w:p>
            <w:pPr>
              <w:ind w:left="120"/>
              <w:spacing w:after="0"/>
              <w:rPr>
                <w:sz w:val="20"/>
                <w:szCs w:val="20"/>
                <w:color w:val="auto"/>
              </w:rPr>
            </w:pPr>
            <w:r>
              <w:rPr>
                <w:rFonts w:ascii="Arial" w:cs="Arial" w:eastAsia="Arial" w:hAnsi="Arial"/>
                <w:sz w:val="14"/>
                <w:szCs w:val="14"/>
                <w:color w:val="auto"/>
              </w:rPr>
              <w:t>Transferable water *</w:t>
            </w:r>
          </w:p>
        </w:tc>
        <w:tc>
          <w:tcPr>
            <w:tcW w:w="1920" w:type="dxa"/>
            <w:vAlign w:val="bottom"/>
          </w:tcPr>
          <w:p>
            <w:pPr>
              <w:jc w:val="right"/>
              <w:ind w:right="29"/>
              <w:spacing w:after="0"/>
              <w:rPr>
                <w:sz w:val="20"/>
                <w:szCs w:val="20"/>
                <w:color w:val="auto"/>
              </w:rPr>
            </w:pPr>
            <w:r>
              <w:rPr>
                <w:rFonts w:ascii="Arial" w:cs="Arial" w:eastAsia="Arial" w:hAnsi="Arial"/>
                <w:sz w:val="14"/>
                <w:szCs w:val="14"/>
                <w:color w:val="auto"/>
              </w:rPr>
              <w:t>3,252</w:t>
            </w:r>
          </w:p>
        </w:tc>
        <w:tc>
          <w:tcPr>
            <w:tcW w:w="120" w:type="dxa"/>
            <w:vAlign w:val="bottom"/>
          </w:tcPr>
          <w:p>
            <w:pPr>
              <w:spacing w:after="0"/>
              <w:rPr>
                <w:sz w:val="16"/>
                <w:szCs w:val="16"/>
                <w:color w:val="auto"/>
              </w:rPr>
            </w:pPr>
          </w:p>
        </w:tc>
        <w:tc>
          <w:tcPr>
            <w:tcW w:w="1900" w:type="dxa"/>
            <w:vAlign w:val="bottom"/>
          </w:tcPr>
          <w:p>
            <w:pPr>
              <w:jc w:val="right"/>
              <w:ind w:right="29"/>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2"/>
        </w:trPr>
        <w:tc>
          <w:tcPr>
            <w:tcW w:w="73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water held for future use</w:t>
            </w:r>
          </w:p>
        </w:tc>
        <w:tc>
          <w:tcPr>
            <w:tcW w:w="1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53,601</w:t>
            </w:r>
          </w:p>
        </w:tc>
        <w:tc>
          <w:tcPr>
            <w:tcW w:w="1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49,326</w:t>
            </w:r>
          </w:p>
        </w:tc>
        <w:tc>
          <w:tcPr>
            <w:tcW w:w="0" w:type="dxa"/>
            <w:vAlign w:val="bottom"/>
          </w:tcPr>
          <w:p>
            <w:pPr>
              <w:spacing w:after="0"/>
              <w:rPr>
                <w:sz w:val="1"/>
                <w:szCs w:val="1"/>
                <w:color w:val="auto"/>
              </w:rPr>
            </w:pPr>
          </w:p>
        </w:tc>
      </w:tr>
      <w:tr>
        <w:trPr>
          <w:trHeight w:val="191"/>
        </w:trPr>
        <w:tc>
          <w:tcPr>
            <w:tcW w:w="7340" w:type="dxa"/>
            <w:vAlign w:val="bottom"/>
          </w:tcPr>
          <w:p>
            <w:pPr>
              <w:ind w:left="20"/>
              <w:spacing w:after="0"/>
              <w:rPr>
                <w:sz w:val="20"/>
                <w:szCs w:val="20"/>
                <w:color w:val="auto"/>
              </w:rPr>
            </w:pPr>
            <w:r>
              <w:rPr>
                <w:rFonts w:ascii="Arial" w:cs="Arial" w:eastAsia="Arial" w:hAnsi="Arial"/>
                <w:sz w:val="14"/>
                <w:szCs w:val="14"/>
                <w:color w:val="auto"/>
              </w:rPr>
              <w:t>Purchased water contracts</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Water Contracts (Dudley-Ridge, Nickel and Tulare)</w:t>
            </w:r>
          </w:p>
        </w:tc>
        <w:tc>
          <w:tcPr>
            <w:tcW w:w="1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10,137</w:t>
            </w:r>
          </w:p>
        </w:tc>
        <w:tc>
          <w:tcPr>
            <w:tcW w:w="1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10,137</w:t>
            </w:r>
          </w:p>
        </w:tc>
        <w:tc>
          <w:tcPr>
            <w:tcW w:w="0" w:type="dxa"/>
            <w:vAlign w:val="bottom"/>
          </w:tcPr>
          <w:p>
            <w:pPr>
              <w:spacing w:after="0"/>
              <w:rPr>
                <w:sz w:val="1"/>
                <w:szCs w:val="1"/>
                <w:color w:val="auto"/>
              </w:rPr>
            </w:pPr>
          </w:p>
        </w:tc>
      </w:tr>
      <w:tr>
        <w:trPr>
          <w:trHeight w:val="191"/>
        </w:trPr>
        <w:tc>
          <w:tcPr>
            <w:tcW w:w="7340" w:type="dxa"/>
            <w:vAlign w:val="bottom"/>
          </w:tcPr>
          <w:p>
            <w:pPr>
              <w:ind w:left="120"/>
              <w:spacing w:after="0"/>
              <w:rPr>
                <w:sz w:val="20"/>
                <w:szCs w:val="20"/>
                <w:color w:val="auto"/>
              </w:rPr>
            </w:pPr>
            <w:r>
              <w:rPr>
                <w:rFonts w:ascii="Arial" w:cs="Arial" w:eastAsia="Arial" w:hAnsi="Arial"/>
                <w:sz w:val="14"/>
                <w:szCs w:val="14"/>
                <w:color w:val="auto"/>
              </w:rPr>
              <w:t>WRMWSD - Contracts with Company</w:t>
            </w:r>
          </w:p>
        </w:tc>
        <w:tc>
          <w:tcPr>
            <w:tcW w:w="1920" w:type="dxa"/>
            <w:vAlign w:val="bottom"/>
          </w:tcPr>
          <w:p>
            <w:pPr>
              <w:jc w:val="right"/>
              <w:ind w:right="29"/>
              <w:spacing w:after="0"/>
              <w:rPr>
                <w:sz w:val="20"/>
                <w:szCs w:val="20"/>
                <w:color w:val="auto"/>
              </w:rPr>
            </w:pPr>
            <w:r>
              <w:rPr>
                <w:rFonts w:ascii="Arial" w:cs="Arial" w:eastAsia="Arial" w:hAnsi="Arial"/>
                <w:sz w:val="14"/>
                <w:szCs w:val="14"/>
                <w:color w:val="auto"/>
              </w:rPr>
              <w:t>15,547</w:t>
            </w:r>
          </w:p>
        </w:tc>
        <w:tc>
          <w:tcPr>
            <w:tcW w:w="120" w:type="dxa"/>
            <w:vAlign w:val="bottom"/>
          </w:tcPr>
          <w:p>
            <w:pPr>
              <w:spacing w:after="0"/>
              <w:rPr>
                <w:sz w:val="16"/>
                <w:szCs w:val="16"/>
                <w:color w:val="auto"/>
              </w:rPr>
            </w:pPr>
          </w:p>
        </w:tc>
        <w:tc>
          <w:tcPr>
            <w:tcW w:w="1900" w:type="dxa"/>
            <w:vAlign w:val="bottom"/>
          </w:tcPr>
          <w:p>
            <w:pPr>
              <w:jc w:val="right"/>
              <w:ind w:right="29"/>
              <w:spacing w:after="0"/>
              <w:rPr>
                <w:sz w:val="20"/>
                <w:szCs w:val="20"/>
                <w:color w:val="auto"/>
              </w:rPr>
            </w:pPr>
            <w:r>
              <w:rPr>
                <w:rFonts w:ascii="Arial" w:cs="Arial" w:eastAsia="Arial" w:hAnsi="Arial"/>
                <w:sz w:val="14"/>
                <w:szCs w:val="14"/>
                <w:color w:val="auto"/>
              </w:rPr>
              <w:t>15,547</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TCWD - Contracts with Company</w:t>
            </w:r>
          </w:p>
        </w:tc>
        <w:tc>
          <w:tcPr>
            <w:tcW w:w="1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5,749</w:t>
            </w:r>
          </w:p>
        </w:tc>
        <w:tc>
          <w:tcPr>
            <w:tcW w:w="1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5,749</w:t>
            </w:r>
          </w:p>
        </w:tc>
        <w:tc>
          <w:tcPr>
            <w:tcW w:w="0" w:type="dxa"/>
            <w:vAlign w:val="bottom"/>
          </w:tcPr>
          <w:p>
            <w:pPr>
              <w:spacing w:after="0"/>
              <w:rPr>
                <w:sz w:val="1"/>
                <w:szCs w:val="1"/>
                <w:color w:val="auto"/>
              </w:rPr>
            </w:pPr>
          </w:p>
        </w:tc>
      </w:tr>
      <w:tr>
        <w:trPr>
          <w:trHeight w:val="191"/>
        </w:trPr>
        <w:tc>
          <w:tcPr>
            <w:tcW w:w="7340" w:type="dxa"/>
            <w:vAlign w:val="bottom"/>
          </w:tcPr>
          <w:p>
            <w:pPr>
              <w:ind w:left="120"/>
              <w:spacing w:after="0"/>
              <w:rPr>
                <w:sz w:val="20"/>
                <w:szCs w:val="20"/>
                <w:color w:val="auto"/>
              </w:rPr>
            </w:pPr>
            <w:r>
              <w:rPr>
                <w:rFonts w:ascii="Arial" w:cs="Arial" w:eastAsia="Arial" w:hAnsi="Arial"/>
                <w:sz w:val="14"/>
                <w:szCs w:val="14"/>
                <w:color w:val="auto"/>
              </w:rPr>
              <w:t>TCWD - Banked water contracted to Company</w:t>
            </w:r>
          </w:p>
        </w:tc>
        <w:tc>
          <w:tcPr>
            <w:tcW w:w="1920" w:type="dxa"/>
            <w:vAlign w:val="bottom"/>
          </w:tcPr>
          <w:p>
            <w:pPr>
              <w:jc w:val="right"/>
              <w:ind w:right="29"/>
              <w:spacing w:after="0"/>
              <w:rPr>
                <w:sz w:val="20"/>
                <w:szCs w:val="20"/>
                <w:color w:val="auto"/>
              </w:rPr>
            </w:pPr>
            <w:r>
              <w:rPr>
                <w:rFonts w:ascii="Arial" w:cs="Arial" w:eastAsia="Arial" w:hAnsi="Arial"/>
                <w:sz w:val="14"/>
                <w:szCs w:val="14"/>
                <w:color w:val="auto"/>
              </w:rPr>
              <w:t>60,555</w:t>
            </w:r>
          </w:p>
        </w:tc>
        <w:tc>
          <w:tcPr>
            <w:tcW w:w="120" w:type="dxa"/>
            <w:vAlign w:val="bottom"/>
          </w:tcPr>
          <w:p>
            <w:pPr>
              <w:spacing w:after="0"/>
              <w:rPr>
                <w:sz w:val="16"/>
                <w:szCs w:val="16"/>
                <w:color w:val="auto"/>
              </w:rPr>
            </w:pPr>
          </w:p>
        </w:tc>
        <w:tc>
          <w:tcPr>
            <w:tcW w:w="1900" w:type="dxa"/>
            <w:vAlign w:val="bottom"/>
          </w:tcPr>
          <w:p>
            <w:pPr>
              <w:jc w:val="right"/>
              <w:ind w:right="29"/>
              <w:spacing w:after="0"/>
              <w:rPr>
                <w:sz w:val="20"/>
                <w:szCs w:val="20"/>
                <w:color w:val="auto"/>
              </w:rPr>
            </w:pPr>
            <w:r>
              <w:rPr>
                <w:rFonts w:ascii="Arial" w:cs="Arial" w:eastAsia="Arial" w:hAnsi="Arial"/>
                <w:sz w:val="14"/>
                <w:szCs w:val="14"/>
                <w:color w:val="auto"/>
              </w:rPr>
              <w:t>52,547</w:t>
            </w:r>
          </w:p>
        </w:tc>
        <w:tc>
          <w:tcPr>
            <w:tcW w:w="0" w:type="dxa"/>
            <w:vAlign w:val="bottom"/>
          </w:tcPr>
          <w:p>
            <w:pPr>
              <w:spacing w:after="0"/>
              <w:rPr>
                <w:sz w:val="1"/>
                <w:szCs w:val="1"/>
                <w:color w:val="auto"/>
              </w:rPr>
            </w:pPr>
          </w:p>
        </w:tc>
      </w:tr>
      <w:tr>
        <w:trPr>
          <w:trHeight w:val="22"/>
        </w:trPr>
        <w:tc>
          <w:tcPr>
            <w:tcW w:w="73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purchased water contracts</w:t>
            </w:r>
          </w:p>
        </w:tc>
        <w:tc>
          <w:tcPr>
            <w:tcW w:w="1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91,988</w:t>
            </w: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83,980</w:t>
            </w:r>
          </w:p>
        </w:tc>
        <w:tc>
          <w:tcPr>
            <w:tcW w:w="0" w:type="dxa"/>
            <w:vAlign w:val="bottom"/>
          </w:tcPr>
          <w:p>
            <w:pPr>
              <w:spacing w:after="0"/>
              <w:rPr>
                <w:sz w:val="1"/>
                <w:szCs w:val="1"/>
                <w:color w:val="auto"/>
              </w:rPr>
            </w:pPr>
          </w:p>
        </w:tc>
      </w:tr>
      <w:tr>
        <w:trPr>
          <w:trHeight w:val="181"/>
        </w:trPr>
        <w:tc>
          <w:tcPr>
            <w:tcW w:w="7340" w:type="dxa"/>
            <w:vAlign w:val="bottom"/>
          </w:tcPr>
          <w:p>
            <w:pPr>
              <w:ind w:left="20"/>
              <w:spacing w:after="0"/>
              <w:rPr>
                <w:sz w:val="20"/>
                <w:szCs w:val="20"/>
                <w:color w:val="auto"/>
              </w:rPr>
            </w:pPr>
            <w:r>
              <w:rPr>
                <w:rFonts w:ascii="Arial" w:cs="Arial" w:eastAsia="Arial" w:hAnsi="Arial"/>
                <w:sz w:val="14"/>
                <w:szCs w:val="14"/>
                <w:color w:val="auto"/>
              </w:rPr>
              <w:t>Total water held for future use and purchased water contracts</w:t>
            </w:r>
          </w:p>
        </w:tc>
        <w:tc>
          <w:tcPr>
            <w:tcW w:w="19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145,589</w:t>
            </w:r>
          </w:p>
        </w:tc>
        <w:tc>
          <w:tcPr>
            <w:tcW w:w="120" w:type="dxa"/>
            <w:vAlign w:val="bottom"/>
          </w:tcPr>
          <w:p>
            <w:pPr>
              <w:spacing w:after="0"/>
              <w:rPr>
                <w:sz w:val="15"/>
                <w:szCs w:val="15"/>
                <w:color w:val="auto"/>
              </w:rPr>
            </w:pPr>
          </w:p>
        </w:tc>
        <w:tc>
          <w:tcPr>
            <w:tcW w:w="1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133,306</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Tejon Ranchcorp, or Ranchcorp, a wholly-owned subsidiary of Tejon Ranch Co., entered into a Water Supply Agreement with PEF in 2015. PEF is the current lessee under the power plant lease. Pursuant to the Water Supply Agreement, PEF may purchase from Ranchcorp up to 3,500 acre-feet of water per year from January 1, 2017 through July 31, 2030, with an option to extend the term. PEF is under no obligation to purchase water from Ranchcorp in any year, but is required to pay Ranchcorp an annual option payment equal to 30% of the maximum annual payment. The price of the water under the Water Supply Agreement for 2019 is $1,120 per acre-foot of annual water,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pacing w:after="0" w:line="103"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auto"/>
        </w:rPr>
        <w:t>7.</w:t>
        <w:tab/>
        <w:t>ACCRUED LIABILITIES AND OTHER</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Accrued liabilities and other consisted of the following as of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4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jc w:val="right"/>
              <w:ind w:right="72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vacation</w:t>
            </w:r>
          </w:p>
        </w:tc>
        <w:tc>
          <w:tcPr>
            <w:tcW w:w="32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91"/>
        </w:trPr>
        <w:tc>
          <w:tcPr>
            <w:tcW w:w="4480" w:type="dxa"/>
            <w:vAlign w:val="bottom"/>
          </w:tcPr>
          <w:p>
            <w:pPr>
              <w:ind w:left="20"/>
              <w:spacing w:after="0"/>
              <w:rPr>
                <w:sz w:val="20"/>
                <w:szCs w:val="20"/>
                <w:color w:val="auto"/>
              </w:rPr>
            </w:pPr>
            <w:r>
              <w:rPr>
                <w:rFonts w:ascii="Arial" w:cs="Arial" w:eastAsia="Arial" w:hAnsi="Arial"/>
                <w:sz w:val="14"/>
                <w:szCs w:val="14"/>
                <w:color w:val="auto"/>
              </w:rPr>
              <w:t>Accrued paid personal leave</w:t>
            </w: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bonus</w:t>
            </w:r>
          </w:p>
        </w:tc>
        <w:tc>
          <w:tcPr>
            <w:tcW w:w="2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2,071</w:t>
            </w:r>
          </w:p>
        </w:tc>
        <w:tc>
          <w:tcPr>
            <w:tcW w:w="0" w:type="dxa"/>
            <w:vAlign w:val="bottom"/>
          </w:tcPr>
          <w:p>
            <w:pPr>
              <w:spacing w:after="0"/>
              <w:rPr>
                <w:sz w:val="1"/>
                <w:szCs w:val="1"/>
                <w:color w:val="auto"/>
              </w:rPr>
            </w:pPr>
          </w:p>
        </w:tc>
      </w:tr>
      <w:tr>
        <w:trPr>
          <w:trHeight w:val="191"/>
        </w:trPr>
        <w:tc>
          <w:tcPr>
            <w:tcW w:w="4480" w:type="dxa"/>
            <w:vAlign w:val="bottom"/>
          </w:tcPr>
          <w:p>
            <w:pPr>
              <w:ind w:left="20"/>
              <w:spacing w:after="0"/>
              <w:rPr>
                <w:sz w:val="20"/>
                <w:szCs w:val="20"/>
                <w:color w:val="auto"/>
              </w:rPr>
            </w:pPr>
            <w:r>
              <w:rPr>
                <w:rFonts w:ascii="Arial" w:cs="Arial" w:eastAsia="Arial" w:hAnsi="Arial"/>
                <w:sz w:val="14"/>
                <w:szCs w:val="14"/>
                <w:color w:val="auto"/>
              </w:rPr>
              <w:t>Other</w:t>
            </w: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48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3,463</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3,575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8.   LINE OF CREDIT AND LONG-TERM DEBT</w:t>
            </w:r>
          </w:p>
        </w:tc>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80" w:type="dxa"/>
            <w:vAlign w:val="bottom"/>
            <w:vMerge w:val="continue"/>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480" w:type="dxa"/>
            <w:vAlign w:val="bottom"/>
          </w:tcPr>
          <w:p>
            <w:pPr>
              <w:spacing w:after="0"/>
              <w:rPr>
                <w:sz w:val="20"/>
                <w:szCs w:val="20"/>
                <w:color w:val="auto"/>
              </w:rPr>
            </w:pPr>
            <w:r>
              <w:rPr>
                <w:rFonts w:ascii="Arial" w:cs="Arial" w:eastAsia="Arial" w:hAnsi="Arial"/>
                <w:sz w:val="14"/>
                <w:szCs w:val="14"/>
                <w:color w:val="auto"/>
              </w:rPr>
              <w:t>Debt consisted of the following as of December 31:</w:t>
            </w: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44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jc w:val="right"/>
              <w:ind w:right="80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jc w:val="right"/>
              <w:ind w:right="78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Notes payable</w:t>
            </w:r>
          </w:p>
        </w:tc>
        <w:tc>
          <w:tcPr>
            <w:tcW w:w="286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61,897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65,901</w:t>
            </w:r>
          </w:p>
        </w:tc>
        <w:tc>
          <w:tcPr>
            <w:tcW w:w="0" w:type="dxa"/>
            <w:vAlign w:val="bottom"/>
          </w:tcPr>
          <w:p>
            <w:pPr>
              <w:spacing w:after="0"/>
              <w:rPr>
                <w:sz w:val="1"/>
                <w:szCs w:val="1"/>
                <w:color w:val="auto"/>
              </w:rPr>
            </w:pPr>
          </w:p>
        </w:tc>
      </w:tr>
      <w:tr>
        <w:trPr>
          <w:trHeight w:val="191"/>
        </w:trPr>
        <w:tc>
          <w:tcPr>
            <w:tcW w:w="4480" w:type="dxa"/>
            <w:vAlign w:val="bottom"/>
          </w:tcPr>
          <w:p>
            <w:pPr>
              <w:ind w:left="20"/>
              <w:spacing w:after="0"/>
              <w:rPr>
                <w:sz w:val="20"/>
                <w:szCs w:val="20"/>
                <w:color w:val="auto"/>
              </w:rPr>
            </w:pPr>
            <w:r>
              <w:rPr>
                <w:rFonts w:ascii="Arial" w:cs="Arial" w:eastAsia="Arial" w:hAnsi="Arial"/>
                <w:sz w:val="14"/>
                <w:szCs w:val="14"/>
                <w:color w:val="auto"/>
              </w:rPr>
              <w:t>Other borrowings</w:t>
            </w: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short-term and long-term debt</w:t>
            </w:r>
          </w:p>
        </w:tc>
        <w:tc>
          <w:tcPr>
            <w:tcW w:w="26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61,897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65,915</w:t>
            </w:r>
          </w:p>
        </w:tc>
        <w:tc>
          <w:tcPr>
            <w:tcW w:w="0" w:type="dxa"/>
            <w:vAlign w:val="bottom"/>
          </w:tcPr>
          <w:p>
            <w:pPr>
              <w:spacing w:after="0"/>
              <w:rPr>
                <w:sz w:val="1"/>
                <w:szCs w:val="1"/>
                <w:color w:val="auto"/>
              </w:rPr>
            </w:pPr>
          </w:p>
        </w:tc>
      </w:tr>
      <w:tr>
        <w:trPr>
          <w:trHeight w:val="191"/>
        </w:trPr>
        <w:tc>
          <w:tcPr>
            <w:tcW w:w="4480" w:type="dxa"/>
            <w:vAlign w:val="bottom"/>
          </w:tcPr>
          <w:p>
            <w:pPr>
              <w:ind w:left="20"/>
              <w:spacing w:after="0"/>
              <w:rPr>
                <w:sz w:val="20"/>
                <w:szCs w:val="20"/>
                <w:color w:val="auto"/>
              </w:rPr>
            </w:pPr>
            <w:r>
              <w:rPr>
                <w:rFonts w:ascii="Arial" w:cs="Arial" w:eastAsia="Arial" w:hAnsi="Arial"/>
                <w:sz w:val="14"/>
                <w:szCs w:val="14"/>
                <w:color w:val="auto"/>
              </w:rPr>
              <w:t>Less line-of-credit and current maturities of long-term debt</w:t>
            </w: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(4,018)</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deferred loan costs</w:t>
            </w:r>
          </w:p>
        </w:tc>
        <w:tc>
          <w:tcPr>
            <w:tcW w:w="2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1"/>
        </w:trPr>
        <w:tc>
          <w:tcPr>
            <w:tcW w:w="448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264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57,476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61,780</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2640" w:type="dxa"/>
            <w:vAlign w:val="bottom"/>
            <w:vMerge w:val="restart"/>
          </w:tcPr>
          <w:p>
            <w:pPr>
              <w:jc w:val="right"/>
              <w:ind w:right="1329"/>
              <w:spacing w:after="0"/>
              <w:rPr>
                <w:sz w:val="20"/>
                <w:szCs w:val="20"/>
                <w:color w:val="auto"/>
              </w:rPr>
            </w:pPr>
            <w:r>
              <w:rPr>
                <w:rFonts w:ascii="Arial" w:cs="Arial" w:eastAsia="Arial" w:hAnsi="Arial"/>
                <w:sz w:val="14"/>
                <w:szCs w:val="14"/>
                <w:color w:val="auto"/>
              </w:rPr>
              <w:t>91</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95" w:right="319" w:bottom="1440" w:gutter="0" w:footer="0" w:header="0"/>
        </w:sectPr>
      </w:pPr>
    </w:p>
    <w:bookmarkStart w:id="91" w:name="page92"/>
    <w:bookmarkEnd w:id="91"/>
    <w:p>
      <w:pPr>
        <w:ind w:right="120"/>
        <w:spacing w:after="0" w:line="313" w:lineRule="auto"/>
        <w:rPr>
          <w:sz w:val="20"/>
          <w:szCs w:val="20"/>
          <w:color w:val="auto"/>
        </w:rPr>
      </w:pPr>
      <w:r>
        <w:rPr>
          <w:rFonts w:ascii="Arial" w:cs="Arial" w:eastAsia="Arial" w:hAnsi="Arial"/>
          <w:sz w:val="12"/>
          <w:szCs w:val="12"/>
          <w:color w:val="auto"/>
        </w:rPr>
        <w:t>In August 2019, the Company amended the Term Note (Amended Term Note) and extended its maturity to June 5, 2029. The Amended Term Loan had an outstanding balance of $58,768,000 as of December 31, 2019, whereas the Term Note had an outstanding balance of $62,483,000 as of December 31, 2018. The interest rate per annum applicable to the Amended Term Note is LIBOR (as defined in the Term Note) plus a margin of 170 basis points. The interest rate for the Amended Term Note has been fixed at 4.16% through the use of an interest rate swap agreement. The Amended Term Note requires monthly amortization payments, with the outstanding principal amount due on June 5, 2029. The Amended Term Note is secured by the Company's farmland and farm assets, which include equipment, crops and crop receivables; the PEF power plant lease and lease site; and related accounts and other rights to payment and inventory.</w:t>
      </w:r>
    </w:p>
    <w:p>
      <w:pPr>
        <w:spacing w:after="0" w:line="76"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 August 2019, the Company increased the capacity of the Revolving Line of Credit, or RLC, to $35,000,000 from $30,000,000 and extended the maturity to October 5, 2024. The RLC had no outstanding balance as of December 31, 2019 and December 31, 2018. At the Company’s option, the interest rate on this line of credit can float at 1.50% over a selected LIBOR rate or can be fixed at 1.50% above LIBOR for a fixed rate term. During the term of this RLC, the Company can borrow at any time and partially or wholly repay any outstanding borrowings and then re-borrow, as necessary.</w:t>
      </w:r>
    </w:p>
    <w:p>
      <w:pPr>
        <w:spacing w:after="0" w:line="103"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color w:val="auto"/>
        </w:rPr>
        <w:t>Any future borrowings under the RLC will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of this type of borrowing arrangement.</w:t>
      </w:r>
    </w:p>
    <w:p>
      <w:pPr>
        <w:spacing w:after="0" w:line="99" w:lineRule="exact"/>
        <w:rPr>
          <w:sz w:val="20"/>
          <w:szCs w:val="20"/>
          <w:color w:val="auto"/>
        </w:rPr>
      </w:pPr>
    </w:p>
    <w:p>
      <w:pPr>
        <w:ind w:right="160"/>
        <w:spacing w:after="0" w:line="297" w:lineRule="auto"/>
        <w:rPr>
          <w:sz w:val="20"/>
          <w:szCs w:val="20"/>
          <w:color w:val="auto"/>
        </w:rPr>
      </w:pPr>
      <w:r>
        <w:rPr>
          <w:rFonts w:ascii="Arial" w:cs="Arial" w:eastAsia="Arial" w:hAnsi="Arial"/>
          <w:sz w:val="13"/>
          <w:szCs w:val="13"/>
          <w:color w:val="auto"/>
        </w:rPr>
        <w:t>The Amended Note and RLC, collectively the Amended Credit Facility, requires compliance with three financial covenants: (i) total liabilities divided by tangible net worth not greater than 0.75 to 1.0 at each quarter end; (ii) a debt service coverage ratio not less than 1.25 to 1.00 as of each quarter end on a rolling four quarter basis; and (iii) maintain liquid assets equal to or greater than $20,000,000, including availability on RLC. At December 31, 2019 and December 31, 2018, the Company was in compliance with all financial covenants.</w:t>
      </w:r>
    </w:p>
    <w:p>
      <w:pPr>
        <w:spacing w:after="0" w:line="82" w:lineRule="exact"/>
        <w:rPr>
          <w:sz w:val="20"/>
          <w:szCs w:val="20"/>
          <w:color w:val="auto"/>
        </w:rPr>
      </w:pPr>
    </w:p>
    <w:p>
      <w:pPr>
        <w:ind w:right="440"/>
        <w:spacing w:after="0" w:line="321" w:lineRule="auto"/>
        <w:rPr>
          <w:sz w:val="20"/>
          <w:szCs w:val="20"/>
          <w:color w:val="auto"/>
        </w:rPr>
      </w:pPr>
      <w:r>
        <w:rPr>
          <w:rFonts w:ascii="Arial" w:cs="Arial" w:eastAsia="Arial" w:hAnsi="Arial"/>
          <w:sz w:val="13"/>
          <w:szCs w:val="13"/>
          <w:color w:val="auto"/>
        </w:rPr>
        <w:t>The Amended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or incur liens on any assets.</w:t>
      </w:r>
    </w:p>
    <w:p>
      <w:pPr>
        <w:spacing w:after="0" w:line="67" w:lineRule="exact"/>
        <w:rPr>
          <w:sz w:val="20"/>
          <w:szCs w:val="20"/>
          <w:color w:val="auto"/>
        </w:rPr>
      </w:pPr>
    </w:p>
    <w:p>
      <w:pPr>
        <w:ind w:right="300"/>
        <w:spacing w:after="0" w:line="267" w:lineRule="auto"/>
        <w:rPr>
          <w:sz w:val="20"/>
          <w:szCs w:val="20"/>
          <w:color w:val="auto"/>
        </w:rPr>
      </w:pPr>
      <w:r>
        <w:rPr>
          <w:rFonts w:ascii="Arial" w:cs="Arial" w:eastAsia="Arial" w:hAnsi="Arial"/>
          <w:sz w:val="14"/>
          <w:szCs w:val="14"/>
          <w:color w:val="auto"/>
        </w:rPr>
        <w:t>The Amended Credit Facility contains customary events of default, including: failure to make required payments; failure to comply with terms of the Amended Credit Facility; bankruptcy and insolvency; and a change in control without consent of the bank (which consent will not be unreasonably withheld). The Amended Credit Facility contains other customary terms and conditions, including representations and warranties, which are typical for credit facilities of this type.</w:t>
      </w:r>
    </w:p>
    <w:p>
      <w:pPr>
        <w:spacing w:after="0" w:line="120"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In 2013, Tejon entered into a promissory note agreement, secured by real estate, with CMFG Life Insurance Company to pay a principal amount of $4,750,000 with principal and interest due monthly starting on October 1, 2013. The interest rate on this promissory note is 4.25% per annum, with monthly principal and interest payments of $36,000 that will end on September 1, 2028. The proceeds from this promissory note were used to eliminate debt that had been previously used to provide long-term financing for a building being leased to Starbucks and provide additional working capital for future investment. The outstanding balance on the note was $3,129,000 as of December 31, 2019. The balance of this long-term debt instrument included in "Notes payable" above approximates the fair value of the instrument.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outstanding indebtedness and respective principal maturities as of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4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09"/>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9"/>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color w:val="auto"/>
              </w:rPr>
              <w:t>Thereafter</w:t>
            </w:r>
          </w:p>
        </w:tc>
        <w:tc>
          <w:tcPr>
            <w:tcW w:w="220" w:type="dxa"/>
            <w:vAlign w:val="bottom"/>
          </w:tcPr>
          <w:p>
            <w:pPr>
              <w:spacing w:after="0"/>
              <w:rPr>
                <w:sz w:val="15"/>
                <w:szCs w:val="15"/>
                <w:color w:val="auto"/>
              </w:rPr>
            </w:pP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Total</w:t>
            </w:r>
          </w:p>
        </w:tc>
      </w:tr>
      <w:tr>
        <w:trPr>
          <w:trHeight w:val="22"/>
        </w:trPr>
        <w:tc>
          <w:tcPr>
            <w:tcW w:w="3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Term Loan</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3,881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4,221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4,429</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4,624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37,562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58,768</w:t>
            </w:r>
          </w:p>
        </w:tc>
      </w:tr>
      <w:tr>
        <w:trPr>
          <w:trHeight w:val="191"/>
        </w:trPr>
        <w:tc>
          <w:tcPr>
            <w:tcW w:w="3480" w:type="dxa"/>
            <w:vAlign w:val="bottom"/>
          </w:tcPr>
          <w:p>
            <w:pPr>
              <w:ind w:left="20"/>
              <w:spacing w:after="0"/>
              <w:rPr>
                <w:sz w:val="20"/>
                <w:szCs w:val="20"/>
                <w:color w:val="auto"/>
              </w:rPr>
            </w:pPr>
            <w:r>
              <w:rPr>
                <w:rFonts w:ascii="Arial" w:cs="Arial" w:eastAsia="Arial" w:hAnsi="Arial"/>
                <w:sz w:val="14"/>
                <w:szCs w:val="14"/>
                <w:color w:val="auto"/>
              </w:rPr>
              <w:t>Promissory note</w:t>
            </w:r>
          </w:p>
        </w:tc>
        <w:tc>
          <w:tcPr>
            <w:tcW w:w="24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3,129</w:t>
            </w:r>
          </w:p>
        </w:tc>
      </w:tr>
      <w:tr>
        <w:trPr>
          <w:trHeight w:val="22"/>
        </w:trPr>
        <w:tc>
          <w:tcPr>
            <w:tcW w:w="3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long-term debt</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4,183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4,366</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4,549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4,772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39,046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61,897</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16"/>
        </w:trPr>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260"/>
          </w:cols>
          <w:pgMar w:left="300" w:top="596" w:right="339" w:bottom="1440" w:gutter="0" w:footer="0" w:header="0"/>
        </w:sectPr>
      </w:pPr>
    </w:p>
    <w:bookmarkStart w:id="92" w:name="page93"/>
    <w:bookmarkEnd w:id="92"/>
    <w:p>
      <w:pPr>
        <w:ind w:left="280" w:hanging="275"/>
        <w:spacing w:after="0"/>
        <w:tabs>
          <w:tab w:leader="none" w:pos="28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OTHER LIABILITIES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Other liabilities consist of the following as of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560" w:type="dxa"/>
            <w:vAlign w:val="bottom"/>
          </w:tcPr>
          <w:p>
            <w:pPr>
              <w:spacing w:after="0"/>
              <w:rPr>
                <w:sz w:val="15"/>
                <w:szCs w:val="15"/>
                <w:color w:val="auto"/>
              </w:rPr>
            </w:pP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jc w:val="right"/>
              <w:ind w:right="909"/>
              <w:spacing w:after="0"/>
              <w:rPr>
                <w:sz w:val="20"/>
                <w:szCs w:val="20"/>
                <w:color w:val="auto"/>
              </w:rPr>
            </w:pPr>
            <w:r>
              <w:rPr>
                <w:rFonts w:ascii="Arial" w:cs="Arial" w:eastAsia="Arial" w:hAnsi="Arial"/>
                <w:sz w:val="14"/>
                <w:szCs w:val="14"/>
                <w:color w:val="auto"/>
              </w:rPr>
              <w:t>2018</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liability (See Note 15)</w:t>
            </w:r>
          </w:p>
        </w:tc>
        <w:tc>
          <w:tcPr>
            <w:tcW w:w="56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1,790</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2,148</w:t>
            </w:r>
          </w:p>
        </w:tc>
      </w:tr>
      <w:tr>
        <w:trPr>
          <w:trHeight w:val="212"/>
        </w:trPr>
        <w:tc>
          <w:tcPr>
            <w:tcW w:w="6660" w:type="dxa"/>
            <w:vAlign w:val="bottom"/>
          </w:tcPr>
          <w:p>
            <w:pPr>
              <w:ind w:left="20"/>
              <w:spacing w:after="0" w:line="213" w:lineRule="exact"/>
              <w:rPr>
                <w:sz w:val="20"/>
                <w:szCs w:val="20"/>
                <w:color w:val="auto"/>
              </w:rPr>
            </w:pPr>
            <w:r>
              <w:rPr>
                <w:rFonts w:ascii="Arial" w:cs="Arial" w:eastAsia="Arial" w:hAnsi="Arial"/>
                <w:sz w:val="14"/>
                <w:szCs w:val="14"/>
                <w:color w:val="auto"/>
              </w:rPr>
              <w:t>Interest rate swap liability (See Note 10)</w:t>
            </w:r>
            <w:r>
              <w:rPr>
                <w:rFonts w:ascii="Arial" w:cs="Arial" w:eastAsia="Arial" w:hAnsi="Arial"/>
                <w:sz w:val="19"/>
                <w:szCs w:val="19"/>
                <w:color w:val="auto"/>
                <w:vertAlign w:val="superscript"/>
              </w:rPr>
              <w:t>1</w:t>
            </w:r>
          </w:p>
        </w:tc>
        <w:tc>
          <w:tcPr>
            <w:tcW w:w="560" w:type="dxa"/>
            <w:vAlign w:val="bottom"/>
          </w:tcPr>
          <w:p>
            <w:pPr>
              <w:spacing w:after="0"/>
              <w:rPr>
                <w:sz w:val="18"/>
                <w:szCs w:val="18"/>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2,716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executive retirement plan liability (See Note 15)</w:t>
            </w:r>
          </w:p>
        </w:tc>
        <w:tc>
          <w:tcPr>
            <w:tcW w:w="5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8,011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7,750</w:t>
            </w:r>
          </w:p>
        </w:tc>
      </w:tr>
      <w:tr>
        <w:trPr>
          <w:trHeight w:val="191"/>
        </w:trPr>
        <w:tc>
          <w:tcPr>
            <w:tcW w:w="6660" w:type="dxa"/>
            <w:vAlign w:val="bottom"/>
          </w:tcPr>
          <w:p>
            <w:pPr>
              <w:ind w:left="20"/>
              <w:spacing w:after="0"/>
              <w:rPr>
                <w:sz w:val="20"/>
                <w:szCs w:val="20"/>
                <w:color w:val="auto"/>
              </w:rPr>
            </w:pPr>
            <w:r>
              <w:rPr>
                <w:rFonts w:ascii="Arial" w:cs="Arial" w:eastAsia="Arial" w:hAnsi="Arial"/>
                <w:sz w:val="14"/>
                <w:szCs w:val="14"/>
                <w:color w:val="auto"/>
              </w:rPr>
              <w:t>Other</w:t>
            </w:r>
          </w:p>
        </w:tc>
        <w:tc>
          <w:tcPr>
            <w:tcW w:w="560" w:type="dxa"/>
            <w:vAlign w:val="bottom"/>
          </w:tcPr>
          <w:p>
            <w:pPr>
              <w:spacing w:after="0"/>
              <w:rPr>
                <w:sz w:val="16"/>
                <w:szCs w:val="16"/>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2,938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jc w:val="right"/>
              <w:ind w:right="29"/>
              <w:spacing w:after="0"/>
              <w:rPr>
                <w:sz w:val="20"/>
                <w:szCs w:val="20"/>
                <w:color w:val="auto"/>
              </w:rPr>
            </w:pPr>
            <w:r>
              <w:rPr>
                <w:rFonts w:ascii="Arial" w:cs="Arial" w:eastAsia="Arial" w:hAnsi="Arial"/>
                <w:sz w:val="14"/>
                <w:szCs w:val="14"/>
                <w:color w:val="auto"/>
              </w:rPr>
              <w:t>2,800</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15,455</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12,698</w:t>
            </w:r>
          </w:p>
        </w:tc>
      </w:tr>
      <w:tr>
        <w:trPr>
          <w:trHeight w:val="20"/>
        </w:trPr>
        <w:tc>
          <w:tcPr>
            <w:tcW w:w="66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bl>
    <w:p>
      <w:pPr>
        <w:spacing w:after="0" w:line="6" w:lineRule="exact"/>
        <w:rPr>
          <w:sz w:val="20"/>
          <w:szCs w:val="20"/>
          <w:color w:val="auto"/>
        </w:rPr>
      </w:pPr>
    </w:p>
    <w:p>
      <w:pPr>
        <w:ind w:left="20" w:right="80" w:firstLine="6"/>
        <w:spacing w:after="0" w:line="256" w:lineRule="auto"/>
        <w:tabs>
          <w:tab w:leader="none" w:pos="99" w:val="left"/>
        </w:tabs>
        <w:numPr>
          <w:ilvl w:val="0"/>
          <w:numId w:val="42"/>
        </w:numPr>
        <w:rPr>
          <w:rFonts w:ascii="Arial" w:cs="Arial" w:eastAsia="Arial" w:hAnsi="Arial"/>
          <w:sz w:val="7"/>
          <w:szCs w:val="7"/>
          <w:color w:val="auto"/>
        </w:rPr>
      </w:pPr>
      <w:r>
        <w:rPr>
          <w:rFonts w:ascii="Arial" w:cs="Arial" w:eastAsia="Arial" w:hAnsi="Arial"/>
          <w:sz w:val="11"/>
          <w:szCs w:val="11"/>
          <w:color w:val="auto"/>
        </w:rPr>
        <w:t>The Company's interest rate swap had a liability balance as of December 31, 2019 as presented above. The Company's interest rate swap had an asset balance of $93,000 as of December 31, 2018 and was presented under the caption Other Assets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-167640</wp:posOffset>
            </wp:positionV>
            <wp:extent cx="29305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1">
                      <a:extLst>
                        <a:ext uri="{28A0092B-C50C-407E-A947-70E740481C1C}"/>
                      </a:extLst>
                    </a:blip>
                    <a:srcRect/>
                    <a:stretch>
                      <a:fillRect/>
                    </a:stretch>
                  </pic:blipFill>
                  <pic:spPr bwMode="auto">
                    <a:xfrm>
                      <a:off x="0" y="0"/>
                      <a:ext cx="2930525" cy="698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For the captions presented in the table above, please refer to the respective Notes to Consolidated Financial Statements for further detail.</w:t>
      </w:r>
    </w:p>
    <w:p>
      <w:pPr>
        <w:spacing w:after="0" w:line="132" w:lineRule="exact"/>
        <w:rPr>
          <w:sz w:val="20"/>
          <w:szCs w:val="20"/>
          <w:color w:val="auto"/>
        </w:rPr>
      </w:pPr>
    </w:p>
    <w:p>
      <w:pPr>
        <w:ind w:left="360" w:hanging="355"/>
        <w:spacing w:after="0"/>
        <w:tabs>
          <w:tab w:leader="none" w:pos="36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INTEREST RATE SWAP</w:t>
      </w:r>
    </w:p>
    <w:p>
      <w:pPr>
        <w:spacing w:after="0" w:line="76" w:lineRule="exact"/>
        <w:rPr>
          <w:sz w:val="20"/>
          <w:szCs w:val="20"/>
          <w:color w:val="auto"/>
        </w:rPr>
      </w:pPr>
    </w:p>
    <w:p>
      <w:pPr>
        <w:jc w:val="both"/>
        <w:ind w:right="120"/>
        <w:spacing w:after="0" w:line="319" w:lineRule="auto"/>
        <w:rPr>
          <w:sz w:val="20"/>
          <w:szCs w:val="20"/>
          <w:color w:val="auto"/>
        </w:rPr>
      </w:pPr>
      <w:r>
        <w:rPr>
          <w:rFonts w:ascii="Arial" w:cs="Arial" w:eastAsia="Arial" w:hAnsi="Arial"/>
          <w:sz w:val="12"/>
          <w:szCs w:val="12"/>
          <w:color w:val="auto"/>
        </w:rPr>
        <w:t>In October 2014, the Company entered into an interest rate swap agreement to hedge cash flows tied to changes in the underlying floating interest rate tied to LIBOR for the Term Loan as discussed in Note 8 (Line of Credit and Long-Term Debt) of the Notes to Consolidated Financial Statements.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w:t>
      </w:r>
    </w:p>
    <w:p>
      <w:pPr>
        <w:spacing w:after="0" w:line="9"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During the quarter ended December 31, 2019, the interest rate swap agreement was deemed highly effective. Changes in fair value, including accrued interest and adjustments for non-performance risk, that qualify as cash flow hedges are classified in AOCI. Amounts classified in AOCI are subsequently reclassified into earnings in the period during which the hedged transactions affect earnings.</w:t>
      </w:r>
    </w:p>
    <w:p>
      <w:pPr>
        <w:spacing w:after="0" w:line="36"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color w:val="auto"/>
        </w:rPr>
        <w:t>As of December 31, 2019, the fair value of the interest rate swap agreement was less than its cost basis and as such is recorded within Other Liabilities on the Consolidated Balance Sheets. The Company had the following outstanding interest rate swap agreement designated as an interest rate cash flow hedge as of ($ 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Weighted Average Interest Pay</w:t>
            </w: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178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Effective Date</w:t>
            </w:r>
          </w:p>
        </w:tc>
        <w:tc>
          <w:tcPr>
            <w:tcW w:w="20" w:type="dxa"/>
            <w:vAlign w:val="bottom"/>
          </w:tcPr>
          <w:p>
            <w:pPr>
              <w:spacing w:after="0"/>
              <w:rPr>
                <w:sz w:val="15"/>
                <w:szCs w:val="15"/>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Maturity Date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Fair Value Hierarchy</w:t>
            </w:r>
          </w:p>
        </w:tc>
        <w:tc>
          <w:tcPr>
            <w:tcW w:w="20" w:type="dxa"/>
            <w:vAlign w:val="bottom"/>
          </w:tcPr>
          <w:p>
            <w:pPr>
              <w:spacing w:after="0"/>
              <w:rPr>
                <w:sz w:val="15"/>
                <w:szCs w:val="15"/>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Rate</w:t>
            </w:r>
          </w:p>
        </w:tc>
        <w:tc>
          <w:tcPr>
            <w:tcW w:w="1920" w:type="dxa"/>
            <w:vAlign w:val="bottom"/>
            <w:gridSpan w:val="4"/>
          </w:tcPr>
          <w:p>
            <w:pPr>
              <w:jc w:val="center"/>
              <w:ind w:right="100"/>
              <w:spacing w:after="0"/>
              <w:rPr>
                <w:sz w:val="20"/>
                <w:szCs w:val="20"/>
                <w:color w:val="auto"/>
              </w:rPr>
            </w:pPr>
            <w:r>
              <w:rPr>
                <w:rFonts w:ascii="Arial" w:cs="Arial" w:eastAsia="Arial" w:hAnsi="Arial"/>
                <w:sz w:val="14"/>
                <w:szCs w:val="14"/>
                <w:color w:val="auto"/>
                <w:w w:val="90"/>
              </w:rPr>
              <w:t>Fair Value</w:t>
            </w: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96"/>
              </w:rPr>
              <w:t>Notional Amount</w:t>
            </w: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4"/>
                <w:szCs w:val="14"/>
                <w:color w:val="auto"/>
                <w:w w:val="92"/>
              </w:rPr>
              <w:t>July 5, 2019</w:t>
            </w:r>
          </w:p>
        </w:tc>
        <w:tc>
          <w:tcPr>
            <w:tcW w:w="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8"/>
              </w:rPr>
              <w:t>June 5, 2029</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Level 2</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0"/>
              </w:rPr>
              <w:t>4.16%</w:t>
            </w: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$(2,716)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auto"/>
              </w:rPr>
              <w:t>$58,768</w:t>
            </w:r>
          </w:p>
        </w:tc>
        <w:tc>
          <w:tcPr>
            <w:tcW w:w="20" w:type="dxa"/>
            <w:vAlign w:val="bottom"/>
            <w:tcBorders>
              <w:bottom w:val="single" w:sz="8" w:color="CCEEFF"/>
            </w:tcBorders>
            <w:shd w:val="clear" w:color="auto" w:fill="CCEEFF"/>
          </w:tcPr>
          <w:p>
            <w:pPr>
              <w:spacing w:after="0"/>
              <w:rPr>
                <w:sz w:val="15"/>
                <w:szCs w:val="15"/>
                <w:color w:val="auto"/>
              </w:rPr>
            </w:pPr>
          </w:p>
        </w:tc>
      </w:tr>
      <w:tr>
        <w:trPr>
          <w:trHeight w:val="360"/>
        </w:trPr>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5"/>
          </w:tcPr>
          <w:p>
            <w:pPr>
              <w:ind w:left="1320"/>
              <w:spacing w:after="0"/>
              <w:rPr>
                <w:sz w:val="20"/>
                <w:szCs w:val="20"/>
                <w:color w:val="auto"/>
              </w:rPr>
            </w:pPr>
            <w:r>
              <w:rPr>
                <w:rFonts w:ascii="Arial" w:cs="Arial" w:eastAsia="Arial" w:hAnsi="Arial"/>
                <w:sz w:val="14"/>
                <w:szCs w:val="14"/>
                <w:color w:val="auto"/>
              </w:rPr>
              <w:t>December 31, 2018</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Weighted Average Interest Pay</w:t>
            </w: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Effective Date</w:t>
            </w:r>
          </w:p>
        </w:tc>
        <w:tc>
          <w:tcPr>
            <w:tcW w:w="20" w:type="dxa"/>
            <w:vAlign w:val="bottom"/>
          </w:tcPr>
          <w:p>
            <w:pPr>
              <w:spacing w:after="0"/>
              <w:rPr>
                <w:sz w:val="15"/>
                <w:szCs w:val="15"/>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Maturity Date</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Fair Value Hierarchy</w:t>
            </w:r>
          </w:p>
        </w:tc>
        <w:tc>
          <w:tcPr>
            <w:tcW w:w="20" w:type="dxa"/>
            <w:vAlign w:val="bottom"/>
          </w:tcPr>
          <w:p>
            <w:pPr>
              <w:spacing w:after="0"/>
              <w:rPr>
                <w:sz w:val="15"/>
                <w:szCs w:val="15"/>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Rate</w:t>
            </w: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Fair Value</w:t>
            </w:r>
          </w:p>
        </w:tc>
        <w:tc>
          <w:tcPr>
            <w:tcW w:w="180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Notional Amount</w:t>
            </w:r>
          </w:p>
        </w:tc>
      </w:tr>
      <w:tr>
        <w:trPr>
          <w:trHeight w:val="22"/>
        </w:trPr>
        <w:tc>
          <w:tcPr>
            <w:tcW w:w="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178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0"/>
              </w:rPr>
              <w:t>October 15, 2014</w:t>
            </w:r>
          </w:p>
        </w:tc>
        <w:tc>
          <w:tcPr>
            <w:tcW w:w="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October 5, 2024</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Level 2</w:t>
            </w: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4.11%</w:t>
            </w: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rPr>
              <w:t>$62,483</w:t>
            </w:r>
          </w:p>
        </w:tc>
        <w:tc>
          <w:tcPr>
            <w:tcW w:w="20" w:type="dxa"/>
            <w:vAlign w:val="bottom"/>
          </w:tcPr>
          <w:p>
            <w:pPr>
              <w:spacing w:after="0"/>
              <w:rPr>
                <w:sz w:val="15"/>
                <w:szCs w:val="15"/>
                <w:color w:val="auto"/>
              </w:rPr>
            </w:pPr>
          </w:p>
        </w:tc>
      </w:tr>
      <w:tr>
        <w:trPr>
          <w:trHeight w:val="22"/>
        </w:trPr>
        <w:tc>
          <w:tcPr>
            <w:tcW w:w="4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3" w:lineRule="exact"/>
        <w:rPr>
          <w:sz w:val="20"/>
          <w:szCs w:val="20"/>
          <w:color w:val="auto"/>
        </w:rPr>
      </w:pPr>
    </w:p>
    <w:p>
      <w:pPr>
        <w:ind w:left="360" w:hanging="355"/>
        <w:spacing w:after="0"/>
        <w:tabs>
          <w:tab w:leader="none" w:pos="36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STOCK COMPENSATION - RESTRICTED STOCK AND PERFORMANCE SHARE GRANTS</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Performance Condition Grants; and performance share grants that include threshold, target, and maximum achievement levels based on the achievement of specific performance milestones, or Performance Milestone Grants. The Company has also granted performance share grants that contain both performance-based and market-based conditions. Compensation cost for these awards is recognized based on either the achievement of the performance-based conditions, if they are considered probable, or if they are not considered probable, on the achievement of the market-based condition. Failure to satisfy the threshold performance conditions will result in the forfeiture of shares. Forfeiture of share awards with service conditions or performance-based restrictions results in a reversal of previously recognized share-based compensation expense. Forfeiture of share awards with market-based restrictions does not result in a reversal of previously recognized share-based compensation expense.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80"/>
          </w:cols>
          <w:pgMar w:left="300" w:top="592"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auto"/>
        </w:rPr>
        <w:t>The following is a summary of the Company's performance share grants with performance conditions as of the year ended December 31,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80" w:type="dxa"/>
            <w:vAlign w:val="bottom"/>
          </w:tcPr>
          <w:p>
            <w:pPr>
              <w:spacing w:after="0"/>
              <w:rPr>
                <w:sz w:val="15"/>
                <w:szCs w:val="15"/>
                <w:color w:val="auto"/>
              </w:rPr>
            </w:pPr>
          </w:p>
        </w:tc>
        <w:tc>
          <w:tcPr>
            <w:tcW w:w="8400" w:type="dxa"/>
            <w:vAlign w:val="bottom"/>
          </w:tcPr>
          <w:p>
            <w:pPr>
              <w:jc w:val="right"/>
              <w:ind w:right="3969"/>
              <w:spacing w:after="0"/>
              <w:rPr>
                <w:sz w:val="20"/>
                <w:szCs w:val="20"/>
                <w:color w:val="auto"/>
              </w:rPr>
            </w:pPr>
            <w:r>
              <w:rPr>
                <w:rFonts w:ascii="Arial" w:cs="Arial" w:eastAsia="Arial" w:hAnsi="Arial"/>
                <w:sz w:val="14"/>
                <w:szCs w:val="14"/>
                <w:color w:val="auto"/>
              </w:rPr>
              <w:t>Performance Share Grants with Performance Conditions</w:t>
            </w:r>
          </w:p>
        </w:tc>
      </w:tr>
      <w:tr>
        <w:trPr>
          <w:trHeight w:val="22"/>
        </w:trPr>
        <w:tc>
          <w:tcPr>
            <w:tcW w:w="2880" w:type="dxa"/>
            <w:vAlign w:val="bottom"/>
            <w:tcBorders>
              <w:bottom w:val="single" w:sz="8" w:color="auto"/>
            </w:tcBorders>
          </w:tcPr>
          <w:p>
            <w:pPr>
              <w:spacing w:after="0" w:line="20" w:lineRule="exact"/>
              <w:rPr>
                <w:sz w:val="1"/>
                <w:szCs w:val="1"/>
                <w:color w:val="auto"/>
              </w:rPr>
            </w:pPr>
          </w:p>
        </w:tc>
        <w:tc>
          <w:tcPr>
            <w:tcW w:w="8400" w:type="dxa"/>
            <w:vAlign w:val="bottom"/>
            <w:tcBorders>
              <w:bottom w:val="single" w:sz="8" w:color="auto"/>
            </w:tcBorders>
          </w:tcPr>
          <w:p>
            <w:pPr>
              <w:spacing w:after="0" w:line="20" w:lineRule="exact"/>
              <w:rPr>
                <w:sz w:val="1"/>
                <w:szCs w:val="1"/>
                <w:color w:val="auto"/>
              </w:rPr>
            </w:pPr>
          </w:p>
        </w:tc>
      </w:tr>
      <w:tr>
        <w:trPr>
          <w:trHeight w:val="183"/>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Below threshold performance</w:t>
            </w:r>
          </w:p>
        </w:tc>
        <w:tc>
          <w:tcPr>
            <w:tcW w:w="84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1"/>
        </w:trPr>
        <w:tc>
          <w:tcPr>
            <w:tcW w:w="2880" w:type="dxa"/>
            <w:vAlign w:val="bottom"/>
          </w:tcPr>
          <w:p>
            <w:pPr>
              <w:ind w:left="20"/>
              <w:spacing w:after="0"/>
              <w:rPr>
                <w:sz w:val="20"/>
                <w:szCs w:val="20"/>
                <w:color w:val="auto"/>
              </w:rPr>
            </w:pPr>
            <w:r>
              <w:rPr>
                <w:rFonts w:ascii="Arial" w:cs="Arial" w:eastAsia="Arial" w:hAnsi="Arial"/>
                <w:sz w:val="14"/>
                <w:szCs w:val="14"/>
                <w:color w:val="auto"/>
              </w:rPr>
              <w:t>Threshold performance</w:t>
            </w:r>
          </w:p>
        </w:tc>
        <w:tc>
          <w:tcPr>
            <w:tcW w:w="8400" w:type="dxa"/>
            <w:vAlign w:val="bottom"/>
          </w:tcPr>
          <w:p>
            <w:pPr>
              <w:jc w:val="right"/>
              <w:ind w:right="29"/>
              <w:spacing w:after="0"/>
              <w:rPr>
                <w:sz w:val="20"/>
                <w:szCs w:val="20"/>
                <w:color w:val="auto"/>
              </w:rPr>
            </w:pPr>
            <w:r>
              <w:rPr>
                <w:rFonts w:ascii="Arial" w:cs="Arial" w:eastAsia="Arial" w:hAnsi="Arial"/>
                <w:sz w:val="14"/>
                <w:szCs w:val="14"/>
                <w:color w:val="auto"/>
              </w:rPr>
              <w:t>185,440</w:t>
            </w:r>
          </w:p>
        </w:tc>
      </w:tr>
      <w:tr>
        <w:trPr>
          <w:trHeight w:val="22"/>
        </w:trPr>
        <w:tc>
          <w:tcPr>
            <w:tcW w:w="28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192"/>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Target performance</w:t>
            </w:r>
          </w:p>
        </w:tc>
        <w:tc>
          <w:tcPr>
            <w:tcW w:w="84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370,862</w:t>
            </w:r>
          </w:p>
        </w:tc>
      </w:tr>
      <w:tr>
        <w:trPr>
          <w:trHeight w:val="191"/>
        </w:trPr>
        <w:tc>
          <w:tcPr>
            <w:tcW w:w="2880" w:type="dxa"/>
            <w:vAlign w:val="bottom"/>
          </w:tcPr>
          <w:p>
            <w:pPr>
              <w:ind w:left="20"/>
              <w:spacing w:after="0"/>
              <w:rPr>
                <w:sz w:val="20"/>
                <w:szCs w:val="20"/>
                <w:color w:val="auto"/>
              </w:rPr>
            </w:pPr>
            <w:r>
              <w:rPr>
                <w:rFonts w:ascii="Arial" w:cs="Arial" w:eastAsia="Arial" w:hAnsi="Arial"/>
                <w:sz w:val="14"/>
                <w:szCs w:val="14"/>
                <w:color w:val="auto"/>
              </w:rPr>
              <w:t>Maximum performance</w:t>
            </w:r>
          </w:p>
        </w:tc>
        <w:tc>
          <w:tcPr>
            <w:tcW w:w="8400" w:type="dxa"/>
            <w:vAlign w:val="bottom"/>
          </w:tcPr>
          <w:p>
            <w:pPr>
              <w:jc w:val="right"/>
              <w:ind w:right="29"/>
              <w:spacing w:after="0"/>
              <w:rPr>
                <w:sz w:val="20"/>
                <w:szCs w:val="20"/>
                <w:color w:val="auto"/>
              </w:rPr>
            </w:pPr>
            <w:r>
              <w:rPr>
                <w:rFonts w:ascii="Arial" w:cs="Arial" w:eastAsia="Arial" w:hAnsi="Arial"/>
                <w:sz w:val="14"/>
                <w:szCs w:val="14"/>
                <w:color w:val="auto"/>
              </w:rPr>
              <w:t>556,302</w:t>
            </w:r>
          </w:p>
        </w:tc>
      </w:tr>
    </w:tbl>
    <w:p>
      <w:pPr>
        <w:spacing w:after="0" w:line="75" w:lineRule="exact"/>
        <w:rPr>
          <w:sz w:val="20"/>
          <w:szCs w:val="20"/>
          <w:color w:val="auto"/>
        </w:rPr>
      </w:pPr>
    </w:p>
    <w:p>
      <w:pPr>
        <w:jc w:val="both"/>
        <w:ind w:right="100"/>
        <w:spacing w:after="0" w:line="281" w:lineRule="auto"/>
        <w:rPr>
          <w:sz w:val="20"/>
          <w:szCs w:val="20"/>
          <w:color w:val="auto"/>
        </w:rPr>
      </w:pPr>
      <w:r>
        <w:rPr>
          <w:rFonts w:ascii="Arial" w:cs="Arial" w:eastAsia="Arial" w:hAnsi="Arial"/>
          <w:sz w:val="14"/>
          <w:szCs w:val="14"/>
          <w:color w:val="auto"/>
        </w:rPr>
        <w:t>The following is a summary of the Company’s stock grant activity, both time and performance unit grants, assuming target achievement for outstanding performance grants for the following twelve-month periods ended: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00" w:type="dxa"/>
            <w:vAlign w:val="bottom"/>
          </w:tcPr>
          <w:p>
            <w:pPr>
              <w:spacing w:after="0"/>
              <w:rPr>
                <w:sz w:val="15"/>
                <w:szCs w:val="15"/>
                <w:color w:val="auto"/>
              </w:rPr>
            </w:pPr>
          </w:p>
        </w:tc>
        <w:tc>
          <w:tcPr>
            <w:tcW w:w="2060" w:type="dxa"/>
            <w:vAlign w:val="bottom"/>
            <w:gridSpan w:val="2"/>
          </w:tcPr>
          <w:p>
            <w:pPr>
              <w:ind w:left="420"/>
              <w:spacing w:after="0"/>
              <w:rPr>
                <w:sz w:val="20"/>
                <w:szCs w:val="20"/>
                <w:color w:val="auto"/>
              </w:rPr>
            </w:pPr>
            <w:r>
              <w:rPr>
                <w:rFonts w:ascii="Arial" w:cs="Arial" w:eastAsia="Arial" w:hAnsi="Arial"/>
                <w:sz w:val="14"/>
                <w:szCs w:val="14"/>
                <w:color w:val="auto"/>
              </w:rPr>
              <w:t>December 31, 2019</w:t>
            </w:r>
          </w:p>
        </w:tc>
        <w:tc>
          <w:tcPr>
            <w:tcW w:w="2020" w:type="dxa"/>
            <w:vAlign w:val="bottom"/>
            <w:gridSpan w:val="2"/>
          </w:tcPr>
          <w:p>
            <w:pPr>
              <w:ind w:left="400"/>
              <w:spacing w:after="0"/>
              <w:rPr>
                <w:sz w:val="20"/>
                <w:szCs w:val="20"/>
                <w:color w:val="auto"/>
              </w:rPr>
            </w:pPr>
            <w:r>
              <w:rPr>
                <w:rFonts w:ascii="Arial" w:cs="Arial" w:eastAsia="Arial" w:hAnsi="Arial"/>
                <w:sz w:val="14"/>
                <w:szCs w:val="14"/>
                <w:color w:val="auto"/>
              </w:rPr>
              <w:t>December 31, 2018</w:t>
            </w:r>
          </w:p>
        </w:tc>
        <w:tc>
          <w:tcPr>
            <w:tcW w:w="1900" w:type="dxa"/>
            <w:vAlign w:val="bottom"/>
          </w:tcPr>
          <w:p>
            <w:pPr>
              <w:jc w:val="right"/>
              <w:ind w:right="329"/>
              <w:spacing w:after="0"/>
              <w:rPr>
                <w:sz w:val="20"/>
                <w:szCs w:val="20"/>
                <w:color w:val="auto"/>
              </w:rPr>
            </w:pPr>
            <w:r>
              <w:rPr>
                <w:rFonts w:ascii="Arial" w:cs="Arial" w:eastAsia="Arial" w:hAnsi="Arial"/>
                <w:sz w:val="14"/>
                <w:szCs w:val="14"/>
                <w:color w:val="auto"/>
              </w:rPr>
              <w:t>December 31, 2017</w:t>
            </w:r>
          </w:p>
        </w:tc>
      </w:tr>
      <w:tr>
        <w:trPr>
          <w:trHeight w:val="22"/>
        </w:trPr>
        <w:tc>
          <w:tcPr>
            <w:tcW w:w="53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Grants Outstanding Beginning of the Year at Target Achievement</w:t>
            </w:r>
          </w:p>
        </w:tc>
        <w:tc>
          <w:tcPr>
            <w:tcW w:w="1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538,599</w:t>
            </w:r>
          </w:p>
        </w:tc>
        <w:tc>
          <w:tcPr>
            <w:tcW w:w="1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536,860</w:t>
            </w:r>
          </w:p>
        </w:tc>
        <w:tc>
          <w:tcPr>
            <w:tcW w:w="1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386,171</w:t>
            </w:r>
          </w:p>
        </w:tc>
      </w:tr>
      <w:tr>
        <w:trPr>
          <w:trHeight w:val="191"/>
        </w:trPr>
        <w:tc>
          <w:tcPr>
            <w:tcW w:w="5300" w:type="dxa"/>
            <w:vAlign w:val="bottom"/>
          </w:tcPr>
          <w:p>
            <w:pPr>
              <w:ind w:left="20"/>
              <w:spacing w:after="0"/>
              <w:rPr>
                <w:sz w:val="20"/>
                <w:szCs w:val="20"/>
                <w:color w:val="auto"/>
              </w:rPr>
            </w:pPr>
            <w:r>
              <w:rPr>
                <w:rFonts w:ascii="Arial" w:cs="Arial" w:eastAsia="Arial" w:hAnsi="Arial"/>
                <w:sz w:val="14"/>
                <w:szCs w:val="14"/>
                <w:color w:val="auto"/>
              </w:rPr>
              <w:t>New Stock Grants/Additional shares due to achievement in excess of target</w:t>
            </w:r>
          </w:p>
        </w:tc>
        <w:tc>
          <w:tcPr>
            <w:tcW w:w="1940" w:type="dxa"/>
            <w:vAlign w:val="bottom"/>
          </w:tcPr>
          <w:p>
            <w:pPr>
              <w:jc w:val="right"/>
              <w:ind w:right="49"/>
              <w:spacing w:after="0"/>
              <w:rPr>
                <w:sz w:val="20"/>
                <w:szCs w:val="20"/>
                <w:color w:val="auto"/>
              </w:rPr>
            </w:pPr>
            <w:r>
              <w:rPr>
                <w:rFonts w:ascii="Arial" w:cs="Arial" w:eastAsia="Arial" w:hAnsi="Arial"/>
                <w:sz w:val="14"/>
                <w:szCs w:val="14"/>
                <w:color w:val="auto"/>
              </w:rPr>
              <w:t>160,471</w:t>
            </w:r>
          </w:p>
        </w:tc>
        <w:tc>
          <w:tcPr>
            <w:tcW w:w="120" w:type="dxa"/>
            <w:vAlign w:val="bottom"/>
          </w:tcPr>
          <w:p>
            <w:pPr>
              <w:spacing w:after="0"/>
              <w:rPr>
                <w:sz w:val="16"/>
                <w:szCs w:val="16"/>
                <w:color w:val="auto"/>
              </w:rPr>
            </w:pPr>
          </w:p>
        </w:tc>
        <w:tc>
          <w:tcPr>
            <w:tcW w:w="1900" w:type="dxa"/>
            <w:vAlign w:val="bottom"/>
          </w:tcPr>
          <w:p>
            <w:pPr>
              <w:jc w:val="right"/>
              <w:ind w:right="29"/>
              <w:spacing w:after="0"/>
              <w:rPr>
                <w:sz w:val="20"/>
                <w:szCs w:val="20"/>
                <w:color w:val="auto"/>
              </w:rPr>
            </w:pPr>
            <w:r>
              <w:rPr>
                <w:rFonts w:ascii="Arial" w:cs="Arial" w:eastAsia="Arial" w:hAnsi="Arial"/>
                <w:sz w:val="14"/>
                <w:szCs w:val="14"/>
                <w:color w:val="auto"/>
              </w:rPr>
              <w:t>97,529</w:t>
            </w:r>
          </w:p>
        </w:tc>
        <w:tc>
          <w:tcPr>
            <w:tcW w:w="120" w:type="dxa"/>
            <w:vAlign w:val="bottom"/>
          </w:tcPr>
          <w:p>
            <w:pPr>
              <w:spacing w:after="0"/>
              <w:rPr>
                <w:sz w:val="16"/>
                <w:szCs w:val="16"/>
                <w:color w:val="auto"/>
              </w:rPr>
            </w:pPr>
          </w:p>
        </w:tc>
        <w:tc>
          <w:tcPr>
            <w:tcW w:w="1900" w:type="dxa"/>
            <w:vAlign w:val="bottom"/>
          </w:tcPr>
          <w:p>
            <w:pPr>
              <w:jc w:val="right"/>
              <w:ind w:right="29"/>
              <w:spacing w:after="0"/>
              <w:rPr>
                <w:sz w:val="20"/>
                <w:szCs w:val="20"/>
                <w:color w:val="auto"/>
              </w:rPr>
            </w:pPr>
            <w:r>
              <w:rPr>
                <w:rFonts w:ascii="Arial" w:cs="Arial" w:eastAsia="Arial" w:hAnsi="Arial"/>
                <w:sz w:val="14"/>
                <w:szCs w:val="14"/>
                <w:color w:val="auto"/>
              </w:rPr>
              <w:t>295,243</w:t>
            </w:r>
          </w:p>
        </w:tc>
      </w:tr>
      <w:tr>
        <w:trPr>
          <w:trHeight w:val="22"/>
        </w:trPr>
        <w:tc>
          <w:tcPr>
            <w:tcW w:w="5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Grants</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(188,032)</w:t>
            </w:r>
          </w:p>
        </w:tc>
        <w:tc>
          <w:tcPr>
            <w:tcW w:w="1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(93,948)</w:t>
            </w:r>
          </w:p>
        </w:tc>
        <w:tc>
          <w:tcPr>
            <w:tcW w:w="12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(99,769)</w:t>
            </w:r>
          </w:p>
        </w:tc>
      </w:tr>
      <w:tr>
        <w:trPr>
          <w:trHeight w:val="191"/>
        </w:trPr>
        <w:tc>
          <w:tcPr>
            <w:tcW w:w="5300" w:type="dxa"/>
            <w:vAlign w:val="bottom"/>
          </w:tcPr>
          <w:p>
            <w:pPr>
              <w:ind w:left="20"/>
              <w:spacing w:after="0"/>
              <w:rPr>
                <w:sz w:val="20"/>
                <w:szCs w:val="20"/>
                <w:color w:val="auto"/>
              </w:rPr>
            </w:pPr>
            <w:r>
              <w:rPr>
                <w:rFonts w:ascii="Arial" w:cs="Arial" w:eastAsia="Arial" w:hAnsi="Arial"/>
                <w:sz w:val="14"/>
                <w:szCs w:val="14"/>
                <w:color w:val="auto"/>
              </w:rPr>
              <w:t>Expired/Forfeited Grants</w:t>
            </w:r>
          </w:p>
        </w:tc>
        <w:tc>
          <w:tcPr>
            <w:tcW w:w="1940" w:type="dxa"/>
            <w:vAlign w:val="bottom"/>
          </w:tcPr>
          <w:p>
            <w:pPr>
              <w:jc w:val="right"/>
              <w:spacing w:after="0"/>
              <w:rPr>
                <w:sz w:val="20"/>
                <w:szCs w:val="20"/>
                <w:color w:val="auto"/>
              </w:rPr>
            </w:pPr>
            <w:r>
              <w:rPr>
                <w:rFonts w:ascii="Arial" w:cs="Arial" w:eastAsia="Arial" w:hAnsi="Arial"/>
                <w:sz w:val="14"/>
                <w:szCs w:val="14"/>
                <w:color w:val="auto"/>
              </w:rPr>
              <w:t>(101,665)</w:t>
            </w:r>
          </w:p>
        </w:tc>
        <w:tc>
          <w:tcPr>
            <w:tcW w:w="12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(1,842)</w:t>
            </w:r>
          </w:p>
        </w:tc>
        <w:tc>
          <w:tcPr>
            <w:tcW w:w="12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(44,785)</w:t>
            </w:r>
          </w:p>
        </w:tc>
      </w:tr>
      <w:tr>
        <w:trPr>
          <w:trHeight w:val="22"/>
        </w:trPr>
        <w:tc>
          <w:tcPr>
            <w:tcW w:w="53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Grants Outstanding at Target Achievement</w:t>
            </w:r>
          </w:p>
        </w:tc>
        <w:tc>
          <w:tcPr>
            <w:tcW w:w="1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409,373</w:t>
            </w: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538,599</w:t>
            </w:r>
          </w:p>
        </w:tc>
        <w:tc>
          <w:tcPr>
            <w:tcW w:w="1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536,860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80"/>
        <w:spacing w:after="0" w:line="305" w:lineRule="auto"/>
        <w:rPr>
          <w:sz w:val="20"/>
          <w:szCs w:val="20"/>
          <w:color w:val="auto"/>
        </w:rPr>
      </w:pPr>
      <w:r>
        <w:rPr>
          <w:rFonts w:ascii="Arial" w:cs="Arial" w:eastAsia="Arial" w:hAnsi="Arial"/>
          <w:sz w:val="12"/>
          <w:szCs w:val="12"/>
          <w:color w:val="auto"/>
        </w:rPr>
        <w:t>The unamortized cost associated with nonvested stock grants and the weighted-average period over which it is expected to be recognized as of December 31, 2019 was $3,054,000 and 18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maximum we determine, based on historic and projected results, the probability of (1) achieving the performance objective, and (2) the level of achievement. Based on this information, we determine the fair value of the award and measure the expense over the service period related to these grants. Because the ultimate vesting of all performance grants is tied to the achievement of a performance condition, we estimate whether the performance condition will be met and over what period of time. Ultimately, we adjust compensation cost according to the actual outcome of the performance condition. Under the Non-Employee Director Stock Incentive Plan, or NDSI Plan, each non-employee director, during the years presented, received his or her annual compensation in stock.</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stock compensation costs for the Company's 1998 Stock Incentive Plan, or the Employee 1998 Plan, and NDSI Plan for the following periods: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Employee 1998 Plan ($ in thousands):</w:t>
            </w:r>
          </w:p>
        </w:tc>
        <w:tc>
          <w:tcPr>
            <w:tcW w:w="340" w:type="dxa"/>
            <w:vAlign w:val="bottom"/>
          </w:tcPr>
          <w:p>
            <w:pPr>
              <w:spacing w:after="0"/>
              <w:rPr>
                <w:sz w:val="15"/>
                <w:szCs w:val="15"/>
                <w:color w:val="auto"/>
              </w:rPr>
            </w:pPr>
          </w:p>
        </w:tc>
        <w:tc>
          <w:tcPr>
            <w:tcW w:w="2040" w:type="dxa"/>
            <w:vAlign w:val="bottom"/>
            <w:gridSpan w:val="2"/>
          </w:tcPr>
          <w:p>
            <w:pPr>
              <w:ind w:left="240"/>
              <w:spacing w:after="0"/>
              <w:rPr>
                <w:sz w:val="20"/>
                <w:szCs w:val="20"/>
                <w:color w:val="auto"/>
              </w:rPr>
            </w:pPr>
            <w:r>
              <w:rPr>
                <w:rFonts w:ascii="Arial" w:cs="Arial" w:eastAsia="Arial" w:hAnsi="Arial"/>
                <w:sz w:val="14"/>
                <w:szCs w:val="14"/>
                <w:color w:val="auto"/>
              </w:rPr>
              <w:t>December 31, 2019</w:t>
            </w:r>
          </w:p>
        </w:tc>
        <w:tc>
          <w:tcPr>
            <w:tcW w:w="340" w:type="dxa"/>
            <w:vAlign w:val="bottom"/>
          </w:tcPr>
          <w:p>
            <w:pPr>
              <w:spacing w:after="0"/>
              <w:rPr>
                <w:sz w:val="15"/>
                <w:szCs w:val="15"/>
                <w:color w:val="auto"/>
              </w:rPr>
            </w:pPr>
          </w:p>
        </w:tc>
        <w:tc>
          <w:tcPr>
            <w:tcW w:w="2020" w:type="dxa"/>
            <w:vAlign w:val="bottom"/>
            <w:gridSpan w:val="2"/>
          </w:tcPr>
          <w:p>
            <w:pPr>
              <w:ind w:left="240"/>
              <w:spacing w:after="0"/>
              <w:rPr>
                <w:sz w:val="20"/>
                <w:szCs w:val="20"/>
                <w:color w:val="auto"/>
              </w:rPr>
            </w:pPr>
            <w:r>
              <w:rPr>
                <w:rFonts w:ascii="Arial" w:cs="Arial" w:eastAsia="Arial" w:hAnsi="Arial"/>
                <w:sz w:val="14"/>
                <w:szCs w:val="14"/>
                <w:color w:val="auto"/>
              </w:rPr>
              <w:t>December 31, 2018</w:t>
            </w:r>
          </w:p>
        </w:tc>
        <w:tc>
          <w:tcPr>
            <w:tcW w:w="340" w:type="dxa"/>
            <w:vAlign w:val="bottom"/>
          </w:tcPr>
          <w:p>
            <w:pPr>
              <w:spacing w:after="0"/>
              <w:rPr>
                <w:sz w:val="15"/>
                <w:szCs w:val="15"/>
                <w:color w:val="auto"/>
              </w:rPr>
            </w:pPr>
          </w:p>
        </w:tc>
        <w:tc>
          <w:tcPr>
            <w:tcW w:w="1900" w:type="dxa"/>
            <w:vAlign w:val="bottom"/>
          </w:tcPr>
          <w:p>
            <w:pPr>
              <w:jc w:val="right"/>
              <w:ind w:right="489"/>
              <w:spacing w:after="0"/>
              <w:rPr>
                <w:sz w:val="20"/>
                <w:szCs w:val="20"/>
                <w:color w:val="auto"/>
              </w:rPr>
            </w:pPr>
            <w:r>
              <w:rPr>
                <w:rFonts w:ascii="Arial" w:cs="Arial" w:eastAsia="Arial" w:hAnsi="Arial"/>
                <w:sz w:val="14"/>
                <w:szCs w:val="14"/>
                <w:color w:val="auto"/>
              </w:rPr>
              <w:t>December 31, 2017</w:t>
            </w:r>
          </w:p>
        </w:tc>
      </w:tr>
      <w:tr>
        <w:trPr>
          <w:trHeight w:val="22"/>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3"/>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Expensed</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2,667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2,564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2,889</w:t>
            </w:r>
          </w:p>
        </w:tc>
      </w:tr>
      <w:tr>
        <w:trPr>
          <w:trHeight w:val="191"/>
        </w:trPr>
        <w:tc>
          <w:tcPr>
            <w:tcW w:w="4300" w:type="dxa"/>
            <w:vAlign w:val="bottom"/>
          </w:tcPr>
          <w:p>
            <w:pPr>
              <w:ind w:left="160"/>
              <w:spacing w:after="0"/>
              <w:rPr>
                <w:sz w:val="20"/>
                <w:szCs w:val="20"/>
                <w:color w:val="auto"/>
              </w:rPr>
            </w:pPr>
            <w:r>
              <w:rPr>
                <w:rFonts w:ascii="Arial" w:cs="Arial" w:eastAsia="Arial" w:hAnsi="Arial"/>
                <w:sz w:val="14"/>
                <w:szCs w:val="14"/>
                <w:color w:val="auto"/>
              </w:rPr>
              <w:t>Capitalized</w:t>
            </w:r>
          </w:p>
        </w:tc>
        <w:tc>
          <w:tcPr>
            <w:tcW w:w="340" w:type="dxa"/>
            <w:vAlign w:val="bottom"/>
          </w:tcPr>
          <w:p>
            <w:pPr>
              <w:spacing w:after="0"/>
              <w:rPr>
                <w:sz w:val="16"/>
                <w:szCs w:val="16"/>
                <w:color w:val="auto"/>
              </w:rPr>
            </w:pPr>
          </w:p>
        </w:tc>
        <w:tc>
          <w:tcPr>
            <w:tcW w:w="1940" w:type="dxa"/>
            <w:vAlign w:val="bottom"/>
          </w:tcPr>
          <w:p>
            <w:pPr>
              <w:jc w:val="right"/>
              <w:ind w:right="49"/>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jc w:val="right"/>
              <w:ind w:right="29"/>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jc w:val="right"/>
              <w:ind w:right="29"/>
              <w:spacing w:after="0"/>
              <w:rPr>
                <w:sz w:val="20"/>
                <w:szCs w:val="20"/>
                <w:color w:val="auto"/>
              </w:rPr>
            </w:pPr>
            <w:r>
              <w:rPr>
                <w:rFonts w:ascii="Arial" w:cs="Arial" w:eastAsia="Arial" w:hAnsi="Arial"/>
                <w:sz w:val="14"/>
                <w:szCs w:val="14"/>
                <w:color w:val="auto"/>
              </w:rPr>
              <w:t>555</w:t>
            </w:r>
          </w:p>
        </w:tc>
      </w:tr>
      <w:tr>
        <w:trPr>
          <w:trHeight w:val="22"/>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3"/>
        </w:trPr>
        <w:tc>
          <w:tcPr>
            <w:tcW w:w="43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3,427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3,796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3,444</w:t>
            </w:r>
          </w:p>
        </w:tc>
      </w:tr>
      <w:tr>
        <w:trPr>
          <w:trHeight w:val="191"/>
        </w:trPr>
        <w:tc>
          <w:tcPr>
            <w:tcW w:w="4300" w:type="dxa"/>
            <w:vAlign w:val="bottom"/>
          </w:tcPr>
          <w:p>
            <w:pPr>
              <w:ind w:left="20"/>
              <w:spacing w:after="0"/>
              <w:rPr>
                <w:sz w:val="20"/>
                <w:szCs w:val="20"/>
                <w:color w:val="auto"/>
              </w:rPr>
            </w:pPr>
            <w:r>
              <w:rPr>
                <w:rFonts w:ascii="Arial" w:cs="Arial" w:eastAsia="Arial" w:hAnsi="Arial"/>
                <w:sz w:val="14"/>
                <w:szCs w:val="14"/>
                <w:color w:val="auto"/>
              </w:rPr>
              <w:t>NDSI Plan</w:t>
            </w:r>
          </w:p>
        </w:tc>
        <w:tc>
          <w:tcPr>
            <w:tcW w:w="340" w:type="dxa"/>
            <w:vAlign w:val="bottom"/>
          </w:tcPr>
          <w:p>
            <w:pPr>
              <w:spacing w:after="0"/>
              <w:rPr>
                <w:sz w:val="16"/>
                <w:szCs w:val="16"/>
                <w:color w:val="auto"/>
              </w:rPr>
            </w:pPr>
          </w:p>
        </w:tc>
        <w:tc>
          <w:tcPr>
            <w:tcW w:w="1940" w:type="dxa"/>
            <w:vAlign w:val="bottom"/>
          </w:tcPr>
          <w:p>
            <w:pPr>
              <w:jc w:val="right"/>
              <w:ind w:right="49"/>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jc w:val="right"/>
              <w:ind w:right="29"/>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jc w:val="right"/>
              <w:ind w:right="29"/>
              <w:spacing w:after="0"/>
              <w:rPr>
                <w:sz w:val="20"/>
                <w:szCs w:val="20"/>
                <w:color w:val="auto"/>
              </w:rPr>
            </w:pPr>
            <w:r>
              <w:rPr>
                <w:rFonts w:ascii="Arial" w:cs="Arial" w:eastAsia="Arial" w:hAnsi="Arial"/>
                <w:sz w:val="14"/>
                <w:szCs w:val="14"/>
                <w:color w:val="auto"/>
              </w:rPr>
              <w:t>663</w:t>
            </w:r>
          </w:p>
        </w:tc>
      </w:tr>
      <w:tr>
        <w:trPr>
          <w:trHeight w:val="22"/>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8"/>
        </w:trPr>
        <w:tc>
          <w:tcPr>
            <w:tcW w:w="4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3,958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4,480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4,107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jc w:val="right"/>
              <w:ind w:right="789"/>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280"/>
          </w:cols>
          <w:pgMar w:left="300" w:top="362" w:right="319" w:bottom="1440" w:gutter="0" w:footer="0" w:header="0"/>
        </w:sectPr>
      </w:pPr>
    </w:p>
    <w:bookmarkStart w:id="94" w:name="page95"/>
    <w:bookmarkEnd w:id="94"/>
    <w:p>
      <w:pPr>
        <w:ind w:left="360" w:hanging="355"/>
        <w:spacing w:after="0"/>
        <w:tabs>
          <w:tab w:leader="none" w:pos="36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76" w:lineRule="exact"/>
        <w:rPr>
          <w:sz w:val="20"/>
          <w:szCs w:val="20"/>
          <w:color w:val="auto"/>
        </w:rPr>
      </w:pPr>
    </w:p>
    <w:p>
      <w:pPr>
        <w:ind w:right="220"/>
        <w:spacing w:after="0" w:line="368" w:lineRule="auto"/>
        <w:rPr>
          <w:sz w:val="20"/>
          <w:szCs w:val="20"/>
          <w:color w:val="auto"/>
        </w:rPr>
      </w:pPr>
      <w:r>
        <w:rPr>
          <w:rFonts w:ascii="Arial" w:cs="Arial" w:eastAsia="Arial" w:hAnsi="Arial"/>
          <w:sz w:val="12"/>
          <w:szCs w:val="12"/>
          <w:color w:val="auto"/>
        </w:rPr>
        <w:t>The Company accounts for income taxes using ASC 740, “Income Taxes” which is an asset and liability approach that requires the recognition of deferred tax assets and liabilities for the expected future tax consequences of events that have been recognized differently in the financial statements and the tax returns. The provision for income taxes consists of the following at December 31: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20" w:type="dxa"/>
            <w:vAlign w:val="bottom"/>
          </w:tcPr>
          <w:p>
            <w:pPr>
              <w:spacing w:after="0"/>
              <w:rPr>
                <w:sz w:val="15"/>
                <w:szCs w:val="15"/>
                <w:color w:val="auto"/>
              </w:rPr>
            </w:pPr>
          </w:p>
        </w:tc>
        <w:tc>
          <w:tcPr>
            <w:tcW w:w="1300" w:type="dxa"/>
            <w:vAlign w:val="bottom"/>
          </w:tcPr>
          <w:p>
            <w:pPr>
              <w:jc w:val="right"/>
              <w:ind w:right="64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2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29"/>
              <w:spacing w:after="0"/>
              <w:rPr>
                <w:sz w:val="20"/>
                <w:szCs w:val="20"/>
                <w:color w:val="auto"/>
              </w:rPr>
            </w:pPr>
            <w:r>
              <w:rPr>
                <w:rFonts w:ascii="Arial" w:cs="Arial" w:eastAsia="Arial" w:hAnsi="Arial"/>
                <w:sz w:val="14"/>
                <w:szCs w:val="14"/>
                <w:color w:val="auto"/>
              </w:rPr>
              <w:t>2017</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(benefit) provision:</w:t>
            </w: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3,980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1,320</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(1,283)</w:t>
            </w:r>
          </w:p>
        </w:tc>
      </w:tr>
      <w:tr>
        <w:trPr>
          <w:trHeight w:val="191"/>
        </w:trPr>
        <w:tc>
          <w:tcPr>
            <w:tcW w:w="5980" w:type="dxa"/>
            <w:vAlign w:val="bottom"/>
          </w:tcPr>
          <w:p>
            <w:pPr>
              <w:ind w:left="300"/>
              <w:spacing w:after="0"/>
              <w:rPr>
                <w:sz w:val="20"/>
                <w:szCs w:val="20"/>
                <w:color w:val="auto"/>
              </w:rPr>
            </w:pPr>
            <w:r>
              <w:rPr>
                <w:rFonts w:ascii="Arial" w:cs="Arial" w:eastAsia="Arial" w:hAnsi="Arial"/>
                <w:sz w:val="14"/>
                <w:szCs w:val="14"/>
                <w:color w:val="auto"/>
              </w:rPr>
              <w:t>Federal:</w:t>
            </w: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
        </w:trPr>
        <w:tc>
          <w:tcPr>
            <w:tcW w:w="5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Current</w:t>
            </w:r>
          </w:p>
        </w:tc>
        <w:tc>
          <w:tcPr>
            <w:tcW w:w="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1,798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862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(1,266)</w:t>
            </w:r>
          </w:p>
        </w:tc>
      </w:tr>
      <w:tr>
        <w:trPr>
          <w:trHeight w:val="191"/>
        </w:trPr>
        <w:tc>
          <w:tcPr>
            <w:tcW w:w="5980" w:type="dxa"/>
            <w:vAlign w:val="bottom"/>
          </w:tcPr>
          <w:p>
            <w:pPr>
              <w:ind w:left="560"/>
              <w:spacing w:after="0"/>
              <w:rPr>
                <w:sz w:val="20"/>
                <w:szCs w:val="20"/>
                <w:color w:val="auto"/>
              </w:rPr>
            </w:pPr>
            <w:r>
              <w:rPr>
                <w:rFonts w:ascii="Arial" w:cs="Arial" w:eastAsia="Arial" w:hAnsi="Arial"/>
                <w:sz w:val="14"/>
                <w:szCs w:val="14"/>
                <w:color w:val="auto"/>
              </w:rPr>
              <w:t>Deferred</w:t>
            </w:r>
          </w:p>
        </w:tc>
        <w:tc>
          <w:tcPr>
            <w:tcW w:w="420" w:type="dxa"/>
            <w:vAlign w:val="bottom"/>
          </w:tcPr>
          <w:p>
            <w:pPr>
              <w:spacing w:after="0"/>
              <w:rPr>
                <w:sz w:val="16"/>
                <w:szCs w:val="16"/>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255</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2,664</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926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(1,011)</w:t>
            </w:r>
          </w:p>
        </w:tc>
      </w:tr>
      <w:tr>
        <w:trPr>
          <w:trHeight w:val="191"/>
        </w:trPr>
        <w:tc>
          <w:tcPr>
            <w:tcW w:w="5980" w:type="dxa"/>
            <w:vAlign w:val="bottom"/>
          </w:tcPr>
          <w:p>
            <w:pPr>
              <w:ind w:left="300"/>
              <w:spacing w:after="0"/>
              <w:rPr>
                <w:sz w:val="20"/>
                <w:szCs w:val="20"/>
                <w:color w:val="auto"/>
              </w:rPr>
            </w:pPr>
            <w:r>
              <w:rPr>
                <w:rFonts w:ascii="Arial" w:cs="Arial" w:eastAsia="Arial" w:hAnsi="Arial"/>
                <w:sz w:val="14"/>
                <w:szCs w:val="14"/>
                <w:color w:val="auto"/>
              </w:rPr>
              <w:t>State:</w:t>
            </w: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
        </w:trPr>
        <w:tc>
          <w:tcPr>
            <w:tcW w:w="5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Current</w:t>
            </w:r>
          </w:p>
        </w:tc>
        <w:tc>
          <w:tcPr>
            <w:tcW w:w="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812</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91"/>
        </w:trPr>
        <w:tc>
          <w:tcPr>
            <w:tcW w:w="5980" w:type="dxa"/>
            <w:vAlign w:val="bottom"/>
          </w:tcPr>
          <w:p>
            <w:pPr>
              <w:ind w:left="560"/>
              <w:spacing w:after="0"/>
              <w:rPr>
                <w:sz w:val="20"/>
                <w:szCs w:val="20"/>
                <w:color w:val="auto"/>
              </w:rPr>
            </w:pPr>
            <w:r>
              <w:rPr>
                <w:rFonts w:ascii="Arial" w:cs="Arial" w:eastAsia="Arial" w:hAnsi="Arial"/>
                <w:sz w:val="14"/>
                <w:szCs w:val="14"/>
                <w:color w:val="auto"/>
              </w:rPr>
              <w:t>Deferred</w:t>
            </w:r>
          </w:p>
        </w:tc>
        <w:tc>
          <w:tcPr>
            <w:tcW w:w="420" w:type="dxa"/>
            <w:vAlign w:val="bottom"/>
          </w:tcPr>
          <w:p>
            <w:pPr>
              <w:spacing w:after="0"/>
              <w:rPr>
                <w:sz w:val="16"/>
                <w:szCs w:val="16"/>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1,316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w:t>
            </w:r>
          </w:p>
        </w:tc>
      </w:tr>
      <w:tr>
        <w:trPr>
          <w:trHeight w:val="181"/>
        </w:trPr>
        <w:tc>
          <w:tcPr>
            <w:tcW w:w="5980" w:type="dxa"/>
            <w:vAlign w:val="bottom"/>
          </w:tcPr>
          <w:p>
            <w:pPr>
              <w:spacing w:after="0"/>
              <w:rPr>
                <w:sz w:val="15"/>
                <w:szCs w:val="15"/>
                <w:color w:val="auto"/>
              </w:rPr>
            </w:pPr>
          </w:p>
        </w:tc>
        <w:tc>
          <w:tcPr>
            <w:tcW w:w="42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3,980</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(1,283)</w:t>
            </w:r>
          </w:p>
        </w:tc>
      </w:tr>
      <w:tr>
        <w:trPr>
          <w:trHeight w:val="22"/>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provision for income taxes for fiscal year 2017 included a $54,000 estimated tax expense as a result of the revaluation of federal net deferred tax assets from 34% to 21% due to the impact of the enactment of U.S. Tax Reform. During 2018, the Company completed its analysis of the impacts of the U.S. Tax Reform and no additional expense was warranted. Other provisions of the U.S. Tax Reform did not have a material effect on our effective tax rate for 2018.</w:t>
      </w:r>
    </w:p>
    <w:p>
      <w:pPr>
        <w:spacing w:after="0" w:line="142"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A reconciliation of the provision for income taxes, with the amount computed by applying the statutory Federal income tax rate of 21% in 2019 and 2018 and 34% for 2017 is as follows for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2017</w:t>
            </w:r>
          </w:p>
        </w:tc>
      </w:tr>
      <w:tr>
        <w:trPr>
          <w:trHeight w:val="22"/>
        </w:trPr>
        <w:tc>
          <w:tcPr>
            <w:tcW w:w="39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at statutory rate</w:t>
            </w:r>
          </w:p>
        </w:tc>
        <w:tc>
          <w:tcPr>
            <w:tcW w:w="2340" w:type="dxa"/>
            <w:vAlign w:val="bottom"/>
            <w:tcBorders>
              <w:bottom w:val="single" w:sz="8" w:color="CCEEFF"/>
            </w:tcBorders>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3,058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1,171</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(1,046)</w:t>
            </w:r>
          </w:p>
        </w:tc>
      </w:tr>
      <w:tr>
        <w:trPr>
          <w:trHeight w:val="191"/>
        </w:trPr>
        <w:tc>
          <w:tcPr>
            <w:tcW w:w="3980" w:type="dxa"/>
            <w:vAlign w:val="bottom"/>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1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29"/>
              <w:spacing w:after="0"/>
              <w:rPr>
                <w:sz w:val="20"/>
                <w:szCs w:val="20"/>
                <w:color w:val="auto"/>
              </w:rPr>
            </w:pPr>
            <w:r>
              <w:rPr>
                <w:rFonts w:ascii="Arial" w:cs="Arial" w:eastAsia="Arial" w:hAnsi="Arial"/>
                <w:sz w:val="14"/>
                <w:szCs w:val="14"/>
                <w:color w:val="auto"/>
              </w:rPr>
              <w:t>(185)</w:t>
            </w:r>
          </w:p>
        </w:tc>
      </w:tr>
      <w:tr>
        <w:trPr>
          <w:trHeight w:val="22"/>
        </w:trPr>
        <w:tc>
          <w:tcPr>
            <w:tcW w:w="3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and mineral depletion</w:t>
            </w:r>
          </w:p>
        </w:tc>
        <w:tc>
          <w:tcPr>
            <w:tcW w:w="19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(180)</w:t>
            </w:r>
          </w:p>
        </w:tc>
      </w:tr>
      <w:tr>
        <w:trPr>
          <w:trHeight w:val="191"/>
        </w:trPr>
        <w:tc>
          <w:tcPr>
            <w:tcW w:w="3980" w:type="dxa"/>
            <w:vAlign w:val="bottom"/>
          </w:tcPr>
          <w:p>
            <w:pPr>
              <w:ind w:left="20"/>
              <w:spacing w:after="0"/>
              <w:rPr>
                <w:sz w:val="20"/>
                <w:szCs w:val="20"/>
                <w:color w:val="auto"/>
              </w:rPr>
            </w:pPr>
            <w:r>
              <w:rPr>
                <w:rFonts w:ascii="Arial" w:cs="Arial" w:eastAsia="Arial" w:hAnsi="Arial"/>
                <w:sz w:val="14"/>
                <w:szCs w:val="14"/>
                <w:color w:val="auto"/>
              </w:rPr>
              <w:t>Permanent differences</w:t>
            </w:r>
          </w:p>
        </w:tc>
        <w:tc>
          <w:tcPr>
            <w:tcW w:w="1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9"/>
              <w:spacing w:after="0"/>
              <w:rPr>
                <w:sz w:val="20"/>
                <w:szCs w:val="20"/>
                <w:color w:val="auto"/>
              </w:rPr>
            </w:pPr>
            <w:r>
              <w:rPr>
                <w:rFonts w:ascii="Arial" w:cs="Arial" w:eastAsia="Arial" w:hAnsi="Arial"/>
                <w:sz w:val="14"/>
                <w:szCs w:val="14"/>
                <w:color w:val="auto"/>
              </w:rPr>
              <w:t>25</w:t>
            </w:r>
          </w:p>
        </w:tc>
      </w:tr>
      <w:tr>
        <w:trPr>
          <w:trHeight w:val="22"/>
        </w:trPr>
        <w:tc>
          <w:tcPr>
            <w:tcW w:w="3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Excess stock compensation expense</w:t>
            </w:r>
          </w:p>
        </w:tc>
        <w:tc>
          <w:tcPr>
            <w:tcW w:w="19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107</w:t>
            </w:r>
          </w:p>
        </w:tc>
      </w:tr>
      <w:tr>
        <w:trPr>
          <w:trHeight w:val="191"/>
        </w:trPr>
        <w:tc>
          <w:tcPr>
            <w:tcW w:w="3980" w:type="dxa"/>
            <w:vAlign w:val="bottom"/>
          </w:tcPr>
          <w:p>
            <w:pPr>
              <w:ind w:left="20"/>
              <w:spacing w:after="0"/>
              <w:rPr>
                <w:sz w:val="20"/>
                <w:szCs w:val="20"/>
                <w:color w:val="auto"/>
              </w:rPr>
            </w:pPr>
            <w:r>
              <w:rPr>
                <w:rFonts w:ascii="Arial" w:cs="Arial" w:eastAsia="Arial" w:hAnsi="Arial"/>
                <w:sz w:val="14"/>
                <w:szCs w:val="14"/>
                <w:color w:val="auto"/>
              </w:rPr>
              <w:t>U.S. Tax Reform adjustment</w:t>
            </w:r>
          </w:p>
        </w:tc>
        <w:tc>
          <w:tcPr>
            <w:tcW w:w="1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320" w:type="dxa"/>
            <w:vAlign w:val="bottom"/>
          </w:tcPr>
          <w:p>
            <w:pPr>
              <w:jc w:val="right"/>
              <w:ind w:right="69"/>
              <w:spacing w:after="0"/>
              <w:rPr>
                <w:sz w:val="20"/>
                <w:szCs w:val="20"/>
                <w:color w:val="auto"/>
              </w:rPr>
            </w:pPr>
            <w:r>
              <w:rPr>
                <w:rFonts w:ascii="Arial" w:cs="Arial" w:eastAsia="Arial" w:hAnsi="Arial"/>
                <w:sz w:val="14"/>
                <w:szCs w:val="14"/>
                <w:color w:val="auto"/>
              </w:rPr>
              <w:t>54</w:t>
            </w:r>
          </w:p>
        </w:tc>
      </w:tr>
      <w:tr>
        <w:trPr>
          <w:trHeight w:val="22"/>
        </w:trPr>
        <w:tc>
          <w:tcPr>
            <w:tcW w:w="3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9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(58)</w:t>
            </w:r>
          </w:p>
        </w:tc>
      </w:tr>
      <w:tr>
        <w:trPr>
          <w:trHeight w:val="181"/>
        </w:trPr>
        <w:tc>
          <w:tcPr>
            <w:tcW w:w="3980" w:type="dxa"/>
            <w:vAlign w:val="bottom"/>
          </w:tcPr>
          <w:p>
            <w:pPr>
              <w:ind w:left="220"/>
              <w:spacing w:after="0"/>
              <w:rPr>
                <w:sz w:val="20"/>
                <w:szCs w:val="20"/>
                <w:color w:val="auto"/>
              </w:rPr>
            </w:pPr>
            <w:r>
              <w:rPr>
                <w:rFonts w:ascii="Arial" w:cs="Arial" w:eastAsia="Arial" w:hAnsi="Arial"/>
                <w:sz w:val="14"/>
                <w:szCs w:val="14"/>
                <w:color w:val="auto"/>
              </w:rPr>
              <w:t>Provision (benefit) for income taxes</w:t>
            </w:r>
          </w:p>
        </w:tc>
        <w:tc>
          <w:tcPr>
            <w:tcW w:w="1940" w:type="dxa"/>
            <w:vAlign w:val="bottom"/>
          </w:tcPr>
          <w:p>
            <w:pPr>
              <w:spacing w:after="0"/>
              <w:rPr>
                <w:sz w:val="15"/>
                <w:szCs w:val="15"/>
                <w:color w:val="auto"/>
              </w:rPr>
            </w:pPr>
          </w:p>
        </w:tc>
        <w:tc>
          <w:tcPr>
            <w:tcW w:w="4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3,980</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(1,283)</w:t>
            </w:r>
          </w:p>
        </w:tc>
      </w:tr>
      <w:tr>
        <w:trPr>
          <w:trHeight w:val="62"/>
        </w:trPr>
        <w:tc>
          <w:tcPr>
            <w:tcW w:w="3980" w:type="dxa"/>
            <w:vAlign w:val="bottom"/>
            <w:tcBorders>
              <w:bottom w:val="single" w:sz="8" w:color="CCEEFF"/>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164"/>
        </w:trPr>
        <w:tc>
          <w:tcPr>
            <w:tcW w:w="3980" w:type="dxa"/>
            <w:vAlign w:val="bottom"/>
            <w:tcBorders>
              <w:bottom w:val="single" w:sz="8" w:color="CCEEFF"/>
            </w:tcBorders>
            <w:shd w:val="clear" w:color="auto" w:fill="CCEEFF"/>
          </w:tcPr>
          <w:p>
            <w:pPr>
              <w:ind w:left="220"/>
              <w:spacing w:after="0" w:line="141" w:lineRule="exact"/>
              <w:rPr>
                <w:sz w:val="20"/>
                <w:szCs w:val="20"/>
                <w:color w:val="auto"/>
              </w:rPr>
            </w:pPr>
            <w:r>
              <w:rPr>
                <w:rFonts w:ascii="Arial" w:cs="Arial" w:eastAsia="Arial" w:hAnsi="Arial"/>
                <w:sz w:val="14"/>
                <w:szCs w:val="14"/>
                <w:color w:val="auto"/>
              </w:rPr>
              <w:t>Effective tax rate</w:t>
            </w:r>
          </w:p>
        </w:tc>
        <w:tc>
          <w:tcPr>
            <w:tcW w:w="19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w:t>
            </w:r>
          </w:p>
        </w:tc>
      </w:tr>
      <w:tr>
        <w:trPr>
          <w:trHeight w:val="339"/>
        </w:trPr>
        <w:tc>
          <w:tcPr>
            <w:tcW w:w="3980" w:type="dxa"/>
            <w:vAlign w:val="bottom"/>
          </w:tcPr>
          <w:p>
            <w:pPr>
              <w:spacing w:after="0"/>
              <w:rPr>
                <w:sz w:val="24"/>
                <w:szCs w:val="24"/>
                <w:color w:val="auto"/>
              </w:rPr>
            </w:pPr>
          </w:p>
        </w:tc>
        <w:tc>
          <w:tcPr>
            <w:tcW w:w="1940" w:type="dxa"/>
            <w:vAlign w:val="bottom"/>
          </w:tcPr>
          <w:p>
            <w:pPr>
              <w:jc w:val="right"/>
              <w:ind w:right="129"/>
              <w:spacing w:after="0"/>
              <w:rPr>
                <w:sz w:val="20"/>
                <w:szCs w:val="20"/>
                <w:color w:val="auto"/>
              </w:rPr>
            </w:pPr>
            <w:r>
              <w:rPr>
                <w:rFonts w:ascii="Arial" w:cs="Arial" w:eastAsia="Arial" w:hAnsi="Arial"/>
                <w:sz w:val="14"/>
                <w:szCs w:val="14"/>
                <w:color w:val="auto"/>
              </w:rPr>
              <w:t>95</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280"/>
          </w:cols>
          <w:pgMar w:left="300" w:top="592" w:right="319" w:bottom="1440" w:gutter="0" w:footer="0" w:header="0"/>
        </w:sectPr>
      </w:pPr>
    </w:p>
    <w:bookmarkStart w:id="95" w:name="page96"/>
    <w:bookmarkEnd w:id="95"/>
    <w:p>
      <w:pPr>
        <w:ind w:right="140"/>
        <w:spacing w:after="0" w:line="281" w:lineRule="auto"/>
        <w:rPr>
          <w:sz w:val="20"/>
          <w:szCs w:val="20"/>
          <w:color w:val="auto"/>
        </w:rPr>
      </w:pPr>
      <w:r>
        <w:rPr>
          <w:rFonts w:ascii="Arial" w:cs="Arial" w:eastAsia="Arial" w:hAnsi="Arial"/>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were as follows at December 31: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60" w:type="dxa"/>
            <w:vAlign w:val="bottom"/>
          </w:tcPr>
          <w:p>
            <w:pPr>
              <w:spacing w:after="0"/>
              <w:rPr>
                <w:sz w:val="15"/>
                <w:szCs w:val="15"/>
                <w:color w:val="auto"/>
              </w:rPr>
            </w:pPr>
          </w:p>
        </w:tc>
        <w:tc>
          <w:tcPr>
            <w:tcW w:w="1480" w:type="dxa"/>
            <w:vAlign w:val="bottom"/>
          </w:tcPr>
          <w:p>
            <w:pPr>
              <w:jc w:val="right"/>
              <w:ind w:right="74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ind w:right="72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
        </w:trPr>
        <w:tc>
          <w:tcPr>
            <w:tcW w:w="7340" w:type="dxa"/>
            <w:vAlign w:val="bottom"/>
            <w:vMerge w:val="restart"/>
          </w:tcPr>
          <w:p>
            <w:pPr>
              <w:ind w:left="20"/>
              <w:spacing w:after="0"/>
              <w:rPr>
                <w:sz w:val="20"/>
                <w:szCs w:val="20"/>
                <w:color w:val="auto"/>
              </w:rPr>
            </w:pPr>
            <w:r>
              <w:rPr>
                <w:rFonts w:ascii="Arial" w:cs="Arial" w:eastAsia="Arial" w:hAnsi="Arial"/>
                <w:sz w:val="14"/>
                <w:szCs w:val="14"/>
                <w:color w:val="auto"/>
              </w:rPr>
              <w:t>Deferred income tax assets:</w:t>
            </w: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7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7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Accrued expenses</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Deferred revenues</w:t>
            </w: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Capitalization of costs</w:t>
            </w: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1,843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1,937</w:t>
            </w:r>
          </w:p>
        </w:tc>
        <w:tc>
          <w:tcPr>
            <w:tcW w:w="0" w:type="dxa"/>
            <w:vAlign w:val="bottom"/>
          </w:tcPr>
          <w:p>
            <w:pPr>
              <w:spacing w:after="0"/>
              <w:rPr>
                <w:sz w:val="1"/>
                <w:szCs w:val="1"/>
                <w:color w:val="auto"/>
              </w:rPr>
            </w:pP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Pension adjustment</w:t>
            </w: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2,883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2,937</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Stock grant expense</w:t>
            </w: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2,500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2,674</w:t>
            </w:r>
          </w:p>
        </w:tc>
        <w:tc>
          <w:tcPr>
            <w:tcW w:w="0" w:type="dxa"/>
            <w:vAlign w:val="bottom"/>
          </w:tcPr>
          <w:p>
            <w:pPr>
              <w:spacing w:after="0"/>
              <w:rPr>
                <w:sz w:val="1"/>
                <w:szCs w:val="1"/>
                <w:color w:val="auto"/>
              </w:rPr>
            </w:pP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State deferred taxes</w:t>
            </w: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Book deferred gains</w:t>
            </w: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1,176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Joint venture allocations</w:t>
            </w: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Provision for additional capitalized costs</w:t>
            </w: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699</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Interest rate swap</w:t>
            </w: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4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1"/>
        </w:trPr>
        <w:tc>
          <w:tcPr>
            <w:tcW w:w="7340" w:type="dxa"/>
            <w:vAlign w:val="bottom"/>
          </w:tcPr>
          <w:p>
            <w:pPr>
              <w:ind w:left="20"/>
              <w:spacing w:after="0"/>
              <w:rPr>
                <w:sz w:val="20"/>
                <w:szCs w:val="20"/>
                <w:color w:val="auto"/>
              </w:rPr>
            </w:pPr>
            <w:r>
              <w:rPr>
                <w:rFonts w:ascii="Arial" w:cs="Arial" w:eastAsia="Arial" w:hAnsi="Arial"/>
                <w:sz w:val="14"/>
                <w:szCs w:val="14"/>
                <w:color w:val="auto"/>
              </w:rPr>
              <w:t>Total deferred income tax assets</w:t>
            </w: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11,318</w:t>
            </w:r>
          </w:p>
        </w:tc>
        <w:tc>
          <w:tcPr>
            <w:tcW w:w="100" w:type="dxa"/>
            <w:vAlign w:val="bottom"/>
          </w:tcPr>
          <w:p>
            <w:pPr>
              <w:spacing w:after="0"/>
              <w:rPr>
                <w:sz w:val="15"/>
                <w:szCs w:val="15"/>
                <w:color w:val="auto"/>
              </w:rPr>
            </w:pP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11,474</w:t>
            </w:r>
          </w:p>
        </w:tc>
        <w:tc>
          <w:tcPr>
            <w:tcW w:w="0" w:type="dxa"/>
            <w:vAlign w:val="bottom"/>
          </w:tcPr>
          <w:p>
            <w:pPr>
              <w:spacing w:after="0"/>
              <w:rPr>
                <w:sz w:val="1"/>
                <w:szCs w:val="1"/>
                <w:color w:val="auto"/>
              </w:rPr>
            </w:pPr>
          </w:p>
        </w:tc>
      </w:tr>
      <w:tr>
        <w:trPr>
          <w:trHeight w:val="22"/>
        </w:trPr>
        <w:tc>
          <w:tcPr>
            <w:tcW w:w="7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income tax liabilities:</w:t>
            </w:r>
          </w:p>
        </w:tc>
        <w:tc>
          <w:tcPr>
            <w:tcW w:w="4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Deferred gains</w:t>
            </w: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Depreciation</w:t>
            </w: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2,892</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Cost of sales allocations</w:t>
            </w: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Joint venture allocations</w:t>
            </w: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5,070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Straight line rent</w:t>
            </w: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Prepaid expenses</w:t>
            </w: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State deferred taxes</w:t>
            </w: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Interest rate swap</w:t>
            </w:r>
          </w:p>
        </w:tc>
        <w:tc>
          <w:tcPr>
            <w:tcW w:w="4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Other</w:t>
            </w: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2"/>
        </w:trPr>
        <w:tc>
          <w:tcPr>
            <w:tcW w:w="7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income tax liabilities</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10,605</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10,245</w:t>
            </w:r>
          </w:p>
        </w:tc>
        <w:tc>
          <w:tcPr>
            <w:tcW w:w="0" w:type="dxa"/>
            <w:vAlign w:val="bottom"/>
          </w:tcPr>
          <w:p>
            <w:pPr>
              <w:spacing w:after="0"/>
              <w:rPr>
                <w:sz w:val="1"/>
                <w:szCs w:val="1"/>
                <w:color w:val="auto"/>
              </w:rPr>
            </w:pPr>
          </w:p>
        </w:tc>
      </w:tr>
      <w:tr>
        <w:trPr>
          <w:trHeight w:val="181"/>
        </w:trPr>
        <w:tc>
          <w:tcPr>
            <w:tcW w:w="7340" w:type="dxa"/>
            <w:vAlign w:val="bottom"/>
          </w:tcPr>
          <w:p>
            <w:pPr>
              <w:ind w:left="20"/>
              <w:spacing w:after="0"/>
              <w:rPr>
                <w:sz w:val="20"/>
                <w:szCs w:val="20"/>
                <w:color w:val="auto"/>
              </w:rPr>
            </w:pPr>
            <w:r>
              <w:rPr>
                <w:rFonts w:ascii="Arial" w:cs="Arial" w:eastAsia="Arial" w:hAnsi="Arial"/>
                <w:sz w:val="14"/>
                <w:szCs w:val="14"/>
                <w:color w:val="auto"/>
              </w:rPr>
              <w:t>Net deferred income tax asset</w:t>
            </w: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15"/>
                <w:szCs w:val="15"/>
                <w:color w:val="auto"/>
              </w:rPr>
            </w:pP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22"/>
        </w:trPr>
        <w:tc>
          <w:tcPr>
            <w:tcW w:w="7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deferred tax assets</w:t>
            </w:r>
          </w:p>
        </w:tc>
        <w:tc>
          <w:tcPr>
            <w:tcW w:w="46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340" w:type="dxa"/>
            <w:vAlign w:val="bottom"/>
          </w:tcPr>
          <w:p>
            <w:pPr>
              <w:ind w:left="20"/>
              <w:spacing w:after="0"/>
              <w:rPr>
                <w:sz w:val="20"/>
                <w:szCs w:val="20"/>
                <w:color w:val="auto"/>
              </w:rPr>
            </w:pPr>
            <w:r>
              <w:rPr>
                <w:rFonts w:ascii="Arial" w:cs="Arial" w:eastAsia="Arial" w:hAnsi="Arial"/>
                <w:sz w:val="14"/>
                <w:szCs w:val="14"/>
                <w:color w:val="auto"/>
              </w:rPr>
              <w:t>Net deferred taxes</w:t>
            </w: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15"/>
                <w:szCs w:val="15"/>
                <w:color w:val="auto"/>
              </w:rPr>
            </w:pP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Due to the nature of our deferred tax assets, the Company believes they will be used through operations in future years and a valuation allowance is not necessary.</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The Company made income tax payments of $4,645,000 in 2019 and made no payments in 2018. The Company received refunds of $1,345,000 and $164,000 in 2019 and 2018, respectively.</w:t>
      </w:r>
    </w:p>
    <w:p>
      <w:pPr>
        <w:spacing w:after="0" w:line="84"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The Company evaluates its tax positions for all income tax items based on their technical merits to determine whether each position satisfies the “more likely than not to be sustained upon examination” test. The tax benefits are then measured as the largest amount of benefit, determined on a cumulative basis, that is “more likely than not” to be realized upon ultimate settlement. As a result of this evaluation, the Company determined there were no uncertain tax positions that required recognition and measurement for the years ended December 31, 2019 and 2018 within the scope of ASC 740, "Income Taxes." Tax years from 2016 to 2018 and 2015 to 2018 remain available for examination by the Federal and California State taxing authorities, respectively.</w:t>
      </w:r>
    </w:p>
    <w:p>
      <w:pPr>
        <w:spacing w:after="0" w:line="85" w:lineRule="exact"/>
        <w:rPr>
          <w:sz w:val="20"/>
          <w:szCs w:val="20"/>
          <w:color w:val="auto"/>
        </w:rPr>
      </w:pPr>
    </w:p>
    <w:p>
      <w:pPr>
        <w:ind w:left="360" w:hanging="355"/>
        <w:spacing w:after="0"/>
        <w:tabs>
          <w:tab w:leader="none" w:pos="36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7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Company is a lessor of certain property pursuant to various lease agreements having terms ranging up to 30 years. The Company generates rental income from right to use assets. The following is a summary of income from commercial rents included in commercial/industrial real estate revenues as of December 31: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60" w:type="dxa"/>
            <w:vAlign w:val="bottom"/>
          </w:tcPr>
          <w:p>
            <w:pPr>
              <w:jc w:val="right"/>
              <w:ind w:right="104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60" w:type="dxa"/>
            <w:vAlign w:val="bottom"/>
          </w:tcPr>
          <w:p>
            <w:pPr>
              <w:jc w:val="right"/>
              <w:ind w:right="114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40" w:type="dxa"/>
            <w:vAlign w:val="bottom"/>
          </w:tcPr>
          <w:p>
            <w:pPr>
              <w:jc w:val="right"/>
              <w:ind w:right="1129"/>
              <w:spacing w:after="0"/>
              <w:rPr>
                <w:sz w:val="20"/>
                <w:szCs w:val="20"/>
                <w:color w:val="auto"/>
              </w:rPr>
            </w:pPr>
            <w:r>
              <w:rPr>
                <w:rFonts w:ascii="Arial" w:cs="Arial" w:eastAsia="Arial" w:hAnsi="Arial"/>
                <w:sz w:val="14"/>
                <w:szCs w:val="14"/>
                <w:color w:val="auto"/>
              </w:rPr>
              <w:t>2017</w:t>
            </w:r>
          </w:p>
        </w:tc>
      </w:tr>
      <w:tr>
        <w:trPr>
          <w:trHeight w:val="22"/>
        </w:trPr>
        <w:tc>
          <w:tcPr>
            <w:tcW w:w="29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Base rent</w:t>
            </w:r>
          </w:p>
        </w:tc>
        <w:tc>
          <w:tcPr>
            <w:tcW w:w="66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6,554,000</w:t>
            </w:r>
          </w:p>
        </w:tc>
        <w:tc>
          <w:tcPr>
            <w:tcW w:w="88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6,444,000</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6,156,000</w:t>
            </w:r>
          </w:p>
        </w:tc>
      </w:tr>
      <w:tr>
        <w:trPr>
          <w:trHeight w:val="191"/>
        </w:trPr>
        <w:tc>
          <w:tcPr>
            <w:tcW w:w="2940" w:type="dxa"/>
            <w:vAlign w:val="bottom"/>
          </w:tcPr>
          <w:p>
            <w:pPr>
              <w:ind w:left="20"/>
              <w:spacing w:after="0"/>
              <w:rPr>
                <w:sz w:val="20"/>
                <w:szCs w:val="20"/>
                <w:color w:val="auto"/>
              </w:rPr>
            </w:pPr>
            <w:r>
              <w:rPr>
                <w:rFonts w:ascii="Arial" w:cs="Arial" w:eastAsia="Arial" w:hAnsi="Arial"/>
                <w:sz w:val="14"/>
                <w:szCs w:val="14"/>
                <w:color w:val="auto"/>
              </w:rPr>
              <w:t>Percentage rent</w:t>
            </w:r>
          </w:p>
        </w:tc>
        <w:tc>
          <w:tcPr>
            <w:tcW w:w="66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1,024,000</w:t>
            </w:r>
          </w:p>
        </w:tc>
        <w:tc>
          <w:tcPr>
            <w:tcW w:w="88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49"/>
              <w:spacing w:after="0"/>
              <w:rPr>
                <w:sz w:val="20"/>
                <w:szCs w:val="20"/>
                <w:color w:val="auto"/>
              </w:rPr>
            </w:pPr>
            <w:r>
              <w:rPr>
                <w:rFonts w:ascii="Arial" w:cs="Arial" w:eastAsia="Arial" w:hAnsi="Arial"/>
                <w:sz w:val="14"/>
                <w:szCs w:val="14"/>
                <w:color w:val="auto"/>
              </w:rPr>
              <w:t>621,000</w:t>
            </w:r>
          </w:p>
        </w:tc>
        <w:tc>
          <w:tcPr>
            <w:tcW w:w="100" w:type="dxa"/>
            <w:vAlign w:val="bottom"/>
          </w:tcPr>
          <w:p>
            <w:pPr>
              <w:spacing w:after="0"/>
              <w:rPr>
                <w:sz w:val="16"/>
                <w:szCs w:val="16"/>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29"/>
              <w:spacing w:after="0"/>
              <w:rPr>
                <w:sz w:val="20"/>
                <w:szCs w:val="20"/>
                <w:color w:val="auto"/>
              </w:rPr>
            </w:pPr>
            <w:r>
              <w:rPr>
                <w:rFonts w:ascii="Arial" w:cs="Arial" w:eastAsia="Arial" w:hAnsi="Arial"/>
                <w:sz w:val="14"/>
                <w:szCs w:val="14"/>
                <w:color w:val="auto"/>
              </w:rPr>
              <w:t>677,000</w:t>
            </w:r>
          </w:p>
        </w:tc>
      </w:tr>
      <w:tr>
        <w:trPr>
          <w:trHeight w:val="361"/>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96</w:t>
            </w:r>
          </w:p>
        </w:tc>
        <w:tc>
          <w:tcPr>
            <w:tcW w:w="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280"/>
          </w:cols>
          <w:pgMar w:left="300" w:top="532"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auto"/>
        </w:rPr>
        <w:t>Future minimum rental income on commercial, communication and right-of-way on non-cancelable leases as of December 31,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0" w:type="dxa"/>
            <w:vAlign w:val="bottom"/>
          </w:tcPr>
          <w:p>
            <w:pPr>
              <w:spacing w:after="0"/>
              <w:rPr>
                <w:sz w:val="15"/>
                <w:szCs w:val="15"/>
                <w:color w:val="auto"/>
              </w:rPr>
            </w:pP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689"/>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709"/>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ind w:right="689"/>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689"/>
              <w:spacing w:after="0"/>
              <w:rPr>
                <w:sz w:val="20"/>
                <w:szCs w:val="20"/>
                <w:color w:val="auto"/>
              </w:rPr>
            </w:pPr>
            <w:r>
              <w:rPr>
                <w:rFonts w:ascii="Arial" w:cs="Arial" w:eastAsia="Arial" w:hAnsi="Arial"/>
                <w:sz w:val="14"/>
                <w:szCs w:val="14"/>
                <w:color w:val="auto"/>
              </w:rPr>
              <w:t>2024</w:t>
            </w:r>
          </w:p>
        </w:tc>
        <w:tc>
          <w:tcPr>
            <w:tcW w:w="440" w:type="dxa"/>
            <w:vAlign w:val="bottom"/>
          </w:tcPr>
          <w:p>
            <w:pPr>
              <w:spacing w:after="0"/>
              <w:rPr>
                <w:sz w:val="15"/>
                <w:szCs w:val="15"/>
                <w:color w:val="auto"/>
              </w:rPr>
            </w:pPr>
          </w:p>
        </w:tc>
        <w:tc>
          <w:tcPr>
            <w:tcW w:w="1440" w:type="dxa"/>
            <w:vAlign w:val="bottom"/>
          </w:tcPr>
          <w:p>
            <w:pPr>
              <w:jc w:val="right"/>
              <w:ind w:right="529"/>
              <w:spacing w:after="0"/>
              <w:rPr>
                <w:sz w:val="20"/>
                <w:szCs w:val="20"/>
                <w:color w:val="auto"/>
              </w:rPr>
            </w:pPr>
            <w:r>
              <w:rPr>
                <w:rFonts w:ascii="Arial" w:cs="Arial" w:eastAsia="Arial" w:hAnsi="Arial"/>
                <w:sz w:val="14"/>
                <w:szCs w:val="14"/>
                <w:color w:val="auto"/>
              </w:rPr>
              <w:t>Thereafter</w:t>
            </w:r>
          </w:p>
        </w:tc>
      </w:tr>
      <w:tr>
        <w:trPr>
          <w:trHeight w:val="22"/>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6,481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5,914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5,608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5,202</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5,061</w:t>
            </w:r>
          </w:p>
        </w:tc>
        <w:tc>
          <w:tcPr>
            <w:tcW w:w="4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22,335</w:t>
            </w:r>
          </w:p>
        </w:tc>
      </w:tr>
      <w:tr>
        <w:trPr>
          <w:trHeight w:val="22"/>
        </w:trPr>
        <w:tc>
          <w:tcPr>
            <w:tcW w:w="4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r>
    </w:tbl>
    <w:p>
      <w:pPr>
        <w:spacing w:after="0" w:line="113" w:lineRule="exact"/>
        <w:rPr>
          <w:sz w:val="20"/>
          <w:szCs w:val="20"/>
          <w:color w:val="auto"/>
        </w:rPr>
      </w:pPr>
    </w:p>
    <w:p>
      <w:pPr>
        <w:ind w:left="360" w:hanging="355"/>
        <w:spacing w:after="0"/>
        <w:tabs>
          <w:tab w:leader="none" w:pos="36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246"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Company's land is subject to water contracts of which $10,027,000 is expected to be paid in 2020. These estimated water contract payments consist of SWP, contracts with Wheeler Ridge Maricopa Water Storage District, TCWD, Tulare Lake Basin Water Storage District, Dudley-Ridge Water Storage District and the Nickel water contract. The SWP contracts run through 2035 and the Nickel water contract runs through 2044, with an option to extend an additional 35 years. As discussed in Note 6 (Long-Term Water Assets), we purchased the assignment of a contract to purchase water in late 2013. The assigned water contract is with Nickel and obligates us to purchase 6,693 acre-feet of water annually through the term of the contract. Our contractual obligation for future water payments was $269,065,000 as of December 31, 2019 .</w:t>
      </w:r>
    </w:p>
    <w:p>
      <w:pPr>
        <w:spacing w:after="0" w:line="40"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The Company is obligated to make payments of approximately $800,000 per year through 2021 to the Tejon Ranch Conservancy as prescribed in the Conservation Agreement we entered into with five major environmental organizations in 2008. Our advances to the Tejon Ranch Conservancy are dependent on the occurrence of certain events and their timing, and are therefore subject to change in amount and period. These amounts paid will be capitalized in real estate development for the Centennial, Grapevine and Mountain Village, or MV, projects.</w:t>
      </w:r>
    </w:p>
    <w:p>
      <w:pPr>
        <w:spacing w:after="0" w:line="18"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The Company exited a consulting contract during the second quarter of 2014 related to the Grapevine Development and is obligated to pay an earned incentive fee at the time of successful receipt of litigated project entitlements and at a value measurement date five-years after litigated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18"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The Tejon Ranch Public Facilities Financing Authority, or TRPFFA, is a joint powers authority formed by Kern County and TCWD to finance public infrastructure within the Company’s Kern County developments. For the development of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 that can be sold in the future.</w:t>
      </w:r>
    </w:p>
    <w:p>
      <w:pPr>
        <w:spacing w:after="0" w:line="28"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40"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At December 31, 2019 there were no additional improvement funds remaining from both of the West CFD bonds and East CFD bonds for reimbursement of public infrastructure costs during future years. During 2019, the Company paid approximately $2,569,000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is not required to recognize an obligation at December 31, 2019.</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80"/>
          </w:cols>
          <w:pgMar w:left="300" w:top="532"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i w:val="1"/>
          <w:iCs w:val="1"/>
          <w:color w:val="auto"/>
        </w:rPr>
        <w:t>Tehachapi Uplands Multiple Species Habitat Conservation Plan Approval</w:t>
      </w:r>
    </w:p>
    <w:p>
      <w:pPr>
        <w:spacing w:after="0" w:line="7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In July 2014, the Company received a copy of a Notice of Intent to Sue, dated July 17, 2014 indicating that the Center for Biological Diversity, or CBD, the Wishtoyo Foundation and Dee Dominguez (collectively the TUMSHCP Plaintiffs) intended to initiate a lawsuit against the U.S. Fish and Wildlife Service, or USFWS, challenging USFWS's approval of the Company's Tehachapi Uplands Multiple Species Habitat Conservation Plan, or TUMSHCP, and USFWS's issuance of an Incidental Take Permit, or ITP, for the take of federally listed species. The TUMSHCP approval and ITP issuance by the USFWS occurred in 2013. These approvals authorize, among other things, the removal of California condor habitat associated with the Company's potential future development of MV.</w:t>
      </w:r>
    </w:p>
    <w:p>
      <w:pPr>
        <w:spacing w:after="0" w:line="40" w:lineRule="exact"/>
        <w:rPr>
          <w:sz w:val="20"/>
          <w:szCs w:val="20"/>
          <w:color w:val="auto"/>
        </w:rPr>
      </w:pPr>
    </w:p>
    <w:p>
      <w:pPr>
        <w:jc w:val="both"/>
        <w:ind w:right="100"/>
        <w:spacing w:after="0" w:line="267" w:lineRule="auto"/>
        <w:rPr>
          <w:sz w:val="20"/>
          <w:szCs w:val="20"/>
          <w:color w:val="auto"/>
        </w:rPr>
      </w:pPr>
      <w:r>
        <w:rPr>
          <w:rFonts w:ascii="Arial" w:cs="Arial" w:eastAsia="Arial" w:hAnsi="Arial"/>
          <w:sz w:val="14"/>
          <w:szCs w:val="14"/>
          <w:color w:val="auto"/>
        </w:rPr>
        <w:t>On April 25, 2019, the TUMSHCP Plaintiffs filed suit against the USFWS in the U.S. District Court for the Central District of California in Los Angeles (Case No. 2:19-CV-3322) (the TUMSHCP Suit). The Company was not initially named as a party in the TUMSHCP Suit and brought a motion to intervene, which the court granted. The TUMSHCP Suit seeks to invalidate the TUMSHCP as it pertains to the protection of the California condor (an endangered species), as well as the ITP.</w:t>
      </w:r>
    </w:p>
    <w:p>
      <w:pPr>
        <w:spacing w:after="0" w:line="36"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primary allegations in the TUMSHCP Suit are that California condors or their habitat are “Traditional Cultural Properties” within the meaning of the National Historic Preservation Act (NHPA), that the USFWS failed to take into account the impact of the TUMSHCP and ITP on these “Traditional Cultural Properties” and failed to adequately consult with affected Native American tribes or their representatives with respect to these “Traditional Cultural Properties.”</w:t>
      </w:r>
    </w:p>
    <w:p>
      <w:pPr>
        <w:spacing w:after="0" w:line="36"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Management considers the allegations in the TUMSHCP Suit to be beyond the scope of the law and regulations referenced in the TUMSHCP Suit, and believes that the issues raised by the TUMSHCP Plaintiffs were adequately addressed by USFWS during the consultation process with Native American tribes. The Company is supporting USFWS's efforts to vigorously defend this matter. On October 30, 2019, the TUMSCHCP Plaintiffs filed an amended complaint after the court previously granted the Company’s motion to dismiss the TUMSCHP Suit on the basis that the TUMSCHP Plaintiff’s lacked standing. The Company brought a second motion to dismiss on the same basis, which the court denied on December 18, 2019. In its December 18, 2019 ruling, the court ordered that the parties proceed to bring motions for summary judgment on the question of whether the USFWS correctly determined that the California condor is not a “Traditional Cultural Property” under the NHPA. As of the date of this report, the USFWS is in the process of preparing the record of its decision in order to adjudicate that question. Once the record is complete the parties will comply with the court’s order by bringing one or more motions for summary judgment to adjudicate the question presented by the court.</w:t>
      </w:r>
    </w:p>
    <w:p>
      <w:pPr>
        <w:spacing w:after="0" w:line="31"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The TUMSHCP Plaintiffs had previously raised essentially the same arguments regarding the Native American consultation process and the California condor in an earlier state court litigation. In that litigation, the California Court of Appeal rejected the TUMSHCP Plaintiffs’ arguments as lacking merit in a decision issued on April 25, 2012. See Center for Biological Diversity, et al. v. Kern County, 2012 WL 1417682 (Case No. F061908).</w:t>
      </w:r>
    </w:p>
    <w:p>
      <w:pPr>
        <w:spacing w:after="0" w:line="36" w:lineRule="exact"/>
        <w:rPr>
          <w:sz w:val="20"/>
          <w:szCs w:val="20"/>
          <w:color w:val="auto"/>
        </w:rPr>
      </w:pPr>
    </w:p>
    <w:p>
      <w:pPr>
        <w:ind w:right="2260"/>
        <w:spacing w:after="0" w:line="347" w:lineRule="auto"/>
        <w:rPr>
          <w:sz w:val="20"/>
          <w:szCs w:val="20"/>
          <w:color w:val="auto"/>
        </w:rPr>
      </w:pPr>
      <w:r>
        <w:rPr>
          <w:rFonts w:ascii="Arial" w:cs="Arial" w:eastAsia="Arial" w:hAnsi="Arial"/>
          <w:sz w:val="14"/>
          <w:szCs w:val="14"/>
          <w:color w:val="auto"/>
        </w:rPr>
        <w:t xml:space="preserve">As of December 31, 2019, the Company believes the TUMSHCP Suit does not impede on the ability to start or complete the development of MV development. </w:t>
      </w:r>
      <w:r>
        <w:rPr>
          <w:rFonts w:ascii="Arial" w:cs="Arial" w:eastAsia="Arial" w:hAnsi="Arial"/>
          <w:sz w:val="14"/>
          <w:szCs w:val="14"/>
          <w:i w:val="1"/>
          <w:iCs w:val="1"/>
          <w:color w:val="auto"/>
        </w:rPr>
        <w:t>National Cement</w:t>
      </w:r>
    </w:p>
    <w:p>
      <w:pPr>
        <w:spacing w:after="0" w:line="1"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The Company's former tenant Lafarge Corporation, or Lafarge, and current tenant National, continue to remediate these environmental conditions consistent with the RWQCB orders.</w:t>
      </w:r>
    </w:p>
    <w:p>
      <w:pPr>
        <w:spacing w:after="0" w:line="72"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color w:val="auto"/>
        </w:rPr>
        <w:t>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the environmental conditions at its own cost, it is unlikely that the amount of any such expenditure by the Company would be material and there is no reasonable likelihood of continuing risk from this matter.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80"/>
          </w:cols>
          <w:pgMar w:left="300" w:top="532"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i w:val="1"/>
          <w:iCs w:val="1"/>
          <w:color w:val="auto"/>
        </w:rPr>
        <w:t>Antelope Valley Groundwater Cases</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On November 29, 2004, a conglomerate of public water suppliers filed a cross-complaint in the Los Angeles Superior Court against landowners and others with interest in the groundwater basin within the Antelope Valley (including the Company) seeking a judicial determination of the rights to groundwater within the Antelope Valley basin, including the groundwater underlying the Company’s land near the Centennial project. Four phases of a multi-phase trial have been completed. Upon completion of the third phase, the court ruled that the groundwater basin was in overdraft and established a current total sustainable yield. The fourth phase of trial occurred in the first half of 2013 and resulted in confirmation of each party’s groundwater pumping for 2011 and 2012. The fifth phase of the trial commenced in February 2014, and concerned 1) whether the United States has a federal reserved water right to basin groundwater, and 2) the rights to return flows from imported water. The court heard evidence on the federal reserved right but continued the trial on the return flow issues while most of the parties to the adjudication discussed a settlement, including rights to return flows. In February 2015, more than 140 parties representing more than 99% of the current water use within the adjudication boundary agreed to a settlement. On March 4, 2015, the settling parties, including Tejon, submitted a Stipulation for Entry of Judgment and Physical Solution to the court for approval. On December 23, 2015, the court entered judgment approving the Stipulation for Entry of Judgment and Physical Solution, or the Judgment. The Company’s water supply plan for the Centennial project anticipated reliance on, among other sources, a certain quantity of groundwater underlying the Company’s lands in the Antelope Valley. The Company’s allocation in the Judgment is consistent with that amount. Prior to the Judgment becoming final, on February 19 and 22, 2016, several parties, including the Willis Class and Phelan Pinon Hills Community Services District, filed notices of appeal from the Judgment. The Appeal has been transferred from the Fourth Appellate District to the Fifth Appellate District.</w:t>
      </w:r>
    </w:p>
    <w:p>
      <w:pPr>
        <w:spacing w:after="0" w:line="38" w:lineRule="exact"/>
        <w:rPr>
          <w:sz w:val="20"/>
          <w:szCs w:val="20"/>
          <w:color w:val="auto"/>
        </w:rPr>
      </w:pPr>
    </w:p>
    <w:p>
      <w:pPr>
        <w:ind w:right="640"/>
        <w:spacing w:after="0" w:line="321" w:lineRule="auto"/>
        <w:rPr>
          <w:sz w:val="20"/>
          <w:szCs w:val="20"/>
          <w:color w:val="auto"/>
        </w:rPr>
      </w:pPr>
      <w:r>
        <w:rPr>
          <w:rFonts w:ascii="Arial" w:cs="Arial" w:eastAsia="Arial" w:hAnsi="Arial"/>
          <w:sz w:val="13"/>
          <w:szCs w:val="13"/>
          <w:color w:val="auto"/>
        </w:rPr>
        <w:t>Appellate briefing began in 2019 and is scheduled to continue into the second quarter of 2020. Notwithstanding the appeals, the parties, with assistance from the Court have established the Watermaster Board, hired the Watermaster Engineer and Watermaster Legal Counsel, and begun administering the physical solution, consistent with the Judgment.</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and Status of Kern Water Bank Lawsuits</w:t>
      </w:r>
    </w:p>
    <w:p>
      <w:pPr>
        <w:spacing w:after="0" w:line="7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On June 3, 2010, the Central Delta and South Delta Water Agencies and several environmental groups, including CBD, or collectively, Central Delta Petitioners, filed a complaint in the Sacramento County Superior Court, or Central Delta Action, against the California Department of Water Resources, or DWR, Kern County Water Agency, or KCWA, and a number of “real parties in interest,” including the Company and TCWD. The lawsuit challenges certain amendments to the SWP contracts that were originally approved in 1995, known as the Monterey Amendments. The Central Delta Petitioners sought to invalidate the DWR's approval of the Monterey Amendments and also the 2010 environmental impact report, or 2010 EIR, regarding the Monterey Amendments prepared pursuant to the California Environmental Quality Act, or CEQA, pertaining to the Kern Water Bank, or KWB. Pursuant to the Monterey Amendments, DWR transferred approximately 20,000 acres in Kern County owned by DWR, or KWB property, to the KCWA.</w:t>
      </w:r>
    </w:p>
    <w:p>
      <w:pPr>
        <w:spacing w:after="0" w:line="44"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A separate but parallel lawsuit, or Central Delta II, was also filed by the Central Delta Petitioners in Kern County Superior Court on July 2, 2010, against KCWA, also naming the Company and TCWD as real parties in interest. Central Delta II challenged the validity of the transfer of the KWB property from the KCWA to the Kern Water Bank Authority, or KWBA. The petitioners in this case alleged that (i) the transfer of the KWB property by KCWA to the KWBA was an unconstitutional gift of public funds, and (ii) the consideration for the transfer of the KWB property to the KWBA was unconscionable and illusory. This case has been stayed pending the outcome of the Central Delta Action.</w:t>
      </w:r>
    </w:p>
    <w:p>
      <w:pPr>
        <w:spacing w:after="0" w:line="40" w:lineRule="exact"/>
        <w:rPr>
          <w:sz w:val="20"/>
          <w:szCs w:val="20"/>
          <w:color w:val="auto"/>
        </w:rPr>
      </w:pPr>
    </w:p>
    <w:p>
      <w:pPr>
        <w:jc w:val="both"/>
        <w:ind w:right="240"/>
        <w:spacing w:after="0" w:line="262" w:lineRule="auto"/>
        <w:rPr>
          <w:sz w:val="20"/>
          <w:szCs w:val="20"/>
          <w:color w:val="auto"/>
        </w:rPr>
      </w:pPr>
      <w:r>
        <w:rPr>
          <w:rFonts w:ascii="Arial" w:cs="Arial" w:eastAsia="Arial" w:hAnsi="Arial"/>
          <w:sz w:val="14"/>
          <w:szCs w:val="14"/>
          <w:color w:val="auto"/>
        </w:rPr>
        <w:t>In addition, another lawsuit was filed in Kern County Superior Court on June 3, 2010, by two districts adjacent to the KWB, namely Rosedale Rio Bravo and Buena Vista Water Storage Districts, (collectively, the Rosedale Petitioners), asserting that the 2010 EIR did not adequately evaluate potential impacts arising from operations of the KWB, or Rosedale Action, but this lawsuit did not name the Company; it only named TCWD. TCWD has a contract right for water stored in the KWB and rights to recharge and withdraw water. This lawsuit was moved to the Sacramento County Superior Court.</w:t>
      </w:r>
    </w:p>
    <w:p>
      <w:pPr>
        <w:spacing w:after="0" w:line="40" w:lineRule="exact"/>
        <w:rPr>
          <w:sz w:val="20"/>
          <w:szCs w:val="20"/>
          <w:color w:val="auto"/>
        </w:rPr>
      </w:pPr>
    </w:p>
    <w:p>
      <w:pPr>
        <w:ind w:right="40"/>
        <w:spacing w:after="0" w:line="319" w:lineRule="auto"/>
        <w:rPr>
          <w:sz w:val="20"/>
          <w:szCs w:val="20"/>
          <w:color w:val="auto"/>
        </w:rPr>
      </w:pPr>
      <w:r>
        <w:rPr>
          <w:rFonts w:ascii="Arial" w:cs="Arial" w:eastAsia="Arial" w:hAnsi="Arial"/>
          <w:sz w:val="12"/>
          <w:szCs w:val="12"/>
          <w:color w:val="auto"/>
        </w:rPr>
        <w:t>In the Central Delta Action and Rosedale Action, the trial courts concluded that the 2010 EIR for the Monterey Amendments was insufficient with regard to the EIR's evaluation of the potential impacts of the operation of the KWB, particularly on groundwater and water quality, and ruled that DWR was required to prepare a remedial EIR (which is further described below). In the Central Delta Action, the trial court also concluded that the challenges to DWR’s 1995 approval of the Monterey Amendments were barred by statutes of limitations and laches. The Central Delta Petitioners filed an appeal of the Sacramento County Superior Court Judgment, and certain real parties filed a cross-appeal. No party appealed the Kern County Superior Court Judgment in the Rosedale Action.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60"/>
          </w:cols>
          <w:pgMar w:left="300" w:top="532" w:right="339" w:bottom="1440" w:gutter="0" w:footer="0" w:header="0"/>
        </w:sectPr>
      </w:pPr>
    </w:p>
    <w:bookmarkStart w:id="99" w:name="page100"/>
    <w:bookmarkEnd w:id="99"/>
    <w:p>
      <w:pPr>
        <w:ind w:right="80"/>
        <w:spacing w:after="0" w:line="282" w:lineRule="auto"/>
        <w:rPr>
          <w:sz w:val="20"/>
          <w:szCs w:val="20"/>
          <w:color w:val="auto"/>
        </w:rPr>
      </w:pPr>
      <w:r>
        <w:rPr>
          <w:rFonts w:ascii="Arial" w:cs="Arial" w:eastAsia="Arial" w:hAnsi="Arial"/>
          <w:sz w:val="13"/>
          <w:szCs w:val="13"/>
          <w:color w:val="auto"/>
        </w:rPr>
        <w:t>On November 24, 2014, the Sacramento County Superior Court in the Central Delta Action issued a writ of mandate, or 2014 Writ, that required DWR to prepare a revised EIR (described herein as the 2016 EIR because it was certified in 2016) regarding the Monterey Amendments evaluating the potential operational impacts of the KWB. The 2014 Writ, as revised by the court, required DWR to certify the 2016 EIR and file the response to the 2014 Writ by September 28, 2016. On September 20, 2016, the Director of DWR (a) certified the 2016 EIR prepared by DWR, as in compliance with CEQA, (b) adopted findings, a statement of overriding considerations, and a mitigation, monitoring and reporting program as required by CEQA, (c) made a new finding pertaining to carrying out the Monterey Amendments through continued use and operation of the KWB by the KWBA, and (d) caused a notice of determination to be filed with the Office of Planning and Resources of the State of California on September 22, 2016. On September 28, 2016, DWR filed with the Sacramento County Superior Court its return to the 2014 Writ in the Central Delta Action.</w:t>
      </w:r>
    </w:p>
    <w:p>
      <w:pPr>
        <w:spacing w:after="0" w:line="2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October 21, 2016, the Central Delta Petitioners and a new party, the Center for Food Safety, (CFS), (collectively, the CFS Petitioners), filed a new lawsuit in Sacramento County Superior Court, (the CFS Action), against DWR and naming a number of real parties in interest, including KWBA and TCWD (but not including the Company). The CFS Action challenges DWR’s (i) certification of the 2016 EIR, (ii) compliance with the 2014 Writ and CEQA, and (iii) finding concerning the continued use and operation of the KWB by KWBA. On October 2, 2017, the Sacramento County Superior Court issued a ruling that the court shall deny the CFS petition and shall discharge the 2014 Writ. The CFS Petitioners appealed the Sacramento County Superior Court judgment denying the CFS petition. The Third Appellate District of the Court of Appeal granted DWR’s motion to consolidate the CFS Action appeal for hearing with the pending appeals in the Central Delta Action. Briefing on all of the appeals and cross-appeals is now complete. At this time, the Company anticipates having a ruling from the Court of Appeal on these consolidated appeals of the CFS Action and the Central Delta Action sometime in 2020. To the extent there may be an adverse outcome of the claims still pending as described above, the monetary value cannot be estimated at this time.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Grapevine</w:t>
      </w:r>
    </w:p>
    <w:p>
      <w:pPr>
        <w:spacing w:after="0" w:line="72"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December 6, 2016, the Kern County Board of Supervisors unanimously granted entitlement approval for the Grapevine project. On January 5, 2017, the CBD, and the CFS, filed an action in Kern County Superior Court pursuant to CEQA, against Kern County and the Kern County Board of Supervisors, or collectively, the County, concerning the County’s granting of the 2016 approvals for the Grapevine project, including certification of the final EIR (the 2017 Action). The Company was named as a real party in interest in the 2017 Action. The 2017 Action alleged that the County failed to properly follow the procedures and requirements of CEQA, including failure to identify, analyze and mitigate impacts to air quality, greenhouse gas emissions, biological resources, traffic, water supply and hydrology, growth inducing impacts, failure to adequately consider project alternatives and to provide support for the County’s findings and statement of overriding considerations in adopting the EIR and failure to adequately describe the environmental setting and project description. Petitioners sought to invalidate the County’s approval of the project, the environmental approvals and require the Company and the County to revise the environmental documentation.</w:t>
      </w:r>
    </w:p>
    <w:p>
      <w:pPr>
        <w:spacing w:after="0" w:line="3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On July 27, 2018, the court held a hearing on the petitioners’ claims in the 2017 Action. At that hearing, the court rejected all of petitioners’ claims raised in the litigation, except petitioners’ claims that (i) the project description was inadequate and (ii) such inadequacy resulted in aspects of certain environmental impacts being improperly analyzed. As to the claims described in “(i)” and “(ii)” in the foregoing sentence, the court determined that the EIR was inadequate. In that regard, the court determined the Grapevine project description contained in the EIR allowed development to occur in the time and manner determined by the real parties in interest and, as a consequence, such development flexibility could result in the project’s internal capture rate, or ICR - the percent of vehicle trips remaining within the project - actually being lower than the projected ICR levels used in the EIR and that lower ICR levels warranted supplemental traffic, air quality, greenhouse gas emissions, noise, public health and growth inducing impact analyses.</w:t>
      </w:r>
    </w:p>
    <w:p>
      <w:pPr>
        <w:spacing w:after="0" w:line="44"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On December 11, 2018, the court in the 2017 Action ruled that portions of the EIR required corrections and supplemental environmental analysis and ordered that the County rescind the Grapevine project approvals until such supplemental environmental analysis was completed. The court issued a final judgment consistent with its ruling on February 15, 2019 and, on March 12, 2019, the County rescinded the Grapevine project approvals.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80"/>
          </w:cols>
          <w:pgMar w:left="300" w:top="532" w:right="319" w:bottom="1440" w:gutter="0" w:footer="0" w:header="0"/>
        </w:sectPr>
      </w:pPr>
    </w:p>
    <w:bookmarkStart w:id="100" w:name="page101"/>
    <w:bookmarkEnd w:id="100"/>
    <w:p>
      <w:pPr>
        <w:ind w:right="20"/>
        <w:spacing w:after="0" w:line="278" w:lineRule="auto"/>
        <w:rPr>
          <w:sz w:val="20"/>
          <w:szCs w:val="20"/>
          <w:color w:val="auto"/>
        </w:rPr>
      </w:pPr>
      <w:r>
        <w:rPr>
          <w:rFonts w:ascii="Arial" w:cs="Arial" w:eastAsia="Arial" w:hAnsi="Arial"/>
          <w:sz w:val="13"/>
          <w:szCs w:val="13"/>
          <w:color w:val="auto"/>
        </w:rPr>
        <w:t>Following the County’s rescission of the Grapevine project approvals, the Company filed new applications to re-entitle the Grapevine project (the re-entitlement). The re-entitlement application involves processing project approvals that are substantively similar to the Grapevine project that was unanimously approved by the Kern County Board of Supervisors in December 2016. As part of the re-entitlement, supplemental environmental analysis was prepared to address the court’s ruling in the 2017 Action. Following a public comment and review period, the Kern County Planning Commission held a hearing on November 14, 2019 and unanimously recommended to the Kern County Board of Supervisors that it approve the re-entitlement of the Grapevine project. On December 10, 2019, the Kern County Board of Supervisors held a hearing and after considering the supplemental environmental analysis and material presented at the hearing unanimously voted to approve the re-entitlement of the Grapevine project. On January 9, 2020 the County filed a Supplemental and Final Return to Preemptory Writ of Mandate to inform the court of re-entitlement of the Grapevine project in a manner that the County and the Company believes is compliant with the court’s February 15, 2019 final judgment in the 2017 Action. Concurrently, the County and the Company filed a Motion for Order Discharging Writ of Mandate, which requests that the court determine that the County’s re-entitlement of the Grapevine project complies with the court’s February 15, 2019 final judgment in the 2017 Action. A hearing was held on February 14, 2020 for this motion and is further summarized below.</w:t>
      </w:r>
    </w:p>
    <w:p>
      <w:pPr>
        <w:spacing w:after="0" w:line="3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On January 10, 2020, CBD filed a new and separate action in Kern County Superior Court pursuant to CEQA, against the County, concerning the County’s approval of the December 2019 re-entitlement of the Grapevine project, including certification of the final EIR (the 2020 Action). The Company is named as real party in interest in the 2020 Action. The 2020 Action alleges that the County failed to properly follow the procedures and requirements of CEQA with respect to the re-entitlement of the Grapevine project, including failure to identify, analyze and mitigate impacts to air quality, greenhouse gas emissions, biological resources, public health, and traffic, and failed to provide support for the County’s findings and statement of overriding considerations in adopting the EIR. CBD seeks to invalidate the County’s approval of the re-entitlement, the environmental approvals for the re-entitlement and require the Company and the County to revise the environmental documentation. The Company intends to vigorously defend the re-entitlement of the Grapevine project. On January 22, 2020, the Company and County filed a demurrer and motion to strike the claims in the 2020 Action on the basis that the claims brought by CBD must be resolved by the court in the 2017 action, pursuant to the final judgment issued in the 2017 Action. The Company and County’s motion described in the previous sentence also includes an alternative request that the court consolidate CBD’s claims in the 2020 Action with its disposition of any remaining matters relating to the 2017 Action. A hearing on these motions filed in the 2020 Action and on the Motion for Order Discharging Writ of Mandate (described above and relating to the 2017 Action) was held on February 14, 2020. At the February 14, 2020 hearing, the court granted the Company and County’s request to consolidate the 2020 Action with its adjudication of the Company and County’s compliance with the writ of mandate issued by the Court in the 2017 Action. The court denied, without prejudice, the Company’s and County’s motion to discharge the writ in the 2017 Action and their demurrer and motion to strike the claims in the 2020 Action, but the court further ruled that the Company and County could re-assert these arguments at a later date once additional evidence was before the court. As of the date of this filing, there are no further hearings scheduled; however, pursuant to stipulation of all parties, the County is preparing the administrative record for the 2020 Action. Once the record has been lodged with the court, a briefing scheduled and hearing date will be set. At this time, neither County nor Company has filed their responsive pleadings.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80"/>
          </w:cols>
          <w:pgMar w:left="300" w:top="532"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i w:val="1"/>
          <w:iCs w:val="1"/>
          <w:color w:val="auto"/>
        </w:rPr>
        <w:t>Centennial</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the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31" w:lineRule="exact"/>
        <w:rPr>
          <w:sz w:val="20"/>
          <w:szCs w:val="20"/>
          <w:color w:val="auto"/>
        </w:rPr>
      </w:pPr>
    </w:p>
    <w:p>
      <w:pPr>
        <w:ind w:right="180"/>
        <w:spacing w:after="0" w:line="319" w:lineRule="auto"/>
        <w:rPr>
          <w:sz w:val="20"/>
          <w:szCs w:val="20"/>
          <w:color w:val="auto"/>
        </w:rPr>
      </w:pPr>
      <w:r>
        <w:rPr>
          <w:rFonts w:ascii="Arial" w:cs="Arial" w:eastAsia="Arial" w:hAnsi="Arial"/>
          <w:sz w:val="12"/>
          <w:szCs w:val="12"/>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As of the date of this filing, there have been no substantive hearings on this matter, and neither LA County nor the real parties in interest have filed their responsive pleadings. The Climate Resolve Action and CBD/CNPS Action seek to invalidate the Centennial Approvals and require LA County to revise the environmental documentation related to the Centennial project.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Proceedings Incidental to Business</w:t>
      </w:r>
    </w:p>
    <w:p>
      <w:pPr>
        <w:spacing w:after="0" w:line="72"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26"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8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tab/>
        <w:t>RETIREMENT PLANS</w:t>
      </w:r>
    </w:p>
    <w:p>
      <w:pPr>
        <w:spacing w:after="0" w:line="246"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The Company sponsors a defined benefit retirement plan, or Benefit Plan, that covers eligible employees hired prior to February 1, 2007. The benefits are based on years of service and the employee’s five-year final average salary. The accounting for the defined benefit plan requires the use of assumptions and estimates in order to calculate periodic benefit cost and the value of the plan's assets and benefit obligation. These assumptions include discount rates, investment returns, and projected salary increases, amongst others. The discount rates used in valuing the plan's benefits obligations were determined with reference to high quality corporate and government bonds that are appropriately matched to the duration of the plan's obligation.</w:t>
      </w:r>
    </w:p>
    <w:p>
      <w:pPr>
        <w:spacing w:after="0" w:line="25"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Contributions are intended to provide for benefits attributable to service both to date and expected to be provided in the future. The Company funds the plan in accordance with the Employee Retirement Income Security Act of 1974, or ERISA. The Company in April 2017, froze the Benefit Plan as it relates to future benefit accruals for participants. The benefit accrual freeze resulted in an adjustment to the Benefit Plan, improving our other comprehensive loss position by $404,000.</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532"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auto"/>
        </w:rPr>
        <w:t>The following table sets forth changes in the plan's net benefit obligation and accumulated benefit information as of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60" w:type="dxa"/>
            <w:vAlign w:val="bottom"/>
          </w:tcPr>
          <w:p>
            <w:pPr>
              <w:ind w:left="20"/>
              <w:spacing w:after="0"/>
              <w:rPr>
                <w:sz w:val="20"/>
                <w:szCs w:val="20"/>
                <w:color w:val="auto"/>
              </w:rPr>
            </w:pPr>
            <w:r>
              <w:rPr>
                <w:rFonts w:ascii="Arial" w:cs="Arial" w:eastAsia="Arial" w:hAnsi="Arial"/>
                <w:sz w:val="11"/>
                <w:szCs w:val="11"/>
                <w:color w:val="auto"/>
              </w:rPr>
              <w:t>($ in thousands)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2018</w:t>
            </w:r>
          </w:p>
        </w:tc>
      </w:tr>
      <w:tr>
        <w:trPr>
          <w:trHeight w:val="179"/>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Change in benefit obligation - Pension</w:t>
            </w: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2"/>
        </w:trPr>
        <w:tc>
          <w:tcPr>
            <w:tcW w:w="7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2"/>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Benefit obligation at beginning of year</w:t>
            </w: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9,406</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10,099</w:t>
            </w:r>
          </w:p>
        </w:tc>
      </w:tr>
      <w:tr>
        <w:trPr>
          <w:trHeight w:val="191"/>
        </w:trPr>
        <w:tc>
          <w:tcPr>
            <w:tcW w:w="7560" w:type="dxa"/>
            <w:vAlign w:val="bottom"/>
          </w:tcPr>
          <w:p>
            <w:pPr>
              <w:ind w:left="300"/>
              <w:spacing w:after="0"/>
              <w:rPr>
                <w:sz w:val="20"/>
                <w:szCs w:val="20"/>
                <w:color w:val="auto"/>
              </w:rPr>
            </w:pPr>
            <w:r>
              <w:rPr>
                <w:rFonts w:ascii="Arial" w:cs="Arial" w:eastAsia="Arial" w:hAnsi="Arial"/>
                <w:sz w:val="14"/>
                <w:szCs w:val="14"/>
                <w:color w:val="auto"/>
              </w:rPr>
              <w:t>Interest cost</w:t>
            </w:r>
          </w:p>
        </w:tc>
        <w:tc>
          <w:tcPr>
            <w:tcW w:w="440" w:type="dxa"/>
            <w:vAlign w:val="bottom"/>
          </w:tcPr>
          <w:p>
            <w:pPr>
              <w:spacing w:after="0"/>
              <w:rPr>
                <w:sz w:val="16"/>
                <w:szCs w:val="16"/>
                <w:color w:val="auto"/>
              </w:rPr>
            </w:pPr>
          </w:p>
        </w:tc>
        <w:tc>
          <w:tcPr>
            <w:tcW w:w="1380" w:type="dxa"/>
            <w:vAlign w:val="bottom"/>
          </w:tcPr>
          <w:p>
            <w:pPr>
              <w:jc w:val="right"/>
              <w:ind w:right="49"/>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365</w:t>
            </w:r>
          </w:p>
        </w:tc>
      </w:tr>
      <w:tr>
        <w:trPr>
          <w:trHeight w:val="22"/>
        </w:trPr>
        <w:tc>
          <w:tcPr>
            <w:tcW w:w="7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Actuarial (gain)/assumption changes</w:t>
            </w: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1,161</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w:t>
            </w:r>
          </w:p>
        </w:tc>
      </w:tr>
      <w:tr>
        <w:trPr>
          <w:trHeight w:val="191"/>
        </w:trPr>
        <w:tc>
          <w:tcPr>
            <w:tcW w:w="7560" w:type="dxa"/>
            <w:vAlign w:val="bottom"/>
          </w:tcPr>
          <w:p>
            <w:pPr>
              <w:ind w:left="300"/>
              <w:spacing w:after="0"/>
              <w:rPr>
                <w:sz w:val="20"/>
                <w:szCs w:val="20"/>
                <w:color w:val="auto"/>
              </w:rPr>
            </w:pPr>
            <w:r>
              <w:rPr>
                <w:rFonts w:ascii="Arial" w:cs="Arial" w:eastAsia="Arial" w:hAnsi="Arial"/>
                <w:sz w:val="14"/>
                <w:szCs w:val="14"/>
                <w:color w:val="auto"/>
              </w:rPr>
              <w:t>Benefits paid</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2"/>
        </w:trPr>
        <w:tc>
          <w:tcPr>
            <w:tcW w:w="7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2"/>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Settlements paid</w:t>
            </w:r>
          </w:p>
        </w:tc>
        <w:tc>
          <w:tcPr>
            <w:tcW w:w="4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Benefit obligation and accumulated benefit obligation at end of year</w:t>
            </w: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10,710</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9,406</w:t>
            </w:r>
          </w:p>
        </w:tc>
      </w:tr>
      <w:tr>
        <w:trPr>
          <w:trHeight w:val="62"/>
        </w:trPr>
        <w:tc>
          <w:tcPr>
            <w:tcW w:w="756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164"/>
        </w:trPr>
        <w:tc>
          <w:tcPr>
            <w:tcW w:w="756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b w:val="1"/>
                <w:bCs w:val="1"/>
                <w:color w:val="auto"/>
              </w:rPr>
              <w:t>Change in Plan Assets</w:t>
            </w:r>
          </w:p>
        </w:tc>
        <w:tc>
          <w:tcPr>
            <w:tcW w:w="4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91"/>
        </w:trPr>
        <w:tc>
          <w:tcPr>
            <w:tcW w:w="7560" w:type="dxa"/>
            <w:vAlign w:val="bottom"/>
          </w:tcPr>
          <w:p>
            <w:pPr>
              <w:ind w:left="300"/>
              <w:spacing w:after="0"/>
              <w:rPr>
                <w:sz w:val="20"/>
                <w:szCs w:val="20"/>
                <w:color w:val="auto"/>
              </w:rPr>
            </w:pPr>
            <w:r>
              <w:rPr>
                <w:rFonts w:ascii="Arial" w:cs="Arial" w:eastAsia="Arial" w:hAnsi="Arial"/>
                <w:sz w:val="14"/>
                <w:szCs w:val="14"/>
                <w:color w:val="auto"/>
              </w:rPr>
              <w:t>Fair value of plan assets at beginning of year</w:t>
            </w:r>
          </w:p>
        </w:tc>
        <w:tc>
          <w:tcPr>
            <w:tcW w:w="4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9"/>
              <w:spacing w:after="0"/>
              <w:rPr>
                <w:sz w:val="20"/>
                <w:szCs w:val="20"/>
                <w:color w:val="auto"/>
              </w:rPr>
            </w:pPr>
            <w:r>
              <w:rPr>
                <w:rFonts w:ascii="Arial" w:cs="Arial" w:eastAsia="Arial" w:hAnsi="Arial"/>
                <w:sz w:val="14"/>
                <w:szCs w:val="14"/>
                <w:color w:val="auto"/>
              </w:rPr>
              <w:t>7,258</w:t>
            </w:r>
          </w:p>
        </w:tc>
        <w:tc>
          <w:tcPr>
            <w:tcW w:w="12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7,819</w:t>
            </w:r>
          </w:p>
        </w:tc>
      </w:tr>
      <w:tr>
        <w:trPr>
          <w:trHeight w:val="22"/>
        </w:trPr>
        <w:tc>
          <w:tcPr>
            <w:tcW w:w="7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Actual return on plan assets</w:t>
            </w: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1,744</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w:t>
            </w:r>
          </w:p>
        </w:tc>
      </w:tr>
      <w:tr>
        <w:trPr>
          <w:trHeight w:val="191"/>
        </w:trPr>
        <w:tc>
          <w:tcPr>
            <w:tcW w:w="7560" w:type="dxa"/>
            <w:vAlign w:val="bottom"/>
          </w:tcPr>
          <w:p>
            <w:pPr>
              <w:ind w:left="300"/>
              <w:spacing w:after="0"/>
              <w:rPr>
                <w:sz w:val="20"/>
                <w:szCs w:val="20"/>
                <w:color w:val="auto"/>
              </w:rPr>
            </w:pPr>
            <w:r>
              <w:rPr>
                <w:rFonts w:ascii="Arial" w:cs="Arial" w:eastAsia="Arial" w:hAnsi="Arial"/>
                <w:sz w:val="14"/>
                <w:szCs w:val="14"/>
                <w:color w:val="auto"/>
              </w:rPr>
              <w:t>Employer contribution</w:t>
            </w:r>
          </w:p>
        </w:tc>
        <w:tc>
          <w:tcPr>
            <w:tcW w:w="440" w:type="dxa"/>
            <w:vAlign w:val="bottom"/>
          </w:tcPr>
          <w:p>
            <w:pPr>
              <w:spacing w:after="0"/>
              <w:rPr>
                <w:sz w:val="16"/>
                <w:szCs w:val="16"/>
                <w:color w:val="auto"/>
              </w:rPr>
            </w:pPr>
          </w:p>
        </w:tc>
        <w:tc>
          <w:tcPr>
            <w:tcW w:w="1380" w:type="dxa"/>
            <w:vAlign w:val="bottom"/>
          </w:tcPr>
          <w:p>
            <w:pPr>
              <w:jc w:val="right"/>
              <w:ind w:right="49"/>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165</w:t>
            </w:r>
          </w:p>
        </w:tc>
      </w:tr>
      <w:tr>
        <w:trPr>
          <w:trHeight w:val="22"/>
        </w:trPr>
        <w:tc>
          <w:tcPr>
            <w:tcW w:w="7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2"/>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Benefits/expenses paid</w:t>
            </w: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Fair value of plan assets at end of year</w:t>
            </w: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8,920</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7,258</w:t>
            </w: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Funded status - liability</w:t>
            </w: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7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Amounts recorded in equity</w:t>
            </w: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r>
      <w:tr>
        <w:trPr>
          <w:trHeight w:val="191"/>
        </w:trPr>
        <w:tc>
          <w:tcPr>
            <w:tcW w:w="7560" w:type="dxa"/>
            <w:vAlign w:val="bottom"/>
          </w:tcPr>
          <w:p>
            <w:pPr>
              <w:ind w:left="300"/>
              <w:spacing w:after="0"/>
              <w:rPr>
                <w:sz w:val="20"/>
                <w:szCs w:val="20"/>
                <w:color w:val="auto"/>
              </w:rPr>
            </w:pPr>
            <w:r>
              <w:rPr>
                <w:rFonts w:ascii="Arial" w:cs="Arial" w:eastAsia="Arial" w:hAnsi="Arial"/>
                <w:sz w:val="14"/>
                <w:szCs w:val="14"/>
                <w:color w:val="auto"/>
              </w:rPr>
              <w:t>Net actuarial loss</w:t>
            </w:r>
          </w:p>
        </w:tc>
        <w:tc>
          <w:tcPr>
            <w:tcW w:w="4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9"/>
              <w:spacing w:after="0"/>
              <w:rPr>
                <w:sz w:val="20"/>
                <w:szCs w:val="20"/>
                <w:color w:val="auto"/>
              </w:rPr>
            </w:pPr>
            <w:r>
              <w:rPr>
                <w:rFonts w:ascii="Arial" w:cs="Arial" w:eastAsia="Arial" w:hAnsi="Arial"/>
                <w:sz w:val="14"/>
                <w:szCs w:val="14"/>
                <w:color w:val="auto"/>
              </w:rPr>
              <w:t>3,027</w:t>
            </w:r>
          </w:p>
        </w:tc>
        <w:tc>
          <w:tcPr>
            <w:tcW w:w="12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3,162</w:t>
            </w: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3"/>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amount recorded</w:t>
            </w: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3,027</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3,162</w:t>
            </w: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Amount recorded, net taxes</w:t>
            </w: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2,180</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2,277</w:t>
            </w:r>
          </w:p>
        </w:tc>
      </w:tr>
      <w:tr>
        <w:trPr>
          <w:trHeight w:val="22"/>
        </w:trPr>
        <w:tc>
          <w:tcPr>
            <w:tcW w:w="7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7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Other changes in plan assets and benefit obligations recognized in other comprehensive income include the following as of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020" w:type="dxa"/>
            <w:vAlign w:val="bottom"/>
          </w:tcPr>
          <w:p>
            <w:pPr>
              <w:spacing w:after="0"/>
              <w:rPr>
                <w:sz w:val="15"/>
                <w:szCs w:val="15"/>
                <w:color w:val="auto"/>
              </w:rPr>
            </w:pPr>
          </w:p>
        </w:tc>
        <w:tc>
          <w:tcPr>
            <w:tcW w:w="1360" w:type="dxa"/>
            <w:vAlign w:val="bottom"/>
          </w:tcPr>
          <w:p>
            <w:pPr>
              <w:jc w:val="right"/>
              <w:ind w:right="969"/>
              <w:spacing w:after="0"/>
              <w:rPr>
                <w:sz w:val="20"/>
                <w:szCs w:val="20"/>
                <w:color w:val="auto"/>
              </w:rPr>
            </w:pPr>
            <w:r>
              <w:rPr>
                <w:rFonts w:ascii="Arial" w:cs="Arial" w:eastAsia="Arial" w:hAnsi="Arial"/>
                <w:sz w:val="14"/>
                <w:szCs w:val="14"/>
                <w:color w:val="auto"/>
                <w:w w:val="96"/>
              </w:rPr>
              <w:t>2019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tcPr>
          <w:p>
            <w:pPr>
              <w:jc w:val="right"/>
              <w:ind w:right="949"/>
              <w:spacing w:after="0"/>
              <w:rPr>
                <w:sz w:val="20"/>
                <w:szCs w:val="20"/>
                <w:color w:val="auto"/>
              </w:rPr>
            </w:pPr>
            <w:r>
              <w:rPr>
                <w:rFonts w:ascii="Arial" w:cs="Arial" w:eastAsia="Arial" w:hAnsi="Arial"/>
                <w:sz w:val="14"/>
                <w:szCs w:val="14"/>
                <w:color w:val="auto"/>
              </w:rPr>
              <w:t>2018</w:t>
            </w: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(gain)</w:t>
            </w: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253</w:t>
            </w:r>
          </w:p>
        </w:tc>
      </w:tr>
      <w:tr>
        <w:trPr>
          <w:trHeight w:val="191"/>
        </w:trPr>
        <w:tc>
          <w:tcPr>
            <w:tcW w:w="6440" w:type="dxa"/>
            <w:vAlign w:val="bottom"/>
          </w:tcPr>
          <w:p>
            <w:pPr>
              <w:ind w:left="20"/>
              <w:spacing w:after="0"/>
              <w:rPr>
                <w:sz w:val="20"/>
                <w:szCs w:val="20"/>
                <w:color w:val="auto"/>
              </w:rPr>
            </w:pPr>
            <w:r>
              <w:rPr>
                <w:rFonts w:ascii="Arial" w:cs="Arial" w:eastAsia="Arial" w:hAnsi="Arial"/>
                <w:sz w:val="14"/>
                <w:szCs w:val="14"/>
                <w:color w:val="auto"/>
              </w:rPr>
              <w:t>Recognition of net actuarial loss</w:t>
            </w:r>
          </w:p>
        </w:tc>
        <w:tc>
          <w:tcPr>
            <w:tcW w:w="10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changes</w:t>
            </w: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189</w:t>
            </w:r>
          </w:p>
        </w:tc>
      </w:tr>
      <w:tr>
        <w:trPr>
          <w:trHeight w:val="181"/>
        </w:trPr>
        <w:tc>
          <w:tcPr>
            <w:tcW w:w="6440" w:type="dxa"/>
            <w:vAlign w:val="bottom"/>
          </w:tcPr>
          <w:p>
            <w:pPr>
              <w:ind w:left="20"/>
              <w:spacing w:after="0"/>
              <w:rPr>
                <w:sz w:val="20"/>
                <w:szCs w:val="20"/>
                <w:color w:val="auto"/>
              </w:rPr>
            </w:pPr>
            <w:r>
              <w:rPr>
                <w:rFonts w:ascii="Arial" w:cs="Arial" w:eastAsia="Arial" w:hAnsi="Arial"/>
                <w:sz w:val="14"/>
                <w:szCs w:val="14"/>
                <w:color w:val="auto"/>
              </w:rPr>
              <w:t>Changes, net of taxes</w:t>
            </w:r>
          </w:p>
        </w:tc>
        <w:tc>
          <w:tcPr>
            <w:tcW w:w="1020" w:type="dxa"/>
            <w:vAlign w:val="bottom"/>
            <w:tcBorders>
              <w:top w:val="single" w:sz="8" w:color="auto"/>
            </w:tcBorders>
          </w:tcPr>
          <w:p>
            <w:pPr>
              <w:jc w:val="right"/>
              <w:ind w:right="84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136</w:t>
            </w:r>
          </w:p>
        </w:tc>
      </w:tr>
      <w:tr>
        <w:trPr>
          <w:trHeight w:val="22"/>
        </w:trPr>
        <w:tc>
          <w:tcPr>
            <w:tcW w:w="6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5"/>
        </w:trPr>
        <w:tc>
          <w:tcPr>
            <w:tcW w:w="7460" w:type="dxa"/>
            <w:vAlign w:val="bottom"/>
            <w:gridSpan w:val="2"/>
          </w:tcPr>
          <w:p>
            <w:pPr>
              <w:spacing w:after="0"/>
              <w:rPr>
                <w:sz w:val="20"/>
                <w:szCs w:val="20"/>
                <w:color w:val="auto"/>
              </w:rPr>
            </w:pPr>
            <w:r>
              <w:rPr>
                <w:rFonts w:ascii="Arial" w:cs="Arial" w:eastAsia="Arial" w:hAnsi="Arial"/>
                <w:sz w:val="14"/>
                <w:szCs w:val="14"/>
                <w:color w:val="auto"/>
                <w:w w:val="91"/>
              </w:rPr>
              <w:t>The Company expects to recognize the following amounts as a component of net periodic pension costs during the next fiscal year:</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70"/>
        </w:trPr>
        <w:tc>
          <w:tcPr>
            <w:tcW w:w="6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2"/>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return on plan assets</w:t>
            </w:r>
          </w:p>
        </w:tc>
        <w:tc>
          <w:tcPr>
            <w:tcW w:w="10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643</w:t>
            </w:r>
          </w:p>
        </w:tc>
      </w:tr>
      <w:tr>
        <w:trPr>
          <w:trHeight w:val="191"/>
        </w:trPr>
        <w:tc>
          <w:tcPr>
            <w:tcW w:w="644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22"/>
        </w:trPr>
        <w:tc>
          <w:tcPr>
            <w:tcW w:w="6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2"/>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net gain/(loss)</w:t>
            </w:r>
          </w:p>
        </w:tc>
        <w:tc>
          <w:tcPr>
            <w:tcW w:w="10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1"/>
        </w:trPr>
        <w:tc>
          <w:tcPr>
            <w:tcW w:w="6440" w:type="dxa"/>
            <w:vAlign w:val="bottom"/>
          </w:tcPr>
          <w:p>
            <w:pPr>
              <w:ind w:left="20"/>
              <w:spacing w:after="0"/>
              <w:rPr>
                <w:sz w:val="20"/>
                <w:szCs w:val="20"/>
                <w:color w:val="auto"/>
              </w:rPr>
            </w:pPr>
            <w:r>
              <w:rPr>
                <w:rFonts w:ascii="Arial" w:cs="Arial" w:eastAsia="Arial" w:hAnsi="Arial"/>
                <w:sz w:val="14"/>
                <w:szCs w:val="14"/>
                <w:color w:val="auto"/>
              </w:rPr>
              <w:t>Net periodic pension benefit/(cost)</w:t>
            </w: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237</w:t>
            </w:r>
          </w:p>
        </w:tc>
      </w:tr>
      <w:tr>
        <w:trPr>
          <w:trHeight w:val="22"/>
        </w:trPr>
        <w:tc>
          <w:tcPr>
            <w:tcW w:w="6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At December 31, 2019 and 2018, the Company had a long-term pension liability. For 2020, the Company is estimating that contributions to the pension plan will be approximately $165,000.</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Based on actuarial estimates, it is expected that annual benefit payments from the pension trust will be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00" w:type="dxa"/>
            <w:vAlign w:val="bottom"/>
          </w:tcPr>
          <w:p>
            <w:pPr>
              <w:jc w:val="right"/>
              <w:ind w:right="129"/>
              <w:spacing w:after="0"/>
              <w:rPr>
                <w:sz w:val="20"/>
                <w:szCs w:val="20"/>
                <w:color w:val="auto"/>
              </w:rPr>
            </w:pPr>
            <w:r>
              <w:rPr>
                <w:rFonts w:ascii="Arial" w:cs="Arial" w:eastAsia="Arial" w:hAnsi="Arial"/>
                <w:sz w:val="14"/>
                <w:szCs w:val="14"/>
                <w:color w:val="auto"/>
              </w:rPr>
              <w:t>2020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2022</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2024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ind w:right="529"/>
              <w:spacing w:after="0"/>
              <w:rPr>
                <w:sz w:val="20"/>
                <w:szCs w:val="20"/>
                <w:color w:val="auto"/>
              </w:rPr>
            </w:pPr>
            <w:r>
              <w:rPr>
                <w:rFonts w:ascii="Arial" w:cs="Arial" w:eastAsia="Arial" w:hAnsi="Arial"/>
                <w:sz w:val="14"/>
                <w:szCs w:val="14"/>
                <w:color w:val="auto"/>
              </w:rPr>
              <w:t>Thereafter</w:t>
            </w:r>
          </w:p>
        </w:tc>
      </w:tr>
      <w:tr>
        <w:trPr>
          <w:trHeight w:val="22"/>
        </w:trPr>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1200" w:type="dxa"/>
            <w:vAlign w:val="bottom"/>
            <w:shd w:val="clear" w:color="auto" w:fill="CCEEFF"/>
          </w:tcPr>
          <w:p>
            <w:pPr>
              <w:jc w:val="right"/>
              <w:ind w:right="102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0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8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0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8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2,453</w:t>
            </w:r>
          </w:p>
        </w:tc>
      </w:tr>
      <w:tr>
        <w:trPr>
          <w:trHeight w:val="22"/>
        </w:trPr>
        <w:tc>
          <w:tcPr>
            <w:tcW w:w="1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r>
    </w:tbl>
    <w:p>
      <w:pPr>
        <w:spacing w:after="0" w:line="53"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Plan assets consist of equity, debt and short-term money market investment funds. The Benefit Plan’s current investment policy changed during the third quarter of 2018. The new policy is an investment strategy in which the primary focus is to minimize the volatility of the funding ratio. This objective will result in a prescribed asset mix between "return seeking" assets (e.g. stocks) and a bond portfolio (e.g., long duration bonds) according to a pre-determined customized investment strategy based on the Plan's Funded Status as the primary input. This path will be used as a reference point as to the mix of assets, which by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80"/>
          </w:cols>
          <w:pgMar w:left="300" w:top="532" w:right="319" w:bottom="1440" w:gutter="0" w:footer="0" w:header="0"/>
        </w:sectPr>
      </w:pPr>
    </w:p>
    <w:bookmarkStart w:id="103" w:name="page104"/>
    <w:bookmarkEnd w:id="103"/>
    <w:p>
      <w:pPr>
        <w:ind w:right="20"/>
        <w:spacing w:after="0" w:line="313" w:lineRule="auto"/>
        <w:rPr>
          <w:sz w:val="20"/>
          <w:szCs w:val="20"/>
          <w:color w:val="auto"/>
        </w:rPr>
      </w:pPr>
      <w:r>
        <w:rPr>
          <w:rFonts w:ascii="Arial" w:cs="Arial" w:eastAsia="Arial" w:hAnsi="Arial"/>
          <w:sz w:val="12"/>
          <w:szCs w:val="12"/>
          <w:color w:val="auto"/>
        </w:rPr>
        <w:t>design will de-emphasize the return seeking portion as funded status improves. At December 31, 2019, the investment mix was approximately 66% equity, 33% debt, and 1% money market funds. At December 31, 2018, the investment mix was approximately 64% equity, 35% debt and 1% money market funds. Equity investments consist of a combination of individual equity securities plus value funds, growth funds, large cap funds and international stock funds. Debt investments consist of U.S. Treasury securities and investment grade corporate debt. The weighted-average discount rate used in determining the periodic pension cost is 3.20% in 2019 and 4.20% in 2018. The expected long-term rate of return on plan assets is 7.3% in 2019 and 7.5% in 2018. The long-term rate of return on plan assets is based on the historical returns within the plan and expectations for future returns. See the following table for fair value hierarchy by investment type at December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780" w:type="dxa"/>
            <w:vAlign w:val="bottom"/>
            <w:gridSpan w:val="2"/>
          </w:tcPr>
          <w:p>
            <w:pPr>
              <w:jc w:val="center"/>
              <w:ind w:left="289"/>
              <w:spacing w:after="0"/>
              <w:rPr>
                <w:sz w:val="20"/>
                <w:szCs w:val="20"/>
                <w:color w:val="auto"/>
              </w:rPr>
            </w:pPr>
            <w:r>
              <w:rPr>
                <w:rFonts w:ascii="Arial" w:cs="Arial" w:eastAsia="Arial" w:hAnsi="Arial"/>
                <w:sz w:val="14"/>
                <w:szCs w:val="14"/>
                <w:color w:val="auto"/>
                <w:w w:val="92"/>
              </w:rPr>
              <w:t>Fair Value Hierarchy</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ind w:right="89"/>
              <w:spacing w:after="0"/>
              <w:rPr>
                <w:sz w:val="20"/>
                <w:szCs w:val="20"/>
                <w:color w:val="auto"/>
              </w:rPr>
            </w:pPr>
            <w:r>
              <w:rPr>
                <w:rFonts w:ascii="Arial" w:cs="Arial" w:eastAsia="Arial" w:hAnsi="Arial"/>
                <w:sz w:val="14"/>
                <w:szCs w:val="14"/>
                <w:color w:val="auto"/>
              </w:rPr>
              <w:t>2019</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2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
        </w:trPr>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Pension Plan Assets:</w:t>
            </w: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55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5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Cash and Cash Equivalents</w:t>
            </w:r>
          </w:p>
        </w:tc>
        <w:tc>
          <w:tcPr>
            <w:tcW w:w="6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ind w:right="249"/>
              <w:spacing w:after="0"/>
              <w:rPr>
                <w:sz w:val="20"/>
                <w:szCs w:val="20"/>
                <w:color w:val="auto"/>
              </w:rPr>
            </w:pPr>
            <w:r>
              <w:rPr>
                <w:rFonts w:ascii="Arial" w:cs="Arial" w:eastAsia="Arial" w:hAnsi="Arial"/>
                <w:sz w:val="14"/>
                <w:szCs w:val="14"/>
                <w:color w:val="auto"/>
                <w:w w:val="92"/>
              </w:rPr>
              <w:t>Level 1</w:t>
            </w: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1"/>
        </w:trPr>
        <w:tc>
          <w:tcPr>
            <w:tcW w:w="5540" w:type="dxa"/>
            <w:vAlign w:val="bottom"/>
          </w:tcPr>
          <w:p>
            <w:pPr>
              <w:ind w:left="300"/>
              <w:spacing w:after="0"/>
              <w:rPr>
                <w:sz w:val="20"/>
                <w:szCs w:val="20"/>
                <w:color w:val="auto"/>
              </w:rPr>
            </w:pPr>
            <w:r>
              <w:rPr>
                <w:rFonts w:ascii="Arial" w:cs="Arial" w:eastAsia="Arial" w:hAnsi="Arial"/>
                <w:sz w:val="14"/>
                <w:szCs w:val="14"/>
                <w:color w:val="auto"/>
              </w:rPr>
              <w:t>Collective Funds</w:t>
            </w:r>
          </w:p>
        </w:tc>
        <w:tc>
          <w:tcPr>
            <w:tcW w:w="680" w:type="dxa"/>
            <w:vAlign w:val="bottom"/>
          </w:tcPr>
          <w:p>
            <w:pPr>
              <w:spacing w:after="0"/>
              <w:rPr>
                <w:sz w:val="16"/>
                <w:szCs w:val="16"/>
                <w:color w:val="auto"/>
              </w:rPr>
            </w:pPr>
          </w:p>
        </w:tc>
        <w:tc>
          <w:tcPr>
            <w:tcW w:w="1100" w:type="dxa"/>
            <w:vAlign w:val="bottom"/>
          </w:tcPr>
          <w:p>
            <w:pPr>
              <w:jc w:val="center"/>
              <w:ind w:right="249"/>
              <w:spacing w:after="0"/>
              <w:rPr>
                <w:sz w:val="20"/>
                <w:szCs w:val="20"/>
                <w:color w:val="auto"/>
              </w:rPr>
            </w:pPr>
            <w:r>
              <w:rPr>
                <w:rFonts w:ascii="Arial" w:cs="Arial" w:eastAsia="Arial" w:hAnsi="Arial"/>
                <w:sz w:val="14"/>
                <w:szCs w:val="14"/>
                <w:color w:val="auto"/>
                <w:w w:val="92"/>
              </w:rPr>
              <w:t>Level 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8,872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7,163</w:t>
            </w:r>
          </w:p>
        </w:tc>
        <w:tc>
          <w:tcPr>
            <w:tcW w:w="0" w:type="dxa"/>
            <w:vAlign w:val="bottom"/>
          </w:tcPr>
          <w:p>
            <w:pPr>
              <w:spacing w:after="0"/>
              <w:rPr>
                <w:sz w:val="1"/>
                <w:szCs w:val="1"/>
                <w:color w:val="auto"/>
              </w:rPr>
            </w:pPr>
          </w:p>
        </w:tc>
      </w:tr>
      <w:tr>
        <w:trPr>
          <w:trHeight w:val="22"/>
        </w:trPr>
        <w:tc>
          <w:tcPr>
            <w:tcW w:w="55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plan assets</w:t>
            </w:r>
          </w:p>
        </w:tc>
        <w:tc>
          <w:tcPr>
            <w:tcW w:w="6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8,920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7,258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2"/>
              </w:rPr>
              <w:t>Total pension and retirement expense was as follows for each of the years ended December 31:</w:t>
            </w:r>
          </w:p>
        </w:tc>
        <w:tc>
          <w:tcPr>
            <w:tcW w:w="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5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5540" w:type="dxa"/>
            <w:vAlign w:val="bottom"/>
          </w:tcPr>
          <w:p>
            <w:pPr>
              <w:ind w:left="20"/>
              <w:spacing w:after="0"/>
              <w:rPr>
                <w:sz w:val="20"/>
                <w:szCs w:val="20"/>
                <w:color w:val="auto"/>
              </w:rPr>
            </w:pPr>
            <w:r>
              <w:rPr>
                <w:rFonts w:ascii="Arial" w:cs="Arial" w:eastAsia="Arial" w:hAnsi="Arial"/>
                <w:sz w:val="11"/>
                <w:szCs w:val="11"/>
                <w:color w:val="auto"/>
              </w:rPr>
              <w:t>($ in thousands)</w:t>
            </w:r>
          </w:p>
        </w:tc>
        <w:tc>
          <w:tcPr>
            <w:tcW w:w="1780" w:type="dxa"/>
            <w:vAlign w:val="bottom"/>
            <w:gridSpan w:val="2"/>
          </w:tcPr>
          <w:p>
            <w:pPr>
              <w:jc w:val="right"/>
              <w:ind w:right="89"/>
              <w:spacing w:after="0"/>
              <w:rPr>
                <w:sz w:val="20"/>
                <w:szCs w:val="20"/>
                <w:color w:val="auto"/>
              </w:rPr>
            </w:pPr>
            <w:r>
              <w:rPr>
                <w:rFonts w:ascii="Arial" w:cs="Arial" w:eastAsia="Arial" w:hAnsi="Arial"/>
                <w:sz w:val="14"/>
                <w:szCs w:val="14"/>
                <w:color w:val="auto"/>
              </w:rPr>
              <w:t>2019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ind w:right="29"/>
              <w:spacing w:after="0"/>
              <w:rPr>
                <w:sz w:val="20"/>
                <w:szCs w:val="20"/>
                <w:color w:val="auto"/>
              </w:rPr>
            </w:pPr>
            <w:r>
              <w:rPr>
                <w:rFonts w:ascii="Arial" w:cs="Arial" w:eastAsia="Arial" w:hAnsi="Arial"/>
                <w:sz w:val="14"/>
                <w:szCs w:val="14"/>
                <w:color w:val="auto"/>
              </w:rPr>
              <w:t>2018</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62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79"/>
        </w:trPr>
        <w:tc>
          <w:tcPr>
            <w:tcW w:w="5540" w:type="dxa"/>
            <w:vAlign w:val="bottom"/>
          </w:tcPr>
          <w:p>
            <w:pPr>
              <w:ind w:left="20"/>
              <w:spacing w:after="0"/>
              <w:rPr>
                <w:sz w:val="20"/>
                <w:szCs w:val="20"/>
                <w:color w:val="auto"/>
              </w:rPr>
            </w:pPr>
            <w:r>
              <w:rPr>
                <w:rFonts w:ascii="Arial" w:cs="Arial" w:eastAsia="Arial" w:hAnsi="Arial"/>
                <w:sz w:val="14"/>
                <w:szCs w:val="14"/>
                <w:color w:val="auto"/>
              </w:rPr>
              <w:t>Cost components:</w:t>
            </w:r>
          </w:p>
        </w:tc>
        <w:tc>
          <w:tcPr>
            <w:tcW w:w="6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5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Service cost</w:t>
            </w:r>
          </w:p>
        </w:tc>
        <w:tc>
          <w:tcPr>
            <w:tcW w:w="1780" w:type="dxa"/>
            <w:vAlign w:val="bottom"/>
            <w:tcBorders>
              <w:bottom w:val="single" w:sz="8" w:color="CCEEFF"/>
            </w:tcBorders>
            <w:gridSpan w:val="2"/>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gridSpan w:val="3"/>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1"/>
        </w:trPr>
        <w:tc>
          <w:tcPr>
            <w:tcW w:w="5540" w:type="dxa"/>
            <w:vAlign w:val="bottom"/>
          </w:tcPr>
          <w:p>
            <w:pPr>
              <w:ind w:left="300"/>
              <w:spacing w:after="0"/>
              <w:rPr>
                <w:sz w:val="20"/>
                <w:szCs w:val="20"/>
                <w:color w:val="auto"/>
              </w:rPr>
            </w:pPr>
            <w:r>
              <w:rPr>
                <w:rFonts w:ascii="Arial" w:cs="Arial" w:eastAsia="Arial" w:hAnsi="Arial"/>
                <w:sz w:val="14"/>
                <w:szCs w:val="14"/>
                <w:color w:val="auto"/>
              </w:rPr>
              <w:t>Interest cost</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(389)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Expected return on plan assets</w:t>
            </w:r>
          </w:p>
        </w:tc>
        <w:tc>
          <w:tcPr>
            <w:tcW w:w="6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522</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585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91"/>
        </w:trPr>
        <w:tc>
          <w:tcPr>
            <w:tcW w:w="5540" w:type="dxa"/>
            <w:vAlign w:val="bottom"/>
          </w:tcPr>
          <w:p>
            <w:pPr>
              <w:ind w:left="300"/>
              <w:spacing w:after="0"/>
              <w:rPr>
                <w:sz w:val="20"/>
                <w:szCs w:val="20"/>
                <w:color w:val="auto"/>
              </w:rPr>
            </w:pPr>
            <w:r>
              <w:rPr>
                <w:rFonts w:ascii="Arial" w:cs="Arial" w:eastAsia="Arial" w:hAnsi="Arial"/>
                <w:sz w:val="14"/>
                <w:szCs w:val="14"/>
                <w:color w:val="auto"/>
              </w:rPr>
              <w:t>Net amortization and deferral</w:t>
            </w: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(75)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Settlement recognition</w:t>
            </w:r>
          </w:p>
        </w:tc>
        <w:tc>
          <w:tcPr>
            <w:tcW w:w="6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1"/>
        </w:trPr>
        <w:tc>
          <w:tcPr>
            <w:tcW w:w="5540" w:type="dxa"/>
            <w:vAlign w:val="bottom"/>
          </w:tcPr>
          <w:p>
            <w:pPr>
              <w:ind w:left="20"/>
              <w:spacing w:after="0"/>
              <w:rPr>
                <w:sz w:val="20"/>
                <w:szCs w:val="20"/>
                <w:color w:val="auto"/>
              </w:rPr>
            </w:pPr>
            <w:r>
              <w:rPr>
                <w:rFonts w:ascii="Arial" w:cs="Arial" w:eastAsia="Arial" w:hAnsi="Arial"/>
                <w:sz w:val="14"/>
                <w:szCs w:val="14"/>
                <w:color w:val="auto"/>
              </w:rPr>
              <w:t>Total net periodic pension earnings/(cost)</w:t>
            </w:r>
          </w:p>
        </w:tc>
        <w:tc>
          <w:tcPr>
            <w:tcW w:w="680" w:type="dxa"/>
            <w:vAlign w:val="bottom"/>
          </w:tcPr>
          <w:p>
            <w:pPr>
              <w:spacing w:after="0"/>
              <w:rPr>
                <w:sz w:val="15"/>
                <w:szCs w:val="15"/>
                <w:color w:val="auto"/>
              </w:rPr>
            </w:pPr>
          </w:p>
        </w:tc>
        <w:tc>
          <w:tcPr>
            <w:tcW w:w="1100" w:type="dxa"/>
            <w:vAlign w:val="bottom"/>
            <w:tcBorders>
              <w:top w:val="single" w:sz="8" w:color="auto"/>
            </w:tcBorders>
          </w:tcPr>
          <w:p>
            <w:pPr>
              <w:jc w:val="right"/>
              <w:ind w:right="929"/>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58</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jc w:val="right"/>
              <w:ind w:right="86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The Company in April 2017, froze the SERP as it relates to the accrual of additional benefits resulting in a SERP liability adjustment, improving our other comprehensive loss position by $328,000.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SERP benefit information is as of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40" w:type="dxa"/>
            <w:vAlign w:val="bottom"/>
          </w:tcPr>
          <w:p>
            <w:pPr>
              <w:ind w:left="20"/>
              <w:spacing w:after="0"/>
              <w:rPr>
                <w:sz w:val="20"/>
                <w:szCs w:val="20"/>
                <w:color w:val="auto"/>
              </w:rPr>
            </w:pPr>
            <w:r>
              <w:rPr>
                <w:rFonts w:ascii="Arial" w:cs="Arial" w:eastAsia="Arial" w:hAnsi="Arial"/>
                <w:sz w:val="11"/>
                <w:szCs w:val="11"/>
                <w:color w:val="auto"/>
              </w:rPr>
              <w:t>($ in thousands)</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rPr>
              <w:t>2018</w:t>
            </w:r>
          </w:p>
        </w:tc>
      </w:tr>
      <w:tr>
        <w:trPr>
          <w:trHeight w:val="179"/>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Change in benefit obligation - SERP</w:t>
            </w: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2"/>
        </w:trPr>
        <w:tc>
          <w:tcPr>
            <w:tcW w:w="7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Benefit obligation at beginning of year</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7,750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7,759</w:t>
            </w: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Interest cost</w:t>
            </w:r>
          </w:p>
        </w:tc>
        <w:tc>
          <w:tcPr>
            <w:tcW w:w="46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268</w:t>
            </w:r>
          </w:p>
        </w:tc>
      </w:tr>
      <w:tr>
        <w:trPr>
          <w:trHeight w:val="22"/>
        </w:trPr>
        <w:tc>
          <w:tcPr>
            <w:tcW w:w="7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Actuarial gain/assumption changes</w:t>
            </w:r>
          </w:p>
        </w:tc>
        <w:tc>
          <w:tcPr>
            <w:tcW w:w="4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486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267</w:t>
            </w:r>
          </w:p>
        </w:tc>
      </w:tr>
      <w:tr>
        <w:trPr>
          <w:trHeight w:val="191"/>
        </w:trPr>
        <w:tc>
          <w:tcPr>
            <w:tcW w:w="7340" w:type="dxa"/>
            <w:vAlign w:val="bottom"/>
          </w:tcPr>
          <w:p>
            <w:pPr>
              <w:ind w:left="300"/>
              <w:spacing w:after="0"/>
              <w:rPr>
                <w:sz w:val="20"/>
                <w:szCs w:val="20"/>
                <w:color w:val="auto"/>
              </w:rPr>
            </w:pPr>
            <w:r>
              <w:rPr>
                <w:rFonts w:ascii="Arial" w:cs="Arial" w:eastAsia="Arial" w:hAnsi="Arial"/>
                <w:sz w:val="14"/>
                <w:szCs w:val="14"/>
                <w:color w:val="auto"/>
              </w:rPr>
              <w:t>Benefits paid</w:t>
            </w:r>
          </w:p>
        </w:tc>
        <w:tc>
          <w:tcPr>
            <w:tcW w:w="460" w:type="dxa"/>
            <w:vAlign w:val="bottom"/>
          </w:tcPr>
          <w:p>
            <w:pPr>
              <w:spacing w:after="0"/>
              <w:rPr>
                <w:sz w:val="16"/>
                <w:szCs w:val="16"/>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(544)</w:t>
            </w:r>
          </w:p>
        </w:tc>
      </w:tr>
      <w:tr>
        <w:trPr>
          <w:trHeight w:val="22"/>
        </w:trPr>
        <w:tc>
          <w:tcPr>
            <w:tcW w:w="7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2"/>
        </w:trPr>
        <w:tc>
          <w:tcPr>
            <w:tcW w:w="7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Curtailments</w:t>
            </w:r>
          </w:p>
        </w:tc>
        <w:tc>
          <w:tcPr>
            <w:tcW w:w="4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7340" w:type="dxa"/>
            <w:vAlign w:val="bottom"/>
          </w:tcPr>
          <w:p>
            <w:pPr>
              <w:ind w:left="300"/>
              <w:spacing w:after="0"/>
              <w:rPr>
                <w:sz w:val="20"/>
                <w:szCs w:val="20"/>
                <w:color w:val="auto"/>
              </w:rPr>
            </w:pPr>
            <w:r>
              <w:rPr>
                <w:rFonts w:ascii="Arial" w:cs="Arial" w:eastAsia="Arial" w:hAnsi="Arial"/>
                <w:sz w:val="14"/>
                <w:szCs w:val="14"/>
                <w:color w:val="auto"/>
              </w:rPr>
              <w:t>Benefit obligation and accumulated benefit obligation at end of year</w:t>
            </w: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8,011</w:t>
            </w:r>
          </w:p>
        </w:tc>
        <w:tc>
          <w:tcPr>
            <w:tcW w:w="100" w:type="dxa"/>
            <w:vAlign w:val="bottom"/>
          </w:tcPr>
          <w:p>
            <w:pPr>
              <w:spacing w:after="0"/>
              <w:rPr>
                <w:sz w:val="15"/>
                <w:szCs w:val="15"/>
                <w:color w:val="auto"/>
              </w:rPr>
            </w:pP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7,750</w:t>
            </w:r>
          </w:p>
        </w:tc>
      </w:tr>
      <w:tr>
        <w:trPr>
          <w:trHeight w:val="22"/>
        </w:trPr>
        <w:tc>
          <w:tcPr>
            <w:tcW w:w="7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Funded status - liability</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(8,011)</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40" w:type="dxa"/>
            <w:vAlign w:val="bottom"/>
          </w:tcPr>
          <w:p>
            <w:pPr>
              <w:spacing w:after="0"/>
              <w:rPr>
                <w:sz w:val="20"/>
                <w:szCs w:val="20"/>
                <w:color w:val="auto"/>
              </w:rPr>
            </w:pPr>
            <w:r>
              <w:rPr>
                <w:rFonts w:ascii="Arial" w:cs="Arial" w:eastAsia="Arial" w:hAnsi="Arial"/>
                <w:sz w:val="11"/>
                <w:szCs w:val="11"/>
                <w:color w:val="auto"/>
              </w:rPr>
              <w:t>($ in thousands)</w:t>
            </w:r>
          </w:p>
        </w:tc>
        <w:tc>
          <w:tcPr>
            <w:tcW w:w="3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79"/>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Amounts recorded in stockholders’ equity</w:t>
            </w:r>
          </w:p>
        </w:tc>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40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Net actuarial loss (gain)</w:t>
            </w:r>
          </w:p>
        </w:tc>
        <w:tc>
          <w:tcPr>
            <w:tcW w:w="35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2,402</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181"/>
        </w:trPr>
        <w:tc>
          <w:tcPr>
            <w:tcW w:w="4040" w:type="dxa"/>
            <w:vAlign w:val="bottom"/>
          </w:tcPr>
          <w:p>
            <w:pPr>
              <w:ind w:left="300"/>
              <w:spacing w:after="0"/>
              <w:rPr>
                <w:sz w:val="20"/>
                <w:szCs w:val="20"/>
                <w:color w:val="auto"/>
              </w:rPr>
            </w:pPr>
            <w:r>
              <w:rPr>
                <w:rFonts w:ascii="Arial" w:cs="Arial" w:eastAsia="Arial" w:hAnsi="Arial"/>
                <w:sz w:val="14"/>
                <w:szCs w:val="14"/>
                <w:color w:val="auto"/>
              </w:rPr>
              <w:t>Total amount recorded</w:t>
            </w:r>
          </w:p>
        </w:tc>
        <w:tc>
          <w:tcPr>
            <w:tcW w:w="3520" w:type="dxa"/>
            <w:vAlign w:val="bottom"/>
          </w:tcPr>
          <w:p>
            <w:pPr>
              <w:spacing w:after="0"/>
              <w:rPr>
                <w:sz w:val="15"/>
                <w:szCs w:val="15"/>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2,402</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22"/>
        </w:trPr>
        <w:tc>
          <w:tcPr>
            <w:tcW w:w="404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Amount recorded, net taxes</w:t>
            </w:r>
          </w:p>
        </w:tc>
        <w:tc>
          <w:tcPr>
            <w:tcW w:w="3960" w:type="dxa"/>
            <w:vAlign w:val="bottom"/>
            <w:tcBorders>
              <w:bottom w:val="single" w:sz="8" w:color="CCEEFF"/>
            </w:tcBorders>
            <w:gridSpan w:val="2"/>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1,730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1729"/>
              <w:spacing w:after="0"/>
              <w:rPr>
                <w:sz w:val="20"/>
                <w:szCs w:val="20"/>
                <w:color w:val="auto"/>
              </w:rPr>
            </w:pPr>
            <w:r>
              <w:rPr>
                <w:rFonts w:ascii="Arial" w:cs="Arial" w:eastAsia="Arial" w:hAnsi="Arial"/>
                <w:sz w:val="14"/>
                <w:szCs w:val="14"/>
                <w:color w:val="auto"/>
              </w:rPr>
              <w:t>104</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32"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Other changes in benefit obligations recognized in other comprehensive income for 2019 and 2018 included the following components: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 in thousands)</w:t>
            </w:r>
          </w:p>
        </w:tc>
        <w:tc>
          <w:tcPr>
            <w:tcW w:w="4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2019</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87"/>
        </w:trPr>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w:t>
            </w: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2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91"/>
        </w:trPr>
        <w:tc>
          <w:tcPr>
            <w:tcW w:w="2480" w:type="dxa"/>
            <w:vAlign w:val="bottom"/>
            <w:gridSpan w:val="4"/>
          </w:tcPr>
          <w:p>
            <w:pPr>
              <w:ind w:left="20"/>
              <w:spacing w:after="0"/>
              <w:rPr>
                <w:sz w:val="20"/>
                <w:szCs w:val="20"/>
                <w:color w:val="auto"/>
              </w:rPr>
            </w:pPr>
            <w:r>
              <w:rPr>
                <w:rFonts w:ascii="Arial" w:cs="Arial" w:eastAsia="Arial" w:hAnsi="Arial"/>
                <w:sz w:val="14"/>
                <w:szCs w:val="14"/>
                <w:color w:val="auto"/>
                <w:w w:val="95"/>
              </w:rPr>
              <w:t>Recognition of net actuarial gain or (loss)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2"/>
        </w:trPr>
        <w:tc>
          <w:tcPr>
            <w:tcW w:w="1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changes</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2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424</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1"/>
        </w:trPr>
        <w:tc>
          <w:tcPr>
            <w:tcW w:w="1320" w:type="dxa"/>
            <w:vAlign w:val="bottom"/>
          </w:tcPr>
          <w:p>
            <w:pPr>
              <w:ind w:left="20"/>
              <w:spacing w:after="0"/>
              <w:rPr>
                <w:sz w:val="20"/>
                <w:szCs w:val="20"/>
                <w:color w:val="auto"/>
              </w:rPr>
            </w:pPr>
            <w:r>
              <w:rPr>
                <w:rFonts w:ascii="Arial" w:cs="Arial" w:eastAsia="Arial" w:hAnsi="Arial"/>
                <w:sz w:val="14"/>
                <w:szCs w:val="14"/>
                <w:color w:val="auto"/>
                <w:w w:val="93"/>
              </w:rPr>
              <w:t>Changes, net of taxes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top w:val="single" w:sz="8" w:color="auto"/>
            </w:tcBorders>
            <w:gridSpan w:val="2"/>
          </w:tcPr>
          <w:p>
            <w:pPr>
              <w:jc w:val="right"/>
              <w:ind w:right="120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305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2"/>
        </w:trPr>
        <w:tc>
          <w:tcPr>
            <w:tcW w:w="17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860" w:type="dxa"/>
            <w:vAlign w:val="bottom"/>
            <w:gridSpan w:val="14"/>
          </w:tcPr>
          <w:p>
            <w:pPr>
              <w:spacing w:after="0"/>
              <w:rPr>
                <w:sz w:val="20"/>
                <w:szCs w:val="20"/>
                <w:color w:val="auto"/>
              </w:rPr>
            </w:pPr>
            <w:r>
              <w:rPr>
                <w:rFonts w:ascii="Arial" w:cs="Arial" w:eastAsia="Arial" w:hAnsi="Arial"/>
                <w:sz w:val="14"/>
                <w:szCs w:val="14"/>
                <w:color w:val="auto"/>
                <w:w w:val="96"/>
              </w:rPr>
              <w:t>The Company expects to recognize the following amounts as a component of net periodic pension costs during the next fiscal year ($ in thousands):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cost</w:t>
            </w: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91"/>
        </w:trPr>
        <w:tc>
          <w:tcPr>
            <w:tcW w:w="1820" w:type="dxa"/>
            <w:vAlign w:val="bottom"/>
            <w:gridSpan w:val="3"/>
          </w:tcPr>
          <w:p>
            <w:pPr>
              <w:ind w:left="20"/>
              <w:spacing w:after="0"/>
              <w:rPr>
                <w:sz w:val="20"/>
                <w:szCs w:val="20"/>
                <w:color w:val="auto"/>
              </w:rPr>
            </w:pPr>
            <w:r>
              <w:rPr>
                <w:rFonts w:ascii="Arial" w:cs="Arial" w:eastAsia="Arial" w:hAnsi="Arial"/>
                <w:sz w:val="14"/>
                <w:szCs w:val="14"/>
                <w:color w:val="auto"/>
                <w:w w:val="96"/>
              </w:rPr>
              <w:t>Amortization of net (gain)/loss</w:t>
            </w: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gridSpan w:val="2"/>
          </w:tcPr>
          <w:p>
            <w:pPr>
              <w:spacing w:after="0" w:line="20" w:lineRule="exact"/>
              <w:rPr>
                <w:sz w:val="1"/>
                <w:szCs w:val="1"/>
                <w:color w:val="auto"/>
              </w:rPr>
            </w:pPr>
          </w:p>
        </w:tc>
        <w:tc>
          <w:tcPr>
            <w:tcW w:w="760" w:type="dxa"/>
            <w:vAlign w:val="bottom"/>
            <w:tcBorders>
              <w:bottom w:val="single" w:sz="8" w:color="CCEEFF"/>
            </w:tcBorders>
            <w:gridSpan w:val="2"/>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4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Net periodic pension earnings/(cost)</w:t>
            </w: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gridSpan w:val="10"/>
            <w:vMerge w:val="restart"/>
          </w:tcPr>
          <w:p>
            <w:pPr>
              <w:spacing w:after="0"/>
              <w:rPr>
                <w:sz w:val="20"/>
                <w:szCs w:val="20"/>
                <w:color w:val="auto"/>
              </w:rPr>
            </w:pPr>
            <w:r>
              <w:rPr>
                <w:rFonts w:ascii="Arial" w:cs="Arial" w:eastAsia="Arial" w:hAnsi="Arial"/>
                <w:sz w:val="14"/>
                <w:szCs w:val="14"/>
                <w:color w:val="auto"/>
                <w:w w:val="97"/>
              </w:rPr>
              <w:t>Based on actuarial estimates, it is expected that annual SERP benefit payments will be as follows ($ in thousands):</w:t>
            </w: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960" w:type="dxa"/>
            <w:vAlign w:val="bottom"/>
            <w:gridSpan w:val="10"/>
            <w:vMerge w:val="continue"/>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1320" w:type="dxa"/>
            <w:vAlign w:val="bottom"/>
          </w:tcPr>
          <w:p>
            <w:pPr>
              <w:ind w:left="720"/>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jc w:val="right"/>
              <w:ind w:right="689"/>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709"/>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24"/>
                <w:szCs w:val="24"/>
                <w:color w:val="auto"/>
              </w:rPr>
            </w:pP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right"/>
              <w:ind w:right="529"/>
              <w:spacing w:after="0"/>
              <w:rPr>
                <w:sz w:val="20"/>
                <w:szCs w:val="20"/>
                <w:color w:val="auto"/>
              </w:rPr>
            </w:pPr>
            <w:r>
              <w:rPr>
                <w:rFonts w:ascii="Arial" w:cs="Arial" w:eastAsia="Arial" w:hAnsi="Arial"/>
                <w:sz w:val="14"/>
                <w:szCs w:val="14"/>
                <w:color w:val="auto"/>
              </w:rPr>
              <w:t>Thereafter</w:t>
            </w:r>
          </w:p>
        </w:tc>
        <w:tc>
          <w:tcPr>
            <w:tcW w:w="0" w:type="dxa"/>
            <w:vAlign w:val="bottom"/>
          </w:tcPr>
          <w:p>
            <w:pPr>
              <w:spacing w:after="0"/>
              <w:rPr>
                <w:sz w:val="1"/>
                <w:szCs w:val="1"/>
                <w:color w:val="auto"/>
              </w:rPr>
            </w:pPr>
          </w:p>
        </w:tc>
      </w:tr>
      <w:tr>
        <w:trPr>
          <w:trHeight w:val="22"/>
        </w:trPr>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0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512</w:t>
            </w:r>
          </w:p>
        </w:tc>
        <w:tc>
          <w:tcPr>
            <w:tcW w:w="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1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2,663</w:t>
            </w:r>
          </w:p>
        </w:tc>
        <w:tc>
          <w:tcPr>
            <w:tcW w:w="0" w:type="dxa"/>
            <w:vAlign w:val="bottom"/>
          </w:tcPr>
          <w:p>
            <w:pPr>
              <w:spacing w:after="0"/>
              <w:rPr>
                <w:sz w:val="1"/>
                <w:szCs w:val="1"/>
                <w:color w:val="auto"/>
              </w:rPr>
            </w:pPr>
          </w:p>
        </w:tc>
      </w:tr>
      <w:tr>
        <w:trPr>
          <w:trHeight w:val="22"/>
        </w:trPr>
        <w:tc>
          <w:tcPr>
            <w:tcW w:w="13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The weighted-average discount rate and rate of increase in future compensation levels used in determining the actuarial present value of projected benefits obligation was 2.95% and 0.0% for 2019, 4.05% and 0.0% for 2018, and 3.40% and 0.00% for 2017. Total pension and retirement expense was as follows for each of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60" w:type="dxa"/>
            <w:vAlign w:val="bottom"/>
          </w:tcPr>
          <w:p>
            <w:pPr>
              <w:ind w:left="20"/>
              <w:spacing w:after="0"/>
              <w:rPr>
                <w:sz w:val="20"/>
                <w:szCs w:val="20"/>
                <w:color w:val="auto"/>
              </w:rPr>
            </w:pPr>
            <w:r>
              <w:rPr>
                <w:rFonts w:ascii="Arial" w:cs="Arial" w:eastAsia="Arial" w:hAnsi="Arial"/>
                <w:sz w:val="11"/>
                <w:szCs w:val="11"/>
                <w:color w:val="auto"/>
              </w:rPr>
              <w:t>($ in thousands)</w:t>
            </w:r>
          </w:p>
        </w:tc>
        <w:tc>
          <w:tcPr>
            <w:tcW w:w="2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79"/>
        </w:trPr>
        <w:tc>
          <w:tcPr>
            <w:tcW w:w="3960" w:type="dxa"/>
            <w:vAlign w:val="bottom"/>
          </w:tcPr>
          <w:p>
            <w:pPr>
              <w:ind w:left="20"/>
              <w:spacing w:after="0"/>
              <w:rPr>
                <w:sz w:val="20"/>
                <w:szCs w:val="20"/>
                <w:color w:val="auto"/>
              </w:rPr>
            </w:pPr>
            <w:r>
              <w:rPr>
                <w:rFonts w:ascii="Arial" w:cs="Arial" w:eastAsia="Arial" w:hAnsi="Arial"/>
                <w:sz w:val="14"/>
                <w:szCs w:val="14"/>
                <w:color w:val="auto"/>
              </w:rPr>
              <w:t>Cost components:</w:t>
            </w:r>
          </w:p>
        </w:tc>
        <w:tc>
          <w:tcPr>
            <w:tcW w:w="2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3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Interest cost</w:t>
            </w:r>
          </w:p>
        </w:tc>
        <w:tc>
          <w:tcPr>
            <w:tcW w:w="2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(303)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91"/>
        </w:trPr>
        <w:tc>
          <w:tcPr>
            <w:tcW w:w="3960" w:type="dxa"/>
            <w:vAlign w:val="bottom"/>
          </w:tcPr>
          <w:p>
            <w:pPr>
              <w:ind w:left="300"/>
              <w:spacing w:after="0"/>
              <w:rPr>
                <w:sz w:val="20"/>
                <w:szCs w:val="20"/>
                <w:color w:val="auto"/>
              </w:rPr>
            </w:pPr>
            <w:r>
              <w:rPr>
                <w:rFonts w:ascii="Arial" w:cs="Arial" w:eastAsia="Arial" w:hAnsi="Arial"/>
                <w:sz w:val="14"/>
                <w:szCs w:val="14"/>
                <w:color w:val="auto"/>
              </w:rPr>
              <w:t>Net amortization and other</w:t>
            </w:r>
          </w:p>
        </w:tc>
        <w:tc>
          <w:tcPr>
            <w:tcW w:w="2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2"/>
        </w:trPr>
        <w:tc>
          <w:tcPr>
            <w:tcW w:w="39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periodic pension earnings/(cost)</w:t>
            </w:r>
          </w:p>
        </w:tc>
        <w:tc>
          <w:tcPr>
            <w:tcW w:w="2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389"/>
              <w:spacing w:after="0"/>
              <w:rPr>
                <w:sz w:val="20"/>
                <w:szCs w:val="20"/>
                <w:color w:val="auto"/>
              </w:rPr>
            </w:pPr>
            <w:r>
              <w:rPr>
                <w:rFonts w:ascii="Arial" w:cs="Arial" w:eastAsia="Arial" w:hAnsi="Arial"/>
                <w:sz w:val="14"/>
                <w:szCs w:val="14"/>
                <w:color w:val="auto"/>
              </w:rPr>
              <w:t>105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9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32" w:right="319" w:bottom="1440" w:gutter="0" w:footer="0" w:header="0"/>
        </w:sectPr>
      </w:pPr>
    </w:p>
    <w:bookmarkStart w:id="105" w:name="page106"/>
    <w:bookmarkEnd w:id="105"/>
    <w:p>
      <w:pPr>
        <w:spacing w:after="0"/>
        <w:tabs>
          <w:tab w:leader="none" w:pos="300" w:val="left"/>
        </w:tabs>
        <w:rPr>
          <w:sz w:val="20"/>
          <w:szCs w:val="20"/>
          <w:color w:val="auto"/>
        </w:rPr>
      </w:pPr>
      <w:r>
        <w:rPr>
          <w:rFonts w:ascii="Arial" w:cs="Arial" w:eastAsia="Arial" w:hAnsi="Arial"/>
          <w:sz w:val="14"/>
          <w:szCs w:val="14"/>
          <w:b w:val="1"/>
          <w:bCs w:val="1"/>
          <w:color w:val="auto"/>
        </w:rPr>
        <w:t>16.</w:t>
        <w:tab/>
        <w:t>REPORTING SEGMENTS AND RELATED INFORMATION</w:t>
      </w:r>
    </w:p>
    <w:p>
      <w:pPr>
        <w:spacing w:after="0" w:line="140"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We currently operate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7, "Management's Discussion and Analysis of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Information pertaining to operating results of the Company's reporting segments are as follows for each of the years ended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80" w:type="dxa"/>
            <w:vAlign w:val="bottom"/>
            <w:gridSpan w:val="4"/>
          </w:tcPr>
          <w:p>
            <w:pPr>
              <w:ind w:left="20"/>
              <w:spacing w:after="0"/>
              <w:rPr>
                <w:sz w:val="20"/>
                <w:szCs w:val="20"/>
                <w:color w:val="auto"/>
              </w:rPr>
            </w:pPr>
            <w:r>
              <w:rPr>
                <w:rFonts w:ascii="Arial" w:cs="Arial" w:eastAsia="Arial" w:hAnsi="Arial"/>
                <w:sz w:val="14"/>
                <w:szCs w:val="14"/>
                <w:color w:val="auto"/>
              </w:rPr>
              <w:t>($ in thousands)</w:t>
            </w:r>
          </w:p>
        </w:tc>
        <w:tc>
          <w:tcPr>
            <w:tcW w:w="460" w:type="dxa"/>
            <w:vAlign w:val="bottom"/>
          </w:tcPr>
          <w:p>
            <w:pPr>
              <w:spacing w:after="0"/>
              <w:rPr>
                <w:sz w:val="15"/>
                <w:szCs w:val="15"/>
                <w:color w:val="auto"/>
              </w:rPr>
            </w:pPr>
          </w:p>
        </w:tc>
        <w:tc>
          <w:tcPr>
            <w:tcW w:w="1460" w:type="dxa"/>
            <w:vAlign w:val="bottom"/>
          </w:tcPr>
          <w:p>
            <w:pPr>
              <w:jc w:val="right"/>
              <w:ind w:right="72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74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74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52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528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3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Real estate—commercial/industrial</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16,792</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8,970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9,001</w:t>
            </w:r>
          </w:p>
        </w:tc>
        <w:tc>
          <w:tcPr>
            <w:tcW w:w="0" w:type="dxa"/>
            <w:vAlign w:val="bottom"/>
          </w:tcPr>
          <w:p>
            <w:pPr>
              <w:spacing w:after="0"/>
              <w:rPr>
                <w:sz w:val="1"/>
                <w:szCs w:val="1"/>
                <w:color w:val="auto"/>
              </w:rPr>
            </w:pPr>
          </w:p>
        </w:tc>
      </w:tr>
      <w:tr>
        <w:trPr>
          <w:trHeight w:val="191"/>
        </w:trPr>
        <w:tc>
          <w:tcPr>
            <w:tcW w:w="5280" w:type="dxa"/>
            <w:vAlign w:val="bottom"/>
            <w:gridSpan w:val="4"/>
          </w:tcPr>
          <w:p>
            <w:pPr>
              <w:ind w:left="20"/>
              <w:spacing w:after="0"/>
              <w:rPr>
                <w:sz w:val="20"/>
                <w:szCs w:val="20"/>
                <w:color w:val="auto"/>
              </w:rPr>
            </w:pPr>
            <w:r>
              <w:rPr>
                <w:rFonts w:ascii="Arial" w:cs="Arial" w:eastAsia="Arial" w:hAnsi="Arial"/>
                <w:sz w:val="14"/>
                <w:szCs w:val="14"/>
                <w:color w:val="auto"/>
              </w:rPr>
              <w:t>Mineral resources</w:t>
            </w:r>
          </w:p>
        </w:tc>
        <w:tc>
          <w:tcPr>
            <w:tcW w:w="460" w:type="dxa"/>
            <w:vAlign w:val="bottom"/>
          </w:tcPr>
          <w:p>
            <w:pPr>
              <w:spacing w:after="0"/>
              <w:rPr>
                <w:sz w:val="16"/>
                <w:szCs w:val="16"/>
                <w:color w:val="auto"/>
              </w:rPr>
            </w:pP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9,791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14,395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5,983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Farming</w:t>
            </w: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19,331</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18,563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16,434</w:t>
            </w:r>
          </w:p>
        </w:tc>
        <w:tc>
          <w:tcPr>
            <w:tcW w:w="0" w:type="dxa"/>
            <w:vAlign w:val="bottom"/>
          </w:tcPr>
          <w:p>
            <w:pPr>
              <w:spacing w:after="0"/>
              <w:rPr>
                <w:sz w:val="1"/>
                <w:szCs w:val="1"/>
                <w:color w:val="auto"/>
              </w:rPr>
            </w:pPr>
          </w:p>
        </w:tc>
      </w:tr>
      <w:tr>
        <w:trPr>
          <w:trHeight w:val="191"/>
        </w:trPr>
        <w:tc>
          <w:tcPr>
            <w:tcW w:w="5280" w:type="dxa"/>
            <w:vAlign w:val="bottom"/>
            <w:gridSpan w:val="4"/>
          </w:tcPr>
          <w:p>
            <w:pPr>
              <w:ind w:left="20"/>
              <w:spacing w:after="0"/>
              <w:rPr>
                <w:sz w:val="20"/>
                <w:szCs w:val="20"/>
                <w:color w:val="auto"/>
              </w:rPr>
            </w:pPr>
            <w:r>
              <w:rPr>
                <w:rFonts w:ascii="Arial" w:cs="Arial" w:eastAsia="Arial" w:hAnsi="Arial"/>
                <w:sz w:val="14"/>
                <w:szCs w:val="14"/>
                <w:color w:val="auto"/>
              </w:rPr>
              <w:t>Ranch operations</w:t>
            </w:r>
          </w:p>
        </w:tc>
        <w:tc>
          <w:tcPr>
            <w:tcW w:w="460" w:type="dxa"/>
            <w:vAlign w:val="bottom"/>
          </w:tcPr>
          <w:p>
            <w:pPr>
              <w:spacing w:after="0"/>
              <w:rPr>
                <w:sz w:val="16"/>
                <w:szCs w:val="16"/>
                <w:color w:val="auto"/>
              </w:rPr>
            </w:pP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3,609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3,691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3,837</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Segment revenues</w:t>
            </w: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49,523</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45,619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35,255</w:t>
            </w:r>
          </w:p>
        </w:tc>
        <w:tc>
          <w:tcPr>
            <w:tcW w:w="0" w:type="dxa"/>
            <w:vAlign w:val="bottom"/>
          </w:tcPr>
          <w:p>
            <w:pPr>
              <w:spacing w:after="0"/>
              <w:rPr>
                <w:sz w:val="1"/>
                <w:szCs w:val="1"/>
                <w:color w:val="auto"/>
              </w:rPr>
            </w:pPr>
          </w:p>
        </w:tc>
      </w:tr>
      <w:tr>
        <w:trPr>
          <w:trHeight w:val="181"/>
        </w:trPr>
        <w:tc>
          <w:tcPr>
            <w:tcW w:w="5280" w:type="dxa"/>
            <w:vAlign w:val="bottom"/>
            <w:gridSpan w:val="4"/>
          </w:tcPr>
          <w:p>
            <w:pPr>
              <w:ind w:left="20"/>
              <w:spacing w:after="0"/>
              <w:rPr>
                <w:sz w:val="20"/>
                <w:szCs w:val="20"/>
                <w:color w:val="auto"/>
              </w:rPr>
            </w:pPr>
            <w:r>
              <w:rPr>
                <w:rFonts w:ascii="Arial" w:cs="Arial" w:eastAsia="Arial" w:hAnsi="Arial"/>
                <w:sz w:val="14"/>
                <w:szCs w:val="14"/>
                <w:color w:val="auto"/>
              </w:rPr>
              <w:t>Equity in unconsolidated joint ventures, net</w:t>
            </w:r>
          </w:p>
        </w:tc>
        <w:tc>
          <w:tcPr>
            <w:tcW w:w="4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16,575</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3,834</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Investment income</w:t>
            </w:r>
          </w:p>
        </w:tc>
        <w:tc>
          <w:tcPr>
            <w:tcW w:w="4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1,239</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1,344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60" w:type="dxa"/>
            <w:vAlign w:val="bottom"/>
            <w:gridSpan w:val="3"/>
          </w:tcPr>
          <w:p>
            <w:pPr>
              <w:ind w:left="120"/>
              <w:spacing w:after="0"/>
              <w:rPr>
                <w:sz w:val="20"/>
                <w:szCs w:val="20"/>
                <w:color w:val="auto"/>
              </w:rPr>
            </w:pPr>
            <w:r>
              <w:rPr>
                <w:rFonts w:ascii="Arial" w:cs="Arial" w:eastAsia="Arial" w:hAnsi="Arial"/>
                <w:sz w:val="14"/>
                <w:szCs w:val="14"/>
                <w:color w:val="auto"/>
              </w:rPr>
              <w:t>Total revenues and other income</w:t>
            </w:r>
          </w:p>
        </w:tc>
        <w:tc>
          <w:tcPr>
            <w:tcW w:w="4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67,337</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50,738</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39,669</w:t>
            </w:r>
          </w:p>
        </w:tc>
        <w:tc>
          <w:tcPr>
            <w:tcW w:w="0" w:type="dxa"/>
            <w:vAlign w:val="bottom"/>
          </w:tcPr>
          <w:p>
            <w:pPr>
              <w:spacing w:after="0"/>
              <w:rPr>
                <w:sz w:val="1"/>
                <w:szCs w:val="1"/>
                <w:color w:val="auto"/>
              </w:rPr>
            </w:pPr>
          </w:p>
        </w:tc>
      </w:tr>
      <w:tr>
        <w:trPr>
          <w:trHeight w:val="62"/>
        </w:trPr>
        <w:tc>
          <w:tcPr>
            <w:tcW w:w="2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378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shd w:val="clear" w:color="auto" w:fill="CCEEFF"/>
          </w:tcPr>
          <w:p>
            <w:pPr>
              <w:spacing w:after="0"/>
              <w:rPr>
                <w:sz w:val="9"/>
                <w:szCs w:val="9"/>
                <w:color w:val="auto"/>
              </w:rPr>
            </w:pPr>
          </w:p>
        </w:tc>
        <w:tc>
          <w:tcPr>
            <w:tcW w:w="5260" w:type="dxa"/>
            <w:vAlign w:val="bottom"/>
            <w:gridSpan w:val="3"/>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Segment Profits (Losses)</w:t>
            </w:r>
          </w:p>
        </w:tc>
        <w:tc>
          <w:tcPr>
            <w:tcW w:w="4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60" w:type="dxa"/>
            <w:vAlign w:val="bottom"/>
            <w:gridSpan w:val="3"/>
          </w:tcPr>
          <w:p>
            <w:pPr>
              <w:spacing w:after="0"/>
              <w:rPr>
                <w:sz w:val="20"/>
                <w:szCs w:val="20"/>
                <w:color w:val="auto"/>
              </w:rPr>
            </w:pPr>
            <w:r>
              <w:rPr>
                <w:rFonts w:ascii="Arial" w:cs="Arial" w:eastAsia="Arial" w:hAnsi="Arial"/>
                <w:sz w:val="14"/>
                <w:szCs w:val="14"/>
                <w:color w:val="auto"/>
              </w:rPr>
              <w:t>Real estate—commercial/industrial</w:t>
            </w:r>
          </w:p>
        </w:tc>
        <w:tc>
          <w:tcPr>
            <w:tcW w:w="460" w:type="dxa"/>
            <w:vAlign w:val="bottom"/>
          </w:tcPr>
          <w:p>
            <w:pPr>
              <w:spacing w:after="0"/>
              <w:rPr>
                <w:sz w:val="16"/>
                <w:szCs w:val="16"/>
                <w:color w:val="auto"/>
              </w:rPr>
            </w:pP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3,831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2,724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Real estate—resort/residential</w:t>
            </w: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(2,247)</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191"/>
        </w:trPr>
        <w:tc>
          <w:tcPr>
            <w:tcW w:w="5280" w:type="dxa"/>
            <w:vAlign w:val="bottom"/>
            <w:gridSpan w:val="4"/>
          </w:tcPr>
          <w:p>
            <w:pPr>
              <w:ind w:left="20"/>
              <w:spacing w:after="0"/>
              <w:rPr>
                <w:sz w:val="20"/>
                <w:szCs w:val="20"/>
                <w:color w:val="auto"/>
              </w:rPr>
            </w:pPr>
            <w:r>
              <w:rPr>
                <w:rFonts w:ascii="Arial" w:cs="Arial" w:eastAsia="Arial" w:hAnsi="Arial"/>
                <w:sz w:val="14"/>
                <w:szCs w:val="14"/>
                <w:color w:val="auto"/>
              </w:rPr>
              <w:t>Mineral resources</w:t>
            </w:r>
          </w:p>
        </w:tc>
        <w:tc>
          <w:tcPr>
            <w:tcW w:w="460" w:type="dxa"/>
            <w:vAlign w:val="bottom"/>
          </w:tcPr>
          <w:p>
            <w:pPr>
              <w:spacing w:after="0"/>
              <w:rPr>
                <w:sz w:val="16"/>
                <w:szCs w:val="16"/>
                <w:color w:val="auto"/>
              </w:rPr>
            </w:pP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3,973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8,172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Farming</w:t>
            </w: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4,080</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2,535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91"/>
        </w:trPr>
        <w:tc>
          <w:tcPr>
            <w:tcW w:w="5280" w:type="dxa"/>
            <w:vAlign w:val="bottom"/>
            <w:gridSpan w:val="4"/>
          </w:tcPr>
          <w:p>
            <w:pPr>
              <w:ind w:left="20"/>
              <w:spacing w:after="0"/>
              <w:rPr>
                <w:sz w:val="20"/>
                <w:szCs w:val="20"/>
                <w:color w:val="auto"/>
              </w:rPr>
            </w:pPr>
            <w:r>
              <w:rPr>
                <w:rFonts w:ascii="Arial" w:cs="Arial" w:eastAsia="Arial" w:hAnsi="Arial"/>
                <w:sz w:val="14"/>
                <w:szCs w:val="14"/>
                <w:color w:val="auto"/>
              </w:rPr>
              <w:t>Ranch operations</w:t>
            </w: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(1,707)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(1,760)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60" w:type="dxa"/>
            <w:vAlign w:val="bottom"/>
            <w:gridSpan w:val="3"/>
            <w:shd w:val="clear" w:color="auto" w:fill="CCEEFF"/>
          </w:tcPr>
          <w:p>
            <w:pPr>
              <w:ind w:left="120"/>
              <w:spacing w:after="0" w:line="203" w:lineRule="exact"/>
              <w:rPr>
                <w:sz w:val="20"/>
                <w:szCs w:val="20"/>
                <w:color w:val="auto"/>
              </w:rPr>
            </w:pPr>
            <w:r>
              <w:rPr>
                <w:rFonts w:ascii="Arial" w:cs="Arial" w:eastAsia="Arial" w:hAnsi="Arial"/>
                <w:sz w:val="14"/>
                <w:szCs w:val="14"/>
                <w:color w:val="auto"/>
              </w:rPr>
              <w:t xml:space="preserve">Segment profits </w:t>
            </w:r>
            <w:r>
              <w:rPr>
                <w:rFonts w:ascii="Arial" w:cs="Arial" w:eastAsia="Arial" w:hAnsi="Arial"/>
                <w:sz w:val="19"/>
                <w:szCs w:val="19"/>
                <w:color w:val="auto"/>
                <w:vertAlign w:val="superscript"/>
              </w:rPr>
              <w:t>(1)</w:t>
            </w: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7,930</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10,141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2,195</w:t>
            </w:r>
          </w:p>
        </w:tc>
        <w:tc>
          <w:tcPr>
            <w:tcW w:w="0" w:type="dxa"/>
            <w:vAlign w:val="bottom"/>
          </w:tcPr>
          <w:p>
            <w:pPr>
              <w:spacing w:after="0"/>
              <w:rPr>
                <w:sz w:val="1"/>
                <w:szCs w:val="1"/>
                <w:color w:val="auto"/>
              </w:rPr>
            </w:pPr>
          </w:p>
        </w:tc>
      </w:tr>
      <w:tr>
        <w:trPr>
          <w:trHeight w:val="181"/>
        </w:trPr>
        <w:tc>
          <w:tcPr>
            <w:tcW w:w="5280" w:type="dxa"/>
            <w:vAlign w:val="bottom"/>
            <w:gridSpan w:val="4"/>
          </w:tcPr>
          <w:p>
            <w:pPr>
              <w:ind w:left="20"/>
              <w:spacing w:after="0"/>
              <w:rPr>
                <w:sz w:val="20"/>
                <w:szCs w:val="20"/>
                <w:color w:val="auto"/>
              </w:rPr>
            </w:pPr>
            <w:r>
              <w:rPr>
                <w:rFonts w:ascii="Arial" w:cs="Arial" w:eastAsia="Arial" w:hAnsi="Arial"/>
                <w:sz w:val="14"/>
                <w:szCs w:val="14"/>
                <w:color w:val="auto"/>
              </w:rPr>
              <w:t>Equity in unconsolidated joint ventures, net</w:t>
            </w:r>
          </w:p>
        </w:tc>
        <w:tc>
          <w:tcPr>
            <w:tcW w:w="460" w:type="dxa"/>
            <w:vAlign w:val="bottom"/>
          </w:tcPr>
          <w:p>
            <w:pPr>
              <w:spacing w:after="0"/>
              <w:rPr>
                <w:sz w:val="15"/>
                <w:szCs w:val="15"/>
                <w:color w:val="auto"/>
              </w:rPr>
            </w:pP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16,575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3,834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Investment income</w:t>
            </w: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1,239</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1,344</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91"/>
        </w:trPr>
        <w:tc>
          <w:tcPr>
            <w:tcW w:w="5280" w:type="dxa"/>
            <w:vAlign w:val="bottom"/>
            <w:gridSpan w:val="4"/>
          </w:tcPr>
          <w:p>
            <w:pPr>
              <w:ind w:left="20"/>
              <w:spacing w:after="0"/>
              <w:rPr>
                <w:sz w:val="20"/>
                <w:szCs w:val="20"/>
                <w:color w:val="auto"/>
              </w:rPr>
            </w:pPr>
            <w:r>
              <w:rPr>
                <w:rFonts w:ascii="Arial" w:cs="Arial" w:eastAsia="Arial" w:hAnsi="Arial"/>
                <w:sz w:val="14"/>
                <w:szCs w:val="14"/>
                <w:color w:val="auto"/>
              </w:rPr>
              <w:t>Other income</w:t>
            </w: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4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(9,361)</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(9,705)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60" w:type="dxa"/>
            <w:vAlign w:val="bottom"/>
            <w:gridSpan w:val="3"/>
          </w:tcPr>
          <w:p>
            <w:pPr>
              <w:ind w:left="120"/>
              <w:spacing w:after="0"/>
              <w:rPr>
                <w:sz w:val="20"/>
                <w:szCs w:val="20"/>
                <w:color w:val="auto"/>
              </w:rPr>
            </w:pPr>
            <w:r>
              <w:rPr>
                <w:rFonts w:ascii="Arial" w:cs="Arial" w:eastAsia="Arial" w:hAnsi="Arial"/>
                <w:sz w:val="14"/>
                <w:szCs w:val="14"/>
                <w:color w:val="auto"/>
              </w:rPr>
              <w:t>Income from operations before income taxes</w:t>
            </w: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14,559</w:t>
            </w:r>
          </w:p>
        </w:tc>
        <w:tc>
          <w:tcPr>
            <w:tcW w:w="120" w:type="dxa"/>
            <w:vAlign w:val="bottom"/>
          </w:tcPr>
          <w:p>
            <w:pPr>
              <w:spacing w:after="0"/>
              <w:rPr>
                <w:sz w:val="15"/>
                <w:szCs w:val="15"/>
                <w:color w:val="auto"/>
              </w:rPr>
            </w:pP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5,555</w:t>
            </w:r>
          </w:p>
        </w:tc>
        <w:tc>
          <w:tcPr>
            <w:tcW w:w="100" w:type="dxa"/>
            <w:vAlign w:val="bottom"/>
          </w:tcPr>
          <w:p>
            <w:pPr>
              <w:spacing w:after="0"/>
              <w:rPr>
                <w:sz w:val="15"/>
                <w:szCs w:val="15"/>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(3,104)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20" w:hanging="94"/>
        <w:spacing w:after="0"/>
        <w:tabs>
          <w:tab w:leader="none" w:pos="120" w:val="left"/>
        </w:tabs>
        <w:numPr>
          <w:ilvl w:val="0"/>
          <w:numId w:val="48"/>
        </w:numPr>
        <w:rPr>
          <w:rFonts w:ascii="Arial" w:cs="Arial" w:eastAsia="Arial" w:hAnsi="Arial"/>
          <w:sz w:val="7"/>
          <w:szCs w:val="7"/>
          <w:color w:val="auto"/>
        </w:rPr>
      </w:pPr>
      <w:r>
        <w:rPr>
          <w:rFonts w:ascii="Arial" w:cs="Arial" w:eastAsia="Arial" w:hAnsi="Arial"/>
          <w:sz w:val="11"/>
          <w:szCs w:val="11"/>
          <w:color w:val="auto"/>
        </w:rPr>
        <w:t>Segment profits are revenues less operating expenses, excluding investment income and expense, corporate expenses, equity in earnings of unconsolidated joint ventures, and income taxes.</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Real estate - Commercial/Industrial</w:t>
      </w:r>
    </w:p>
    <w:p>
      <w:pPr>
        <w:spacing w:after="0" w:line="136" w:lineRule="exact"/>
        <w:rPr>
          <w:sz w:val="20"/>
          <w:szCs w:val="20"/>
          <w:color w:val="auto"/>
        </w:rPr>
      </w:pPr>
    </w:p>
    <w:p>
      <w:pPr>
        <w:jc w:val="both"/>
        <w:ind w:right="160"/>
        <w:spacing w:after="0" w:line="368" w:lineRule="auto"/>
        <w:rPr>
          <w:sz w:val="20"/>
          <w:szCs w:val="20"/>
          <w:color w:val="auto"/>
        </w:rPr>
      </w:pPr>
      <w:r>
        <w:rPr>
          <w:rFonts w:ascii="Arial" w:cs="Arial" w:eastAsia="Arial" w:hAnsi="Arial"/>
          <w:sz w:val="12"/>
          <w:szCs w:val="12"/>
          <w:color w:val="auto"/>
        </w:rPr>
        <w:t>Commercial revenue consists of land and building leases to tenants at our commercial retail and industrial developments, base and percentage rents from our PEF power plant lease, communication tower rents, land sales, and payments from easement leases. The following table summarizes revenues, expenses and operating income from this segment for each of the years ended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20" w:type="dxa"/>
            <w:vAlign w:val="bottom"/>
          </w:tcPr>
          <w:p>
            <w:pPr>
              <w:spacing w:after="0"/>
              <w:rPr>
                <w:sz w:val="15"/>
                <w:szCs w:val="15"/>
                <w:color w:val="auto"/>
              </w:rPr>
            </w:pPr>
          </w:p>
        </w:tc>
        <w:tc>
          <w:tcPr>
            <w:tcW w:w="1060" w:type="dxa"/>
            <w:vAlign w:val="bottom"/>
          </w:tcPr>
          <w:p>
            <w:pPr>
              <w:jc w:val="right"/>
              <w:ind w:right="46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Arial" w:cs="Arial" w:eastAsia="Arial" w:hAnsi="Arial"/>
                <w:sz w:val="14"/>
                <w:szCs w:val="14"/>
                <w:color w:val="auto"/>
              </w:rPr>
              <w:t>2017</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Commercial revenues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16,792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8,970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9,001</w:t>
            </w:r>
          </w:p>
        </w:tc>
      </w:tr>
      <w:tr>
        <w:trPr>
          <w:trHeight w:val="191"/>
        </w:trPr>
        <w:tc>
          <w:tcPr>
            <w:tcW w:w="7000" w:type="dxa"/>
            <w:vAlign w:val="bottom"/>
          </w:tcPr>
          <w:p>
            <w:pPr>
              <w:ind w:left="220"/>
              <w:spacing w:after="0"/>
              <w:rPr>
                <w:sz w:val="20"/>
                <w:szCs w:val="20"/>
                <w:color w:val="auto"/>
              </w:rPr>
            </w:pPr>
            <w:r>
              <w:rPr>
                <w:rFonts w:ascii="Arial" w:cs="Arial" w:eastAsia="Arial" w:hAnsi="Arial"/>
                <w:sz w:val="14"/>
                <w:szCs w:val="14"/>
                <w:color w:val="auto"/>
              </w:rPr>
              <w:t>Equity in earnings of unconsolidated joint ventures</w:t>
            </w:r>
          </w:p>
        </w:tc>
        <w:tc>
          <w:tcPr>
            <w:tcW w:w="3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16,575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3,834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4,227</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revenues and equity in earnings of unconsolidated joint ventures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33,367</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12,804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13,228</w:t>
            </w: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Commercial expenses</w:t>
            </w:r>
          </w:p>
        </w:tc>
        <w:tc>
          <w:tcPr>
            <w:tcW w:w="32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12,961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6,246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6,529</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commercial and unconsolidated joint ventures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20,406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6,558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6,699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The resort/residential real estate development segment is actively involved in the land entitlement and development process internally and through joint venture entities. The segment produced losses of $2,247,000, $1,530,000, and $1,955,000 during the years ended December 31, 2019, 2018, and 2017,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80"/>
          </w:cols>
          <w:pgMar w:left="300" w:top="592" w:right="319" w:bottom="1440" w:gutter="0" w:footer="0" w:header="0"/>
        </w:sectPr>
      </w:pPr>
    </w:p>
    <w:bookmarkStart w:id="106" w:name="page107"/>
    <w:bookmarkEnd w:id="106"/>
    <w:p>
      <w:pPr>
        <w:ind w:right="180"/>
        <w:spacing w:after="0" w:line="281" w:lineRule="auto"/>
        <w:rPr>
          <w:sz w:val="20"/>
          <w:szCs w:val="20"/>
          <w:color w:val="auto"/>
        </w:rPr>
      </w:pPr>
      <w:r>
        <w:rPr>
          <w:rFonts w:ascii="Arial" w:cs="Arial" w:eastAsia="Arial" w:hAnsi="Arial"/>
          <w:sz w:val="14"/>
          <w:szCs w:val="14"/>
          <w:color w:val="auto"/>
        </w:rPr>
        <w:t>The mineral resources segment receives oil and mineral royalties from the exploration and development companies that extract or mine the natural resources from our land along with revenue from water sales. The following table summarizes revenues, expenses and operating results from this segment for each of the years ended December 31: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880" w:type="dxa"/>
            <w:vAlign w:val="bottom"/>
          </w:tcPr>
          <w:p>
            <w:pPr>
              <w:jc w:val="right"/>
              <w:spacing w:after="0"/>
              <w:rPr>
                <w:sz w:val="20"/>
                <w:szCs w:val="20"/>
                <w:color w:val="auto"/>
              </w:rPr>
            </w:pPr>
            <w:r>
              <w:rPr>
                <w:rFonts w:ascii="Arial" w:cs="Arial" w:eastAsia="Arial" w:hAnsi="Arial"/>
                <w:sz w:val="14"/>
                <w:szCs w:val="14"/>
                <w:color w:val="auto"/>
              </w:rPr>
              <w:t>2019</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Arial" w:cs="Arial" w:eastAsia="Arial" w:hAnsi="Arial"/>
                <w:sz w:val="14"/>
                <w:szCs w:val="14"/>
                <w:color w:val="auto"/>
              </w:rPr>
              <w:t>2017</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Mineral resources revenues</w:t>
            </w:r>
          </w:p>
        </w:tc>
        <w:tc>
          <w:tcPr>
            <w:tcW w:w="880" w:type="dxa"/>
            <w:vAlign w:val="bottom"/>
            <w:tcBorders>
              <w:bottom w:val="single" w:sz="8" w:color="CCEEFF"/>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9,791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14,395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5,983</w:t>
            </w:r>
          </w:p>
        </w:tc>
      </w:tr>
      <w:tr>
        <w:trPr>
          <w:trHeight w:val="191"/>
        </w:trPr>
        <w:tc>
          <w:tcPr>
            <w:tcW w:w="7000" w:type="dxa"/>
            <w:vAlign w:val="bottom"/>
          </w:tcPr>
          <w:p>
            <w:pPr>
              <w:ind w:left="220"/>
              <w:spacing w:after="0"/>
              <w:rPr>
                <w:sz w:val="20"/>
                <w:szCs w:val="20"/>
                <w:color w:val="auto"/>
              </w:rPr>
            </w:pPr>
            <w:r>
              <w:rPr>
                <w:rFonts w:ascii="Arial" w:cs="Arial" w:eastAsia="Arial" w:hAnsi="Arial"/>
                <w:sz w:val="14"/>
                <w:szCs w:val="14"/>
                <w:color w:val="auto"/>
              </w:rPr>
              <w:t>Mineral resources expenses</w:t>
            </w: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5,818</w:t>
            </w:r>
          </w:p>
        </w:tc>
        <w:tc>
          <w:tcPr>
            <w:tcW w:w="12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6,223</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2,964</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mineral resources</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3,973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8,172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3,019</w:t>
            </w:r>
          </w:p>
        </w:tc>
      </w:tr>
      <w:tr>
        <w:trPr>
          <w:trHeight w:val="20"/>
        </w:trPr>
        <w:tc>
          <w:tcPr>
            <w:tcW w:w="7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The farming segment produces revenues from the sale of wine grapes, almonds, pistachios and hay. The following table summarizes revenues, expenses and operating results from this segment for each of the years ended December 31: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840" w:type="dxa"/>
            <w:vAlign w:val="bottom"/>
          </w:tcPr>
          <w:p>
            <w:pPr>
              <w:jc w:val="right"/>
              <w:spacing w:after="0"/>
              <w:rPr>
                <w:sz w:val="20"/>
                <w:szCs w:val="20"/>
                <w:color w:val="auto"/>
              </w:rPr>
            </w:pPr>
            <w:r>
              <w:rPr>
                <w:rFonts w:ascii="Arial" w:cs="Arial" w:eastAsia="Arial" w:hAnsi="Arial"/>
                <w:sz w:val="14"/>
                <w:szCs w:val="14"/>
                <w:color w:val="auto"/>
              </w:rPr>
              <w:t>2019</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9"/>
              <w:spacing w:after="0"/>
              <w:rPr>
                <w:sz w:val="20"/>
                <w:szCs w:val="20"/>
                <w:color w:val="auto"/>
              </w:rPr>
            </w:pPr>
            <w:r>
              <w:rPr>
                <w:rFonts w:ascii="Arial" w:cs="Arial" w:eastAsia="Arial" w:hAnsi="Arial"/>
                <w:sz w:val="14"/>
                <w:szCs w:val="14"/>
                <w:color w:val="auto"/>
              </w:rPr>
              <w:t>2017</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Farming revenues</w:t>
            </w: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19,331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18,563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16,434</w:t>
            </w:r>
          </w:p>
        </w:tc>
      </w:tr>
      <w:tr>
        <w:trPr>
          <w:trHeight w:val="191"/>
        </w:trPr>
        <w:tc>
          <w:tcPr>
            <w:tcW w:w="7240" w:type="dxa"/>
            <w:vAlign w:val="bottom"/>
          </w:tcPr>
          <w:p>
            <w:pPr>
              <w:ind w:left="220"/>
              <w:spacing w:after="0"/>
              <w:rPr>
                <w:sz w:val="20"/>
                <w:szCs w:val="20"/>
                <w:color w:val="auto"/>
              </w:rPr>
            </w:pPr>
            <w:r>
              <w:rPr>
                <w:rFonts w:ascii="Arial" w:cs="Arial" w:eastAsia="Arial" w:hAnsi="Arial"/>
                <w:sz w:val="14"/>
                <w:szCs w:val="14"/>
                <w:color w:val="auto"/>
              </w:rPr>
              <w:t>Farming expenses</w:t>
            </w: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w w:val="88"/>
              </w:rPr>
              <w:t>15,251</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16,028</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16,201</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farming</w:t>
            </w: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4,080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2,535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233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Ranch operations consists of game management revenues and ancillary land uses such as grazing leases and filming. The following table summarizes revenues, expenses and operating results from this segment for each of the years ended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0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6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
        </w:trPr>
        <w:tc>
          <w:tcPr>
            <w:tcW w:w="39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Ranch operations revenues</w:t>
            </w:r>
          </w:p>
        </w:tc>
        <w:tc>
          <w:tcPr>
            <w:tcW w:w="3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3,609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3,691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3,837</w:t>
            </w:r>
          </w:p>
        </w:tc>
        <w:tc>
          <w:tcPr>
            <w:tcW w:w="0" w:type="dxa"/>
            <w:vAlign w:val="bottom"/>
          </w:tcPr>
          <w:p>
            <w:pPr>
              <w:spacing w:after="0"/>
              <w:rPr>
                <w:sz w:val="1"/>
                <w:szCs w:val="1"/>
                <w:color w:val="auto"/>
              </w:rPr>
            </w:pPr>
          </w:p>
        </w:tc>
      </w:tr>
      <w:tr>
        <w:trPr>
          <w:trHeight w:val="191"/>
        </w:trPr>
        <w:tc>
          <w:tcPr>
            <w:tcW w:w="3900" w:type="dxa"/>
            <w:vAlign w:val="bottom"/>
          </w:tcPr>
          <w:p>
            <w:pPr>
              <w:ind w:left="220"/>
              <w:spacing w:after="0"/>
              <w:rPr>
                <w:sz w:val="20"/>
                <w:szCs w:val="20"/>
                <w:color w:val="auto"/>
              </w:rPr>
            </w:pPr>
            <w:r>
              <w:rPr>
                <w:rFonts w:ascii="Arial" w:cs="Arial" w:eastAsia="Arial" w:hAnsi="Arial"/>
                <w:sz w:val="14"/>
                <w:szCs w:val="14"/>
                <w:color w:val="auto"/>
              </w:rPr>
              <w:t>Ranch operations expenses</w:t>
            </w:r>
          </w:p>
        </w:tc>
        <w:tc>
          <w:tcPr>
            <w:tcW w:w="3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5,316</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5,451</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5,411</w:t>
            </w:r>
          </w:p>
        </w:tc>
        <w:tc>
          <w:tcPr>
            <w:tcW w:w="0" w:type="dxa"/>
            <w:vAlign w:val="bottom"/>
          </w:tcPr>
          <w:p>
            <w:pPr>
              <w:spacing w:after="0"/>
              <w:rPr>
                <w:sz w:val="1"/>
                <w:szCs w:val="1"/>
                <w:color w:val="auto"/>
              </w:rPr>
            </w:pPr>
          </w:p>
        </w:tc>
      </w:tr>
      <w:tr>
        <w:trPr>
          <w:trHeight w:val="22"/>
        </w:trPr>
        <w:tc>
          <w:tcPr>
            <w:tcW w:w="39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results from ranch operations</w:t>
            </w:r>
          </w:p>
        </w:tc>
        <w:tc>
          <w:tcPr>
            <w:tcW w:w="3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(1,707)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409"/>
              <w:spacing w:after="0"/>
              <w:rPr>
                <w:sz w:val="20"/>
                <w:szCs w:val="20"/>
                <w:color w:val="auto"/>
              </w:rPr>
            </w:pPr>
            <w:r>
              <w:rPr>
                <w:rFonts w:ascii="Arial" w:cs="Arial" w:eastAsia="Arial" w:hAnsi="Arial"/>
                <w:sz w:val="14"/>
                <w:szCs w:val="14"/>
                <w:color w:val="auto"/>
              </w:rPr>
              <w:t>107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9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95"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auto"/>
        </w:rPr>
        <w:t>Information pertaining to assets of the Company’s reporting segments is as follows for each of the years ended December 31: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Identifiable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ind w:right="609"/>
              <w:spacing w:after="0"/>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020" w:type="dxa"/>
            <w:vAlign w:val="bottom"/>
          </w:tcPr>
          <w:p>
            <w:pPr>
              <w:spacing w:after="0"/>
              <w:rPr>
                <w:sz w:val="15"/>
                <w:szCs w:val="15"/>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Assets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1480" w:type="dxa"/>
            <w:vAlign w:val="bottom"/>
          </w:tcPr>
          <w:p>
            <w:pPr>
              <w:jc w:val="right"/>
              <w:ind w:right="449"/>
              <w:spacing w:after="0"/>
              <w:rPr>
                <w:sz w:val="20"/>
                <w:szCs w:val="20"/>
                <w:color w:val="auto"/>
              </w:rPr>
            </w:pPr>
            <w:r>
              <w:rPr>
                <w:rFonts w:ascii="Arial" w:cs="Arial" w:eastAsia="Arial" w:hAnsi="Arial"/>
                <w:sz w:val="14"/>
                <w:szCs w:val="14"/>
                <w:color w:val="auto"/>
              </w:rPr>
              <w:t>Expenditures</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2020" w:type="dxa"/>
            <w:vAlign w:val="bottom"/>
            <w:vMerge w:val="restart"/>
          </w:tcPr>
          <w:p>
            <w:pPr>
              <w:jc w:val="right"/>
              <w:ind w:right="49"/>
              <w:spacing w:after="0"/>
              <w:rPr>
                <w:sz w:val="20"/>
                <w:szCs w:val="20"/>
                <w:color w:val="auto"/>
              </w:rPr>
            </w:pPr>
            <w:r>
              <w:rPr>
                <w:rFonts w:ascii="Arial" w:cs="Arial" w:eastAsia="Arial" w:hAnsi="Arial"/>
                <w:sz w:val="14"/>
                <w:szCs w:val="14"/>
                <w:color w:val="auto"/>
              </w:rPr>
              <w:t>2019</w:t>
            </w: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3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 - commercial/industrial</w:t>
            </w:r>
          </w:p>
        </w:tc>
        <w:tc>
          <w:tcPr>
            <w:tcW w:w="3260" w:type="dxa"/>
            <w:vAlign w:val="bottom"/>
            <w:tcBorders>
              <w:bottom w:val="single" w:sz="8" w:color="CCEEFF"/>
            </w:tcBorders>
            <w:gridSpan w:val="2"/>
            <w:shd w:val="clear" w:color="auto" w:fill="CCEEFF"/>
          </w:tcPr>
          <w:p>
            <w:pPr>
              <w:jc w:val="right"/>
              <w:ind w:right="106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76,814</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517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8,690</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Real estate - resort/residential</w:t>
            </w: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w w:val="86"/>
              </w:rPr>
              <w:t>286,801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12,811</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Mineral resources</w:t>
            </w:r>
          </w:p>
        </w:tc>
        <w:tc>
          <w:tcPr>
            <w:tcW w:w="20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55,049</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1,371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Farming</w:t>
            </w: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41,258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1,909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Ranch operations</w:t>
            </w:r>
          </w:p>
        </w:tc>
        <w:tc>
          <w:tcPr>
            <w:tcW w:w="20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2,624</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526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Corporate</w:t>
            </w: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76,876</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2"/>
        </w:trPr>
        <w:tc>
          <w:tcPr>
            <w:tcW w:w="36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60" w:type="dxa"/>
            <w:vAlign w:val="bottom"/>
            <w:tcBorders>
              <w:bottom w:val="single" w:sz="8" w:color="CCEEFF"/>
            </w:tcBorders>
            <w:gridSpan w:val="2"/>
            <w:shd w:val="clear" w:color="auto" w:fill="CCEEFF"/>
          </w:tcPr>
          <w:p>
            <w:pPr>
              <w:jc w:val="right"/>
              <w:ind w:right="106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6"/>
              </w:rPr>
              <w:t>539,422</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5,036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25,222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49"/>
              <w:spacing w:after="0"/>
              <w:rPr>
                <w:sz w:val="20"/>
                <w:szCs w:val="20"/>
                <w:color w:val="auto"/>
              </w:rPr>
            </w:pPr>
            <w:r>
              <w:rPr>
                <w:rFonts w:ascii="Arial" w:cs="Arial" w:eastAsia="Arial" w:hAnsi="Arial"/>
                <w:sz w:val="14"/>
                <w:szCs w:val="14"/>
                <w:color w:val="auto"/>
              </w:rPr>
              <w:t>2018</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6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3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 - commercial/industrial</w:t>
            </w:r>
          </w:p>
        </w:tc>
        <w:tc>
          <w:tcPr>
            <w:tcW w:w="3260" w:type="dxa"/>
            <w:vAlign w:val="bottom"/>
            <w:tcBorders>
              <w:bottom w:val="single" w:sz="8" w:color="CCEEFF"/>
            </w:tcBorders>
            <w:gridSpan w:val="2"/>
            <w:shd w:val="clear" w:color="auto" w:fill="CCEEFF"/>
          </w:tcPr>
          <w:p>
            <w:pPr>
              <w:jc w:val="right"/>
              <w:ind w:right="106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65,929</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651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5,225</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Real estate - resort/residential</w:t>
            </w: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w w:val="86"/>
              </w:rPr>
              <w:t>273,620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13,459</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Mineral resources</w:t>
            </w:r>
          </w:p>
        </w:tc>
        <w:tc>
          <w:tcPr>
            <w:tcW w:w="20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54,144</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1,372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Farming</w:t>
            </w: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40,835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3,166</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Ranch operations</w:t>
            </w:r>
          </w:p>
        </w:tc>
        <w:tc>
          <w:tcPr>
            <w:tcW w:w="20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2,973</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536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Corporate</w:t>
            </w: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91,547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2"/>
        </w:trPr>
        <w:tc>
          <w:tcPr>
            <w:tcW w:w="36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60" w:type="dxa"/>
            <w:vAlign w:val="bottom"/>
            <w:tcBorders>
              <w:bottom w:val="single" w:sz="8" w:color="CCEEFF"/>
            </w:tcBorders>
            <w:gridSpan w:val="2"/>
            <w:shd w:val="clear" w:color="auto" w:fill="CCEEFF"/>
          </w:tcPr>
          <w:p>
            <w:pPr>
              <w:jc w:val="right"/>
              <w:ind w:right="106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6"/>
              </w:rPr>
              <w:t>529,048</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5,424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22,580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49"/>
              <w:spacing w:after="0"/>
              <w:rPr>
                <w:sz w:val="20"/>
                <w:szCs w:val="20"/>
                <w:color w:val="auto"/>
              </w:rPr>
            </w:pPr>
            <w:r>
              <w:rPr>
                <w:rFonts w:ascii="Arial" w:cs="Arial" w:eastAsia="Arial" w:hAnsi="Arial"/>
                <w:sz w:val="14"/>
                <w:szCs w:val="14"/>
                <w:color w:val="auto"/>
              </w:rPr>
              <w:t>2017</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6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3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 - commercial/industrial</w:t>
            </w:r>
          </w:p>
        </w:tc>
        <w:tc>
          <w:tcPr>
            <w:tcW w:w="3260" w:type="dxa"/>
            <w:vAlign w:val="bottom"/>
            <w:tcBorders>
              <w:bottom w:val="single" w:sz="8" w:color="CCEEFF"/>
            </w:tcBorders>
            <w:gridSpan w:val="2"/>
            <w:shd w:val="clear" w:color="auto" w:fill="CCEEFF"/>
          </w:tcPr>
          <w:p>
            <w:pPr>
              <w:jc w:val="right"/>
              <w:ind w:right="106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63,065</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650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4,638</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Real estate - resort/residential</w:t>
            </w: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w w:val="86"/>
              </w:rPr>
              <w:t>258,697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14,230</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Mineral resources</w:t>
            </w:r>
          </w:p>
        </w:tc>
        <w:tc>
          <w:tcPr>
            <w:tcW w:w="20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48,305</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1,363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Farming</w:t>
            </w: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36,317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2,080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2,129</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Ranch operations</w:t>
            </w:r>
          </w:p>
        </w:tc>
        <w:tc>
          <w:tcPr>
            <w:tcW w:w="20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3,625</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601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Corporate</w:t>
            </w: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w w:val="86"/>
              </w:rPr>
              <w:t>108,190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2"/>
        </w:trPr>
        <w:tc>
          <w:tcPr>
            <w:tcW w:w="36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60" w:type="dxa"/>
            <w:vAlign w:val="bottom"/>
            <w:tcBorders>
              <w:bottom w:val="single" w:sz="8" w:color="CCEEFF"/>
            </w:tcBorders>
            <w:gridSpan w:val="2"/>
            <w:shd w:val="clear" w:color="auto" w:fill="CCEEFF"/>
          </w:tcPr>
          <w:p>
            <w:pPr>
              <w:jc w:val="right"/>
              <w:ind w:right="106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6"/>
              </w:rPr>
              <w:t>518,199</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5,689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21,709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Identifiable assets by segment include both assets directly identified with those operations and an allocable share of jointly used assets. Corporate assets consist primarily of cash and cash equivalents, marketable securities, deferred income taxes, and land and buildings. Land is valued at cost for acquisitions since 1936. Land acquired in 1936, upon organization of the Company, is stated on the basis carried by the Company’s predecessor.</w:t>
      </w:r>
    </w:p>
    <w:p>
      <w:pPr>
        <w:spacing w:after="0" w:line="9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17.</w:t>
        <w:tab/>
        <w:t>INVESTMENT IN UNCONSOLIDATED AND CONSOLIDATED JOINT VENTURES</w:t>
      </w:r>
    </w:p>
    <w:p>
      <w:pPr>
        <w:spacing w:after="0" w:line="140"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at December 31, 2019 was $38,240,000. The equity in the income of the unconsolidated joint ventures was $16,575,000 for the twelve months ended December 31, 2019. The unconsolidated joint ventures have not been consolidated as of December 31, 2019, because the Company does not control the investments. The Company’s current joint ventures are as follows:</w:t>
      </w:r>
    </w:p>
    <w:p>
      <w:pPr>
        <w:spacing w:after="0" w:line="103" w:lineRule="exact"/>
        <w:rPr>
          <w:sz w:val="20"/>
          <w:szCs w:val="20"/>
          <w:color w:val="auto"/>
        </w:rPr>
      </w:pPr>
    </w:p>
    <w:p>
      <w:pPr>
        <w:ind w:left="360" w:right="20" w:hanging="260"/>
        <w:spacing w:after="0" w:line="257" w:lineRule="auto"/>
        <w:tabs>
          <w:tab w:leader="none" w:pos="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Petro Travel Plaza Holdings LLC – TA/Petro is an unconsolidated joint venture with TravelCenters of America, LLC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our partner in the joint venture is the managing partner and performs all of the day-to-day operations and has significant decision-making authority regarding key business components such as fuel inventory and pricing at the facility. At December 31, 2019, the Company had an equity investment balance of $23,636,000 in this joint venture. In December 2019, the Company completed the shell and core of a new 4,900 square foot multi-tenant building at TRCC-East, with a fair value of $2,805,000, and contributed the building and land to TA/Petro. The contribution met the criteria of a sale under ASC Topic 606, "Revenue from Contracts with Customers." As such, the Company recognized profit of $334,000 and deferred $501,000 of profit in accordance with ASC Topic 323, "Investment - Equity Method and Joint Ventures" on the date the assets were contributed.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80"/>
          </w:cols>
          <w:pgMar w:left="300" w:top="595" w:right="319" w:bottom="1440" w:gutter="0" w:footer="0" w:header="0"/>
        </w:sectPr>
      </w:pPr>
    </w:p>
    <w:bookmarkStart w:id="108" w:name="page109"/>
    <w:bookmarkEnd w:id="108"/>
    <w:p>
      <w:pPr>
        <w:ind w:left="360" w:right="40" w:hanging="260"/>
        <w:spacing w:after="0" w:line="262" w:lineRule="auto"/>
        <w:tabs>
          <w:tab w:leader="none" w:pos="360" w:val="left"/>
        </w:tabs>
        <w:numPr>
          <w:ilvl w:val="1"/>
          <w:numId w:val="50"/>
        </w:numPr>
        <w:rPr>
          <w:rFonts w:ascii="Arial" w:cs="Arial" w:eastAsia="Arial" w:hAnsi="Arial"/>
          <w:sz w:val="14"/>
          <w:szCs w:val="14"/>
          <w:color w:val="auto"/>
        </w:rPr>
      </w:pPr>
      <w:r>
        <w:rPr>
          <w:rFonts w:ascii="Arial" w:cs="Arial" w:eastAsia="Arial" w:hAnsi="Arial"/>
          <w:sz w:val="14"/>
          <w:szCs w:val="14"/>
          <w:color w:val="auto"/>
        </w:rPr>
        <w:t>Majestic Realty Co. – Majestic Realty Co., or Majestic, is a privately-held developer and owner of master planned business parks in the United States. The Company partnered with Majestic to form three 50/50 joint ventures to acquire, develop, manage, and operate industrial real estate at TRCC. The partners have equal voting rights and equally share in the profit and loss of the joint venture. The Company and Majestic guarantee the performance of all outstanding debt. At December 31, 2019, the Company's investment in these joint ventures was $5,953,000, which includes our outside basis.</w:t>
      </w:r>
    </w:p>
    <w:p>
      <w:pPr>
        <w:spacing w:after="0" w:line="39" w:lineRule="exact"/>
        <w:rPr>
          <w:rFonts w:ascii="Arial" w:cs="Arial" w:eastAsia="Arial" w:hAnsi="Arial"/>
          <w:sz w:val="14"/>
          <w:szCs w:val="14"/>
          <w:color w:val="auto"/>
        </w:rPr>
      </w:pPr>
    </w:p>
    <w:p>
      <w:pPr>
        <w:ind w:left="760" w:right="100" w:hanging="246"/>
        <w:spacing w:after="0" w:line="279" w:lineRule="auto"/>
        <w:tabs>
          <w:tab w:leader="none" w:pos="760" w:val="left"/>
        </w:tabs>
        <w:numPr>
          <w:ilvl w:val="2"/>
          <w:numId w:val="50"/>
        </w:numPr>
        <w:rPr>
          <w:rFonts w:ascii="Arial" w:cs="Arial" w:eastAsia="Arial" w:hAnsi="Arial"/>
          <w:sz w:val="13"/>
          <w:szCs w:val="13"/>
          <w:color w:val="auto"/>
        </w:rPr>
      </w:pPr>
      <w:r>
        <w:rPr>
          <w:rFonts w:ascii="Arial" w:cs="Arial" w:eastAsia="Arial" w:hAnsi="Arial"/>
          <w:sz w:val="13"/>
          <w:szCs w:val="13"/>
          <w:color w:val="auto"/>
        </w:rPr>
        <w:t>On November 2018, TRC-MRC 3, LLC was formed to pursue the development, construction, leasing, and management of a 579,040 square foot industrial building on the Company's property at TRCC-East. TRC-MRC 3, LLC qualified as a VIE from inception, but the Company is not the primary beneficiary therefore does not consolidate TRC-MRC 3, LLC in its financial statements. The construction of the building was completed in the fourth quarter of 2019 and the Company has delivered the space to a tenant that has leased 67% of the rentable space. In March 2019, the joint venture entered into a promissory note with a financial institution to finance the construction of the building. The note matures on May 1, 2030 and had an outstanding principal balance of $28,061,000 as of December 31, 2019. On April 1, 2019, the Company contributed land with a fair value of $5,854,000 to TRC-MRC 3, LLC in accordance with the limited liability agreement. The land contribution met the criteria of a land sale under ASC Topic 606, "Revenue from Contracts with Customers." As such, the Company recognized profit of $1,537,000 and deferred $1,537,000 of profit in accordance with ASC Topic 323, "Investment - Equity Method and Joint Ventures" on the date the land was contributed. The Company's investment in this joint venture was $5,953,000 as of December 31, 2019.</w:t>
      </w:r>
    </w:p>
    <w:p>
      <w:pPr>
        <w:spacing w:after="0" w:line="116" w:lineRule="exact"/>
        <w:rPr>
          <w:rFonts w:ascii="Arial" w:cs="Arial" w:eastAsia="Arial" w:hAnsi="Arial"/>
          <w:sz w:val="13"/>
          <w:szCs w:val="13"/>
          <w:color w:val="auto"/>
        </w:rPr>
      </w:pPr>
    </w:p>
    <w:p>
      <w:pPr>
        <w:ind w:left="760" w:right="40" w:hanging="246"/>
        <w:spacing w:after="0" w:line="304" w:lineRule="auto"/>
        <w:tabs>
          <w:tab w:leader="none" w:pos="760" w:val="left"/>
        </w:tabs>
        <w:numPr>
          <w:ilvl w:val="2"/>
          <w:numId w:val="50"/>
        </w:numPr>
        <w:rPr>
          <w:rFonts w:ascii="Arial" w:cs="Arial" w:eastAsia="Arial" w:hAnsi="Arial"/>
          <w:sz w:val="12"/>
          <w:szCs w:val="12"/>
          <w:color w:val="auto"/>
        </w:rPr>
      </w:pPr>
      <w:r>
        <w:rPr>
          <w:rFonts w:ascii="Arial" w:cs="Arial" w:eastAsia="Arial" w:hAnsi="Arial"/>
          <w:sz w:val="12"/>
          <w:szCs w:val="12"/>
          <w:color w:val="auto"/>
        </w:rPr>
        <w:t>In August 2016, we partnered with Majestic to form TRC-MRC 2, LLC to acquire, lease, and maintain a fully occupied warehouse at TRCC-West. The partnership acquired the 651,909 square foot building for $24,773,000 and was largely financed through a promissory note guaranteed by both partners. The promissory note was refinanced on June 1, 2018 with</w:t>
      </w:r>
    </w:p>
    <w:p>
      <w:pPr>
        <w:ind w:left="760" w:right="40"/>
        <w:spacing w:after="0" w:line="256" w:lineRule="auto"/>
        <w:rPr>
          <w:rFonts w:ascii="Arial" w:cs="Arial" w:eastAsia="Arial" w:hAnsi="Arial"/>
          <w:sz w:val="12"/>
          <w:szCs w:val="12"/>
          <w:color w:val="auto"/>
        </w:rPr>
      </w:pPr>
      <w:r>
        <w:rPr>
          <w:rFonts w:ascii="Arial" w:cs="Arial" w:eastAsia="Arial" w:hAnsi="Arial"/>
          <w:sz w:val="14"/>
          <w:szCs w:val="14"/>
          <w:color w:val="auto"/>
        </w:rPr>
        <w:t>a $25,240,000 promissory note. The note matures on July 1, 2028, and currently has an outstanding principal balance of $24,455,000. Since inception, we have received excess distributions resulting in a deficit balance of $2,471,000. In accordance with the applicable accounting guidance, these excess distributions are reclassified to the liabilities section of our consolidated balance sheet. We will continue to record our equity in the net income as a debit to the investment account, and if it becomes positive, it will again be shown as an asset on our consolidated balance sheet. If it becomes obvious that any excess distribution may not be returned (upon joint venture liquidation or otherwise), we will recognize any balance classified as a liability as income.</w:t>
      </w:r>
    </w:p>
    <w:p>
      <w:pPr>
        <w:spacing w:after="0" w:line="128" w:lineRule="exact"/>
        <w:rPr>
          <w:rFonts w:ascii="Arial" w:cs="Arial" w:eastAsia="Arial" w:hAnsi="Arial"/>
          <w:sz w:val="12"/>
          <w:szCs w:val="12"/>
          <w:color w:val="auto"/>
        </w:rPr>
      </w:pPr>
    </w:p>
    <w:p>
      <w:pPr>
        <w:ind w:left="760" w:right="100" w:hanging="246"/>
        <w:spacing w:after="0" w:line="257" w:lineRule="auto"/>
        <w:tabs>
          <w:tab w:leader="none" w:pos="760" w:val="left"/>
        </w:tabs>
        <w:numPr>
          <w:ilvl w:val="2"/>
          <w:numId w:val="50"/>
        </w:numPr>
        <w:rPr>
          <w:rFonts w:ascii="Arial" w:cs="Arial" w:eastAsia="Arial" w:hAnsi="Arial"/>
          <w:sz w:val="14"/>
          <w:szCs w:val="14"/>
          <w:color w:val="auto"/>
        </w:rPr>
      </w:pPr>
      <w:r>
        <w:rPr>
          <w:rFonts w:ascii="Arial" w:cs="Arial" w:eastAsia="Arial" w:hAnsi="Arial"/>
          <w:sz w:val="14"/>
          <w:szCs w:val="14"/>
          <w:color w:val="auto"/>
        </w:rPr>
        <w:t>In September 2016, TRC-MRC 1, LLC was formed to develop and operate an approximately 480,480 square foot industrial building at TRCC-East. The joint venture completed construction of the building during the third quarter of 2017. Since inception of the joint venture, we have received excess distributions resulting in a deficit balance of $462,000. In accordance with the applicable accounting guidance, these excess distributions are reclassified to the liabilities section of our consolidated balance sheet. We will continue to record our equity in the net income as a debit to the investment account, and if it becomes positive, it will again be shown as an asset on our consolidated balance sheet. If it becomes obvious that any excess distribution may not be returned (upon joint venture liquidation or otherwise), we will recognize any balance classified as a liability as income. The joint venture refinanced its construction loan in December 2018 with a mortgage loan. The original principal balance of the mortgage loan was $25,030,000, of which $24,542,000 was outstanding at December 31, 2019.</w:t>
      </w:r>
    </w:p>
    <w:p>
      <w:pPr>
        <w:spacing w:after="0" w:line="200" w:lineRule="exact"/>
        <w:rPr>
          <w:rFonts w:ascii="Arial" w:cs="Arial" w:eastAsia="Arial" w:hAnsi="Arial"/>
          <w:sz w:val="14"/>
          <w:szCs w:val="14"/>
          <w:color w:val="auto"/>
        </w:rPr>
      </w:pPr>
    </w:p>
    <w:p>
      <w:pPr>
        <w:spacing w:after="0" w:line="248" w:lineRule="exact"/>
        <w:rPr>
          <w:rFonts w:ascii="Arial" w:cs="Arial" w:eastAsia="Arial" w:hAnsi="Arial"/>
          <w:sz w:val="14"/>
          <w:szCs w:val="14"/>
          <w:color w:val="auto"/>
        </w:rPr>
      </w:pPr>
    </w:p>
    <w:p>
      <w:pPr>
        <w:ind w:left="260" w:right="220" w:hanging="255"/>
        <w:spacing w:after="0" w:line="281" w:lineRule="auto"/>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Rockefeller Joint Ventures – The Company has three joint ventures with Rockefeller Group Development Corporation or Rockefeller. At December 31, 2019, the Company’s combined equity investment balance in these three joint ventures was $8,651,000.</w:t>
      </w:r>
    </w:p>
    <w:p>
      <w:pPr>
        <w:spacing w:after="0" w:line="111" w:lineRule="exact"/>
        <w:rPr>
          <w:rFonts w:ascii="Arial" w:cs="Arial" w:eastAsia="Arial" w:hAnsi="Arial"/>
          <w:sz w:val="14"/>
          <w:szCs w:val="14"/>
          <w:color w:val="auto"/>
        </w:rPr>
      </w:pPr>
    </w:p>
    <w:p>
      <w:pPr>
        <w:ind w:left="760" w:right="200" w:hanging="246"/>
        <w:spacing w:after="0" w:line="281" w:lineRule="auto"/>
        <w:tabs>
          <w:tab w:leader="none" w:pos="760" w:val="left"/>
        </w:tabs>
        <w:numPr>
          <w:ilvl w:val="2"/>
          <w:numId w:val="50"/>
        </w:numPr>
        <w:rPr>
          <w:rFonts w:ascii="Arial" w:cs="Arial" w:eastAsia="Arial" w:hAnsi="Arial"/>
          <w:sz w:val="14"/>
          <w:szCs w:val="14"/>
          <w:color w:val="auto"/>
        </w:rPr>
      </w:pPr>
      <w:r>
        <w:rPr>
          <w:rFonts w:ascii="Arial" w:cs="Arial" w:eastAsia="Arial" w:hAnsi="Arial"/>
          <w:sz w:val="14"/>
          <w:szCs w:val="14"/>
          <w:color w:val="auto"/>
        </w:rPr>
        <w:t>Two joint ventures are for the development of buildings on approximately 91 acres and are part of an agreement for the potential development of up to 500 acres of land in TRCC that are tied to Foreign Trade Zone designation. The Company owns a 50% interest in each of the joint ventures.</w:t>
      </w:r>
    </w:p>
    <w:p>
      <w:pPr>
        <w:spacing w:after="0" w:line="111" w:lineRule="exact"/>
        <w:rPr>
          <w:rFonts w:ascii="Arial" w:cs="Arial" w:eastAsia="Arial" w:hAnsi="Arial"/>
          <w:sz w:val="14"/>
          <w:szCs w:val="14"/>
          <w:color w:val="auto"/>
        </w:rPr>
      </w:pPr>
    </w:p>
    <w:p>
      <w:pPr>
        <w:ind w:left="1280" w:right="120" w:hanging="257"/>
        <w:spacing w:after="0" w:line="368" w:lineRule="auto"/>
        <w:tabs>
          <w:tab w:leader="none" w:pos="1280" w:val="left"/>
        </w:tabs>
        <w:numPr>
          <w:ilvl w:val="3"/>
          <w:numId w:val="50"/>
        </w:numPr>
        <w:rPr>
          <w:rFonts w:ascii="Arial" w:cs="Arial" w:eastAsia="Arial" w:hAnsi="Arial"/>
          <w:sz w:val="12"/>
          <w:szCs w:val="12"/>
          <w:color w:val="auto"/>
        </w:rPr>
      </w:pPr>
      <w:r>
        <w:rPr>
          <w:rFonts w:ascii="Arial" w:cs="Arial" w:eastAsia="Arial" w:hAnsi="Arial"/>
          <w:sz w:val="12"/>
          <w:szCs w:val="12"/>
          <w:color w:val="auto"/>
        </w:rPr>
        <w:t>The Five West Parcel LLC joint venture owned and leased a 606,000 square foot building, the joint venture's primary asset, to Dollar General. The building was sold to a third party in November 2019 for a purchase price of $29,088,000, realizing a gain of $17,537,000. The outstanding term loan of the joint venture was paid off upon the sale.</w:t>
      </w:r>
    </w:p>
    <w:p>
      <w:pPr>
        <w:spacing w:after="0" w:line="64" w:lineRule="exact"/>
        <w:rPr>
          <w:rFonts w:ascii="Arial" w:cs="Arial" w:eastAsia="Arial" w:hAnsi="Arial"/>
          <w:sz w:val="12"/>
          <w:szCs w:val="12"/>
          <w:color w:val="auto"/>
        </w:rPr>
      </w:pPr>
    </w:p>
    <w:p>
      <w:pPr>
        <w:ind w:left="1280" w:hanging="257"/>
        <w:spacing w:after="0" w:line="267" w:lineRule="auto"/>
        <w:tabs>
          <w:tab w:leader="none" w:pos="1280" w:val="left"/>
        </w:tabs>
        <w:numPr>
          <w:ilvl w:val="3"/>
          <w:numId w:val="50"/>
        </w:numPr>
        <w:rPr>
          <w:rFonts w:ascii="Arial" w:cs="Arial" w:eastAsia="Arial" w:hAnsi="Arial"/>
          <w:sz w:val="14"/>
          <w:szCs w:val="14"/>
          <w:color w:val="auto"/>
        </w:rPr>
      </w:pPr>
      <w:r>
        <w:rPr>
          <w:rFonts w:ascii="Arial" w:cs="Arial" w:eastAsia="Arial" w:hAnsi="Arial"/>
          <w:sz w:val="14"/>
          <w:szCs w:val="14"/>
          <w:color w:val="auto"/>
        </w:rPr>
        <w:t>The second of these joint ventures, 18-19 West LLC, was formed in August 2009 through the contribution of 61.5 acres of land by the Company, which is being held for future development. Both of these joint ventures are being accounted for under the equity method due to both members having significant participating rights in the management of the ventures.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80"/>
          </w:cols>
          <w:pgMar w:left="300" w:top="596" w:right="319" w:bottom="1440" w:gutter="0" w:footer="0" w:header="0"/>
        </w:sectPr>
      </w:pPr>
    </w:p>
    <w:bookmarkStart w:id="109" w:name="page110"/>
    <w:bookmarkEnd w:id="109"/>
    <w:p>
      <w:pPr>
        <w:ind w:left="760" w:right="20" w:hanging="246"/>
        <w:spacing w:after="0" w:line="256" w:lineRule="auto"/>
        <w:tabs>
          <w:tab w:leader="none" w:pos="760" w:val="left"/>
        </w:tabs>
        <w:numPr>
          <w:ilvl w:val="1"/>
          <w:numId w:val="51"/>
        </w:numPr>
        <w:rPr>
          <w:rFonts w:ascii="Arial" w:cs="Arial" w:eastAsia="Arial" w:hAnsi="Arial"/>
          <w:sz w:val="14"/>
          <w:szCs w:val="14"/>
          <w:color w:val="auto"/>
        </w:rPr>
      </w:pPr>
      <w:r>
        <w:rPr>
          <w:rFonts w:ascii="Arial" w:cs="Arial" w:eastAsia="Arial" w:hAnsi="Arial"/>
          <w:sz w:val="14"/>
          <w:szCs w:val="14"/>
          <w:color w:val="auto"/>
        </w:rPr>
        <w:t>The third joint venture is the TRCC/Rock Outlet Center LLC joint venture that was formed during the second quarter of 2013 to develop, own, and manage a net leasable 326,000 square foot outlet center on land at TRCC-East. The cost of the outlet center was approximately $87,000,000 and was funded through a construction loan for up to 60% of the costs and the remaining 40% was through equity contributions from the two members. The Company controls 50% of the voting interests of TRCC/Rock Outlet Center LLC; thus, it does not control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The TRCC/Rock Outlet Center LLC joint venture has a term note with a financial institution that matures on September 5, 2021. As of December 31, 2019, the outstanding balance of the term note was $38,909,000. The Company and Rockefeller guarantee the performance of the debt.</w:t>
      </w:r>
    </w:p>
    <w:p>
      <w:pPr>
        <w:spacing w:after="0" w:line="128" w:lineRule="exact"/>
        <w:rPr>
          <w:rFonts w:ascii="Arial" w:cs="Arial" w:eastAsia="Arial" w:hAnsi="Arial"/>
          <w:sz w:val="14"/>
          <w:szCs w:val="14"/>
          <w:color w:val="auto"/>
        </w:rPr>
      </w:pPr>
    </w:p>
    <w:p>
      <w:pPr>
        <w:ind w:left="260" w:hanging="255"/>
        <w:spacing w:after="0" w:line="279" w:lineRule="auto"/>
        <w:tabs>
          <w:tab w:leader="none" w:pos="2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Centennial Founders, LLC – Centennial Founders, LLC, or CFL, is a joint venture that was initially formed with TRI Pointe Homes, Lewis Investment Company and CalAtlantic to pursue the entitlement and development of land that the Company owns in Los Angeles County. Based on the Second Amended and Restated Limited Company Agreement of CFL and the change in control and funding that resulted from the amended agreement, CFL qualified as a VIE, beginning in the third quarter of 2009, and the Company was determined to be the primary beneficiary. As a result, CFL has been consolidated into our financial statements beginning in that quarter. Our partners retained a noncontrolling interest in the joint venture. On November 30, 2016, CFL and Lewis entered a Redemption and Withdrawal Agreement, whereby Lewis irrevocably and unconditionally withdrew as a member of CFL, and CFL redeemed Lewis' entire interest for no consideration. As a result, our noncontrolling interest balance was reduced by $11,039,000. On December 31, 2018, CFL and CalAtlantic entered a Redemption and Withdrawal Agreement, whereby CalAtlantic irrevocably and unconditionally withdrew as a member of CFL, and CFL redeemed CalAtlantic's entire interest for no consideration. As a result, our noncontrolling interest balance was reduced by $13,172,000. At December 31, 2019, the Company owned 92.57% of CFL.</w:t>
      </w:r>
    </w:p>
    <w:p>
      <w:pPr>
        <w:spacing w:after="0" w:line="116"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The Company’s investment balance in its unconsolidated joint ventures differs from its respective capital accounts in the respective joint ventures. The differential represents the difference between the cost basis of assets contributed by the Company and the agreed upon contribution value of the assets contributed.</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Condensed balance sheet information and statement of operations of the Company’s unconsolidated joint ventures are as follows: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Sheet Information as of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Joint Venture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gridSpan w:val="3"/>
          </w:tcPr>
          <w:p>
            <w:pPr>
              <w:jc w:val="center"/>
              <w:ind w:right="9"/>
              <w:spacing w:after="0"/>
              <w:rPr>
                <w:sz w:val="20"/>
                <w:szCs w:val="20"/>
                <w:color w:val="auto"/>
              </w:rPr>
            </w:pPr>
            <w:r>
              <w:rPr>
                <w:rFonts w:ascii="Arial" w:cs="Arial" w:eastAsia="Arial" w:hAnsi="Arial"/>
                <w:sz w:val="14"/>
                <w:szCs w:val="14"/>
                <w:b w:val="1"/>
                <w:bCs w:val="1"/>
                <w:color w:val="auto"/>
              </w:rPr>
              <w:t>TRC</w:t>
            </w:r>
          </w:p>
        </w:tc>
        <w:tc>
          <w:tcPr>
            <w:tcW w:w="660" w:type="dxa"/>
            <w:vAlign w:val="bottom"/>
          </w:tcPr>
          <w:p>
            <w:pPr>
              <w:spacing w:after="0"/>
              <w:rPr>
                <w:sz w:val="16"/>
                <w:szCs w:val="16"/>
                <w:color w:val="auto"/>
              </w:rPr>
            </w:pPr>
          </w:p>
        </w:tc>
      </w:tr>
      <w:tr>
        <w:trPr>
          <w:trHeight w:val="22"/>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5"/>
          </w:tcPr>
          <w:p>
            <w:pPr>
              <w:spacing w:after="0" w:line="20" w:lineRule="exact"/>
              <w:rPr>
                <w:sz w:val="1"/>
                <w:szCs w:val="1"/>
                <w:color w:val="auto"/>
              </w:rPr>
            </w:pPr>
          </w:p>
        </w:tc>
      </w:tr>
      <w:tr>
        <w:trPr>
          <w:trHeight w:val="181"/>
        </w:trPr>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rPr>
              <w:t>Assets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Borrowings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Equity</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5"/>
          </w:tcPr>
          <w:p>
            <w:pPr>
              <w:jc w:val="center"/>
              <w:ind w:right="109"/>
              <w:spacing w:after="0"/>
              <w:rPr>
                <w:sz w:val="20"/>
                <w:szCs w:val="20"/>
                <w:color w:val="auto"/>
              </w:rPr>
            </w:pPr>
            <w:r>
              <w:rPr>
                <w:rFonts w:ascii="Arial" w:cs="Arial" w:eastAsia="Arial" w:hAnsi="Arial"/>
                <w:sz w:val="14"/>
                <w:szCs w:val="14"/>
                <w:b w:val="1"/>
                <w:bCs w:val="1"/>
                <w:color w:val="auto"/>
                <w:w w:val="93"/>
              </w:rPr>
              <w:t>Investment In</w:t>
            </w:r>
          </w:p>
        </w:tc>
      </w:tr>
      <w:tr>
        <w:trPr>
          <w:trHeight w:val="22"/>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1"/>
        </w:trPr>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30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0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28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28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229"/>
              <w:spacing w:after="0"/>
              <w:rPr>
                <w:sz w:val="20"/>
                <w:szCs w:val="20"/>
                <w:color w:val="auto"/>
              </w:rPr>
            </w:pPr>
            <w:r>
              <w:rPr>
                <w:rFonts w:ascii="Arial" w:cs="Arial" w:eastAsia="Arial" w:hAnsi="Arial"/>
                <w:sz w:val="14"/>
                <w:szCs w:val="14"/>
                <w:b w:val="1"/>
                <w:bCs w:val="1"/>
                <w:color w:val="auto"/>
              </w:rPr>
              <w:t>2018</w:t>
            </w: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Petro Travel Plaza Holdings, LLC</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77,835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69,096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(15,287)</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(15,283)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60,061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51,377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23,636</w:t>
            </w:r>
          </w:p>
        </w:tc>
        <w:tc>
          <w:tcPr>
            <w:tcW w:w="420" w:type="dxa"/>
            <w:vAlign w:val="bottom"/>
            <w:tcBorders>
              <w:bottom w:val="single" w:sz="8" w:color="CCEEFF"/>
            </w:tcBorders>
            <w:gridSpan w:val="3"/>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18,426</w:t>
            </w:r>
          </w:p>
        </w:tc>
      </w:tr>
      <w:tr>
        <w:trPr>
          <w:trHeight w:val="191"/>
        </w:trPr>
        <w:tc>
          <w:tcPr>
            <w:tcW w:w="2580" w:type="dxa"/>
            <w:vAlign w:val="bottom"/>
          </w:tcPr>
          <w:p>
            <w:pPr>
              <w:ind w:left="20"/>
              <w:spacing w:after="0"/>
              <w:rPr>
                <w:sz w:val="20"/>
                <w:szCs w:val="20"/>
                <w:color w:val="auto"/>
              </w:rPr>
            </w:pPr>
            <w:r>
              <w:rPr>
                <w:rFonts w:ascii="Arial" w:cs="Arial" w:eastAsia="Arial" w:hAnsi="Arial"/>
                <w:sz w:val="14"/>
                <w:szCs w:val="14"/>
                <w:color w:val="auto"/>
              </w:rPr>
              <w:t>Five West Parcel, LLC</w:t>
            </w:r>
          </w:p>
        </w:tc>
        <w:tc>
          <w:tcPr>
            <w:tcW w:w="24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15,157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5,751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2,691</w:t>
            </w: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18-19 West, LLC</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4,849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4,654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4,600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4,654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1,783</w:t>
            </w:r>
          </w:p>
        </w:tc>
      </w:tr>
      <w:tr>
        <w:trPr>
          <w:trHeight w:val="191"/>
        </w:trPr>
        <w:tc>
          <w:tcPr>
            <w:tcW w:w="2580" w:type="dxa"/>
            <w:vAlign w:val="bottom"/>
          </w:tcPr>
          <w:p>
            <w:pPr>
              <w:ind w:left="20"/>
              <w:spacing w:after="0"/>
              <w:rPr>
                <w:sz w:val="20"/>
                <w:szCs w:val="20"/>
                <w:color w:val="auto"/>
              </w:rPr>
            </w:pPr>
            <w:r>
              <w:rPr>
                <w:rFonts w:ascii="Arial" w:cs="Arial" w:eastAsia="Arial" w:hAnsi="Arial"/>
                <w:sz w:val="14"/>
                <w:szCs w:val="14"/>
                <w:color w:val="auto"/>
              </w:rPr>
              <w:t>TRCC/Rock Outlet Center, LLC</w:t>
            </w:r>
          </w:p>
        </w:tc>
        <w:tc>
          <w:tcPr>
            <w:tcW w:w="24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69,459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75,194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(38,909)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(46,826)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29,688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27,531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5,702</w:t>
            </w: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TRC-MRC 1, LLC</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28,673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29,692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(24,542)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(25,030)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3,623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4,018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1"/>
        </w:trPr>
        <w:tc>
          <w:tcPr>
            <w:tcW w:w="2580" w:type="dxa"/>
            <w:vAlign w:val="bottom"/>
          </w:tcPr>
          <w:p>
            <w:pPr>
              <w:ind w:left="20"/>
              <w:spacing w:after="0"/>
              <w:rPr>
                <w:sz w:val="20"/>
                <w:szCs w:val="20"/>
                <w:color w:val="auto"/>
              </w:rPr>
            </w:pPr>
            <w:r>
              <w:rPr>
                <w:rFonts w:ascii="Arial" w:cs="Arial" w:eastAsia="Arial" w:hAnsi="Arial"/>
                <w:sz w:val="14"/>
                <w:szCs w:val="14"/>
                <w:color w:val="auto"/>
              </w:rPr>
              <w:t>TRC-MRC 2, LLC</w:t>
            </w:r>
          </w:p>
        </w:tc>
        <w:tc>
          <w:tcPr>
            <w:tcW w:w="24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20,026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20,362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(24,455)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2"/>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2"/>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TRC-MRC 3, LLC</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37,292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(28,061)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6,052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238,828</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214,155</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(131,254)</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(121,326)</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97,578</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87,568</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38,240</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28,602</w:t>
            </w:r>
          </w:p>
        </w:tc>
      </w:tr>
      <w:tr>
        <w:trPr>
          <w:trHeight w:val="232"/>
        </w:trPr>
        <w:tc>
          <w:tcPr>
            <w:tcW w:w="25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r>
      <w:tr>
        <w:trPr>
          <w:trHeight w:val="181"/>
        </w:trPr>
        <w:tc>
          <w:tcPr>
            <w:tcW w:w="2580" w:type="dxa"/>
            <w:vAlign w:val="bottom"/>
          </w:tcPr>
          <w:p>
            <w:pPr>
              <w:ind w:left="20"/>
              <w:spacing w:after="0"/>
              <w:rPr>
                <w:sz w:val="20"/>
                <w:szCs w:val="20"/>
                <w:color w:val="auto"/>
              </w:rPr>
            </w:pPr>
            <w:r>
              <w:rPr>
                <w:rFonts w:ascii="Arial" w:cs="Arial" w:eastAsia="Arial" w:hAnsi="Arial"/>
                <w:sz w:val="14"/>
                <w:szCs w:val="14"/>
                <w:color w:val="auto"/>
              </w:rPr>
              <w:t>Centennial Founders, LLC</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96,415</w:t>
            </w:r>
          </w:p>
        </w:tc>
        <w:tc>
          <w:tcPr>
            <w:tcW w:w="12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93,840</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96,143</w:t>
            </w:r>
          </w:p>
        </w:tc>
        <w:tc>
          <w:tcPr>
            <w:tcW w:w="10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93,188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5"/>
          </w:tcPr>
          <w:p>
            <w:pPr>
              <w:jc w:val="center"/>
              <w:ind w:right="89"/>
              <w:spacing w:after="0"/>
              <w:rPr>
                <w:sz w:val="20"/>
                <w:szCs w:val="20"/>
                <w:color w:val="auto"/>
              </w:rPr>
            </w:pPr>
            <w:r>
              <w:rPr>
                <w:rFonts w:ascii="Arial" w:cs="Arial" w:eastAsia="Arial" w:hAnsi="Arial"/>
                <w:sz w:val="14"/>
                <w:szCs w:val="14"/>
                <w:color w:val="auto"/>
                <w:w w:val="90"/>
              </w:rPr>
              <w:t>Consolidated</w:t>
            </w:r>
          </w:p>
        </w:tc>
      </w:tr>
      <w:tr>
        <w:trPr>
          <w:trHeight w:val="22"/>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11"/>
        </w:trPr>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280"/>
          </w:cols>
          <w:pgMar w:left="300" w:top="532" w:right="31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gridSpan w:val="7"/>
          </w:tcPr>
          <w:p>
            <w:pPr>
              <w:spacing w:after="0"/>
              <w:rPr>
                <w:sz w:val="20"/>
                <w:szCs w:val="20"/>
                <w:color w:val="auto"/>
              </w:rPr>
            </w:pPr>
            <w:r>
              <w:rPr>
                <w:rFonts w:ascii="Arial" w:cs="Arial" w:eastAsia="Arial" w:hAnsi="Arial"/>
                <w:sz w:val="14"/>
                <w:szCs w:val="14"/>
                <w:b w:val="1"/>
                <w:bCs w:val="1"/>
                <w:color w:val="auto"/>
                <w:w w:val="92"/>
              </w:rPr>
              <w:t>Condensed Statement of Operations Information as of December 31:</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97"/>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Joint Venture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TRC</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
        </w:trPr>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6"/>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1"/>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8"/>
              </w:rPr>
              <w:t>Earnings(Loss)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6"/>
          </w:tcPr>
          <w:p>
            <w:pPr>
              <w:jc w:val="center"/>
              <w:ind w:left="369"/>
              <w:spacing w:after="0"/>
              <w:rPr>
                <w:sz w:val="20"/>
                <w:szCs w:val="20"/>
                <w:color w:val="auto"/>
              </w:rPr>
            </w:pPr>
            <w:r>
              <w:rPr>
                <w:rFonts w:ascii="Arial" w:cs="Arial" w:eastAsia="Arial" w:hAnsi="Arial"/>
                <w:sz w:val="14"/>
                <w:szCs w:val="14"/>
                <w:b w:val="1"/>
                <w:bCs w:val="1"/>
                <w:color w:val="auto"/>
                <w:w w:val="91"/>
              </w:rPr>
              <w:t>Equity in Earnings (Loss)</w:t>
            </w:r>
          </w:p>
        </w:tc>
        <w:tc>
          <w:tcPr>
            <w:tcW w:w="600" w:type="dxa"/>
            <w:vAlign w:val="bottom"/>
          </w:tcPr>
          <w:p>
            <w:pPr>
              <w:spacing w:after="0"/>
              <w:rPr>
                <w:sz w:val="15"/>
                <w:szCs w:val="15"/>
                <w:color w:val="auto"/>
              </w:rPr>
            </w:pPr>
          </w:p>
        </w:tc>
      </w:tr>
      <w:tr>
        <w:trPr>
          <w:trHeight w:val="22"/>
        </w:trPr>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1"/>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30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8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24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4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0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12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ind w:right="229"/>
              <w:spacing w:after="0"/>
              <w:rPr>
                <w:sz w:val="20"/>
                <w:szCs w:val="20"/>
                <w:color w:val="auto"/>
              </w:rPr>
            </w:pPr>
            <w:r>
              <w:rPr>
                <w:rFonts w:ascii="Arial" w:cs="Arial" w:eastAsia="Arial" w:hAnsi="Arial"/>
                <w:sz w:val="14"/>
                <w:szCs w:val="14"/>
                <w:b w:val="1"/>
                <w:bCs w:val="1"/>
                <w:color w:val="auto"/>
                <w:w w:val="89"/>
              </w:rPr>
              <w:t>2017</w:t>
            </w:r>
          </w:p>
        </w:tc>
      </w:tr>
      <w:tr>
        <w:trPr>
          <w:trHeight w:val="22"/>
        </w:trPr>
        <w:tc>
          <w:tcPr>
            <w:tcW w:w="1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0"/>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Petro Travel Plaza Holdings,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8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LLC</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117,708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119,083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105,507</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14,684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9,672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10,418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8,810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5,803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6,251</w:t>
            </w:r>
          </w:p>
        </w:tc>
      </w:tr>
      <w:tr>
        <w:trPr>
          <w:trHeight w:val="191"/>
        </w:trPr>
        <w:tc>
          <w:tcPr>
            <w:tcW w:w="1920" w:type="dxa"/>
            <w:vAlign w:val="bottom"/>
          </w:tcPr>
          <w:p>
            <w:pPr>
              <w:ind w:left="20"/>
              <w:spacing w:after="0"/>
              <w:rPr>
                <w:sz w:val="20"/>
                <w:szCs w:val="20"/>
                <w:color w:val="auto"/>
              </w:rPr>
            </w:pPr>
            <w:r>
              <w:rPr>
                <w:rFonts w:ascii="Arial" w:cs="Arial" w:eastAsia="Arial" w:hAnsi="Arial"/>
                <w:sz w:val="14"/>
                <w:szCs w:val="14"/>
                <w:color w:val="auto"/>
              </w:rPr>
              <w:t>Five West Parcel, LLC</w:t>
            </w:r>
          </w:p>
        </w:tc>
        <w:tc>
          <w:tcPr>
            <w:tcW w:w="24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2,648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2,731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2,824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18,239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9,119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452</w:t>
            </w:r>
          </w:p>
        </w:tc>
      </w:tr>
      <w:tr>
        <w:trPr>
          <w:trHeight w:val="22"/>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18-19 West, LLC</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0"/>
        </w:trPr>
        <w:tc>
          <w:tcPr>
            <w:tcW w:w="1920" w:type="dxa"/>
            <w:vAlign w:val="bottom"/>
          </w:tcPr>
          <w:p>
            <w:pPr>
              <w:ind w:left="20"/>
              <w:spacing w:after="0"/>
              <w:rPr>
                <w:sz w:val="20"/>
                <w:szCs w:val="20"/>
                <w:color w:val="auto"/>
              </w:rPr>
            </w:pPr>
            <w:r>
              <w:rPr>
                <w:rFonts w:ascii="Arial" w:cs="Arial" w:eastAsia="Arial" w:hAnsi="Arial"/>
                <w:sz w:val="14"/>
                <w:szCs w:val="14"/>
                <w:color w:val="auto"/>
              </w:rPr>
              <w:t>TRCC/Rock Outlet Center,</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2"/>
        </w:trPr>
        <w:tc>
          <w:tcPr>
            <w:tcW w:w="1920" w:type="dxa"/>
            <w:vAlign w:val="bottom"/>
          </w:tcPr>
          <w:p>
            <w:pPr>
              <w:ind w:left="20"/>
              <w:spacing w:after="0" w:line="203" w:lineRule="exact"/>
              <w:rPr>
                <w:sz w:val="20"/>
                <w:szCs w:val="20"/>
                <w:color w:val="auto"/>
              </w:rPr>
            </w:pPr>
            <w:r>
              <w:rPr>
                <w:rFonts w:ascii="Arial" w:cs="Arial" w:eastAsia="Arial" w:hAnsi="Arial"/>
                <w:sz w:val="14"/>
                <w:szCs w:val="14"/>
                <w:color w:val="auto"/>
              </w:rPr>
              <w:t>LLC</w:t>
            </w:r>
            <w:r>
              <w:rPr>
                <w:rFonts w:ascii="Arial" w:cs="Arial" w:eastAsia="Arial" w:hAnsi="Arial"/>
                <w:sz w:val="19"/>
                <w:szCs w:val="19"/>
                <w:color w:val="auto"/>
                <w:vertAlign w:val="superscript"/>
              </w:rPr>
              <w:t>1</w:t>
            </w:r>
          </w:p>
        </w:tc>
        <w:tc>
          <w:tcPr>
            <w:tcW w:w="24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6,278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6,418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9,615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(3,843)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(1,173)</w:t>
            </w: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TRC-MRC 1, LLC</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3,067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1,323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12"/>
        </w:trPr>
        <w:tc>
          <w:tcPr>
            <w:tcW w:w="1920" w:type="dxa"/>
            <w:vAlign w:val="bottom"/>
          </w:tcPr>
          <w:p>
            <w:pPr>
              <w:ind w:left="20"/>
              <w:spacing w:after="0" w:line="213" w:lineRule="exact"/>
              <w:rPr>
                <w:sz w:val="20"/>
                <w:szCs w:val="20"/>
                <w:color w:val="auto"/>
              </w:rPr>
            </w:pPr>
            <w:r>
              <w:rPr>
                <w:rFonts w:ascii="Arial" w:cs="Arial" w:eastAsia="Arial" w:hAnsi="Arial"/>
                <w:sz w:val="14"/>
                <w:szCs w:val="14"/>
                <w:color w:val="auto"/>
              </w:rPr>
              <w:t>TRC-MRC 2, LLC</w:t>
            </w:r>
            <w:r>
              <w:rPr>
                <w:rFonts w:ascii="Arial" w:cs="Arial" w:eastAsia="Arial" w:hAnsi="Arial"/>
                <w:sz w:val="19"/>
                <w:szCs w:val="19"/>
                <w:color w:val="auto"/>
                <w:vertAlign w:val="superscript"/>
              </w:rPr>
              <w:t>2</w:t>
            </w:r>
          </w:p>
        </w:tc>
        <w:tc>
          <w:tcPr>
            <w:tcW w:w="2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3,981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3,655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1,151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(1,253)</w:t>
            </w:r>
          </w:p>
        </w:tc>
      </w:tr>
      <w:tr>
        <w:trPr>
          <w:trHeight w:val="21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TRC-MRC 3, LLC</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1920" w:type="dxa"/>
            <w:vAlign w:val="bottom"/>
          </w:tcPr>
          <w:p>
            <w:pPr>
              <w:spacing w:after="0"/>
              <w:rPr>
                <w:sz w:val="15"/>
                <w:szCs w:val="15"/>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133,739</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133,549</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121,612</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30,213</w:t>
            </w:r>
          </w:p>
        </w:tc>
        <w:tc>
          <w:tcPr>
            <w:tcW w:w="120" w:type="dxa"/>
            <w:vAlign w:val="bottom"/>
          </w:tcPr>
          <w:p>
            <w:pPr>
              <w:spacing w:after="0"/>
              <w:rPr>
                <w:sz w:val="15"/>
                <w:szCs w:val="15"/>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5,734</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6,371</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16,575</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3,834</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4,227</w:t>
            </w:r>
          </w:p>
        </w:tc>
      </w:tr>
      <w:tr>
        <w:trPr>
          <w:trHeight w:val="22"/>
        </w:trPr>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6"/>
        </w:trPr>
        <w:tc>
          <w:tcPr>
            <w:tcW w:w="19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08"/>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Centennial Founders, LLC</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297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456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0"/>
              </w:rPr>
              <w:t>Consolidated</w:t>
            </w:r>
          </w:p>
        </w:tc>
        <w:tc>
          <w:tcPr>
            <w:tcW w:w="2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80" w:hanging="154"/>
        <w:spacing w:after="0"/>
        <w:tabs>
          <w:tab w:leader="none" w:pos="180" w:val="left"/>
        </w:tabs>
        <w:numPr>
          <w:ilvl w:val="0"/>
          <w:numId w:val="52"/>
        </w:numPr>
        <w:rPr>
          <w:rFonts w:ascii="Arial" w:cs="Arial" w:eastAsia="Arial" w:hAnsi="Arial"/>
          <w:sz w:val="11"/>
          <w:szCs w:val="11"/>
          <w:color w:val="auto"/>
        </w:rPr>
      </w:pPr>
      <w:r>
        <w:rPr>
          <w:rFonts w:ascii="Arial" w:cs="Arial" w:eastAsia="Arial" w:hAnsi="Arial"/>
          <w:sz w:val="11"/>
          <w:szCs w:val="11"/>
          <w:color w:val="auto"/>
        </w:rPr>
        <w:t>Revenues for TRCC/Rock Outlet Center are presented net of non-cash tenant allowance amortization of $1.7 million, $1.7 million, and $1.8 million for the years ended December 31, 2019, 2018 and 2017, respectively.</w:t>
      </w:r>
    </w:p>
    <w:p>
      <w:pPr>
        <w:spacing w:after="0" w:line="32" w:lineRule="exact"/>
        <w:rPr>
          <w:rFonts w:ascii="Arial" w:cs="Arial" w:eastAsia="Arial" w:hAnsi="Arial"/>
          <w:sz w:val="11"/>
          <w:szCs w:val="11"/>
          <w:color w:val="auto"/>
        </w:rPr>
      </w:pPr>
    </w:p>
    <w:p>
      <w:pPr>
        <w:ind w:left="180" w:hanging="154"/>
        <w:spacing w:after="0"/>
        <w:tabs>
          <w:tab w:leader="none" w:pos="180" w:val="left"/>
        </w:tabs>
        <w:numPr>
          <w:ilvl w:val="0"/>
          <w:numId w:val="52"/>
        </w:numPr>
        <w:rPr>
          <w:rFonts w:ascii="Arial" w:cs="Arial" w:eastAsia="Arial" w:hAnsi="Arial"/>
          <w:sz w:val="10"/>
          <w:szCs w:val="10"/>
          <w:color w:val="auto"/>
        </w:rPr>
      </w:pPr>
      <w:r>
        <w:rPr>
          <w:rFonts w:ascii="Arial" w:cs="Arial" w:eastAsia="Arial" w:hAnsi="Arial"/>
          <w:sz w:val="10"/>
          <w:szCs w:val="10"/>
          <w:color w:val="auto"/>
        </w:rPr>
        <w:t>Earnings for TRC-MRC2, LLC include non-cash amortization of purchase accounting adjustments related to in-place leases of $0.2 million, $0.8 million and $4.0 million for the years ended December 31, 2019, 2018 and 2017, respectively.</w:t>
      </w:r>
    </w:p>
    <w:p>
      <w:pPr>
        <w:spacing w:after="0" w:line="10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18.</w:t>
        <w:tab/>
        <w:t>RELATED PARTY TRANSACTIONS</w:t>
      </w:r>
    </w:p>
    <w:p>
      <w:pPr>
        <w:spacing w:after="0" w:line="76"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service contract with TCWD that entitles us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we transact with TCWD in the ordinary course of business.</w:t>
      </w:r>
    </w:p>
    <w:p>
      <w:pPr>
        <w:spacing w:after="0" w:line="146"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The Company has water contracts with WRMWSD for SWP water deliveries to our agricultural and municipal/industrial operations in the San Joaquin Valley. The terms of these contracts extend to 2035. Under the contracts, we are entitled to annual water for 5,496 acres of land, or 15,547 acre-feet of water subject to SWP allocations. In December 2019, the Company's Executive Vice President and Chief Operating Officer became one of nine directors at WRMWSD. As of December 31, 2019, the Company paid $3,299,000 for these water contracts and related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80"/>
          </w:cols>
          <w:pgMar w:left="300" w:top="592" w:right="319" w:bottom="1440" w:gutter="0" w:footer="0" w:header="0"/>
        </w:sectPr>
      </w:pPr>
    </w:p>
    <w:bookmarkStart w:id="111" w:name="page112"/>
    <w:bookmarkEnd w:id="111"/>
    <w:p>
      <w:pPr>
        <w:spacing w:after="0"/>
        <w:tabs>
          <w:tab w:leader="none" w:pos="300" w:val="left"/>
        </w:tabs>
        <w:rPr>
          <w:sz w:val="20"/>
          <w:szCs w:val="20"/>
          <w:color w:val="auto"/>
        </w:rPr>
      </w:pPr>
      <w:r>
        <w:rPr>
          <w:rFonts w:ascii="Arial" w:cs="Arial" w:eastAsia="Arial" w:hAnsi="Arial"/>
          <w:sz w:val="14"/>
          <w:szCs w:val="14"/>
          <w:b w:val="1"/>
          <w:bCs w:val="1"/>
          <w:color w:val="auto"/>
        </w:rPr>
        <w:t>19.</w:t>
        <w:tab/>
        <w:t>UNAUDITED QUARTERLY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tabulation of unaudited quarterly operating results for the years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Segment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40" w:type="dxa"/>
            <w:vAlign w:val="bottom"/>
          </w:tcPr>
          <w:p>
            <w:pPr>
              <w:ind w:left="20"/>
              <w:spacing w:after="0"/>
              <w:rPr>
                <w:sz w:val="20"/>
                <w:szCs w:val="20"/>
                <w:color w:val="auto"/>
              </w:rPr>
            </w:pPr>
            <w:r>
              <w:rPr>
                <w:rFonts w:ascii="Arial" w:cs="Arial" w:eastAsia="Arial" w:hAnsi="Arial"/>
                <w:sz w:val="14"/>
                <w:szCs w:val="14"/>
                <w:color w:val="auto"/>
              </w:rPr>
              <w:t>($ in thousands, except per</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Total</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Profit</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Net Income</w:t>
            </w:r>
          </w:p>
        </w:tc>
        <w:tc>
          <w:tcPr>
            <w:tcW w:w="100" w:type="dxa"/>
            <w:vAlign w:val="bottom"/>
          </w:tcPr>
          <w:p>
            <w:pPr>
              <w:spacing w:after="0"/>
              <w:rPr>
                <w:sz w:val="14"/>
                <w:szCs w:val="14"/>
                <w:color w:val="auto"/>
              </w:rPr>
            </w:pPr>
          </w:p>
        </w:tc>
        <w:tc>
          <w:tcPr>
            <w:tcW w:w="2020" w:type="dxa"/>
            <w:vAlign w:val="bottom"/>
          </w:tcPr>
          <w:p>
            <w:pPr>
              <w:jc w:val="right"/>
              <w:ind w:right="49"/>
              <w:spacing w:after="0"/>
              <w:rPr>
                <w:sz w:val="20"/>
                <w:szCs w:val="20"/>
                <w:color w:val="auto"/>
              </w:rPr>
            </w:pPr>
            <w:r>
              <w:rPr>
                <w:rFonts w:ascii="Arial" w:cs="Arial" w:eastAsia="Arial" w:hAnsi="Arial"/>
                <w:sz w:val="14"/>
                <w:szCs w:val="14"/>
                <w:color w:val="auto"/>
                <w:w w:val="92"/>
              </w:rPr>
              <w:t>Net Income (Loss) attributable to</w:t>
            </w:r>
          </w:p>
        </w:tc>
        <w:tc>
          <w:tcPr>
            <w:tcW w:w="10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color w:val="auto"/>
                <w:w w:val="99"/>
              </w:rPr>
              <w:t>Net Income (Loss) Per</w:t>
            </w:r>
          </w:p>
        </w:tc>
        <w:tc>
          <w:tcPr>
            <w:tcW w:w="200" w:type="dxa"/>
            <w:vAlign w:val="bottom"/>
          </w:tcPr>
          <w:p>
            <w:pPr>
              <w:spacing w:after="0"/>
              <w:rPr>
                <w:sz w:val="14"/>
                <w:szCs w:val="14"/>
                <w:color w:val="auto"/>
              </w:rPr>
            </w:pPr>
          </w:p>
        </w:tc>
        <w:tc>
          <w:tcPr>
            <w:tcW w:w="2040" w:type="dxa"/>
            <w:vAlign w:val="bottom"/>
          </w:tcPr>
          <w:p>
            <w:pPr>
              <w:jc w:val="right"/>
              <w:ind w:right="209"/>
              <w:spacing w:after="0"/>
              <w:rPr>
                <w:sz w:val="20"/>
                <w:szCs w:val="20"/>
                <w:color w:val="auto"/>
              </w:rPr>
            </w:pPr>
            <w:r>
              <w:rPr>
                <w:rFonts w:ascii="Arial" w:cs="Arial" w:eastAsia="Arial" w:hAnsi="Arial"/>
                <w:sz w:val="14"/>
                <w:szCs w:val="14"/>
                <w:color w:val="auto"/>
                <w:w w:val="93"/>
              </w:rPr>
              <w:t>Net Income (Loss), Per Share</w:t>
            </w:r>
          </w:p>
        </w:tc>
        <w:tc>
          <w:tcPr>
            <w:tcW w:w="0" w:type="dxa"/>
            <w:vAlign w:val="bottom"/>
          </w:tcPr>
          <w:p>
            <w:pPr>
              <w:spacing w:after="0"/>
              <w:rPr>
                <w:sz w:val="1"/>
                <w:szCs w:val="1"/>
                <w:color w:val="auto"/>
              </w:rPr>
            </w:pPr>
          </w:p>
        </w:tc>
      </w:tr>
      <w:tr>
        <w:trPr>
          <w:trHeight w:val="202"/>
        </w:trPr>
        <w:tc>
          <w:tcPr>
            <w:tcW w:w="1940" w:type="dxa"/>
            <w:vAlign w:val="bottom"/>
          </w:tcPr>
          <w:p>
            <w:pPr>
              <w:ind w:left="20"/>
              <w:spacing w:after="0"/>
              <w:rPr>
                <w:sz w:val="20"/>
                <w:szCs w:val="20"/>
                <w:color w:val="auto"/>
              </w:rPr>
            </w:pPr>
            <w:r>
              <w:rPr>
                <w:rFonts w:ascii="Arial" w:cs="Arial" w:eastAsia="Arial" w:hAnsi="Arial"/>
                <w:sz w:val="14"/>
                <w:szCs w:val="14"/>
                <w:color w:val="auto"/>
              </w:rPr>
              <w:t>share)</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line="203" w:lineRule="exact"/>
              <w:rPr>
                <w:sz w:val="20"/>
                <w:szCs w:val="20"/>
                <w:color w:val="auto"/>
              </w:rPr>
            </w:pPr>
            <w:r>
              <w:rPr>
                <w:rFonts w:ascii="Arial" w:cs="Arial" w:eastAsia="Arial" w:hAnsi="Arial"/>
                <w:sz w:val="14"/>
                <w:szCs w:val="14"/>
                <w:color w:val="auto"/>
                <w:w w:val="85"/>
              </w:rPr>
              <w:t>Revenue</w:t>
            </w:r>
            <w:r>
              <w:rPr>
                <w:rFonts w:ascii="Arial" w:cs="Arial" w:eastAsia="Arial" w:hAnsi="Arial"/>
                <w:sz w:val="19"/>
                <w:szCs w:val="19"/>
                <w:color w:val="auto"/>
                <w:w w:val="85"/>
                <w:vertAlign w:val="superscript"/>
              </w:rPr>
              <w:t>1</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(Loss)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(Loss)</w:t>
            </w:r>
          </w:p>
        </w:tc>
        <w:tc>
          <w:tcPr>
            <w:tcW w:w="100" w:type="dxa"/>
            <w:vAlign w:val="bottom"/>
          </w:tcPr>
          <w:p>
            <w:pPr>
              <w:spacing w:after="0"/>
              <w:rPr>
                <w:sz w:val="17"/>
                <w:szCs w:val="17"/>
                <w:color w:val="auto"/>
              </w:rPr>
            </w:pPr>
          </w:p>
        </w:tc>
        <w:tc>
          <w:tcPr>
            <w:tcW w:w="2020" w:type="dxa"/>
            <w:vAlign w:val="bottom"/>
          </w:tcPr>
          <w:p>
            <w:pPr>
              <w:jc w:val="right"/>
              <w:ind w:right="349"/>
              <w:spacing w:after="0"/>
              <w:rPr>
                <w:sz w:val="20"/>
                <w:szCs w:val="20"/>
                <w:color w:val="auto"/>
              </w:rPr>
            </w:pPr>
            <w:r>
              <w:rPr>
                <w:rFonts w:ascii="Arial" w:cs="Arial" w:eastAsia="Arial" w:hAnsi="Arial"/>
                <w:sz w:val="14"/>
                <w:szCs w:val="14"/>
                <w:color w:val="auto"/>
              </w:rPr>
              <w:t>Common Stockholders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color w:val="auto"/>
              </w:rPr>
              <w:t>Share</w:t>
            </w:r>
          </w:p>
        </w:tc>
        <w:tc>
          <w:tcPr>
            <w:tcW w:w="2240" w:type="dxa"/>
            <w:vAlign w:val="bottom"/>
            <w:gridSpan w:val="2"/>
          </w:tcPr>
          <w:p>
            <w:pPr>
              <w:ind w:left="40"/>
              <w:spacing w:after="0" w:line="203" w:lineRule="exact"/>
              <w:rPr>
                <w:sz w:val="20"/>
                <w:szCs w:val="20"/>
                <w:color w:val="auto"/>
              </w:rPr>
            </w:pPr>
            <w:r>
              <w:rPr>
                <w:rFonts w:ascii="Arial" w:cs="Arial" w:eastAsia="Arial" w:hAnsi="Arial"/>
                <w:sz w:val="14"/>
                <w:szCs w:val="14"/>
                <w:color w:val="auto"/>
                <w:w w:val="91"/>
              </w:rPr>
              <w:t>attributable to Common Stockholders</w:t>
            </w:r>
            <w:r>
              <w:rPr>
                <w:rFonts w:ascii="Arial" w:cs="Arial" w:eastAsia="Arial" w:hAnsi="Arial"/>
                <w:sz w:val="19"/>
                <w:szCs w:val="19"/>
                <w:color w:val="auto"/>
                <w:w w:val="91"/>
                <w:vertAlign w:val="superscript"/>
              </w:rPr>
              <w:t>2</w:t>
            </w:r>
          </w:p>
        </w:tc>
        <w:tc>
          <w:tcPr>
            <w:tcW w:w="0" w:type="dxa"/>
            <w:vAlign w:val="bottom"/>
          </w:tcPr>
          <w:p>
            <w:pPr>
              <w:spacing w:after="0"/>
              <w:rPr>
                <w:sz w:val="1"/>
                <w:szCs w:val="1"/>
                <w:color w:val="auto"/>
              </w:rPr>
            </w:pPr>
          </w:p>
        </w:tc>
      </w:tr>
      <w:tr>
        <w:trPr>
          <w:trHeight w:val="171"/>
        </w:trPr>
        <w:tc>
          <w:tcPr>
            <w:tcW w:w="1940" w:type="dxa"/>
            <w:vAlign w:val="bottom"/>
          </w:tcPr>
          <w:p>
            <w:pPr>
              <w:ind w:left="20"/>
              <w:spacing w:after="0"/>
              <w:rPr>
                <w:sz w:val="20"/>
                <w:szCs w:val="20"/>
                <w:color w:val="auto"/>
              </w:rPr>
            </w:pPr>
            <w:r>
              <w:rPr>
                <w:rFonts w:ascii="Arial" w:cs="Arial" w:eastAsia="Arial" w:hAnsi="Arial"/>
                <w:sz w:val="14"/>
                <w:szCs w:val="14"/>
                <w:color w:val="auto"/>
              </w:rPr>
              <w:t>2019</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First Quarter</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11,011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1,442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119</w:t>
            </w: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1940" w:type="dxa"/>
            <w:vAlign w:val="bottom"/>
          </w:tcPr>
          <w:p>
            <w:pPr>
              <w:ind w:left="300"/>
              <w:spacing w:after="0"/>
              <w:rPr>
                <w:sz w:val="20"/>
                <w:szCs w:val="20"/>
                <w:color w:val="auto"/>
              </w:rPr>
            </w:pPr>
            <w:r>
              <w:rPr>
                <w:rFonts w:ascii="Arial" w:cs="Arial" w:eastAsia="Arial" w:hAnsi="Arial"/>
                <w:sz w:val="14"/>
                <w:szCs w:val="14"/>
                <w:color w:val="auto"/>
              </w:rPr>
              <w:t>Second Quarter</w:t>
            </w:r>
          </w:p>
        </w:tc>
        <w:tc>
          <w:tcPr>
            <w:tcW w:w="1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9,275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49"/>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right"/>
              <w:ind w:right="29"/>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2"/>
        </w:trPr>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Third Quarter</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9,951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(708)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1940" w:type="dxa"/>
            <w:vAlign w:val="bottom"/>
          </w:tcPr>
          <w:p>
            <w:pPr>
              <w:ind w:left="300"/>
              <w:spacing w:after="0"/>
              <w:rPr>
                <w:sz w:val="20"/>
                <w:szCs w:val="20"/>
                <w:color w:val="auto"/>
              </w:rPr>
            </w:pPr>
            <w:r>
              <w:rPr>
                <w:rFonts w:ascii="Arial" w:cs="Arial" w:eastAsia="Arial" w:hAnsi="Arial"/>
                <w:sz w:val="14"/>
                <w:szCs w:val="14"/>
                <w:color w:val="auto"/>
              </w:rPr>
              <w:t>Fourth Quarter</w:t>
            </w:r>
          </w:p>
        </w:tc>
        <w:tc>
          <w:tcPr>
            <w:tcW w:w="1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20,525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6,301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9,709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49"/>
              <w:spacing w:after="0"/>
              <w:rPr>
                <w:sz w:val="20"/>
                <w:szCs w:val="20"/>
                <w:color w:val="auto"/>
              </w:rPr>
            </w:pPr>
            <w:r>
              <w:rPr>
                <w:rFonts w:ascii="Arial" w:cs="Arial" w:eastAsia="Arial" w:hAnsi="Arial"/>
                <w:sz w:val="14"/>
                <w:szCs w:val="14"/>
                <w:color w:val="auto"/>
              </w:rPr>
              <w:t>9,707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right"/>
              <w:ind w:right="29"/>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2"/>
        </w:trPr>
        <w:tc>
          <w:tcPr>
            <w:tcW w:w="1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1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50,762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7,930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10,579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10,580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2018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First Quarter</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13,752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4,277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1,455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1,457</w:t>
            </w: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91"/>
        </w:trPr>
        <w:tc>
          <w:tcPr>
            <w:tcW w:w="1940" w:type="dxa"/>
            <w:vAlign w:val="bottom"/>
          </w:tcPr>
          <w:p>
            <w:pPr>
              <w:ind w:left="300"/>
              <w:spacing w:after="0"/>
              <w:rPr>
                <w:sz w:val="20"/>
                <w:szCs w:val="20"/>
                <w:color w:val="auto"/>
              </w:rPr>
            </w:pPr>
            <w:r>
              <w:rPr>
                <w:rFonts w:ascii="Arial" w:cs="Arial" w:eastAsia="Arial" w:hAnsi="Arial"/>
                <w:sz w:val="14"/>
                <w:szCs w:val="14"/>
                <w:color w:val="auto"/>
              </w:rPr>
              <w:t>Second Quarter</w:t>
            </w:r>
          </w:p>
        </w:tc>
        <w:tc>
          <w:tcPr>
            <w:tcW w:w="1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5,416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2"/>
        </w:trPr>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Third Quarter</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15,783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4,815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3,487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3,488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91"/>
        </w:trPr>
        <w:tc>
          <w:tcPr>
            <w:tcW w:w="1940" w:type="dxa"/>
            <w:vAlign w:val="bottom"/>
          </w:tcPr>
          <w:p>
            <w:pPr>
              <w:ind w:left="300"/>
              <w:spacing w:after="0"/>
              <w:rPr>
                <w:sz w:val="20"/>
                <w:szCs w:val="20"/>
                <w:color w:val="auto"/>
              </w:rPr>
            </w:pPr>
            <w:r>
              <w:rPr>
                <w:rFonts w:ascii="Arial" w:cs="Arial" w:eastAsia="Arial" w:hAnsi="Arial"/>
                <w:sz w:val="14"/>
                <w:szCs w:val="14"/>
                <w:color w:val="auto"/>
              </w:rPr>
              <w:t>Fourth Quarter</w:t>
            </w:r>
          </w:p>
        </w:tc>
        <w:tc>
          <w:tcPr>
            <w:tcW w:w="1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12,012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49"/>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right"/>
              <w:ind w:right="29"/>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2"/>
        </w:trPr>
        <w:tc>
          <w:tcPr>
            <w:tcW w:w="1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1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46,963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10,141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4,235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4,255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00" w:hanging="153"/>
        <w:spacing w:after="0"/>
        <w:tabs>
          <w:tab w:leader="none" w:pos="200"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Includes investment income.</w:t>
      </w:r>
    </w:p>
    <w:p>
      <w:pPr>
        <w:spacing w:after="0" w:line="10" w:lineRule="exact"/>
        <w:rPr>
          <w:rFonts w:ascii="Arial" w:cs="Arial" w:eastAsia="Arial" w:hAnsi="Arial"/>
          <w:sz w:val="11"/>
          <w:szCs w:val="11"/>
          <w:color w:val="auto"/>
        </w:rPr>
      </w:pPr>
    </w:p>
    <w:p>
      <w:pPr>
        <w:ind w:left="40" w:right="80" w:firstLine="7"/>
        <w:spacing w:after="0" w:line="257" w:lineRule="auto"/>
        <w:tabs>
          <w:tab w:leader="none" w:pos="200" w:val="left"/>
        </w:tabs>
        <w:numPr>
          <w:ilvl w:val="0"/>
          <w:numId w:val="53"/>
        </w:numPr>
        <w:rPr>
          <w:rFonts w:ascii="Arial" w:cs="Arial" w:eastAsia="Arial" w:hAnsi="Arial"/>
          <w:sz w:val="11"/>
          <w:szCs w:val="11"/>
          <w:color w:val="auto"/>
        </w:rPr>
      </w:pPr>
      <w:r>
        <w:rPr>
          <w:rFonts w:ascii="Arial" w:cs="Arial" w:eastAsia="Arial" w:hAnsi="Arial"/>
          <w:sz w:val="11"/>
          <w:szCs w:val="11"/>
          <w:color w:val="auto"/>
        </w:rPr>
        <w:t>Net income (loss) per share on a diluted basis. Quarterly rounding of per share amounts can result in a variance from the reported annual amount. The fourth quarter 2019 amount includes gain realized by Five West Parcel LLC joint venture on building sale (see Note 17).</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80"/>
          </w:cols>
          <w:pgMar w:left="300" w:top="549" w:right="3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b w:val="1"/>
          <w:bCs w:val="1"/>
          <w:color w:val="auto"/>
        </w:rPr>
        <w:t>Exhibit 4.4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SECURITIES</w:t>
      </w:r>
    </w:p>
    <w:p>
      <w:pPr>
        <w:spacing w:after="0" w:line="193" w:lineRule="exact"/>
        <w:rPr>
          <w:sz w:val="20"/>
          <w:szCs w:val="20"/>
          <w:color w:val="auto"/>
        </w:rPr>
      </w:pPr>
    </w:p>
    <w:p>
      <w:pPr>
        <w:ind w:right="300" w:firstLine="658"/>
        <w:spacing w:after="0" w:line="368" w:lineRule="auto"/>
        <w:rPr>
          <w:sz w:val="20"/>
          <w:szCs w:val="20"/>
          <w:color w:val="auto"/>
        </w:rPr>
      </w:pPr>
      <w:r>
        <w:rPr>
          <w:rFonts w:ascii="Arial" w:cs="Arial" w:eastAsia="Arial" w:hAnsi="Arial"/>
          <w:sz w:val="12"/>
          <w:szCs w:val="12"/>
          <w:color w:val="auto"/>
        </w:rPr>
        <w:t>The following is a summary of the material terms of our capital stock. You are strongly encouraged, however, to read our restated certificate of incorporation, bylaws and other agreements, copies of which are available from us upon request. Please also refer to “Where You Can Find Additional Information” to find out where copies of these documents may be obtained.</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General</w:t>
      </w:r>
    </w:p>
    <w:p>
      <w:pPr>
        <w:spacing w:after="0" w:line="104" w:lineRule="exact"/>
        <w:rPr>
          <w:sz w:val="20"/>
          <w:szCs w:val="20"/>
          <w:color w:val="auto"/>
        </w:rPr>
      </w:pPr>
    </w:p>
    <w:p>
      <w:pPr>
        <w:ind w:right="80" w:firstLine="658"/>
        <w:spacing w:after="0" w:line="281" w:lineRule="auto"/>
        <w:rPr>
          <w:sz w:val="20"/>
          <w:szCs w:val="20"/>
          <w:color w:val="auto"/>
        </w:rPr>
      </w:pPr>
      <w:r>
        <w:rPr>
          <w:rFonts w:ascii="Arial" w:cs="Arial" w:eastAsia="Arial" w:hAnsi="Arial"/>
          <w:sz w:val="14"/>
          <w:szCs w:val="14"/>
          <w:color w:val="auto"/>
        </w:rPr>
        <w:t>The following description of our capital stock and provisions of our restated certificate of incorporation and bylaws are summaries and are qualified by reference to the restated certificate of incorporation and the bylaws currently in effect. Copies of these documents have been filed with the SEC.</w:t>
      </w:r>
    </w:p>
    <w:p>
      <w:pPr>
        <w:spacing w:after="0" w:line="143" w:lineRule="exact"/>
        <w:rPr>
          <w:sz w:val="20"/>
          <w:szCs w:val="20"/>
          <w:color w:val="auto"/>
        </w:rPr>
      </w:pPr>
    </w:p>
    <w:p>
      <w:pPr>
        <w:jc w:val="both"/>
        <w:ind w:right="20" w:firstLine="658"/>
        <w:spacing w:after="0" w:line="281" w:lineRule="auto"/>
        <w:rPr>
          <w:sz w:val="20"/>
          <w:szCs w:val="20"/>
          <w:color w:val="auto"/>
        </w:rPr>
      </w:pPr>
      <w:r>
        <w:rPr>
          <w:rFonts w:ascii="Arial" w:cs="Arial" w:eastAsia="Arial" w:hAnsi="Arial"/>
          <w:sz w:val="14"/>
          <w:szCs w:val="14"/>
          <w:color w:val="auto"/>
        </w:rPr>
        <w:t>Our authorized capital stock consists of 5,000,000 shares of preferred stock, of which no shares are outstanding, and 30,000,000 shares of common stock, of which 20,703,838 shares were outstanding on March 14, 2016, held by 307 holders of record.</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Common Stock</w:t>
      </w:r>
    </w:p>
    <w:p>
      <w:pPr>
        <w:spacing w:after="0" w:line="104" w:lineRule="exact"/>
        <w:rPr>
          <w:sz w:val="20"/>
          <w:szCs w:val="20"/>
          <w:color w:val="auto"/>
        </w:rPr>
      </w:pPr>
    </w:p>
    <w:p>
      <w:pPr>
        <w:jc w:val="both"/>
        <w:ind w:firstLine="658"/>
        <w:spacing w:after="0" w:line="297" w:lineRule="auto"/>
        <w:rPr>
          <w:sz w:val="20"/>
          <w:szCs w:val="20"/>
          <w:color w:val="auto"/>
        </w:rPr>
      </w:pPr>
      <w:r>
        <w:rPr>
          <w:rFonts w:ascii="Arial" w:cs="Arial" w:eastAsia="Arial" w:hAnsi="Arial"/>
          <w:sz w:val="13"/>
          <w:szCs w:val="13"/>
          <w:color w:val="auto"/>
        </w:rPr>
        <w:t>The holders of common stock vote cumulatively when electing directors and are entitled to one vote per share on all other matters. The board of directors presently consists of three classes of directors based on when their terms expire. Each class is elected every three years to a three-year term. Because only a portion of the total number of directors is elected each year, a greater number of shares is required to ensure the ability to elect a specific number of directors using cumulative voting than would be required if the entire Board were elected each year.</w:t>
      </w:r>
    </w:p>
    <w:p>
      <w:pPr>
        <w:spacing w:after="0" w:line="135" w:lineRule="exact"/>
        <w:rPr>
          <w:sz w:val="20"/>
          <w:szCs w:val="20"/>
          <w:color w:val="auto"/>
        </w:rPr>
      </w:pPr>
    </w:p>
    <w:p>
      <w:pPr>
        <w:ind w:right="20" w:firstLine="658"/>
        <w:spacing w:after="0" w:line="262" w:lineRule="auto"/>
        <w:rPr>
          <w:sz w:val="20"/>
          <w:szCs w:val="20"/>
          <w:color w:val="auto"/>
        </w:rPr>
      </w:pPr>
      <w:r>
        <w:rPr>
          <w:rFonts w:ascii="Arial" w:cs="Arial" w:eastAsia="Arial" w:hAnsi="Arial"/>
          <w:sz w:val="14"/>
          <w:szCs w:val="14"/>
          <w:color w:val="auto"/>
        </w:rPr>
        <w:t>Holders of common stock are entitled to receive ratably such dividends as may be declared by the board of directors out of funds legally available therefore. In the event of liquidation, dissolution or winding up of the Company holders of common stock are entitled to share ratably in all assets remaining after payment of liabilities and satisfaction of any preferential rights of the holders of the preferred stock. Holders of common stock have no preemptive, subscription or conversion rights. There are no redemption or sinking fund provisions, and there is no liability for further calls or assessments by the Company.</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Preferred Stock</w:t>
      </w:r>
    </w:p>
    <w:p>
      <w:pPr>
        <w:spacing w:after="0" w:line="104" w:lineRule="exact"/>
        <w:rPr>
          <w:sz w:val="20"/>
          <w:szCs w:val="20"/>
          <w:color w:val="auto"/>
        </w:rPr>
      </w:pPr>
    </w:p>
    <w:p>
      <w:pPr>
        <w:ind w:right="560" w:firstLine="658"/>
        <w:spacing w:after="0" w:line="281" w:lineRule="auto"/>
        <w:rPr>
          <w:sz w:val="20"/>
          <w:szCs w:val="20"/>
          <w:color w:val="auto"/>
        </w:rPr>
      </w:pPr>
      <w:r>
        <w:rPr>
          <w:rFonts w:ascii="Arial" w:cs="Arial" w:eastAsia="Arial" w:hAnsi="Arial"/>
          <w:sz w:val="14"/>
          <w:szCs w:val="14"/>
          <w:color w:val="auto"/>
        </w:rPr>
        <w:t>The Board has the authority to issue 5,000,000 shares of preferred stock in one or more series with dividend rights, conversion rights, voting rights, redemption terms, liquidation preferences and other rights or preferences that could be senior to those of holders of common stock. There are no shares of preferred stock outstanding.</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Anti-Takeover Provisions</w:t>
      </w:r>
    </w:p>
    <w:p>
      <w:pPr>
        <w:spacing w:after="0" w:line="104" w:lineRule="exact"/>
        <w:rPr>
          <w:sz w:val="20"/>
          <w:szCs w:val="20"/>
          <w:color w:val="auto"/>
        </w:rPr>
      </w:pPr>
    </w:p>
    <w:p>
      <w:pPr>
        <w:ind w:firstLine="658"/>
        <w:spacing w:after="0" w:line="284" w:lineRule="auto"/>
        <w:rPr>
          <w:sz w:val="20"/>
          <w:szCs w:val="20"/>
          <w:color w:val="auto"/>
        </w:rPr>
      </w:pPr>
      <w:r>
        <w:rPr>
          <w:rFonts w:ascii="Arial" w:cs="Arial" w:eastAsia="Arial" w:hAnsi="Arial"/>
          <w:sz w:val="13"/>
          <w:szCs w:val="13"/>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w:t>
      </w:r>
    </w:p>
    <w:p>
      <w:pPr>
        <w:spacing w:after="0" w:line="92" w:lineRule="exact"/>
        <w:rPr>
          <w:sz w:val="20"/>
          <w:szCs w:val="20"/>
          <w:color w:val="auto"/>
        </w:rPr>
      </w:pPr>
    </w:p>
    <w:p>
      <w:pPr>
        <w:ind w:right="220" w:firstLine="658"/>
        <w:spacing w:after="0" w:line="281" w:lineRule="auto"/>
        <w:rPr>
          <w:sz w:val="20"/>
          <w:szCs w:val="20"/>
          <w:color w:val="auto"/>
        </w:rPr>
      </w:pPr>
      <w:r>
        <w:rPr>
          <w:rFonts w:ascii="Arial" w:cs="Arial" w:eastAsia="Arial" w:hAnsi="Arial"/>
          <w:sz w:val="14"/>
          <w:szCs w:val="14"/>
          <w:color w:val="auto"/>
        </w:rPr>
        <w:t>In addition, our restated certificate of incorporation and bylaws include a number of provisions that may have the effect of discouraging persons from pursuing non-negotiated takeover attempts. These provisions include:</w:t>
      </w:r>
    </w:p>
    <w:p>
      <w:pPr>
        <w:spacing w:after="0" w:line="185" w:lineRule="exact"/>
        <w:rPr>
          <w:sz w:val="20"/>
          <w:szCs w:val="20"/>
          <w:color w:val="auto"/>
        </w:rPr>
      </w:pPr>
    </w:p>
    <w:p>
      <w:pPr>
        <w:ind w:left="1720" w:hanging="792"/>
        <w:spacing w:after="0"/>
        <w:tabs>
          <w:tab w:leader="none" w:pos="17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 classified Board;</w:t>
      </w:r>
    </w:p>
    <w:p>
      <w:pPr>
        <w:spacing w:after="0" w:line="252" w:lineRule="exact"/>
        <w:rPr>
          <w:rFonts w:ascii="Arial" w:cs="Arial" w:eastAsia="Arial" w:hAnsi="Arial"/>
          <w:sz w:val="14"/>
          <w:szCs w:val="14"/>
          <w:color w:val="auto"/>
        </w:rPr>
      </w:pPr>
    </w:p>
    <w:p>
      <w:pPr>
        <w:ind w:left="1720" w:hanging="792"/>
        <w:spacing w:after="0"/>
        <w:tabs>
          <w:tab w:leader="none" w:pos="17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 requirement that directors may only be removed for cause and only by an affirmative vote of the holders of a majority of the Company’s voting stock; and</w:t>
      </w:r>
    </w:p>
    <w:p>
      <w:pPr>
        <w:spacing w:after="0" w:line="252" w:lineRule="exact"/>
        <w:rPr>
          <w:rFonts w:ascii="Arial" w:cs="Arial" w:eastAsia="Arial" w:hAnsi="Arial"/>
          <w:sz w:val="14"/>
          <w:szCs w:val="14"/>
          <w:color w:val="auto"/>
        </w:rPr>
      </w:pPr>
    </w:p>
    <w:p>
      <w:pPr>
        <w:ind w:left="1720" w:hanging="792"/>
        <w:spacing w:after="0"/>
        <w:tabs>
          <w:tab w:leader="none" w:pos="17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elimination of the ability of stockholders to call special meetings and to act without a meeting.</w:t>
      </w:r>
    </w:p>
    <w:p>
      <w:pPr>
        <w:spacing w:after="0" w:line="210" w:lineRule="exact"/>
        <w:rPr>
          <w:sz w:val="20"/>
          <w:szCs w:val="20"/>
          <w:color w:val="auto"/>
        </w:rPr>
      </w:pPr>
    </w:p>
    <w:p>
      <w:pPr>
        <w:ind w:right="100" w:firstLine="658"/>
        <w:spacing w:after="0" w:line="281" w:lineRule="auto"/>
        <w:rPr>
          <w:sz w:val="20"/>
          <w:szCs w:val="20"/>
          <w:color w:val="auto"/>
        </w:rPr>
      </w:pPr>
      <w:r>
        <w:rPr>
          <w:rFonts w:ascii="Arial" w:cs="Arial" w:eastAsia="Arial" w:hAnsi="Arial"/>
          <w:sz w:val="14"/>
          <w:szCs w:val="14"/>
          <w:color w:val="auto"/>
        </w:rPr>
        <w:t>Subject to the exceptions set forth below, certain business combinations involving a “Related Person” require the approval of the holders of at least 80% of the outstanding shares entitled to vote generally in the election of directors (which we refer to as</w:t>
      </w:r>
    </w:p>
    <w:p>
      <w:pPr>
        <w:sectPr>
          <w:pgSz w:w="11900" w:h="16838" w:orient="portrait"/>
          <w:cols w:equalWidth="0" w:num="1">
            <w:col w:w="11280"/>
          </w:cols>
          <w:pgMar w:left="300" w:top="135" w:right="3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b w:val="1"/>
          <w:bCs w:val="1"/>
          <w:color w:val="auto"/>
        </w:rPr>
        <w:t>Exhibit 4.4</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“voting shares”) and the approval of the holders of a majority of the voting shares not owned beneficially by the Related Person. The 80% voting requirement does not apply if:</w:t>
      </w:r>
    </w:p>
    <w:p>
      <w:pPr>
        <w:spacing w:after="0" w:line="232" w:lineRule="exact"/>
        <w:rPr>
          <w:sz w:val="20"/>
          <w:szCs w:val="20"/>
          <w:color w:val="auto"/>
        </w:rPr>
      </w:pPr>
    </w:p>
    <w:p>
      <w:pPr>
        <w:ind w:left="1720" w:hanging="792"/>
        <w:spacing w:after="0"/>
        <w:tabs>
          <w:tab w:leader="none" w:pos="17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terms of the business combination meet certain fairness standards set forth in our restated certificate of incorporation;</w:t>
      </w:r>
    </w:p>
    <w:p>
      <w:pPr>
        <w:spacing w:after="0" w:line="252" w:lineRule="exact"/>
        <w:rPr>
          <w:rFonts w:ascii="Arial" w:cs="Arial" w:eastAsia="Arial" w:hAnsi="Arial"/>
          <w:sz w:val="14"/>
          <w:szCs w:val="14"/>
          <w:color w:val="auto"/>
        </w:rPr>
      </w:pPr>
    </w:p>
    <w:p>
      <w:pPr>
        <w:ind w:left="1720" w:hanging="792"/>
        <w:spacing w:after="0"/>
        <w:tabs>
          <w:tab w:leader="none" w:pos="17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business combination is approved by the holders of a majority of the voting shares not owned beneficially by the Related Person; and</w:t>
      </w:r>
    </w:p>
    <w:p>
      <w:pPr>
        <w:spacing w:after="0" w:line="252" w:lineRule="exact"/>
        <w:rPr>
          <w:rFonts w:ascii="Arial" w:cs="Arial" w:eastAsia="Arial" w:hAnsi="Arial"/>
          <w:sz w:val="14"/>
          <w:szCs w:val="14"/>
          <w:color w:val="auto"/>
        </w:rPr>
      </w:pPr>
    </w:p>
    <w:p>
      <w:pPr>
        <w:ind w:left="1720" w:hanging="792"/>
        <w:spacing w:after="0"/>
        <w:tabs>
          <w:tab w:leader="none" w:pos="17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all other affirmative voting requirements imposed by applicable law or our restated certificate of incorporation are met.</w:t>
      </w:r>
    </w:p>
    <w:p>
      <w:pPr>
        <w:spacing w:after="0" w:line="210" w:lineRule="exact"/>
        <w:rPr>
          <w:sz w:val="20"/>
          <w:szCs w:val="20"/>
          <w:color w:val="auto"/>
        </w:rPr>
      </w:pPr>
    </w:p>
    <w:p>
      <w:pPr>
        <w:ind w:right="580" w:firstLine="658"/>
        <w:spacing w:after="0" w:line="281" w:lineRule="auto"/>
        <w:rPr>
          <w:sz w:val="20"/>
          <w:szCs w:val="20"/>
          <w:color w:val="auto"/>
        </w:rPr>
      </w:pPr>
      <w:r>
        <w:rPr>
          <w:rFonts w:ascii="Arial" w:cs="Arial" w:eastAsia="Arial" w:hAnsi="Arial"/>
          <w:sz w:val="14"/>
          <w:szCs w:val="14"/>
          <w:color w:val="auto"/>
        </w:rPr>
        <w:t>Alternatively, the business combination can be approved by a majority of the Continuing Directors and such other vote as may be required by law or by our restated certificate of incorporation.</w:t>
      </w:r>
    </w:p>
    <w:p>
      <w:pPr>
        <w:spacing w:after="0" w:line="143" w:lineRule="exact"/>
        <w:rPr>
          <w:sz w:val="20"/>
          <w:szCs w:val="20"/>
          <w:color w:val="auto"/>
        </w:rPr>
      </w:pPr>
    </w:p>
    <w:p>
      <w:pPr>
        <w:ind w:right="80" w:firstLine="658"/>
        <w:spacing w:after="0" w:line="281" w:lineRule="auto"/>
        <w:rPr>
          <w:sz w:val="20"/>
          <w:szCs w:val="20"/>
          <w:color w:val="auto"/>
        </w:rPr>
      </w:pPr>
      <w:r>
        <w:rPr>
          <w:rFonts w:ascii="Arial" w:cs="Arial" w:eastAsia="Arial" w:hAnsi="Arial"/>
          <w:sz w:val="14"/>
          <w:szCs w:val="14"/>
          <w:color w:val="auto"/>
        </w:rPr>
        <w:t>“Related Person” means any person, entity or group that beneficially owns five percent or more of the outstanding voting stock (subject to certain exceptions) and affiliates and associates of any such person, entity or group.</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“Continuing Director” means, as to any Related Person:</w:t>
      </w:r>
    </w:p>
    <w:p>
      <w:pPr>
        <w:spacing w:after="0" w:line="232" w:lineRule="exact"/>
        <w:rPr>
          <w:sz w:val="20"/>
          <w:szCs w:val="20"/>
          <w:color w:val="auto"/>
        </w:rPr>
      </w:pPr>
    </w:p>
    <w:p>
      <w:pPr>
        <w:ind w:left="1720" w:right="180" w:hanging="792"/>
        <w:spacing w:after="0" w:line="281" w:lineRule="auto"/>
        <w:tabs>
          <w:tab w:leader="none" w:pos="17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member of the board of directors who was a director of our company’s predecessor prior to June 9, 1987 or thereafter became a director of our company prior to the time the Related Person became a Related Person; and</w:t>
      </w:r>
    </w:p>
    <w:p>
      <w:pPr>
        <w:spacing w:after="0" w:line="206" w:lineRule="exact"/>
        <w:rPr>
          <w:rFonts w:ascii="Arial" w:cs="Arial" w:eastAsia="Arial" w:hAnsi="Arial"/>
          <w:sz w:val="14"/>
          <w:szCs w:val="14"/>
          <w:color w:val="auto"/>
        </w:rPr>
      </w:pPr>
    </w:p>
    <w:p>
      <w:pPr>
        <w:ind w:left="1720" w:hanging="792"/>
        <w:spacing w:after="0"/>
        <w:tabs>
          <w:tab w:leader="none" w:pos="17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successor of such a director who is recommended by a majority of such directors then on the Board.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However, to be a Continuing Director as to any Related Person, the director must not be the Related Person or an affiliate of the Related Person.</w:t>
      </w:r>
    </w:p>
    <w:p>
      <w:pPr>
        <w:sectPr>
          <w:pgSz w:w="11900" w:h="16838" w:orient="portrait"/>
          <w:cols w:equalWidth="0" w:num="1">
            <w:col w:w="11280"/>
          </w:cols>
          <w:pgMar w:left="300" w:top="135"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b w:val="1"/>
          <w:bCs w:val="1"/>
          <w:color w:val="auto"/>
        </w:rPr>
        <w:t>Exhibit 10.47</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 SEVERANCE AGREEMENT</w:t>
      </w:r>
    </w:p>
    <w:p>
      <w:pPr>
        <w:spacing w:after="0" w:line="1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This Executive Officer Severance Agreement (“Agreement”) is entered into as of January 29, 2020, to be effective as of January 1, 2020 (the “Effective Date”), by and between Tejon Ranch Co. (the “Company”) and Gregory S. Bielli (“Executive”). Currently, Executive is employed by the Company as Chief Executive Officer and President.</w:t>
      </w:r>
    </w:p>
    <w:p>
      <w:pPr>
        <w:spacing w:after="0" w:line="138"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and Executive wish to formalize the circumstances under which Severance Pay (as defined below) is to be made,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terms and conditions set forth in this Agreement.</w:t>
      </w:r>
    </w:p>
    <w:p>
      <w:pPr>
        <w:spacing w:after="0" w:line="123"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promises, covenants and conditions set forth herein, the Company and Executive hereby agree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TERM OF AGREEMENT</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term of this Agreement shall begin on the Effective Date and, unless earlier terminated pursuant to the terms herein, shall continue through December 31, 2022 (“Term”).</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SEVERANCE PAY</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the event that during the Term the Executive’s employment is involuntarily terminated by the Company Without Cause (as defined below), or voluntarily terminated by Executive for Good Reason (as defined below), Executive shall be entitled to the following compensation (“Severance Pay”):</w:t>
      </w:r>
    </w:p>
    <w:p>
      <w:pPr>
        <w:spacing w:after="0" w:line="106" w:lineRule="exact"/>
        <w:rPr>
          <w:sz w:val="20"/>
          <w:szCs w:val="20"/>
          <w:color w:val="auto"/>
        </w:rPr>
      </w:pPr>
    </w:p>
    <w:p>
      <w:pPr>
        <w:jc w:val="both"/>
        <w:ind w:firstLine="514"/>
        <w:spacing w:after="0" w:line="220" w:lineRule="auto"/>
        <w:tabs>
          <w:tab w:leader="none" w:pos="1146"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Base Salary, Annual Incentive Compensation Continuation. </w:t>
      </w:r>
      <w:r>
        <w:rPr>
          <w:rFonts w:ascii="Arial" w:cs="Arial" w:eastAsia="Arial" w:hAnsi="Arial"/>
          <w:sz w:val="17"/>
          <w:szCs w:val="17"/>
          <w:color w:val="auto"/>
        </w:rPr>
        <w:t>The Company shall pay Executive all accrued base salary, all accrued but unused</w:t>
      </w:r>
      <w:r>
        <w:rPr>
          <w:rFonts w:ascii="Arial" w:cs="Arial" w:eastAsia="Arial" w:hAnsi="Arial"/>
          <w:sz w:val="17"/>
          <w:szCs w:val="17"/>
          <w:b w:val="1"/>
          <w:bCs w:val="1"/>
          <w:color w:val="auto"/>
        </w:rPr>
        <w:t xml:space="preserve"> </w:t>
      </w:r>
      <w:r>
        <w:rPr>
          <w:rFonts w:ascii="Arial" w:cs="Arial" w:eastAsia="Arial" w:hAnsi="Arial"/>
          <w:sz w:val="17"/>
          <w:szCs w:val="17"/>
          <w:color w:val="auto"/>
        </w:rPr>
        <w:t>vacation, all personal paid leave, and any expense reimbursements then due and owing, and, in addition, a lump sum cash payment comprised of the following amounts: (i) an amount equal to eighteen (18) months of base salary as in effect at the time of Executive’s termination; and (ii) an amount equal to eighteen (18) months of Executive’s the target annual cash incentive under the Company’s Annual Incentive Compensation Plan (or any successor plan), which items in “(i)” – “(iii)” shall be payable within thirty (30) days following the Executive’s termination;</w:t>
      </w:r>
    </w:p>
    <w:p>
      <w:pPr>
        <w:spacing w:after="0" w:line="37" w:lineRule="exact"/>
        <w:rPr>
          <w:rFonts w:ascii="Arial" w:cs="Arial" w:eastAsia="Arial" w:hAnsi="Arial"/>
          <w:sz w:val="17"/>
          <w:szCs w:val="17"/>
          <w:b w:val="1"/>
          <w:bCs w:val="1"/>
          <w:color w:val="auto"/>
        </w:rPr>
      </w:pPr>
    </w:p>
    <w:p>
      <w:pPr>
        <w:ind w:firstLine="514"/>
        <w:spacing w:after="0" w:line="238" w:lineRule="auto"/>
        <w:tabs>
          <w:tab w:leader="none" w:pos="1155"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 Vesting</w:t>
      </w: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Any restricted stock awards that were scheduled to vest during the calendar year of termination shall accelerate</w:t>
      </w:r>
      <w:r>
        <w:rPr>
          <w:rFonts w:ascii="Arial" w:cs="Arial" w:eastAsia="Arial" w:hAnsi="Arial"/>
          <w:sz w:val="17"/>
          <w:szCs w:val="17"/>
          <w:b w:val="1"/>
          <w:bCs w:val="1"/>
          <w:color w:val="auto"/>
        </w:rPr>
        <w:t xml:space="preserve"> </w:t>
      </w:r>
      <w:r>
        <w:rPr>
          <w:rFonts w:ascii="Arial" w:cs="Arial" w:eastAsia="Arial" w:hAnsi="Arial"/>
          <w:sz w:val="17"/>
          <w:szCs w:val="17"/>
          <w:color w:val="auto"/>
        </w:rPr>
        <w:t>and be deemed vested as of the date of termination; and</w:t>
      </w:r>
    </w:p>
    <w:p>
      <w:pPr>
        <w:spacing w:after="0" w:line="36" w:lineRule="exact"/>
        <w:rPr>
          <w:rFonts w:ascii="Arial" w:cs="Arial" w:eastAsia="Arial" w:hAnsi="Arial"/>
          <w:sz w:val="17"/>
          <w:szCs w:val="17"/>
          <w:b w:val="1"/>
          <w:bCs w:val="1"/>
          <w:color w:val="auto"/>
        </w:rPr>
      </w:pPr>
    </w:p>
    <w:p>
      <w:pPr>
        <w:ind w:firstLine="514"/>
        <w:spacing w:after="0" w:line="238" w:lineRule="auto"/>
        <w:tabs>
          <w:tab w:leader="none" w:pos="1136"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Benefit Continuation. </w:t>
      </w:r>
      <w:r>
        <w:rPr>
          <w:rFonts w:ascii="Arial" w:cs="Arial" w:eastAsia="Arial" w:hAnsi="Arial"/>
          <w:sz w:val="17"/>
          <w:szCs w:val="17"/>
          <w:color w:val="auto"/>
        </w:rPr>
        <w:t>The Company shall continue to pay its portion of Executive’s medical benefits, under the same terms and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percentages in effect as of the date of Executive’s termination, for a period of eighteen (18) months after Executive’s termination.</w:t>
      </w:r>
    </w:p>
    <w:p>
      <w:pPr>
        <w:spacing w:after="0" w:line="36" w:lineRule="exact"/>
        <w:rPr>
          <w:rFonts w:ascii="Arial" w:cs="Arial" w:eastAsia="Arial" w:hAnsi="Arial"/>
          <w:sz w:val="17"/>
          <w:szCs w:val="17"/>
          <w:b w:val="1"/>
          <w:bCs w:val="1"/>
          <w:color w:val="auto"/>
        </w:rPr>
      </w:pPr>
    </w:p>
    <w:p>
      <w:pPr>
        <w:jc w:val="both"/>
        <w:ind w:firstLine="514"/>
        <w:spacing w:after="0" w:line="228" w:lineRule="auto"/>
        <w:tabs>
          <w:tab w:leader="none" w:pos="1155"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As a condition to receiving any portion of Severance Pay (other than accrued obligations), Executive shall be required to execute a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of all claims (other than claims for amounts required to be paid pursuant to this Section 2) to be set forth in a separation agreement and general release that is in a form and content similar to that used by Company for</w:t>
      </w:r>
    </w:p>
    <w:p>
      <w:pPr>
        <w:sectPr>
          <w:pgSz w:w="11900" w:h="16838" w:orient="portrait"/>
          <w:cols w:equalWidth="0" w:num="1">
            <w:col w:w="11280"/>
          </w:cols>
          <w:pgMar w:left="300" w:top="125" w:right="3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b w:val="1"/>
          <w:bCs w:val="1"/>
          <w:color w:val="auto"/>
        </w:rPr>
        <w:t>Exhibit 10.47</w:t>
      </w:r>
    </w:p>
    <w:p>
      <w:pPr>
        <w:spacing w:after="0" w:line="3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other executive and management level employees (such agreement shall also address continuing confidentiality obligations, return of Company property and related matters), and such release of claims must become effective and irrevocable within thirty (30) days following Executive’s termination of employment.</w:t>
      </w:r>
    </w:p>
    <w:p>
      <w:pPr>
        <w:spacing w:after="0" w:line="104" w:lineRule="exact"/>
        <w:rPr>
          <w:sz w:val="20"/>
          <w:szCs w:val="20"/>
          <w:color w:val="auto"/>
        </w:rPr>
      </w:pPr>
    </w:p>
    <w:p>
      <w:pPr>
        <w:ind w:left="1140" w:hanging="626"/>
        <w:spacing w:after="0"/>
        <w:tabs>
          <w:tab w:leader="none" w:pos="114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Defined Terms. </w:t>
      </w:r>
      <w:r>
        <w:rPr>
          <w:rFonts w:ascii="Arial" w:cs="Arial" w:eastAsia="Arial" w:hAnsi="Arial"/>
          <w:sz w:val="17"/>
          <w:szCs w:val="17"/>
          <w:color w:val="auto"/>
        </w:rPr>
        <w:t>The following defined terms shall have the meanings attributed as follows:</w:t>
      </w:r>
    </w:p>
    <w:p>
      <w:pPr>
        <w:spacing w:after="0" w:line="169" w:lineRule="exact"/>
        <w:rPr>
          <w:rFonts w:ascii="Arial" w:cs="Arial" w:eastAsia="Arial" w:hAnsi="Arial"/>
          <w:sz w:val="17"/>
          <w:szCs w:val="17"/>
          <w:b w:val="1"/>
          <w:bCs w:val="1"/>
          <w:color w:val="auto"/>
        </w:rPr>
      </w:pPr>
    </w:p>
    <w:p>
      <w:pPr>
        <w:jc w:val="both"/>
        <w:ind w:left="1540" w:hanging="262"/>
        <w:spacing w:after="0" w:line="269" w:lineRule="auto"/>
        <w:tabs>
          <w:tab w:leader="none" w:pos="15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For purposes of this Agreement, a termination with “Cause” shall mean the involuntary termination of Executive’s employment with the Company under this Agreement during the Term for any of the following reasons: (i) Executive commits a felony or other crime involving dishonesty, breach of trust, or physical harm to any person; (ii) Executive willfully engages in conduct that is in bad faith and materially injurious to the Company, including but not limited to, misappropriation of trade secrets, fraud or embezzlement; (iii) Executive materially breaches any material provision of this Agreement, which breach is not cured within twenty (20) days after written notice to Executive from the Company; (iv) Executive willfully refuses to implement or follow a lawful policy or directive of the Company; or (v) Executive engages in misfeasance or malfeasance demonstrated by a pattern of failure to perform job duties diligently and professionally.</w:t>
      </w:r>
    </w:p>
    <w:p>
      <w:pPr>
        <w:spacing w:after="0" w:line="137" w:lineRule="exact"/>
        <w:rPr>
          <w:rFonts w:ascii="Arial" w:cs="Arial" w:eastAsia="Arial" w:hAnsi="Arial"/>
          <w:sz w:val="16"/>
          <w:szCs w:val="16"/>
          <w:color w:val="auto"/>
        </w:rPr>
      </w:pPr>
    </w:p>
    <w:p>
      <w:pPr>
        <w:jc w:val="both"/>
        <w:ind w:left="1540" w:hanging="262"/>
        <w:spacing w:after="0" w:line="259" w:lineRule="auto"/>
        <w:tabs>
          <w:tab w:leader="none" w:pos="15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For purposes of this Agreement, a termination “Without Cause” shall mean the involuntary termination of Executive’s employment with the Company under this Agreement during the Term by the Company for any reason other than a termination (i) for Cause, (ii) Executive’s death, or (iii) Executive’s Disability.</w:t>
      </w:r>
    </w:p>
    <w:p>
      <w:pPr>
        <w:spacing w:after="0" w:line="141" w:lineRule="exact"/>
        <w:rPr>
          <w:rFonts w:ascii="Arial" w:cs="Arial" w:eastAsia="Arial" w:hAnsi="Arial"/>
          <w:sz w:val="17"/>
          <w:szCs w:val="17"/>
          <w:color w:val="auto"/>
        </w:rPr>
      </w:pPr>
    </w:p>
    <w:p>
      <w:pPr>
        <w:jc w:val="both"/>
        <w:ind w:left="1540" w:hanging="262"/>
        <w:spacing w:after="0" w:line="255" w:lineRule="auto"/>
        <w:tabs>
          <w:tab w:leader="none" w:pos="15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For purposes of this Agreement, “Disability” means that Executive has become eligible for the Company’s long term disability benefits or if, in the sole opinion of the Company, Executive is unable to carry out the responsibilities and functions of the position held by Executive by reason of any physical or mental impairment for more than ninety (90) consecutive days or more than one hundred and twenty (120) days in any twelve-month period.</w:t>
      </w:r>
    </w:p>
    <w:p>
      <w:pPr>
        <w:spacing w:after="0" w:line="145" w:lineRule="exact"/>
        <w:rPr>
          <w:rFonts w:ascii="Arial" w:cs="Arial" w:eastAsia="Arial" w:hAnsi="Arial"/>
          <w:sz w:val="17"/>
          <w:szCs w:val="17"/>
          <w:color w:val="auto"/>
        </w:rPr>
      </w:pPr>
    </w:p>
    <w:p>
      <w:pPr>
        <w:jc w:val="both"/>
        <w:ind w:left="1540" w:hanging="262"/>
        <w:spacing w:after="0" w:line="252" w:lineRule="auto"/>
        <w:tabs>
          <w:tab w:leader="none" w:pos="15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For purposes of this Agreement, a voluntary termination by Executive for “Good Reason” shall mean the voluntary termination of Executive’s employment with the Company during the Term as a result of the occurrence of the following events: (i) a material diminution in the Executive’s authority, duties or responsibilities without Executive’s consent; or (ii) any material breach by the Company of any material provision of this Agreement. For Executive to resign for Good Reason: (A) Executive must notify the Company in writing within thirty (30) days of the event constituting Good Reason; (B) the event must remain uncorrected by the Company for fifteen (15) days following such notice (the “Company Notice Period”); and (C) if</w:t>
      </w:r>
    </w:p>
    <w:p>
      <w:pPr>
        <w:sectPr>
          <w:pgSz w:w="11900" w:h="16838" w:orient="portrait"/>
          <w:cols w:equalWidth="0" w:num="1">
            <w:col w:w="11280"/>
          </w:cols>
          <w:pgMar w:left="300" w:top="125" w:right="3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Exhibit 10.47</w:t>
      </w:r>
    </w:p>
    <w:p>
      <w:pPr>
        <w:spacing w:after="0" w:line="367" w:lineRule="exact"/>
        <w:rPr>
          <w:sz w:val="20"/>
          <w:szCs w:val="20"/>
          <w:color w:val="auto"/>
        </w:rPr>
      </w:pPr>
    </w:p>
    <w:p>
      <w:pPr>
        <w:jc w:val="both"/>
        <w:ind w:left="1540"/>
        <w:spacing w:after="0" w:line="236" w:lineRule="auto"/>
        <w:rPr>
          <w:sz w:val="20"/>
          <w:szCs w:val="20"/>
          <w:color w:val="auto"/>
        </w:rPr>
      </w:pPr>
      <w:r>
        <w:rPr>
          <w:rFonts w:ascii="Arial" w:cs="Arial" w:eastAsia="Arial" w:hAnsi="Arial"/>
          <w:sz w:val="17"/>
          <w:szCs w:val="17"/>
          <w:color w:val="auto"/>
        </w:rPr>
        <w:t>the Company fails to correct the same during the Company Notice Period (as determined by the Company and Executive, in each party’s reasonable judgment, but both operating in good faith), then the termination must occur within fifteen (15) days thereafter.</w:t>
      </w:r>
    </w:p>
    <w:p>
      <w:pPr>
        <w:spacing w:after="0" w:line="121" w:lineRule="exact"/>
        <w:rPr>
          <w:sz w:val="20"/>
          <w:szCs w:val="20"/>
          <w:color w:val="auto"/>
        </w:rPr>
      </w:pPr>
    </w:p>
    <w:p>
      <w:pPr>
        <w:jc w:val="both"/>
        <w:ind w:firstLine="514"/>
        <w:spacing w:after="0" w:line="218" w:lineRule="auto"/>
        <w:tabs>
          <w:tab w:leader="none" w:pos="1118" w:val="left"/>
        </w:tabs>
        <w:numPr>
          <w:ilvl w:val="1"/>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Limitations; No Change in “At-Will” Relationship</w:t>
      </w:r>
      <w:r>
        <w:rPr>
          <w:rFonts w:ascii="Arial" w:cs="Arial" w:eastAsia="Arial" w:hAnsi="Arial"/>
          <w:sz w:val="17"/>
          <w:szCs w:val="17"/>
          <w:color w:val="auto"/>
        </w:rPr>
        <w:t>. Severance Pay shall be provided only for Without Cause termination by Company or Good</w:t>
      </w:r>
      <w:r>
        <w:rPr>
          <w:rFonts w:ascii="Arial" w:cs="Arial" w:eastAsia="Arial" w:hAnsi="Arial"/>
          <w:sz w:val="17"/>
          <w:szCs w:val="17"/>
          <w:b w:val="1"/>
          <w:bCs w:val="1"/>
          <w:color w:val="auto"/>
        </w:rPr>
        <w:t xml:space="preserve"> </w:t>
      </w:r>
      <w:r>
        <w:rPr>
          <w:rFonts w:ascii="Arial" w:cs="Arial" w:eastAsia="Arial" w:hAnsi="Arial"/>
          <w:sz w:val="17"/>
          <w:szCs w:val="17"/>
          <w:color w:val="auto"/>
        </w:rPr>
        <w:t>Reason termination by Executive during the Term. No Severance Pay shall be made in connection with any other termination of Executive, including, without limitation termination with Cause, or as a result of death or Disability. Executive shall not be entitled to Severance Pay for voluntary resignation that is without Good Reason. This Agreement does not alter the at-will employment relationship between Company and Executive. The Company may terminate Executive’s employment hereunder for “Cause” or “Without Cause” at any time, subject to the terms of this Agreement and Executive may terminate employment with the Company at any time with or without “Good Reason”.</w:t>
      </w:r>
    </w:p>
    <w:p>
      <w:pPr>
        <w:spacing w:after="0" w:line="144" w:lineRule="exact"/>
        <w:rPr>
          <w:rFonts w:ascii="Arial" w:cs="Arial" w:eastAsia="Arial" w:hAnsi="Arial"/>
          <w:sz w:val="17"/>
          <w:szCs w:val="17"/>
          <w:b w:val="1"/>
          <w:bCs w:val="1"/>
          <w:color w:val="auto"/>
        </w:rPr>
      </w:pPr>
    </w:p>
    <w:p>
      <w:pPr>
        <w:ind w:left="260" w:hanging="255"/>
        <w:spacing w:after="0"/>
        <w:tabs>
          <w:tab w:leader="none" w:pos="26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rights afforded to Executive by this Agreement are personal to Executive, and Executive shall have no right to assign and shall not assign or purport to assign any rights under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ENTIRE AGREEMENT</w:t>
      </w:r>
    </w:p>
    <w:p>
      <w:pPr>
        <w:spacing w:after="0" w:line="18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This Agreement is intended to be the final, complete, and exclusive statement of the rights and duties of the Company and Executive with respect to Severance Pay and may not be contradicted by evidence of any prior or contemporaneous statements or agreements, except for agreements specifically referenced herein. Notwithstanding the prior sentence, the parties recognize that the Executive has rights under that certain Amended and Restated Severance Agreement, dated September 30, 2013, as amended by that First Amendment to the Amended and Restated Severance Agreement, dated January, 2019 (collectively, the “2013 Agreement”) relating to the vesting of stock following a change in control (as defined therein) of the Company, and upon such terms and conditions as are provided in that agreement; the parties acknowledge and agree that this Agreement does not supersede or replace the 2013 Agreement and that the two agreements relate to separate matters. To the extent that the practices, policies or procedures of the Company, now or in the future, apply to Executive and are inconsistent with the terms of this Agreement, the provisions of this Agreement shall control. Any subsequent change in Executive’s duties, position, or compensation shall not affect the validity or scope of this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AMENDMENT; WAIVER</w:t>
      </w:r>
    </w:p>
    <w:p>
      <w:pPr>
        <w:spacing w:after="0" w:line="180"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This Agreement may not be amended or waived except by a writing signed by Executive and by the Company. Failure to exercise any right under this Agreement shall not constitute a waiver of such right. Any waiver of any breach of this Agreement shall not operate as a waiver of any subsequent breaches.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NOTICES</w:t>
      </w:r>
    </w:p>
    <w:p>
      <w:pPr>
        <w:sectPr>
          <w:pgSz w:w="11900" w:h="16838" w:orient="portrait"/>
          <w:cols w:equalWidth="0" w:num="1">
            <w:col w:w="11280"/>
          </w:cols>
          <w:pgMar w:left="300" w:top="125"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b w:val="1"/>
          <w:bCs w:val="1"/>
          <w:color w:val="auto"/>
        </w:rPr>
        <w:t>Exhibit 10.47</w:t>
      </w:r>
    </w:p>
    <w:p>
      <w:pPr>
        <w:spacing w:after="0" w:line="38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6"/>
          <w:szCs w:val="16"/>
          <w:color w:val="auto"/>
        </w:rPr>
        <w:t>All notices or other communications required or permitted hereunder shall be made in writing and shall be deemed to have been duly given if delivered: (a) by hand; (b) by a nationally recognized overnight courier service; or (c) by United States first class registered or certified mail, return receipt requested, to the principal address of the other party, as set forth below. The date of notice shall be deemed to be the earlier of (i) actual receipt of notice by any permitted means, or (ii) five business days following dispatch by overnight delivery service or the United States Mail. Executive shall be obligated to notify the Company in writing of any change in Executive’s address. Notice of change of address shall be effective only when done in accordance with this paragraph.</w:t>
      </w:r>
    </w:p>
    <w:p>
      <w:pPr>
        <w:sectPr>
          <w:pgSz w:w="11900" w:h="16838" w:orient="portrait"/>
          <w:cols w:equalWidth="0" w:num="1">
            <w:col w:w="11280"/>
          </w:cols>
          <w:pgMar w:left="300" w:top="125" w:right="319" w:bottom="1440" w:gutter="0" w:footer="0" w:header="0"/>
        </w:sectPr>
      </w:pPr>
    </w:p>
    <w:p>
      <w:pPr>
        <w:spacing w:after="0" w:line="131" w:lineRule="exact"/>
        <w:rPr>
          <w:sz w:val="20"/>
          <w:szCs w:val="20"/>
          <w:color w:val="auto"/>
        </w:rPr>
      </w:pPr>
    </w:p>
    <w:p>
      <w:pPr>
        <w:jc w:val="center"/>
        <w:ind w:left="520"/>
        <w:spacing w:after="0"/>
        <w:rPr>
          <w:sz w:val="20"/>
          <w:szCs w:val="20"/>
          <w:color w:val="auto"/>
        </w:rPr>
      </w:pPr>
      <w:r>
        <w:rPr>
          <w:rFonts w:ascii="Arial" w:cs="Arial" w:eastAsia="Arial" w:hAnsi="Arial"/>
          <w:sz w:val="15"/>
          <w:szCs w:val="15"/>
          <w:color w:val="auto"/>
        </w:rPr>
        <w:t>Company’s Notice Address: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Executive’s Notice Address:</w:t>
      </w:r>
    </w:p>
    <w:p>
      <w:pPr>
        <w:spacing w:after="0" w:line="199" w:lineRule="exact"/>
        <w:rPr>
          <w:sz w:val="20"/>
          <w:szCs w:val="20"/>
          <w:color w:val="auto"/>
        </w:rPr>
      </w:pPr>
    </w:p>
    <w:p>
      <w:pPr>
        <w:sectPr>
          <w:pgSz w:w="11900" w:h="16838" w:orient="portrait"/>
          <w:cols w:equalWidth="0" w:num="2">
            <w:col w:w="2420" w:space="520"/>
            <w:col w:w="8340"/>
          </w:cols>
          <w:pgMar w:left="300" w:top="125" w:right="319" w:bottom="1440" w:gutter="0" w:footer="0" w:header="0"/>
          <w:type w:val="continuous"/>
        </w:sectPr>
      </w:pPr>
    </w:p>
    <w:p>
      <w:pPr>
        <w:ind w:left="520"/>
        <w:spacing w:after="0" w:line="300" w:lineRule="auto"/>
        <w:rPr>
          <w:sz w:val="20"/>
          <w:szCs w:val="20"/>
          <w:color w:val="auto"/>
        </w:rPr>
      </w:pPr>
      <w:r>
        <w:rPr>
          <w:rFonts w:ascii="Arial" w:cs="Arial" w:eastAsia="Arial" w:hAnsi="Arial"/>
          <w:sz w:val="15"/>
          <w:szCs w:val="15"/>
          <w:color w:val="auto"/>
        </w:rPr>
        <w:t>Tejon Ranch Company P.O. Box 1000 4436 Lebec Road Lebec, CA 93243</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16"/>
          <w:szCs w:val="16"/>
          <w:color w:val="auto"/>
        </w:rPr>
        <w:t>Gregory S. Bielli</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P.O. Box 1000</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color w:val="auto"/>
        </w:rPr>
        <w:t>4436 Lebec Road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Lebec, CA 93243</w:t>
      </w:r>
    </w:p>
    <w:p>
      <w:pPr>
        <w:spacing w:after="0" w:line="190" w:lineRule="exact"/>
        <w:rPr>
          <w:sz w:val="20"/>
          <w:szCs w:val="20"/>
          <w:color w:val="auto"/>
        </w:rPr>
      </w:pPr>
    </w:p>
    <w:p>
      <w:pPr>
        <w:sectPr>
          <w:pgSz w:w="11900" w:h="16838" w:orient="portrait"/>
          <w:cols w:equalWidth="0" w:num="2">
            <w:col w:w="2080" w:space="280"/>
            <w:col w:w="8920"/>
          </w:cols>
          <w:pgMar w:left="300" w:top="125" w:right="3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7.  SEVERABILITY</w:t>
      </w:r>
    </w:p>
    <w:p>
      <w:pPr>
        <w:spacing w:after="0" w:line="18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If any provision of this Agreement shall be held by a court or arbitrator to be invalid, unenforceable, or void, such provision shall be enforced to the fullest extent permitted by law, and the remainder of this Agreement shall remain in full force and effect.</w:t>
      </w:r>
    </w:p>
    <w:p>
      <w:pPr>
        <w:spacing w:after="0" w:line="127" w:lineRule="exact"/>
        <w:rPr>
          <w:sz w:val="20"/>
          <w:szCs w:val="20"/>
          <w:color w:val="auto"/>
        </w:rPr>
      </w:pPr>
    </w:p>
    <w:p>
      <w:pPr>
        <w:ind w:left="260" w:hanging="255"/>
        <w:spacing w:after="0"/>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TAX TREATMENT</w:t>
      </w:r>
    </w:p>
    <w:p>
      <w:pPr>
        <w:spacing w:after="0" w:line="18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All amounts paid under this Agreement shall be paid less all applicable state and federal tax withholdings and any other withholdings required by any applicable jurisdiction.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GOVERNING LAW</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This Agreement shall be governed by and construed in accordance with the laws of the State of California.</w:t>
      </w:r>
    </w:p>
    <w:p>
      <w:pPr>
        <w:spacing w:after="0" w:line="172" w:lineRule="exact"/>
        <w:rPr>
          <w:sz w:val="20"/>
          <w:szCs w:val="20"/>
          <w:color w:val="auto"/>
        </w:rPr>
      </w:pPr>
    </w:p>
    <w:p>
      <w:pPr>
        <w:ind w:left="260" w:hanging="255"/>
        <w:spacing w:after="0"/>
        <w:tabs>
          <w:tab w:leader="none" w:pos="26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COUNTERPARTS</w:t>
      </w:r>
    </w:p>
    <w:p>
      <w:pPr>
        <w:spacing w:after="0" w:line="18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This Agreement may be executed in any number of counterparts, each of which shall be deemed an original of this Agreement, but all of which together shall constitute one and the same instrument.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 continues on next page.]</w:t>
      </w:r>
    </w:p>
    <w:p>
      <w:pPr>
        <w:sectPr>
          <w:pgSz w:w="11900" w:h="16838" w:orient="portrait"/>
          <w:cols w:equalWidth="0" w:num="1">
            <w:col w:w="11280"/>
          </w:cols>
          <w:pgMar w:left="300" w:top="125" w:right="31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4"/>
          <w:szCs w:val="14"/>
          <w:b w:val="1"/>
          <w:bCs w:val="1"/>
          <w:color w:val="auto"/>
        </w:rPr>
        <w:t>Exhibit 10.47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60" w:hanging="255"/>
        <w:spacing w:after="0"/>
        <w:tabs>
          <w:tab w:leader="none" w:pos="26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AUTHORITY</w:t>
      </w:r>
    </w:p>
    <w:p>
      <w:pPr>
        <w:spacing w:after="0" w:line="1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duly executed this Agreement as of the date first written above.</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20" w:type="dxa"/>
            <w:vAlign w:val="bottom"/>
            <w:gridSpan w:val="4"/>
          </w:tcPr>
          <w:p>
            <w:pPr>
              <w:spacing w:after="0"/>
              <w:rPr>
                <w:sz w:val="20"/>
                <w:szCs w:val="20"/>
                <w:color w:val="auto"/>
              </w:rPr>
            </w:pPr>
            <w:r>
              <w:rPr>
                <w:rFonts w:ascii="Arial" w:cs="Arial" w:eastAsia="Arial" w:hAnsi="Arial"/>
                <w:sz w:val="17"/>
                <w:szCs w:val="17"/>
                <w:b w:val="1"/>
                <w:bCs w:val="1"/>
                <w:color w:val="auto"/>
              </w:rPr>
              <w:t>TEJON RANCH CO.</w:t>
            </w:r>
          </w:p>
        </w:tc>
        <w:tc>
          <w:tcPr>
            <w:tcW w:w="1920" w:type="dxa"/>
            <w:vAlign w:val="bottom"/>
            <w:gridSpan w:val="2"/>
          </w:tcPr>
          <w:p>
            <w:pPr>
              <w:ind w:left="260"/>
              <w:spacing w:after="0"/>
              <w:rPr>
                <w:sz w:val="20"/>
                <w:szCs w:val="20"/>
                <w:color w:val="auto"/>
              </w:rPr>
            </w:pPr>
            <w:r>
              <w:rPr>
                <w:rFonts w:ascii="Arial" w:cs="Arial" w:eastAsia="Arial" w:hAnsi="Arial"/>
                <w:sz w:val="17"/>
                <w:szCs w:val="17"/>
                <w:b w:val="1"/>
                <w:bCs w:val="1"/>
                <w:color w:val="auto"/>
              </w:rPr>
              <w:t>EXECUTIVE:</w:t>
            </w:r>
          </w:p>
        </w:tc>
      </w:tr>
      <w:tr>
        <w:trPr>
          <w:trHeight w:val="703"/>
        </w:trPr>
        <w:tc>
          <w:tcPr>
            <w:tcW w:w="320" w:type="dxa"/>
            <w:vAlign w:val="bottom"/>
          </w:tcPr>
          <w:p>
            <w:pPr>
              <w:spacing w:after="0"/>
              <w:rPr>
                <w:sz w:val="20"/>
                <w:szCs w:val="20"/>
                <w:color w:val="auto"/>
              </w:rPr>
            </w:pPr>
            <w:r>
              <w:rPr>
                <w:rFonts w:ascii="Arial" w:cs="Arial" w:eastAsia="Arial" w:hAnsi="Arial"/>
                <w:sz w:val="17"/>
                <w:szCs w:val="17"/>
                <w:color w:val="auto"/>
              </w:rPr>
              <w:t>By:</w:t>
            </w: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7"/>
                <w:szCs w:val="17"/>
                <w:color w:val="auto"/>
                <w:w w:val="92"/>
              </w:rPr>
              <w:t>/s/ Allen E. Lyda</w:t>
            </w:r>
          </w:p>
        </w:tc>
        <w:tc>
          <w:tcPr>
            <w:tcW w:w="240" w:type="dxa"/>
            <w:vAlign w:val="bottom"/>
          </w:tcPr>
          <w:p>
            <w:pPr>
              <w:spacing w:after="0"/>
              <w:rPr>
                <w:sz w:val="24"/>
                <w:szCs w:val="24"/>
                <w:color w:val="auto"/>
              </w:rPr>
            </w:pPr>
          </w:p>
        </w:tc>
        <w:tc>
          <w:tcPr>
            <w:tcW w:w="1920" w:type="dxa"/>
            <w:vAlign w:val="bottom"/>
            <w:gridSpan w:val="2"/>
          </w:tcPr>
          <w:p>
            <w:pPr>
              <w:ind w:left="260"/>
              <w:spacing w:after="0"/>
              <w:rPr>
                <w:sz w:val="20"/>
                <w:szCs w:val="20"/>
                <w:color w:val="auto"/>
              </w:rPr>
            </w:pPr>
            <w:r>
              <w:rPr>
                <w:rFonts w:ascii="Arial" w:cs="Arial" w:eastAsia="Arial" w:hAnsi="Arial"/>
                <w:sz w:val="17"/>
                <w:szCs w:val="17"/>
                <w:color w:val="auto"/>
                <w:w w:val="93"/>
              </w:rPr>
              <w:t>By: /s/ Gregory S. Bielli</w:t>
            </w:r>
          </w:p>
        </w:tc>
      </w:tr>
      <w:tr>
        <w:trPr>
          <w:trHeight w:val="20"/>
        </w:trPr>
        <w:tc>
          <w:tcPr>
            <w:tcW w:w="42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07"/>
        </w:trPr>
        <w:tc>
          <w:tcPr>
            <w:tcW w:w="1820" w:type="dxa"/>
            <w:vAlign w:val="bottom"/>
            <w:gridSpan w:val="4"/>
          </w:tcPr>
          <w:p>
            <w:pPr>
              <w:spacing w:after="0"/>
              <w:rPr>
                <w:sz w:val="20"/>
                <w:szCs w:val="20"/>
                <w:color w:val="auto"/>
              </w:rPr>
            </w:pPr>
            <w:r>
              <w:rPr>
                <w:rFonts w:ascii="Arial" w:cs="Arial" w:eastAsia="Arial" w:hAnsi="Arial"/>
                <w:sz w:val="17"/>
                <w:szCs w:val="17"/>
                <w:color w:val="auto"/>
              </w:rPr>
              <w:t>Name:  Allen E. Lyda</w:t>
            </w:r>
          </w:p>
        </w:tc>
        <w:tc>
          <w:tcPr>
            <w:tcW w:w="1920" w:type="dxa"/>
            <w:vAlign w:val="bottom"/>
            <w:gridSpan w:val="2"/>
          </w:tcPr>
          <w:p>
            <w:pPr>
              <w:ind w:left="460"/>
              <w:spacing w:after="0"/>
              <w:rPr>
                <w:sz w:val="20"/>
                <w:szCs w:val="20"/>
                <w:color w:val="auto"/>
              </w:rPr>
            </w:pPr>
            <w:r>
              <w:rPr>
                <w:rFonts w:ascii="Arial" w:cs="Arial" w:eastAsia="Arial" w:hAnsi="Arial"/>
                <w:sz w:val="17"/>
                <w:szCs w:val="17"/>
                <w:color w:val="auto"/>
              </w:rPr>
              <w:t>Gregory S. Bielli</w:t>
            </w:r>
          </w:p>
        </w:tc>
      </w:tr>
      <w:tr>
        <w:trPr>
          <w:trHeight w:val="202"/>
        </w:trPr>
        <w:tc>
          <w:tcPr>
            <w:tcW w:w="320" w:type="dxa"/>
            <w:vAlign w:val="bottom"/>
          </w:tcPr>
          <w:p>
            <w:pPr>
              <w:spacing w:after="0"/>
              <w:rPr>
                <w:sz w:val="20"/>
                <w:szCs w:val="20"/>
                <w:color w:val="auto"/>
              </w:rPr>
            </w:pPr>
            <w:r>
              <w:rPr>
                <w:rFonts w:ascii="Arial" w:cs="Arial" w:eastAsia="Arial" w:hAnsi="Arial"/>
                <w:sz w:val="17"/>
                <w:szCs w:val="17"/>
                <w:color w:val="auto"/>
              </w:rPr>
              <w:t>Its:</w:t>
            </w:r>
          </w:p>
        </w:tc>
        <w:tc>
          <w:tcPr>
            <w:tcW w:w="3420" w:type="dxa"/>
            <w:vAlign w:val="bottom"/>
            <w:gridSpan w:val="5"/>
          </w:tcPr>
          <w:p>
            <w:pPr>
              <w:jc w:val="right"/>
              <w:ind w:right="1600"/>
              <w:spacing w:after="0"/>
              <w:rPr>
                <w:sz w:val="20"/>
                <w:szCs w:val="20"/>
                <w:color w:val="auto"/>
              </w:rPr>
            </w:pPr>
            <w:r>
              <w:rPr>
                <w:rFonts w:ascii="Arial" w:cs="Arial" w:eastAsia="Arial" w:hAnsi="Arial"/>
                <w:sz w:val="17"/>
                <w:szCs w:val="17"/>
                <w:color w:val="auto"/>
                <w:w w:val="93"/>
              </w:rPr>
              <w:t>Executive Vice President,</w:t>
            </w:r>
          </w:p>
        </w:tc>
      </w:tr>
      <w:tr>
        <w:trPr>
          <w:trHeight w:val="215"/>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4"/>
          </w:tcPr>
          <w:p>
            <w:pPr>
              <w:jc w:val="right"/>
              <w:ind w:right="1600"/>
              <w:spacing w:after="0"/>
              <w:rPr>
                <w:sz w:val="20"/>
                <w:szCs w:val="20"/>
                <w:color w:val="auto"/>
              </w:rPr>
            </w:pPr>
            <w:r>
              <w:rPr>
                <w:rFonts w:ascii="Arial" w:cs="Arial" w:eastAsia="Arial" w:hAnsi="Arial"/>
                <w:sz w:val="17"/>
                <w:szCs w:val="17"/>
                <w:color w:val="auto"/>
                <w:w w:val="97"/>
              </w:rPr>
              <w:t>Chief Operating Officer</w:t>
            </w:r>
          </w:p>
        </w:tc>
      </w:tr>
      <w:tr>
        <w:trPr>
          <w:trHeight w:val="403"/>
        </w:trPr>
        <w:tc>
          <w:tcPr>
            <w:tcW w:w="1820" w:type="dxa"/>
            <w:vAlign w:val="bottom"/>
            <w:gridSpan w:val="4"/>
          </w:tcPr>
          <w:p>
            <w:pPr>
              <w:spacing w:after="0"/>
              <w:rPr>
                <w:sz w:val="20"/>
                <w:szCs w:val="20"/>
                <w:color w:val="auto"/>
              </w:rPr>
            </w:pPr>
            <w:r>
              <w:rPr>
                <w:rFonts w:ascii="Arial" w:cs="Arial" w:eastAsia="Arial" w:hAnsi="Arial"/>
                <w:sz w:val="17"/>
                <w:szCs w:val="17"/>
                <w:color w:val="auto"/>
              </w:rPr>
              <w:t>Date: January 29, 2020</w:t>
            </w:r>
          </w:p>
        </w:tc>
        <w:tc>
          <w:tcPr>
            <w:tcW w:w="1920" w:type="dxa"/>
            <w:vAlign w:val="bottom"/>
            <w:gridSpan w:val="2"/>
          </w:tcPr>
          <w:p>
            <w:pPr>
              <w:ind w:left="260"/>
              <w:spacing w:after="0"/>
              <w:rPr>
                <w:sz w:val="20"/>
                <w:szCs w:val="20"/>
                <w:color w:val="auto"/>
              </w:rPr>
            </w:pPr>
            <w:r>
              <w:rPr>
                <w:rFonts w:ascii="Arial" w:cs="Arial" w:eastAsia="Arial" w:hAnsi="Arial"/>
                <w:sz w:val="17"/>
                <w:szCs w:val="17"/>
                <w:color w:val="auto"/>
                <w:w w:val="92"/>
              </w:rPr>
              <w:t>Date: January 29, 2020</w:t>
            </w:r>
          </w:p>
        </w:tc>
      </w:tr>
    </w:tbl>
    <w:p>
      <w:pPr>
        <w:sectPr>
          <w:pgSz w:w="11900" w:h="16838" w:orient="portrait"/>
          <w:cols w:equalWidth="0" w:num="1">
            <w:col w:w="11280"/>
          </w:cols>
          <w:pgMar w:left="300" w:top="125" w:right="31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7"/>
          <w:szCs w:val="17"/>
          <w:color w:val="auto"/>
        </w:rPr>
        <w:t>LIST OF SUBSIDIARIES OF REGISTRANT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EXHIBIT 21</w:t>
      </w:r>
    </w:p>
    <w:p>
      <w:pPr>
        <w:spacing w:after="0" w:line="267"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(21)</w:t>
        <w:tab/>
        <w:t>Subsidiaries of Registrant</w:t>
      </w:r>
    </w:p>
    <w:p>
      <w:pPr>
        <w:spacing w:after="0" w:line="179" w:lineRule="exact"/>
        <w:rPr>
          <w:sz w:val="20"/>
          <w:szCs w:val="20"/>
          <w:color w:val="auto"/>
        </w:rPr>
      </w:pPr>
    </w:p>
    <w:p>
      <w:pPr>
        <w:ind w:left="280" w:hanging="275"/>
        <w:spacing w:after="0"/>
        <w:tabs>
          <w:tab w:leader="none" w:pos="2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Registrant: Tejon Ranch Co.</w:t>
      </w:r>
    </w:p>
    <w:p>
      <w:pPr>
        <w:spacing w:after="0" w:line="178" w:lineRule="exact"/>
        <w:rPr>
          <w:rFonts w:ascii="Arial" w:cs="Arial" w:eastAsia="Arial" w:hAnsi="Arial"/>
          <w:sz w:val="14"/>
          <w:szCs w:val="14"/>
          <w:color w:val="auto"/>
        </w:rPr>
      </w:pPr>
    </w:p>
    <w:p>
      <w:pPr>
        <w:ind w:left="280" w:hanging="275"/>
        <w:spacing w:after="0"/>
        <w:tabs>
          <w:tab w:leader="none" w:pos="2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Subsidiaries of Registrant</w:t>
      </w:r>
    </w:p>
    <w:p>
      <w:pPr>
        <w:spacing w:after="0" w:line="136" w:lineRule="exact"/>
        <w:rPr>
          <w:rFonts w:ascii="Arial" w:cs="Arial" w:eastAsia="Arial" w:hAnsi="Arial"/>
          <w:sz w:val="14"/>
          <w:szCs w:val="14"/>
          <w:color w:val="auto"/>
        </w:rPr>
      </w:pPr>
    </w:p>
    <w:p>
      <w:pPr>
        <w:ind w:left="300" w:hanging="149"/>
        <w:spacing w:after="0"/>
        <w:tabs>
          <w:tab w:leader="none" w:pos="3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Tejon Ranchcorp, 100% owned by Registrant.</w:t>
      </w:r>
    </w:p>
    <w:p>
      <w:pPr>
        <w:spacing w:after="0" w:line="157" w:lineRule="exact"/>
        <w:rPr>
          <w:rFonts w:ascii="Arial" w:cs="Arial" w:eastAsia="Arial" w:hAnsi="Arial"/>
          <w:sz w:val="14"/>
          <w:szCs w:val="14"/>
          <w:color w:val="auto"/>
        </w:rPr>
      </w:pPr>
    </w:p>
    <w:p>
      <w:pPr>
        <w:ind w:left="300" w:hanging="157"/>
        <w:spacing w:after="0"/>
        <w:tabs>
          <w:tab w:leader="none" w:pos="3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Laval Agricultural Company, formerly Tejon Farming Company.</w:t>
      </w:r>
    </w:p>
    <w:p>
      <w:pPr>
        <w:spacing w:after="0" w:line="157" w:lineRule="exact"/>
        <w:rPr>
          <w:rFonts w:ascii="Arial" w:cs="Arial" w:eastAsia="Arial" w:hAnsi="Arial"/>
          <w:sz w:val="14"/>
          <w:szCs w:val="14"/>
          <w:color w:val="auto"/>
        </w:rPr>
      </w:pPr>
    </w:p>
    <w:p>
      <w:pPr>
        <w:ind w:left="300" w:hanging="149"/>
        <w:spacing w:after="0"/>
        <w:tabs>
          <w:tab w:leader="none" w:pos="3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Tejon Ranch Feedlot, Inc.</w:t>
      </w:r>
    </w:p>
    <w:p>
      <w:pPr>
        <w:spacing w:after="0" w:line="157" w:lineRule="exact"/>
        <w:rPr>
          <w:rFonts w:ascii="Arial" w:cs="Arial" w:eastAsia="Arial" w:hAnsi="Arial"/>
          <w:sz w:val="14"/>
          <w:szCs w:val="14"/>
          <w:color w:val="auto"/>
        </w:rPr>
      </w:pPr>
    </w:p>
    <w:p>
      <w:pPr>
        <w:ind w:left="300" w:hanging="157"/>
        <w:spacing w:after="0"/>
        <w:tabs>
          <w:tab w:leader="none" w:pos="3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White Wolf Corporation.</w:t>
      </w:r>
    </w:p>
    <w:p>
      <w:pPr>
        <w:spacing w:after="0" w:line="157" w:lineRule="exact"/>
        <w:rPr>
          <w:rFonts w:ascii="Arial" w:cs="Arial" w:eastAsia="Arial" w:hAnsi="Arial"/>
          <w:sz w:val="14"/>
          <w:szCs w:val="14"/>
          <w:color w:val="auto"/>
        </w:rPr>
      </w:pPr>
    </w:p>
    <w:p>
      <w:pPr>
        <w:ind w:left="300" w:hanging="149"/>
        <w:spacing w:after="0"/>
        <w:tabs>
          <w:tab w:leader="none" w:pos="3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Tejon Development Corporation.</w:t>
      </w:r>
    </w:p>
    <w:p>
      <w:pPr>
        <w:spacing w:after="0" w:line="157" w:lineRule="exact"/>
        <w:rPr>
          <w:rFonts w:ascii="Arial" w:cs="Arial" w:eastAsia="Arial" w:hAnsi="Arial"/>
          <w:sz w:val="14"/>
          <w:szCs w:val="14"/>
          <w:color w:val="auto"/>
        </w:rPr>
      </w:pPr>
    </w:p>
    <w:p>
      <w:pPr>
        <w:ind w:left="300" w:hanging="133"/>
        <w:spacing w:after="0"/>
        <w:tabs>
          <w:tab w:leader="none" w:pos="3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Tejon Industrial Corp.</w:t>
      </w:r>
    </w:p>
    <w:p>
      <w:pPr>
        <w:spacing w:after="0" w:line="157" w:lineRule="exact"/>
        <w:rPr>
          <w:rFonts w:ascii="Arial" w:cs="Arial" w:eastAsia="Arial" w:hAnsi="Arial"/>
          <w:sz w:val="14"/>
          <w:szCs w:val="14"/>
          <w:color w:val="auto"/>
        </w:rPr>
      </w:pPr>
    </w:p>
    <w:p>
      <w:pPr>
        <w:ind w:left="300" w:hanging="157"/>
        <w:spacing w:after="0"/>
        <w:tabs>
          <w:tab w:leader="none" w:pos="3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Tejon Energy LLC.</w:t>
      </w:r>
    </w:p>
    <w:p>
      <w:pPr>
        <w:spacing w:after="0" w:line="157" w:lineRule="exact"/>
        <w:rPr>
          <w:rFonts w:ascii="Arial" w:cs="Arial" w:eastAsia="Arial" w:hAnsi="Arial"/>
          <w:sz w:val="14"/>
          <w:szCs w:val="14"/>
          <w:color w:val="auto"/>
        </w:rPr>
      </w:pPr>
    </w:p>
    <w:p>
      <w:pPr>
        <w:ind w:left="300" w:hanging="157"/>
        <w:spacing w:after="0"/>
        <w:tabs>
          <w:tab w:leader="none" w:pos="3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Centennial Founders LLC, Delaware limited liability company, 84% owned by Tejon Ranchcorp.</w:t>
      </w:r>
    </w:p>
    <w:p>
      <w:pPr>
        <w:spacing w:after="0" w:line="157" w:lineRule="exact"/>
        <w:rPr>
          <w:rFonts w:ascii="Arial" w:cs="Arial" w:eastAsia="Arial" w:hAnsi="Arial"/>
          <w:sz w:val="14"/>
          <w:szCs w:val="14"/>
          <w:color w:val="auto"/>
        </w:rPr>
      </w:pPr>
    </w:p>
    <w:p>
      <w:pPr>
        <w:ind w:left="300" w:hanging="126"/>
        <w:spacing w:after="0"/>
        <w:tabs>
          <w:tab w:leader="none" w:pos="3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Tejon Hounds, LLC.</w:t>
      </w:r>
    </w:p>
    <w:p>
      <w:pPr>
        <w:spacing w:after="0" w:line="157" w:lineRule="exact"/>
        <w:rPr>
          <w:rFonts w:ascii="Arial" w:cs="Arial" w:eastAsia="Arial" w:hAnsi="Arial"/>
          <w:sz w:val="14"/>
          <w:szCs w:val="14"/>
          <w:color w:val="auto"/>
        </w:rPr>
      </w:pPr>
    </w:p>
    <w:p>
      <w:pPr>
        <w:ind w:left="300" w:hanging="126"/>
        <w:spacing w:after="0"/>
        <w:tabs>
          <w:tab w:leader="none" w:pos="3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Tejon Mountain Village, LLC., Delaware limited liability company.</w:t>
      </w:r>
    </w:p>
    <w:p>
      <w:pPr>
        <w:spacing w:after="0" w:line="157" w:lineRule="exact"/>
        <w:rPr>
          <w:rFonts w:ascii="Arial" w:cs="Arial" w:eastAsia="Arial" w:hAnsi="Arial"/>
          <w:sz w:val="14"/>
          <w:szCs w:val="14"/>
          <w:color w:val="auto"/>
        </w:rPr>
      </w:pPr>
    </w:p>
    <w:p>
      <w:pPr>
        <w:ind w:left="300" w:hanging="157"/>
        <w:spacing w:after="0"/>
        <w:tabs>
          <w:tab w:leader="none" w:pos="300" w:val="left"/>
        </w:tabs>
        <w:numPr>
          <w:ilvl w:val="1"/>
          <w:numId w:val="64"/>
        </w:numPr>
        <w:rPr>
          <w:rFonts w:ascii="Arial" w:cs="Arial" w:eastAsia="Arial" w:hAnsi="Arial"/>
          <w:sz w:val="14"/>
          <w:szCs w:val="14"/>
          <w:color w:val="auto"/>
        </w:rPr>
      </w:pPr>
      <w:r>
        <w:rPr>
          <w:rFonts w:ascii="Arial" w:cs="Arial" w:eastAsia="Arial" w:hAnsi="Arial"/>
          <w:sz w:val="14"/>
          <w:szCs w:val="14"/>
          <w:color w:val="auto"/>
        </w:rPr>
        <w:t>Tejon Ranch Wine Company, LLC.</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m. TRCC - West One, LLC.</w:t>
      </w:r>
    </w:p>
    <w:p>
      <w:pPr>
        <w:spacing w:after="0" w:line="200" w:lineRule="exact"/>
        <w:rPr>
          <w:sz w:val="20"/>
          <w:szCs w:val="20"/>
          <w:color w:val="auto"/>
        </w:rPr>
      </w:pPr>
    </w:p>
    <w:p>
      <w:pPr>
        <w:ind w:left="280" w:hanging="275"/>
        <w:spacing w:after="0"/>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Each of the aforesaid subsidiaries is included in Registrant's Consolidated Financial Statements, set forth in answer to Item 15(a)(1) hereof.</w:t>
      </w:r>
    </w:p>
    <w:p>
      <w:pPr>
        <w:spacing w:after="0" w:line="178" w:lineRule="exact"/>
        <w:rPr>
          <w:rFonts w:ascii="Arial" w:cs="Arial" w:eastAsia="Arial" w:hAnsi="Arial"/>
          <w:sz w:val="14"/>
          <w:szCs w:val="14"/>
          <w:color w:val="auto"/>
        </w:rPr>
      </w:pPr>
    </w:p>
    <w:p>
      <w:pPr>
        <w:ind w:firstLine="5"/>
        <w:spacing w:after="0" w:line="281" w:lineRule="auto"/>
        <w:tabs>
          <w:tab w:leader="none" w:pos="279" w:val="left"/>
        </w:tabs>
        <w:numPr>
          <w:ilvl w:val="0"/>
          <w:numId w:val="65"/>
        </w:numPr>
        <w:rPr>
          <w:rFonts w:ascii="Arial" w:cs="Arial" w:eastAsia="Arial" w:hAnsi="Arial"/>
          <w:sz w:val="14"/>
          <w:szCs w:val="14"/>
          <w:color w:val="auto"/>
        </w:rPr>
      </w:pPr>
      <w:r>
        <w:rPr>
          <w:rFonts w:ascii="Arial" w:cs="Arial" w:eastAsia="Arial" w:hAnsi="Arial"/>
          <w:sz w:val="14"/>
          <w:szCs w:val="14"/>
          <w:color w:val="auto"/>
        </w:rPr>
        <w:t>Each of the aforesaid subsidiaries (a) is a corporation unless otherwise stated, (b) was organized and incorporated or filed under the laws of the State of California unless otherwise stated, and (c) has 100% of its common stock (if a corporation) or membership interest (if a limited liability company) owned by Tejon Ranchcorp unless otherwise stated.</w:t>
      </w:r>
    </w:p>
    <w:p>
      <w:pPr>
        <w:spacing w:after="0" w:line="132" w:lineRule="exact"/>
        <w:rPr>
          <w:rFonts w:ascii="Arial" w:cs="Arial" w:eastAsia="Arial" w:hAnsi="Arial"/>
          <w:sz w:val="14"/>
          <w:szCs w:val="14"/>
          <w:color w:val="auto"/>
        </w:rPr>
      </w:pPr>
    </w:p>
    <w:p>
      <w:pPr>
        <w:ind w:right="180" w:firstLine="5"/>
        <w:spacing w:after="0" w:line="297" w:lineRule="auto"/>
        <w:tabs>
          <w:tab w:leader="none" w:pos="263" w:val="left"/>
        </w:tabs>
        <w:numPr>
          <w:ilvl w:val="0"/>
          <w:numId w:val="65"/>
        </w:numPr>
        <w:rPr>
          <w:rFonts w:ascii="Arial" w:cs="Arial" w:eastAsia="Arial" w:hAnsi="Arial"/>
          <w:sz w:val="13"/>
          <w:szCs w:val="13"/>
          <w:color w:val="auto"/>
        </w:rPr>
      </w:pPr>
      <w:r>
        <w:rPr>
          <w:rFonts w:ascii="Arial" w:cs="Arial" w:eastAsia="Arial" w:hAnsi="Arial"/>
          <w:sz w:val="13"/>
          <w:szCs w:val="13"/>
          <w:color w:val="auto"/>
        </w:rPr>
        <w:t>Each of the aforesaid subsidiaries does business under its name, as shown. Registrant also does business under the name Tejon Ranch Company. Tejon Ranchcorp also does business under the names Tejon Ranch Company, Tejon Ranch, Grapevine Center, Grapevine Press, High Desert Hunt Club and Laval Farms. Laval Agricultural Company does business also under the names Laval Farms and Tejon Ranch. Tejon Industrial Corp. also does business under the name Tejon Ranch Commerce Center and Tejon Industrial Complex.</w:t>
      </w:r>
    </w:p>
    <w:p>
      <w:pPr>
        <w:sectPr>
          <w:pgSz w:w="11900" w:h="16838" w:orient="portrait"/>
          <w:cols w:equalWidth="0" w:num="1">
            <w:col w:w="11260"/>
          </w:cols>
          <w:pgMar w:left="300" w:top="133"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6"/>
          <w:szCs w:val="16"/>
          <w:b w:val="1"/>
          <w:bCs w:val="1"/>
          <w:color w:val="auto"/>
        </w:rPr>
        <w:t>EXHIBIT 23.1</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166" w:lineRule="exact"/>
        <w:rPr>
          <w:sz w:val="20"/>
          <w:szCs w:val="20"/>
          <w:color w:val="auto"/>
        </w:rPr>
      </w:pPr>
    </w:p>
    <w:p>
      <w:pPr>
        <w:ind w:left="1140" w:right="760" w:hanging="425"/>
        <w:spacing w:after="0" w:line="251" w:lineRule="auto"/>
        <w:tabs>
          <w:tab w:leader="none" w:pos="1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Registration Statement (Form S-8 No. 333-210500) relating to the Amended and Restated 1998 Stock Incentive Plan and Amended and Restated Non-Employee Director Stock Incentive Plan of Tejon Ranch Co.,</w:t>
      </w:r>
    </w:p>
    <w:p>
      <w:pPr>
        <w:spacing w:after="0" w:line="18" w:lineRule="exact"/>
        <w:rPr>
          <w:rFonts w:ascii="Arial" w:cs="Arial" w:eastAsia="Arial" w:hAnsi="Arial"/>
          <w:sz w:val="16"/>
          <w:szCs w:val="16"/>
          <w:color w:val="auto"/>
        </w:rPr>
      </w:pPr>
    </w:p>
    <w:p>
      <w:pPr>
        <w:ind w:left="1140" w:hanging="425"/>
        <w:spacing w:after="0"/>
        <w:tabs>
          <w:tab w:leader="none" w:pos="1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Registration Statement (Form S-8 No. 333-152804) relating to the Amended and Restated 1998 Stock Incentive Plan of Tejon Ranch Co.,</w:t>
      </w:r>
    </w:p>
    <w:p>
      <w:pPr>
        <w:spacing w:after="0" w:line="38" w:lineRule="exact"/>
        <w:rPr>
          <w:rFonts w:ascii="Arial" w:cs="Arial" w:eastAsia="Arial" w:hAnsi="Arial"/>
          <w:sz w:val="16"/>
          <w:szCs w:val="16"/>
          <w:color w:val="auto"/>
        </w:rPr>
      </w:pPr>
    </w:p>
    <w:p>
      <w:pPr>
        <w:ind w:left="1140" w:right="740" w:hanging="425"/>
        <w:spacing w:after="0" w:line="251" w:lineRule="auto"/>
        <w:tabs>
          <w:tab w:leader="none" w:pos="1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Registration Statement (Form S-8 No. 333-68869) relating to the 1998 Stock Incentive Plan and Non-Employee Director Stock Incentive Plan of Tejon Ranch Co.,</w:t>
      </w:r>
    </w:p>
    <w:p>
      <w:pPr>
        <w:spacing w:after="0" w:line="18" w:lineRule="exact"/>
        <w:rPr>
          <w:rFonts w:ascii="Arial" w:cs="Arial" w:eastAsia="Arial" w:hAnsi="Arial"/>
          <w:sz w:val="16"/>
          <w:szCs w:val="16"/>
          <w:color w:val="auto"/>
        </w:rPr>
      </w:pPr>
    </w:p>
    <w:p>
      <w:pPr>
        <w:ind w:left="1140" w:hanging="425"/>
        <w:spacing w:after="0"/>
        <w:tabs>
          <w:tab w:leader="none" w:pos="1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Registration Statement (Form S-8 No. 333-70128) relating to the 1998 Stock Incentive Plan of Tejon Ranch Co.,</w:t>
      </w:r>
    </w:p>
    <w:p>
      <w:pPr>
        <w:spacing w:after="0" w:line="38" w:lineRule="exact"/>
        <w:rPr>
          <w:rFonts w:ascii="Arial" w:cs="Arial" w:eastAsia="Arial" w:hAnsi="Arial"/>
          <w:sz w:val="16"/>
          <w:szCs w:val="16"/>
          <w:color w:val="auto"/>
        </w:rPr>
      </w:pPr>
    </w:p>
    <w:p>
      <w:pPr>
        <w:ind w:left="1140" w:hanging="425"/>
        <w:spacing w:after="0"/>
        <w:tabs>
          <w:tab w:leader="none" w:pos="11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Registration Statement (Form S-8 No. 333-113887) relating to the Tejon Ranch Nonqualified Deferred Compensation Plan of Tejon Ranch Co., and</w:t>
      </w:r>
    </w:p>
    <w:p>
      <w:pPr>
        <w:spacing w:after="0" w:line="61" w:lineRule="exact"/>
        <w:rPr>
          <w:rFonts w:ascii="Arial" w:cs="Arial" w:eastAsia="Arial" w:hAnsi="Arial"/>
          <w:sz w:val="14"/>
          <w:szCs w:val="14"/>
          <w:color w:val="auto"/>
        </w:rPr>
      </w:pPr>
    </w:p>
    <w:p>
      <w:pPr>
        <w:ind w:left="1140" w:hanging="425"/>
        <w:spacing w:after="0"/>
        <w:tabs>
          <w:tab w:leader="none" w:pos="1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Registration Statement (Form S-3 No. 333-231032) of Tejon Ranch Co.,</w:t>
      </w:r>
    </w:p>
    <w:p>
      <w:pPr>
        <w:spacing w:after="0" w:line="27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of our reports dated March 10, 2020, relating to the financial statements of Tejon Ranch Co. and subsidiaries and the effectiveness Tejon Ranch Co. and subsidiaries’ internal control over the financial reporting appearing in this Annual Report on Form 10-K for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March 10, 2020</w:t>
      </w:r>
    </w:p>
    <w:p>
      <w:pPr>
        <w:sectPr>
          <w:pgSz w:w="11900" w:h="16838" w:orient="portrait"/>
          <w:cols w:equalWidth="0" w:num="1">
            <w:col w:w="11280"/>
          </w:cols>
          <w:pgMar w:left="300" w:top="747" w:right="319" w:bottom="1440" w:gutter="0" w:footer="0" w:header="0"/>
        </w:sectPr>
      </w:pPr>
    </w:p>
    <w:bookmarkStart w:id="121" w:name="page122"/>
    <w:bookmarkEnd w:id="121"/>
    <w:p>
      <w:pPr>
        <w:jc w:val="center"/>
        <w:ind w:right="-279"/>
        <w:spacing w:after="0"/>
        <w:rPr>
          <w:sz w:val="20"/>
          <w:szCs w:val="20"/>
          <w:color w:val="auto"/>
        </w:rPr>
      </w:pPr>
      <w:r>
        <w:rPr>
          <w:rFonts w:ascii="Arial" w:cs="Arial" w:eastAsia="Arial" w:hAnsi="Arial"/>
          <w:sz w:val="16"/>
          <w:szCs w:val="16"/>
          <w:b w:val="1"/>
          <w:bCs w:val="1"/>
          <w:color w:val="auto"/>
        </w:rPr>
        <w:t>EXHIBIT 23.2</w:t>
      </w:r>
    </w:p>
    <w:p>
      <w:pPr>
        <w:spacing w:after="0" w:line="29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166" w:lineRule="exact"/>
        <w:rPr>
          <w:sz w:val="20"/>
          <w:szCs w:val="20"/>
          <w:color w:val="auto"/>
        </w:rPr>
      </w:pPr>
    </w:p>
    <w:p>
      <w:pPr>
        <w:ind w:left="700" w:right="140" w:hanging="446"/>
        <w:spacing w:after="0" w:line="251" w:lineRule="auto"/>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Registration Statement (Form S-8 No. 333-210500) pertaining to the Amended and Restated 1998 Stock Incentive Plan and Amended and Restated Non-Employee Director Stock Incentive Plan of Tejon Ranch Co.,</w:t>
      </w:r>
    </w:p>
    <w:p>
      <w:pPr>
        <w:spacing w:after="0" w:line="18" w:lineRule="exact"/>
        <w:rPr>
          <w:rFonts w:ascii="Arial" w:cs="Arial" w:eastAsia="Arial" w:hAnsi="Arial"/>
          <w:sz w:val="16"/>
          <w:szCs w:val="16"/>
          <w:color w:val="auto"/>
        </w:rPr>
      </w:pPr>
    </w:p>
    <w:p>
      <w:pPr>
        <w:ind w:left="700" w:hanging="446"/>
        <w:spacing w:after="0"/>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Registration Statement (Form S-8 No. 333-152804) pertaining to the Amended and Restated 1998 Stock Incentive Plan of Tejon Ranch Co.,</w:t>
      </w:r>
    </w:p>
    <w:p>
      <w:pPr>
        <w:spacing w:after="0" w:line="38" w:lineRule="exact"/>
        <w:rPr>
          <w:rFonts w:ascii="Arial" w:cs="Arial" w:eastAsia="Arial" w:hAnsi="Arial"/>
          <w:sz w:val="16"/>
          <w:szCs w:val="16"/>
          <w:color w:val="auto"/>
        </w:rPr>
      </w:pPr>
    </w:p>
    <w:p>
      <w:pPr>
        <w:ind w:left="700" w:hanging="446"/>
        <w:spacing w:after="0"/>
        <w:tabs>
          <w:tab w:leader="none" w:pos="7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Registration Statement (Form S-8 No. 333-68869) pertaining to the 1998 Stock Incentive Plan and Non-Employee Director Stock Incentive Plan of Tejon Ranch Co.,</w:t>
      </w:r>
    </w:p>
    <w:p>
      <w:pPr>
        <w:spacing w:after="0" w:line="61" w:lineRule="exact"/>
        <w:rPr>
          <w:rFonts w:ascii="Arial" w:cs="Arial" w:eastAsia="Arial" w:hAnsi="Arial"/>
          <w:sz w:val="14"/>
          <w:szCs w:val="14"/>
          <w:color w:val="auto"/>
        </w:rPr>
      </w:pPr>
    </w:p>
    <w:p>
      <w:pPr>
        <w:ind w:left="700" w:hanging="446"/>
        <w:spacing w:after="0"/>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Registration Statement (Form S-8 No. 333-70128) pertaining to the 1998 Stock Incentive Plan of Tejon Ranch Co.,</w:t>
      </w:r>
    </w:p>
    <w:p>
      <w:pPr>
        <w:spacing w:after="0" w:line="38" w:lineRule="exact"/>
        <w:rPr>
          <w:rFonts w:ascii="Arial" w:cs="Arial" w:eastAsia="Arial" w:hAnsi="Arial"/>
          <w:sz w:val="16"/>
          <w:szCs w:val="16"/>
          <w:color w:val="auto"/>
        </w:rPr>
      </w:pPr>
    </w:p>
    <w:p>
      <w:pPr>
        <w:ind w:left="700" w:hanging="446"/>
        <w:spacing w:after="0"/>
        <w:tabs>
          <w:tab w:leader="none" w:pos="7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Registration Statement (Form S-8 No. 333-113887) pertaining to the Tejon Ranch Nonqualified Deferred Compensation Plan of Tejon Ranch Co., and</w:t>
      </w:r>
    </w:p>
    <w:p>
      <w:pPr>
        <w:spacing w:after="0" w:line="61" w:lineRule="exact"/>
        <w:rPr>
          <w:rFonts w:ascii="Arial" w:cs="Arial" w:eastAsia="Arial" w:hAnsi="Arial"/>
          <w:sz w:val="14"/>
          <w:szCs w:val="14"/>
          <w:color w:val="auto"/>
        </w:rPr>
      </w:pPr>
    </w:p>
    <w:p>
      <w:pPr>
        <w:ind w:left="700" w:hanging="446"/>
        <w:spacing w:after="0"/>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Registration Statement (Form S-3 No. 333-231032) of Tejon Ranch Co.;</w:t>
      </w:r>
    </w:p>
    <w:p>
      <w:pPr>
        <w:spacing w:after="0" w:line="27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of our report dated March 1, 2019, with respect to the consolidated financial statements of Tejon Ranch Co. and Subsidiaries included in this Annual Report (Form 10-K) for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March 10, 2020</w:t>
      </w:r>
    </w:p>
    <w:p>
      <w:pPr>
        <w:sectPr>
          <w:pgSz w:w="11900" w:h="16838" w:orient="portrait"/>
          <w:cols w:equalWidth="0" w:num="1">
            <w:col w:w="11000"/>
          </w:cols>
          <w:pgMar w:left="300" w:top="588" w:right="599" w:bottom="1440" w:gutter="0" w:footer="0" w:header="0"/>
        </w:sectPr>
      </w:pPr>
    </w:p>
    <w:bookmarkStart w:id="122" w:name="page123"/>
    <w:bookmarkEnd w:id="122"/>
    <w:p>
      <w:pPr>
        <w:jc w:val="center"/>
        <w:ind w:right="-219"/>
        <w:spacing w:after="0"/>
        <w:rPr>
          <w:sz w:val="20"/>
          <w:szCs w:val="20"/>
          <w:color w:val="auto"/>
        </w:rPr>
      </w:pPr>
      <w:r>
        <w:rPr>
          <w:rFonts w:ascii="Arial" w:cs="Arial" w:eastAsia="Arial" w:hAnsi="Arial"/>
          <w:sz w:val="16"/>
          <w:szCs w:val="16"/>
          <w:b w:val="1"/>
          <w:bCs w:val="1"/>
          <w:color w:val="auto"/>
        </w:rPr>
        <w:t>EXHIBIT 23.3</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74"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We consent to the incorporation by reference in the Registration Statements on Form S-8 (Nos. 333-152804, 333-68869, 333-70128, 333-113887) and the Registration Statements and related Prospectuses on Form S-3 (Nos. 333-115946, 333-130482, 333-166167, 333-184367, 333-192824, 333-210875) of Tejon Ranch Co. of our report dated March 9, 2020, relating to the consolidated financial statements of Petro Travel Plaza Holdings LLC, appearing in this Annual Report on Form 10-K for the year ended December 31, 2019.</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Cleveland, Ohio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9, 2020</w:t>
      </w:r>
    </w:p>
    <w:p>
      <w:pPr>
        <w:sectPr>
          <w:pgSz w:w="11900" w:h="16838" w:orient="portrait"/>
          <w:cols w:equalWidth="0" w:num="1">
            <w:col w:w="11060"/>
          </w:cols>
          <w:pgMar w:left="300" w:top="821" w:right="5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I, Gregory S. Bielli, certify that:</w:t>
      </w:r>
    </w:p>
    <w:p>
      <w:pPr>
        <w:spacing w:after="0" w:line="136" w:lineRule="exact"/>
        <w:rPr>
          <w:sz w:val="20"/>
          <w:szCs w:val="20"/>
          <w:color w:val="auto"/>
        </w:rPr>
      </w:pPr>
    </w:p>
    <w:p>
      <w:pPr>
        <w:ind w:left="260" w:hanging="255"/>
        <w:spacing w:after="0"/>
        <w:tabs>
          <w:tab w:leader="none" w:pos="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Tejon Ranch Co.;</w:t>
      </w:r>
    </w:p>
    <w:p>
      <w:pPr>
        <w:spacing w:after="0" w:line="1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right="60" w:hanging="255"/>
        <w:spacing w:after="0" w:line="281" w:lineRule="auto"/>
        <w:tabs>
          <w:tab w:leader="none" w:pos="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20" w:right="60" w:hanging="260"/>
        <w:spacing w:after="0" w:line="321" w:lineRule="auto"/>
        <w:tabs>
          <w:tab w:leader="none" w:pos="5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20" w:right="500" w:hanging="260"/>
        <w:spacing w:after="0" w:line="368" w:lineRule="auto"/>
        <w:tabs>
          <w:tab w:leader="none" w:pos="520" w:val="left"/>
        </w:tabs>
        <w:numPr>
          <w:ilvl w:val="1"/>
          <w:numId w:val="6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520" w:right="680" w:hanging="260"/>
        <w:spacing w:after="0" w:line="281" w:lineRule="auto"/>
        <w:tabs>
          <w:tab w:leader="none" w:pos="520" w:val="left"/>
        </w:tabs>
        <w:numPr>
          <w:ilvl w:val="1"/>
          <w:numId w:val="6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20" w:right="320" w:hanging="260"/>
        <w:spacing w:after="0" w:line="321" w:lineRule="auto"/>
        <w:tabs>
          <w:tab w:leader="none" w:pos="5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520" w:right="360" w:hanging="260"/>
        <w:spacing w:after="0" w:line="281" w:lineRule="auto"/>
        <w:tabs>
          <w:tab w:leader="none" w:pos="520" w:val="left"/>
        </w:tabs>
        <w:numPr>
          <w:ilvl w:val="1"/>
          <w:numId w:val="6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1"/>
          <w:numId w:val="6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20"/>
        <w:spacing w:after="0"/>
        <w:tabs>
          <w:tab w:leader="none" w:pos="680" w:val="left"/>
          <w:tab w:leader="none" w:pos="600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March 10, 2020</w:t>
      </w:r>
      <w:r>
        <w:rPr>
          <w:sz w:val="20"/>
          <w:szCs w:val="20"/>
          <w:color w:val="auto"/>
        </w:rPr>
        <w:tab/>
      </w:r>
      <w:r>
        <w:rPr>
          <w:rFonts w:ascii="Arial" w:cs="Arial" w:eastAsia="Arial" w:hAnsi="Arial"/>
          <w:sz w:val="13"/>
          <w:szCs w:val="13"/>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26035</wp:posOffset>
            </wp:positionV>
            <wp:extent cx="336169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42" w:lineRule="exact"/>
        <w:rPr>
          <w:sz w:val="20"/>
          <w:szCs w:val="20"/>
          <w:color w:val="auto"/>
        </w:rPr>
      </w:pPr>
    </w:p>
    <w:p>
      <w:pPr>
        <w:ind w:left="6920"/>
        <w:spacing w:after="0"/>
        <w:rPr>
          <w:sz w:val="20"/>
          <w:szCs w:val="20"/>
          <w:color w:val="auto"/>
        </w:rPr>
      </w:pPr>
      <w:r>
        <w:rPr>
          <w:rFonts w:ascii="Arial" w:cs="Arial" w:eastAsia="Arial" w:hAnsi="Arial"/>
          <w:sz w:val="14"/>
          <w:szCs w:val="14"/>
          <w:color w:val="auto"/>
        </w:rPr>
        <w:t>Gregory S. Bielli</w:t>
      </w:r>
    </w:p>
    <w:p>
      <w:pPr>
        <w:spacing w:after="0" w:line="51" w:lineRule="exact"/>
        <w:rPr>
          <w:sz w:val="20"/>
          <w:szCs w:val="20"/>
          <w:color w:val="auto"/>
        </w:rPr>
      </w:pPr>
    </w:p>
    <w:p>
      <w:pPr>
        <w:ind w:left="692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80"/>
          </w:cols>
          <w:pgMar w:left="300" w:top="464" w:right="31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Robert D. Velasquez, certify that:</w:t>
      </w:r>
    </w:p>
    <w:p>
      <w:pPr>
        <w:spacing w:after="0" w:line="136" w:lineRule="exact"/>
        <w:rPr>
          <w:sz w:val="20"/>
          <w:szCs w:val="20"/>
          <w:color w:val="auto"/>
        </w:rPr>
      </w:pPr>
    </w:p>
    <w:p>
      <w:pPr>
        <w:ind w:left="260" w:hanging="255"/>
        <w:spacing w:after="0"/>
        <w:tabs>
          <w:tab w:leader="none" w:pos="2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Tejon Ranch Co.;</w:t>
      </w:r>
    </w:p>
    <w:p>
      <w:pPr>
        <w:spacing w:after="0" w:line="1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20" w:right="60" w:hanging="260"/>
        <w:spacing w:after="0" w:line="321" w:lineRule="auto"/>
        <w:tabs>
          <w:tab w:leader="none" w:pos="520" w:val="left"/>
        </w:tabs>
        <w:numPr>
          <w:ilvl w:val="1"/>
          <w:numId w:val="6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20" w:right="500" w:hanging="260"/>
        <w:spacing w:after="0" w:line="368" w:lineRule="auto"/>
        <w:tabs>
          <w:tab w:leader="none" w:pos="520" w:val="left"/>
        </w:tabs>
        <w:numPr>
          <w:ilvl w:val="1"/>
          <w:numId w:val="6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520" w:right="680" w:hanging="260"/>
        <w:spacing w:after="0" w:line="281" w:lineRule="auto"/>
        <w:tabs>
          <w:tab w:leader="none" w:pos="520" w:val="left"/>
        </w:tabs>
        <w:numPr>
          <w:ilvl w:val="1"/>
          <w:numId w:val="6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20" w:right="320" w:hanging="260"/>
        <w:spacing w:after="0" w:line="321" w:lineRule="auto"/>
        <w:tabs>
          <w:tab w:leader="none" w:pos="520" w:val="left"/>
        </w:tabs>
        <w:numPr>
          <w:ilvl w:val="1"/>
          <w:numId w:val="6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520" w:right="360" w:hanging="260"/>
        <w:spacing w:after="0" w:line="281" w:lineRule="auto"/>
        <w:tabs>
          <w:tab w:leader="none" w:pos="520" w:val="left"/>
        </w:tabs>
        <w:numPr>
          <w:ilvl w:val="1"/>
          <w:numId w:val="6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1"/>
          <w:numId w:val="6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20"/>
        <w:spacing w:after="0"/>
        <w:tabs>
          <w:tab w:leader="none" w:pos="680" w:val="left"/>
          <w:tab w:leader="none" w:pos="600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March 10, 2020</w:t>
      </w:r>
      <w:r>
        <w:rPr>
          <w:sz w:val="20"/>
          <w:szCs w:val="20"/>
          <w:color w:val="auto"/>
        </w:rPr>
        <w:tab/>
      </w:r>
      <w:r>
        <w:rPr>
          <w:rFonts w:ascii="Arial" w:cs="Arial" w:eastAsia="Arial" w:hAnsi="Arial"/>
          <w:sz w:val="12"/>
          <w:szCs w:val="12"/>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26035</wp:posOffset>
            </wp:positionV>
            <wp:extent cx="336169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4">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42"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Robert D. Velasquez</w:t>
      </w:r>
    </w:p>
    <w:p>
      <w:pPr>
        <w:spacing w:after="0" w:line="51"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80"/>
          </w:cols>
          <w:pgMar w:left="300" w:top="464" w:right="319" w:bottom="1440" w:gutter="0" w:footer="0" w:header="0"/>
        </w:sectPr>
      </w:pPr>
    </w:p>
    <w:bookmarkStart w:id="125" w:name="page126"/>
    <w:bookmarkEnd w:id="125"/>
    <w:p>
      <w:pPr>
        <w:ind w:left="5260"/>
        <w:spacing w:after="0"/>
        <w:rPr>
          <w:sz w:val="20"/>
          <w:szCs w:val="20"/>
          <w:color w:val="auto"/>
        </w:rPr>
      </w:pPr>
      <w:r>
        <w:rPr>
          <w:rFonts w:ascii="Arial" w:cs="Arial" w:eastAsia="Arial" w:hAnsi="Arial"/>
          <w:sz w:val="14"/>
          <w:szCs w:val="14"/>
          <w:b w:val="1"/>
          <w:bCs w:val="1"/>
          <w:color w:val="auto"/>
        </w:rPr>
        <w:t>EXHIBIT 32</w:t>
      </w:r>
    </w:p>
    <w:p>
      <w:pPr>
        <w:spacing w:after="0" w:line="136"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Each of the undersigned hereby certifies, in his capacity as an officer of Tejon Ranch Co. (the “Company”), for purposes of 18 U.S.C. Section 1350, as adopted pursuant to Section 906 of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Sarbanes-Oxley Act of 2002, that to his own knowledge:</w:t>
      </w:r>
    </w:p>
    <w:p>
      <w:pPr>
        <w:spacing w:after="0" w:line="168" w:lineRule="exact"/>
        <w:rPr>
          <w:sz w:val="20"/>
          <w:szCs w:val="20"/>
          <w:color w:val="auto"/>
        </w:rPr>
      </w:pPr>
    </w:p>
    <w:p>
      <w:pPr>
        <w:ind w:left="500" w:hanging="251"/>
        <w:spacing w:after="0" w:line="260" w:lineRule="auto"/>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Annual Report of the Company on Form 10-K for the period ended December 31, 2019 fully complies with the requirements of Section 13(a) of the Securities Exchange Act of 1934; and</w:t>
      </w:r>
    </w:p>
    <w:p>
      <w:pPr>
        <w:ind w:left="500" w:hanging="251"/>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information contained in such report fairly presents, in all material respects, the financial condition and results of operation of the Company.</w:t>
      </w:r>
    </w:p>
    <w:p>
      <w:pPr>
        <w:spacing w:after="0" w:line="126"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38"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March 10, 2020</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15277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5">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Gregory S. Bielli</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Executive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15277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Robert D. Velasquez</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080"/>
          </w:cols>
          <w:pgMar w:left="300" w:top="464" w:right="519" w:bottom="1440"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
      <w:numFmt w:val="bullet"/>
      <w:start w:val="1"/>
    </w:lvl>
    <w:lvl w:ilvl="1">
      <w:lvlJc w:val="left"/>
      <w:lvlText w:val="◦"/>
      <w:numFmt w:val="bullet"/>
      <w:start w:val="1"/>
    </w:lvl>
  </w:abstractNum>
  <w:abstractNum w:abstractNumId="6">
    <w:nsid w:val="2463B9EA"/>
    <w:multiLevelType w:val="hybridMultilevel"/>
    <w:lvl w:ilvl="0">
      <w:lvlJc w:val="left"/>
      <w:lvlText w:val="•"/>
      <w:numFmt w:val="bullet"/>
      <w:start w:val="1"/>
    </w:lvl>
    <w:lvl w:ilvl="1">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decimal"/>
      <w:start w:val="606"/>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1"/>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1"/>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lowerLetter"/>
      <w:start w:val="1"/>
    </w:lvl>
  </w:abstractNum>
  <w:abstractNum w:abstractNumId="28">
    <w:nsid w:val="579478FE"/>
    <w:multiLevelType w:val="hybridMultilevel"/>
    <w:lvl w:ilvl="0">
      <w:lvlJc w:val="left"/>
      <w:lvlText w:val="(%1)"/>
      <w:numFmt w:val="lowerLetter"/>
      <w:start w:val="2"/>
    </w:lvl>
  </w:abstractNum>
  <w:abstractNum w:abstractNumId="29">
    <w:nsid w:val="749ABB43"/>
    <w:multiLevelType w:val="hybridMultilevel"/>
    <w:lvl w:ilvl="0">
      <w:lvlJc w:val="left"/>
      <w:lvlText w:val="1"/>
      <w:numFmt w:val="bullet"/>
      <w:start w:val="1"/>
    </w:lvl>
  </w:abstractNum>
  <w:abstractNum w:abstractNumId="30">
    <w:nsid w:val="3DC240FB"/>
    <w:multiLevelType w:val="hybridMultilevel"/>
    <w:lvl w:ilvl="0">
      <w:lvlJc w:val="left"/>
      <w:lvlText w:val="2"/>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lowerLetter"/>
      <w:start w:val="2"/>
    </w:lvl>
  </w:abstractNum>
  <w:abstractNum w:abstractNumId="33">
    <w:nsid w:val="75C6C33A"/>
    <w:multiLevelType w:val="hybridMultilevel"/>
    <w:lvl w:ilvl="0">
      <w:lvlJc w:val="left"/>
      <w:lvlText w:val="1"/>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1."/>
      <w:numFmt w:val="decimal"/>
      <w:start w:val="3"/>
    </w:lvl>
  </w:abstractNum>
  <w:abstractNum w:abstractNumId="37">
    <w:nsid w:val="374A3FE6"/>
    <w:multiLevelType w:val="hybridMultilevel"/>
    <w:lvl w:ilvl="0">
      <w:lvlJc w:val="left"/>
      <w:lvlText w:val="%1."/>
      <w:numFmt w:val="decimal"/>
      <w:start w:val="4"/>
    </w:lvl>
  </w:abstractNum>
  <w:abstractNum w:abstractNumId="38">
    <w:nsid w:val="4F4EF005"/>
    <w:multiLevelType w:val="hybridMultilevel"/>
    <w:lvl w:ilvl="0">
      <w:lvlJc w:val="left"/>
      <w:lvlText w:val="%1."/>
      <w:numFmt w:val="decimal"/>
      <w:start w:val="5"/>
    </w:lvl>
  </w:abstractNum>
  <w:abstractNum w:abstractNumId="39">
    <w:nsid w:val="23F9C13C"/>
    <w:multiLevelType w:val="hybridMultilevel"/>
    <w:lvl w:ilvl="0">
      <w:lvlJc w:val="left"/>
      <w:lvlText w:val="%1."/>
      <w:numFmt w:val="decimal"/>
      <w:start w:val="6"/>
    </w:lvl>
  </w:abstractNum>
  <w:abstractNum w:abstractNumId="40">
    <w:nsid w:val="649BB77C"/>
    <w:multiLevelType w:val="hybridMultilevel"/>
    <w:lvl w:ilvl="0">
      <w:lvlJc w:val="left"/>
      <w:lvlText w:val="%1."/>
      <w:numFmt w:val="decimal"/>
      <w:start w:val="9"/>
    </w:lvl>
  </w:abstractNum>
  <w:abstractNum w:abstractNumId="41">
    <w:nsid w:val="275AC794"/>
    <w:multiLevelType w:val="hybridMultilevel"/>
    <w:lvl w:ilvl="0">
      <w:lvlJc w:val="left"/>
      <w:lvlText w:val="1"/>
      <w:numFmt w:val="bullet"/>
      <w:start w:val="1"/>
    </w:lvl>
  </w:abstractNum>
  <w:abstractNum w:abstractNumId="42">
    <w:nsid w:val="39386575"/>
    <w:multiLevelType w:val="hybridMultilevel"/>
    <w:lvl w:ilvl="0">
      <w:lvlJc w:val="left"/>
      <w:lvlText w:val="%1."/>
      <w:numFmt w:val="decimal"/>
      <w:start w:val="10"/>
    </w:lvl>
  </w:abstractNum>
  <w:abstractNum w:abstractNumId="43">
    <w:nsid w:val="1CF10FD8"/>
    <w:multiLevelType w:val="hybridMultilevel"/>
    <w:lvl w:ilvl="0">
      <w:lvlJc w:val="left"/>
      <w:lvlText w:val="%1."/>
      <w:numFmt w:val="decimal"/>
      <w:start w:val="11"/>
    </w:lvl>
  </w:abstractNum>
  <w:abstractNum w:abstractNumId="44">
    <w:nsid w:val="180115BE"/>
    <w:multiLevelType w:val="hybridMultilevel"/>
    <w:lvl w:ilvl="0">
      <w:lvlJc w:val="left"/>
      <w:lvlText w:val="%1."/>
      <w:numFmt w:val="decimal"/>
      <w:start w:val="12"/>
    </w:lvl>
  </w:abstractNum>
  <w:abstractNum w:abstractNumId="45">
    <w:nsid w:val="235BA861"/>
    <w:multiLevelType w:val="hybridMultilevel"/>
    <w:lvl w:ilvl="0">
      <w:lvlJc w:val="left"/>
      <w:lvlText w:val="%1."/>
      <w:numFmt w:val="decimal"/>
      <w:start w:val="13"/>
    </w:lvl>
  </w:abstractNum>
  <w:abstractNum w:abstractNumId="46">
    <w:nsid w:val="47398C89"/>
    <w:multiLevelType w:val="hybridMultilevel"/>
    <w:lvl w:ilvl="0">
      <w:lvlJc w:val="left"/>
      <w:lvlText w:val="%1."/>
      <w:numFmt w:val="decimal"/>
      <w:start w:val="14"/>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0">
    <w:nsid w:val="D34B6A8"/>
    <w:multiLevelType w:val="hybridMultilevel"/>
    <w:lvl w:ilvl="0">
      <w:lvlJc w:val="left"/>
      <w:lvlText w:val="•"/>
      <w:numFmt w:val="bullet"/>
      <w:start w:val="1"/>
    </w:lvl>
    <w:lvl w:ilvl="1">
      <w:lvlJc w:val="left"/>
      <w:lvlText w:val="◦"/>
      <w:numFmt w:val="bullet"/>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5"/>
    </w:lvl>
    <w:lvl w:ilvl="1">
      <w:lvlJc w:val="left"/>
      <w:lvlText w:val="%2."/>
      <w:numFmt w:val="decimal"/>
      <w:start w:val="1"/>
    </w:lvl>
  </w:abstractNum>
  <w:abstractNum w:abstractNumId="58">
    <w:nsid w:val="5FF87E05"/>
    <w:multiLevelType w:val="hybridMultilevel"/>
    <w:lvl w:ilvl="0">
      <w:lvlJc w:val="left"/>
      <w:lvlText w:val="%1"/>
      <w:numFmt w:val="decimal"/>
      <w:start w:val="1"/>
    </w:lvl>
    <w:lvl w:ilvl="1">
      <w:lvlJc w:val="left"/>
      <w:lvlText w:val="%2."/>
      <w:numFmt w:val="lowerLetter"/>
      <w:start w:val="6"/>
    </w:lvl>
  </w:abstractNum>
  <w:abstractNum w:abstractNumId="59">
    <w:nsid w:val="2F305DEF"/>
    <w:multiLevelType w:val="hybridMultilevel"/>
    <w:lvl w:ilvl="0">
      <w:lvlJc w:val="left"/>
      <w:lvlText w:val="%1."/>
      <w:numFmt w:val="decimal"/>
      <w:start w:val="3"/>
    </w:lvl>
    <w:lvl w:ilvl="1">
      <w:lvlJc w:val="left"/>
      <w:lvlText w:val="%2"/>
      <w:numFmt w:val="lowerLetter"/>
      <w:start w:val="1"/>
    </w:lvl>
  </w:abstractNum>
  <w:abstractNum w:abstractNumId="60">
    <w:nsid w:val="25A70BF7"/>
    <w:multiLevelType w:val="hybridMultilevel"/>
    <w:lvl w:ilvl="0">
      <w:lvlJc w:val="left"/>
      <w:lvlText w:val="%1."/>
      <w:numFmt w:val="decimal"/>
      <w:start w:val="8"/>
    </w:lvl>
  </w:abstractNum>
  <w:abstractNum w:abstractNumId="61">
    <w:nsid w:val="1DBABF00"/>
    <w:multiLevelType w:val="hybridMultilevel"/>
    <w:lvl w:ilvl="0">
      <w:lvlJc w:val="left"/>
      <w:lvlText w:val="%1."/>
      <w:numFmt w:val="decimal"/>
      <w:start w:val="10"/>
    </w:lvl>
  </w:abstractNum>
  <w:abstractNum w:abstractNumId="62">
    <w:nsid w:val="4AD084E9"/>
    <w:multiLevelType w:val="hybridMultilevel"/>
    <w:lvl w:ilvl="0">
      <w:lvlJc w:val="left"/>
      <w:lvlText w:val="%1."/>
      <w:numFmt w:val="decimal"/>
      <w:start w:val="11"/>
    </w:lvl>
  </w:abstractNum>
  <w:abstractNum w:abstractNumId="63">
    <w:nsid w:val="1F48EAA1"/>
    <w:multiLevelType w:val="hybridMultilevel"/>
    <w:lvl w:ilvl="0">
      <w:lvlJc w:val="left"/>
      <w:lvlText w:val="%1."/>
      <w:numFmt w:val="upperLetter"/>
      <w:start w:val="1"/>
    </w:lvl>
    <w:lvl w:ilvl="1">
      <w:lvlJc w:val="left"/>
      <w:lvlText w:val="%2."/>
      <w:numFmt w:val="lowerLetter"/>
      <w:start w:val="1"/>
    </w:lvl>
  </w:abstractNum>
  <w:abstractNum w:abstractNumId="64">
    <w:nsid w:val="1381823A"/>
    <w:multiLevelType w:val="hybridMultilevel"/>
    <w:lvl w:ilvl="0">
      <w:lvlJc w:val="left"/>
      <w:lvlText w:val="%1."/>
      <w:numFmt w:val="upperLetter"/>
      <w:start w:val="3"/>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60" Type="http://schemas.openxmlformats.org/officeDocument/2006/relationships/image" Target="media/image16.png"/><Relationship Id="rId61" Type="http://schemas.openxmlformats.org/officeDocument/2006/relationships/image" Target="media/image17.png"/><Relationship Id="rId62" Type="http://schemas.openxmlformats.org/officeDocument/2006/relationships/image" Target="media/image18.png"/><Relationship Id="rId63" Type="http://schemas.openxmlformats.org/officeDocument/2006/relationships/image" Target="media/image19.png"/><Relationship Id="rId64" Type="http://schemas.openxmlformats.org/officeDocument/2006/relationships/image" Target="media/image20.png"/><Relationship Id="rId65" Type="http://schemas.openxmlformats.org/officeDocument/2006/relationships/image" Target="media/image21.png"/><Relationship Id="rId66" Type="http://schemas.openxmlformats.org/officeDocument/2006/relationships/image" Target="media/image22.png"/><Relationship Id="rId67" Type="http://schemas.openxmlformats.org/officeDocument/2006/relationships/image" Target="media/image23.png"/><Relationship Id="rId68" Type="http://schemas.openxmlformats.org/officeDocument/2006/relationships/image" Target="media/image24.png"/><Relationship Id="rId69" Type="http://schemas.openxmlformats.org/officeDocument/2006/relationships/image" Target="media/image25.png"/><Relationship Id="rId70" Type="http://schemas.openxmlformats.org/officeDocument/2006/relationships/image" Target="media/image26.png"/><Relationship Id="rId71" Type="http://schemas.openxmlformats.org/officeDocument/2006/relationships/image" Target="media/image27.png"/><Relationship Id="rId72" Type="http://schemas.openxmlformats.org/officeDocument/2006/relationships/image" Target="media/image28.png"/><Relationship Id="rId73" Type="http://schemas.openxmlformats.org/officeDocument/2006/relationships/image" Target="media/image29.png"/><Relationship Id="rId74" Type="http://schemas.openxmlformats.org/officeDocument/2006/relationships/image" Target="media/image30.png"/><Relationship Id="rId75" Type="http://schemas.openxmlformats.org/officeDocument/2006/relationships/image" Target="media/image31.png"/><Relationship Id="rId76" Type="http://schemas.openxmlformats.org/officeDocument/2006/relationships/image" Target="media/image32.png"/><Relationship Id="rId77" Type="http://schemas.openxmlformats.org/officeDocument/2006/relationships/image" Target="media/image33.png"/><Relationship Id="rId78" Type="http://schemas.openxmlformats.org/officeDocument/2006/relationships/image" Target="media/image34.png"/><Relationship Id="rId79" Type="http://schemas.openxmlformats.org/officeDocument/2006/relationships/image" Target="media/image35.png"/><Relationship Id="rId23" Type="http://schemas.openxmlformats.org/officeDocument/2006/relationships/hyperlink" Target="http://www.sec.gov/Archives/edgar/data/96869/000119312519119877/d718363dex41.htm" TargetMode="External"/><Relationship Id="rId24" Type="http://schemas.openxmlformats.org/officeDocument/2006/relationships/hyperlink" Target="http://www.sec.gov/Archives/edgar/data/96869/000119312517288540/d451235dex991.htm" TargetMode="External"/><Relationship Id="rId25" Type="http://schemas.openxmlformats.org/officeDocument/2006/relationships/hyperlink" Target="http://www.sec.gov/Archives/edgar/data/96869/000119312505245123/dex41.htm" TargetMode="External"/><Relationship Id="rId26" Type="http://schemas.openxmlformats.org/officeDocument/2006/relationships/hyperlink" Target="http://www.sec.gov/Archives/edgar/data/96869/000119312519119877/d718363dex46.htm" TargetMode="External"/><Relationship Id="rId27" Type="http://schemas.openxmlformats.org/officeDocument/2006/relationships/hyperlink" Target="http://www.sec.gov/Archives/edgar/data/96869/0000096869-98-000002.txt" TargetMode="External"/><Relationship Id="rId28" Type="http://schemas.openxmlformats.org/officeDocument/2006/relationships/hyperlink" Target="http://www.sec.gov/Archives/edgar/data/96869/000119312509042772/dex109.htm" TargetMode="External"/><Relationship Id="rId29" Type="http://schemas.openxmlformats.org/officeDocument/2006/relationships/hyperlink" Target="http://www.sec.gov/Archives/edgar/data/96869/000119312509042772/dex1010.htm" TargetMode="External"/><Relationship Id="rId30" Type="http://schemas.openxmlformats.org/officeDocument/2006/relationships/hyperlink" Target="http://www.sec.gov/Archives/edgar/data/96869/000102140802004535/dex1016.txt" TargetMode="External"/><Relationship Id="rId31" Type="http://schemas.openxmlformats.org/officeDocument/2006/relationships/hyperlink" Target="http://www.sec.gov/Archives/edgar/data/96869/000119312504082310/dex41.htm" TargetMode="External"/><Relationship Id="rId32" Type="http://schemas.openxmlformats.org/officeDocument/2006/relationships/hyperlink" Target="http://www.sec.gov/Archives/edgar/data/96869/000119312504082310/dex42.htm" TargetMode="External"/><Relationship Id="rId33" Type="http://schemas.openxmlformats.org/officeDocument/2006/relationships/hyperlink" Target="http://www.sec.gov/Archives/edgar/data/96869/000119312505051499/dex1021.htm" TargetMode="External"/><Relationship Id="rId34" Type="http://schemas.openxmlformats.org/officeDocument/2006/relationships/hyperlink" Target="http://www.sec.gov/Archives/edgar/data/96869/000119312505051499/dex1023.htm" TargetMode="External"/><Relationship Id="rId35" Type="http://schemas.openxmlformats.org/officeDocument/2006/relationships/hyperlink" Target="http://www.sec.gov/Archives/edgar/data/96869/000119312505051499/dex1022.htm" TargetMode="External"/><Relationship Id="rId36" Type="http://schemas.openxmlformats.org/officeDocument/2006/relationships/hyperlink" Target="http://www.sec.gov/Archives/edgar/data/96869/000119312506118520/dex1024.htm" TargetMode="External"/><Relationship Id="rId37" Type="http://schemas.openxmlformats.org/officeDocument/2006/relationships/hyperlink" Target="http://www.sec.gov/Archives/edgar/data/96869/000119312508138009/dex1028.htm" TargetMode="External"/><Relationship Id="rId38" Type="http://schemas.openxmlformats.org/officeDocument/2006/relationships/hyperlink" Target="http://www.sec.gov/Archives/edgar/data/96869/000119312509170594/dex1025.htm" TargetMode="External"/><Relationship Id="rId39" Type="http://schemas.openxmlformats.org/officeDocument/2006/relationships/hyperlink" Target="http://www.sec.gov/Archives/edgar/data/96869/000144530513001209/exhibit1026-execagreementa.htm" TargetMode="External"/><Relationship Id="rId40" Type="http://schemas.openxmlformats.org/officeDocument/2006/relationships/hyperlink" Target="http://www.sec.gov/Archives/edgar/data/96869/000119312513246605/d549609dex1027.htm" TargetMode="External"/><Relationship Id="rId41" Type="http://schemas.openxmlformats.org/officeDocument/2006/relationships/hyperlink" Target="http://www.sec.gov/Archives/edgar/data/96869/000119312513326495/d581835dex101.htm" TargetMode="External"/><Relationship Id="rId42" Type="http://schemas.openxmlformats.org/officeDocument/2006/relationships/hyperlink" Target="http://www.sec.gov/Archives/edgar/data/96869/000009686914000009/exhibit1029tmvamendments20.htm" TargetMode="External"/><Relationship Id="rId43" Type="http://schemas.openxmlformats.org/officeDocument/2006/relationships/hyperlink" Target="http://www.sec.gov/Archives/edgar/data/96869/000119312514270067/d758856dex1030.htm" TargetMode="External"/><Relationship Id="rId44" Type="http://schemas.openxmlformats.org/officeDocument/2006/relationships/hyperlink" Target="http://www.sec.gov/Archives/edgar/data/96869/000119312514375013/d806135dex1031.htm" TargetMode="External"/><Relationship Id="rId45" Type="http://schemas.openxmlformats.org/officeDocument/2006/relationships/hyperlink" Target="http://www.sec.gov/Archives/edgar/data/96869/000119312514375013/d806135dex1032.htm" TargetMode="External"/><Relationship Id="rId46" Type="http://schemas.openxmlformats.org/officeDocument/2006/relationships/hyperlink" Target="http://www.sec.gov/Archives/edgar/data/96869/000119312514375013/d806135dex1033.htm" TargetMode="External"/><Relationship Id="rId47" Type="http://schemas.openxmlformats.org/officeDocument/2006/relationships/hyperlink" Target="http://www.sec.gov/Archives/edgar/data/96869/000009686915000003/exhibit1034calpineagreemen.htm" TargetMode="External"/><Relationship Id="rId48" Type="http://schemas.openxmlformats.org/officeDocument/2006/relationships/hyperlink" Target="http://www.sec.gov/Archives/edgar/data/96869/000009686915000010/ex1035q32015.htm" TargetMode="External"/><Relationship Id="rId49" Type="http://schemas.openxmlformats.org/officeDocument/2006/relationships/hyperlink" Target="http://www.sec.gov/Archives/edgar/data/96869/000009686916000017/ex1037limitedliabilityagre.htm" TargetMode="External"/><Relationship Id="rId50" Type="http://schemas.openxmlformats.org/officeDocument/2006/relationships/hyperlink" Target="http://www.sec.gov/Archives/edgar/data/96869/000009686916000019/ex1038llagreementoftrc-mrc1.htm" TargetMode="External"/><Relationship Id="rId51" Type="http://schemas.openxmlformats.org/officeDocument/2006/relationships/hyperlink" Target="http://www.sec.gov/Archives/edgar/data/96869/000009686917000002/exhibit1039centennialredem.htm" TargetMode="External"/><Relationship Id="rId52" Type="http://schemas.openxmlformats.org/officeDocument/2006/relationships/hyperlink" Target="http://www.sec.gov/Archives/edgar/data/96869/000009686917000002/exhibit1040firstamendmentt.htm" TargetMode="External"/><Relationship Id="rId53" Type="http://schemas.openxmlformats.org/officeDocument/2006/relationships/hyperlink" Target="http://www.sec.gov/Archives/edgar/data/96869/000009686917000002/exhibit1041secondamendment.htm" TargetMode="External"/><Relationship Id="rId54" Type="http://schemas.openxmlformats.org/officeDocument/2006/relationships/hyperlink" Target="http://www.sec.gov/Archives/edgar/data/96869/000009686918000015/ex1042trcmrc3llc.htm" TargetMode="External"/><Relationship Id="rId55" Type="http://schemas.openxmlformats.org/officeDocument/2006/relationships/hyperlink" Target="http://www.sec.gov/Archives/edgar/data/96869/000009686919000004/exhibit1043201810k.htm" TargetMode="External"/><Relationship Id="rId56" Type="http://schemas.openxmlformats.org/officeDocument/2006/relationships/hyperlink" Target="http://www.sec.gov/Archives/edgar/data/96869/000009686919000004/exhibit1044201810k.htm" TargetMode="External"/><Relationship Id="rId57" Type="http://schemas.openxmlformats.org/officeDocument/2006/relationships/hyperlink" Target="http://www.sec.gov/Archives/edgar/data/96869/000009686919000014/ex1046aloc.htm" TargetMode="External"/><Relationship Id="rId58" Type="http://schemas.openxmlformats.org/officeDocument/2006/relationships/hyperlink" Target="http://www.sec.gov/Archives/edgar/data/96869/000009686919000014/ex1045atn.htm" TargetMode="External"/><Relationship Id="rId59" Type="http://schemas.openxmlformats.org/officeDocument/2006/relationships/hyperlink" Target="http://www.sec.gov/Archives/edgar/data/96869/000119312519082018/d69508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2020-03-10T15:12:04Z</dcterms:created>
  <dcterms:modified xsi:type="dcterms:W3CDTF">2020-03-10T15:12:04Z</dcterms:modified>
</cp:coreProperties>
</file>