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 w:lineRule="exact"/>
        <w:rPr>
          <w:sz w:val="24"/>
          <w:szCs w:val="24"/>
          <w:color w:val="auto"/>
        </w:rPr>
      </w:pPr>
    </w:p>
    <w:p>
      <w:pPr>
        <w:jc w:val="center"/>
        <w:ind w:left="4160" w:right="1700" w:hanging="2404"/>
        <w:spacing w:after="0" w:line="273" w:lineRule="auto"/>
        <w:tabs>
          <w:tab w:leader="none" w:pos="1933" w:val="left"/>
        </w:tabs>
        <w:numPr>
          <w:ilvl w:val="1"/>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46" w:lineRule="exact"/>
        <w:rPr>
          <w:rFonts w:ascii="MS PGothic" w:cs="MS PGothic" w:eastAsia="MS PGothic" w:hAnsi="MS PGothic"/>
          <w:sz w:val="15"/>
          <w:szCs w:val="15"/>
          <w:color w:val="auto"/>
        </w:rPr>
      </w:pPr>
    </w:p>
    <w:p>
      <w:pPr>
        <w:ind w:left="1780" w:hanging="186"/>
        <w:spacing w:after="0"/>
        <w:tabs>
          <w:tab w:leader="none" w:pos="17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2" w:lineRule="exact"/>
        <w:rPr>
          <w:sz w:val="24"/>
          <w:szCs w:val="24"/>
          <w:color w:val="auto"/>
        </w:rPr>
      </w:pPr>
    </w:p>
    <w:p>
      <w:pPr>
        <w:ind w:left="2920"/>
        <w:spacing w:after="0"/>
        <w:tabs>
          <w:tab w:leader="none" w:pos="5440" w:val="left"/>
          <w:tab w:leader="none" w:pos="60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r>
        <w:rPr>
          <w:sz w:val="20"/>
          <w:szCs w:val="20"/>
          <w:color w:val="auto"/>
        </w:rPr>
        <w:tab/>
      </w:r>
      <w:r>
        <w:rPr>
          <w:rFonts w:ascii="Times New Roman" w:cs="Times New Roman" w:eastAsia="Times New Roman" w:hAnsi="Times New Roman"/>
          <w:sz w:val="15"/>
          <w:szCs w:val="15"/>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3268345</wp:posOffset>
            </wp:positionH>
            <wp:positionV relativeFrom="paragraph">
              <wp:posOffset>15240</wp:posOffset>
            </wp:positionV>
            <wp:extent cx="614045" cy="614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045" cy="614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TEJON RANCH CO.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1" w:lineRule="exact"/>
        <w:rPr>
          <w:sz w:val="24"/>
          <w:szCs w:val="24"/>
          <w:color w:val="auto"/>
        </w:rPr>
      </w:pPr>
    </w:p>
    <w:p>
      <w:pPr>
        <w:ind w:left="4460"/>
        <w:spacing w:after="0"/>
        <w:tabs>
          <w:tab w:leader="none" w:pos="60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77-0196136</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 (I.R.S. Employer Identification No.)</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P.O. Box 1000, Tejon Ranch, California 93243</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(661) 248-3000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62"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235"/>
        </w:trPr>
        <w:tc>
          <w:tcPr>
            <w:tcW w:w="338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0"/>
        </w:trPr>
        <w:tc>
          <w:tcPr>
            <w:tcW w:w="3380" w:type="dxa"/>
            <w:vAlign w:val="bottom"/>
            <w:tcBorders>
              <w:top w:val="single" w:sz="8" w:color="auto"/>
            </w:tcBorders>
          </w:tcPr>
          <w:p>
            <w:pPr>
              <w:jc w:val="center"/>
              <w:ind w:left="643"/>
              <w:spacing w:after="0"/>
              <w:rPr>
                <w:sz w:val="20"/>
                <w:szCs w:val="20"/>
                <w:color w:val="auto"/>
              </w:rPr>
            </w:pPr>
            <w:r>
              <w:rPr>
                <w:rFonts w:ascii="Times New Roman" w:cs="Times New Roman" w:eastAsia="Times New Roman" w:hAnsi="Times New Roman"/>
                <w:sz w:val="15"/>
                <w:szCs w:val="15"/>
                <w:b w:val="1"/>
                <w:bCs w:val="1"/>
                <w:color w:val="auto"/>
              </w:rPr>
              <w:t>Common Stock, $0.50 par value</w:t>
            </w: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TRC</w:t>
            </w:r>
          </w:p>
        </w:tc>
        <w:tc>
          <w:tcPr>
            <w:tcW w:w="120" w:type="dxa"/>
            <w:vAlign w:val="bottom"/>
          </w:tcPr>
          <w:p>
            <w:pPr>
              <w:spacing w:after="0"/>
              <w:rPr>
                <w:sz w:val="17"/>
                <w:szCs w:val="17"/>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r>
    </w:tbl>
    <w:p>
      <w:pPr>
        <w:spacing w:after="0" w:line="14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145" w:lineRule="exact"/>
        <w:rPr>
          <w:sz w:val="24"/>
          <w:szCs w:val="24"/>
          <w:color w:val="auto"/>
        </w:rPr>
      </w:pPr>
    </w:p>
    <w:p>
      <w:pPr>
        <w:ind w:left="372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2"/>
          <w:szCs w:val="12"/>
          <w:color w:val="auto"/>
        </w:rPr>
        <w:t>☒</w:t>
      </w:r>
    </w:p>
    <w:p>
      <w:pPr>
        <w:spacing w:after="0" w:line="27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145" w:lineRule="exact"/>
        <w:rPr>
          <w:sz w:val="24"/>
          <w:szCs w:val="24"/>
          <w:color w:val="auto"/>
        </w:rPr>
      </w:pPr>
    </w:p>
    <w:p>
      <w:pPr>
        <w:ind w:left="372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2"/>
          <w:szCs w:val="12"/>
          <w:color w:val="auto"/>
        </w:rPr>
        <w:t>☒</w:t>
      </w:r>
    </w:p>
    <w:p>
      <w:pPr>
        <w:spacing w:after="0" w:line="271" w:lineRule="exact"/>
        <w:rPr>
          <w:sz w:val="24"/>
          <w:szCs w:val="24"/>
          <w:color w:val="auto"/>
        </w:rPr>
      </w:pPr>
    </w:p>
    <w:p>
      <w:pPr>
        <w:ind w:left="20"/>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9" w:lineRule="exact"/>
        <w:rPr>
          <w:sz w:val="24"/>
          <w:szCs w:val="24"/>
          <w:color w:val="auto"/>
        </w:rPr>
      </w:pPr>
    </w:p>
    <w:p>
      <w:pPr>
        <w:ind w:left="372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2"/>
          <w:szCs w:val="12"/>
          <w:color w:val="auto"/>
        </w:rPr>
        <w:t>☐</w:t>
      </w:r>
    </w:p>
    <w:p>
      <w:pPr>
        <w:spacing w:after="0" w:line="271" w:lineRule="exact"/>
        <w:rPr>
          <w:sz w:val="24"/>
          <w:szCs w:val="24"/>
          <w:color w:val="auto"/>
        </w:rPr>
      </w:pPr>
    </w:p>
    <w:p>
      <w:pPr>
        <w:ind w:left="20" w:right="340"/>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9" w:lineRule="exact"/>
        <w:rPr>
          <w:sz w:val="24"/>
          <w:szCs w:val="24"/>
          <w:color w:val="auto"/>
        </w:rPr>
      </w:pPr>
    </w:p>
    <w:p>
      <w:pPr>
        <w:ind w:left="372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2"/>
          <w:szCs w:val="12"/>
          <w:color w:val="auto"/>
        </w:rPr>
        <w:t>☐</w:t>
      </w:r>
    </w:p>
    <w:p>
      <w:pPr>
        <w:spacing w:after="0" w:line="271" w:lineRule="exact"/>
        <w:rPr>
          <w:sz w:val="24"/>
          <w:szCs w:val="24"/>
          <w:color w:val="auto"/>
        </w:rPr>
      </w:pPr>
    </w:p>
    <w:p>
      <w:pPr>
        <w:ind w:left="20" w:right="220"/>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622" w:right="379" w:bottom="788" w:gutter="0" w:footer="0" w:header="0"/>
        </w:sectPr>
      </w:pPr>
    </w:p>
    <w:p>
      <w:pPr>
        <w:spacing w:after="0" w:line="129" w:lineRule="exact"/>
        <w:rPr>
          <w:sz w:val="24"/>
          <w:szCs w:val="24"/>
          <w:color w:val="auto"/>
        </w:rPr>
      </w:pPr>
    </w:p>
    <w:p>
      <w:pPr>
        <w:ind w:left="26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highlight w:val="black"/>
        </w:rPr>
        <w:t>☐</w:t>
      </w:r>
    </w:p>
    <w:p>
      <w:pPr>
        <w:spacing w:after="0" w:line="200" w:lineRule="exact"/>
        <w:rPr>
          <w:sz w:val="24"/>
          <w:szCs w:val="24"/>
          <w:color w:val="auto"/>
        </w:rPr>
      </w:pPr>
    </w:p>
    <w:p>
      <w:pPr>
        <w:sectPr>
          <w:pgSz w:w="11900" w:h="16838" w:orient="portrait"/>
          <w:cols w:equalWidth="0" w:num="2">
            <w:col w:w="5720" w:space="720"/>
            <w:col w:w="4760"/>
          </w:cols>
          <w:pgMar w:left="320" w:top="622" w:right="379" w:bottom="788" w:gutter="0" w:footer="0" w:header="0"/>
          <w:type w:val="continuous"/>
        </w:sectPr>
      </w:pPr>
    </w:p>
    <w:p>
      <w:pPr>
        <w:spacing w:after="0" w:line="52" w:lineRule="exact"/>
        <w:rPr>
          <w:sz w:val="24"/>
          <w:szCs w:val="24"/>
          <w:color w:val="auto"/>
        </w:rPr>
      </w:pPr>
    </w:p>
    <w:p>
      <w:pPr>
        <w:ind w:left="27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5100" w:space="720"/>
            <w:col w:w="5380"/>
          </w:cols>
          <w:pgMar w:left="320" w:top="622" w:right="379" w:bottom="788" w:gutter="0" w:footer="0" w:header="0"/>
          <w:type w:val="continuous"/>
        </w:sectPr>
      </w:pPr>
    </w:p>
    <w:p>
      <w:pPr>
        <w:spacing w:after="0" w:line="155" w:lineRule="exact"/>
        <w:rPr>
          <w:sz w:val="24"/>
          <w:szCs w:val="24"/>
          <w:color w:val="auto"/>
        </w:rPr>
      </w:pPr>
    </w:p>
    <w:p>
      <w:pPr>
        <w:ind w:left="58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highlight w:val="black"/>
        </w:rPr>
        <w:t>☐</w:t>
      </w:r>
    </w:p>
    <w:p>
      <w:pPr>
        <w:spacing w:after="0" w:line="219" w:lineRule="exact"/>
        <w:rPr>
          <w:sz w:val="24"/>
          <w:szCs w:val="24"/>
          <w:color w:val="auto"/>
        </w:rPr>
      </w:pPr>
    </w:p>
    <w:p>
      <w:pPr>
        <w:ind w:left="20" w:right="360"/>
        <w:spacing w:after="0" w:line="18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20" w:right="300"/>
        <w:spacing w:after="0" w:line="174" w:lineRule="exact"/>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5"/>
          <w:szCs w:val="15"/>
          <w:color w:val="auto"/>
        </w:rPr>
        <w:t>☐</w:t>
      </w:r>
    </w:p>
    <w:p>
      <w:pPr>
        <w:ind w:left="20" w:right="60"/>
        <w:spacing w:after="0" w:line="174"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ind w:left="20" w:right="60"/>
        <w:spacing w:after="0" w:line="17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145" w:lineRule="exact"/>
        <w:rPr>
          <w:sz w:val="24"/>
          <w:szCs w:val="24"/>
          <w:color w:val="auto"/>
        </w:rPr>
      </w:pPr>
    </w:p>
    <w:p>
      <w:pPr>
        <w:ind w:left="3720"/>
        <w:spacing w:after="0" w:line="173" w:lineRule="exact"/>
        <w:tabs>
          <w:tab w:leader="none" w:pos="4540" w:val="left"/>
          <w:tab w:leader="none" w:pos="5140"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w:t>
      </w:r>
      <w:r>
        <w:rPr>
          <w:sz w:val="20"/>
          <w:szCs w:val="20"/>
          <w:color w:val="auto"/>
        </w:rPr>
        <w:tab/>
      </w:r>
      <w:r>
        <w:rPr>
          <w:rFonts w:ascii="MS PGothic" w:cs="MS PGothic" w:eastAsia="MS PGothic" w:hAnsi="MS PGothic"/>
          <w:sz w:val="12"/>
          <w:szCs w:val="12"/>
          <w:color w:val="auto"/>
        </w:rPr>
        <w:t>☒</w:t>
      </w:r>
    </w:p>
    <w:p>
      <w:pPr>
        <w:spacing w:after="0" w:line="309" w:lineRule="exact"/>
        <w:rPr>
          <w:sz w:val="24"/>
          <w:szCs w:val="24"/>
          <w:color w:val="auto"/>
        </w:rPr>
      </w:pPr>
    </w:p>
    <w:p>
      <w:pPr>
        <w:ind w:left="20" w:right="180"/>
        <w:spacing w:after="0" w:line="230" w:lineRule="auto"/>
        <w:rPr>
          <w:sz w:val="20"/>
          <w:szCs w:val="20"/>
          <w:color w:val="auto"/>
        </w:rPr>
      </w:pPr>
      <w:r>
        <w:rPr>
          <w:rFonts w:ascii="Times New Roman" w:cs="Times New Roman" w:eastAsia="Times New Roman" w:hAnsi="Times New Roman"/>
          <w:sz w:val="15"/>
          <w:szCs w:val="15"/>
          <w:color w:val="auto"/>
        </w:rPr>
        <w:t>The aggregate market value of registrant’s Common Stock, par value $.50 per share, held by persons other than those who may be deemed to be affiliates of registrant on June 28, 2024 was $457,317,341 based on the last reported sale price on the New York Stock Exchange as of the close of business on that date.</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number of the Company’s outstanding shares of Common Stock on February 28, 2025 was 26,856,054.</w:t>
      </w:r>
    </w:p>
    <w:p>
      <w:pPr>
        <w:spacing w:after="0" w:line="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5" w:lineRule="exact"/>
        <w:rPr>
          <w:sz w:val="24"/>
          <w:szCs w:val="24"/>
          <w:color w:val="auto"/>
        </w:rPr>
      </w:pPr>
    </w:p>
    <w:p>
      <w:pPr>
        <w:jc w:val="center"/>
        <w:ind w:left="400"/>
        <w:spacing w:after="0" w:line="257" w:lineRule="auto"/>
        <w:rPr>
          <w:sz w:val="20"/>
          <w:szCs w:val="20"/>
          <w:color w:val="auto"/>
        </w:rPr>
      </w:pPr>
      <w:r>
        <w:rPr>
          <w:rFonts w:ascii="Times New Roman" w:cs="Times New Roman" w:eastAsia="Times New Roman" w:hAnsi="Times New Roman"/>
          <w:sz w:val="15"/>
          <w:szCs w:val="15"/>
          <w:color w:val="auto"/>
        </w:rPr>
        <w:t>Portions of the Registrant's Proxy Statement for the 2025 Annual Meeting of Stockholders, to be filed within 120 days of the Registrant's fiscal year ended December 31, 2024, relating to the directors and executive officers of the Company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287655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22" w:right="379" w:bottom="7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0" w:type="dxa"/>
            <w:vAlign w:val="bottom"/>
          </w:tcPr>
          <w:p>
            <w:pPr>
              <w:ind w:left="35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19"/>
                <w:szCs w:val="19"/>
                <w:color w:val="auto"/>
              </w:rPr>
            </w:pPr>
          </w:p>
        </w:tc>
      </w:tr>
      <w:tr>
        <w:trPr>
          <w:trHeight w:val="68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4"/>
              </w:rPr>
              <w:t>PART I</w:t>
            </w:r>
          </w:p>
        </w:tc>
        <w:tc>
          <w:tcPr>
            <w:tcW w:w="3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4"/>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1A.</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1B.</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1C.</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CYBERSECURITY</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2.</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PROPERTIES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3.</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3"/>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4.</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438"/>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22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186"/>
        </w:trPr>
        <w:tc>
          <w:tcPr>
            <w:tcW w:w="620" w:type="dxa"/>
            <w:vAlign w:val="bottom"/>
            <w:tcBorders>
              <w:top w:val="single" w:sz="8" w:color="auto"/>
            </w:tcBorders>
            <w:gridSpan w:val="2"/>
          </w:tcPr>
          <w:p>
            <w:pPr>
              <w:spacing w:after="0" w:line="186" w:lineRule="exact"/>
              <w:rPr>
                <w:sz w:val="20"/>
                <w:szCs w:val="20"/>
                <w:color w:val="auto"/>
              </w:rPr>
            </w:pPr>
            <w:r>
              <w:rPr>
                <w:rFonts w:ascii="Times New Roman" w:cs="Times New Roman" w:eastAsia="Times New Roman" w:hAnsi="Times New Roman"/>
                <w:sz w:val="17"/>
                <w:szCs w:val="17"/>
                <w:color w:val="auto"/>
              </w:rPr>
              <w:t>ITEM 5.</w:t>
            </w:r>
          </w:p>
        </w:tc>
        <w:tc>
          <w:tcPr>
            <w:tcW w:w="260" w:type="dxa"/>
            <w:vAlign w:val="bottom"/>
            <w:gridSpan w:val="3"/>
          </w:tcPr>
          <w:p>
            <w:pPr>
              <w:spacing w:after="0"/>
              <w:rPr>
                <w:sz w:val="16"/>
                <w:szCs w:val="16"/>
                <w:color w:val="auto"/>
              </w:rPr>
            </w:pPr>
          </w:p>
        </w:tc>
        <w:tc>
          <w:tcPr>
            <w:tcW w:w="9620" w:type="dxa"/>
            <w:vAlign w:val="bottom"/>
            <w:gridSpan w:val="2"/>
          </w:tcPr>
          <w:p>
            <w:pPr>
              <w:ind w:left="180"/>
              <w:spacing w:after="0" w:line="186"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w:t>
            </w:r>
          </w:p>
        </w:tc>
        <w:tc>
          <w:tcPr>
            <w:tcW w:w="680" w:type="dxa"/>
            <w:vAlign w:val="bottom"/>
          </w:tcPr>
          <w:p>
            <w:pPr>
              <w:jc w:val="right"/>
              <w:spacing w:after="0" w:line="186" w:lineRule="exact"/>
              <w:rPr>
                <w:sz w:val="20"/>
                <w:szCs w:val="20"/>
                <w:color w:val="auto"/>
              </w:rPr>
            </w:pPr>
            <w:r>
              <w:rPr>
                <w:rFonts w:ascii="Times New Roman" w:cs="Times New Roman" w:eastAsia="Times New Roman" w:hAnsi="Times New Roman"/>
                <w:sz w:val="17"/>
                <w:szCs w:val="17"/>
                <w:color w:val="auto"/>
              </w:rPr>
              <w:t>40</w:t>
            </w:r>
          </w:p>
        </w:tc>
      </w:t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EQUITY SECURITIES</w:t>
            </w:r>
          </w:p>
        </w:tc>
        <w:tc>
          <w:tcPr>
            <w:tcW w:w="680" w:type="dxa"/>
            <w:vAlign w:val="bottom"/>
          </w:tcPr>
          <w:p>
            <w:pPr>
              <w:spacing w:after="0"/>
              <w:rPr>
                <w:sz w:val="19"/>
                <w:szCs w:val="19"/>
                <w:color w:val="auto"/>
              </w:rPr>
            </w:pPr>
          </w:p>
        </w:tc>
      </w:tr>
      <w:tr>
        <w:trPr>
          <w:trHeight w:val="225"/>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6.</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RESERVED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7.</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7A.</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8.</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9A.</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9B.</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3"/>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9C.</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438"/>
        </w:trPr>
        <w:tc>
          <w:tcPr>
            <w:tcW w:w="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w w:val="96"/>
              </w:rPr>
              <w:t>PART III</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4"/>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10.</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11.</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171"/>
        </w:trPr>
        <w:tc>
          <w:tcPr>
            <w:tcW w:w="880" w:type="dxa"/>
            <w:vAlign w:val="bottom"/>
            <w:gridSpan w:val="5"/>
          </w:tcPr>
          <w:p>
            <w:pPr>
              <w:spacing w:after="0" w:line="172" w:lineRule="exact"/>
              <w:rPr>
                <w:sz w:val="20"/>
                <w:szCs w:val="20"/>
                <w:color w:val="auto"/>
              </w:rPr>
            </w:pPr>
            <w:r>
              <w:rPr>
                <w:rFonts w:ascii="Times New Roman" w:cs="Times New Roman" w:eastAsia="Times New Roman" w:hAnsi="Times New Roman"/>
                <w:sz w:val="17"/>
                <w:szCs w:val="17"/>
                <w:color w:val="auto"/>
              </w:rPr>
              <w:t>ITEM 12.</w:t>
            </w:r>
          </w:p>
        </w:tc>
        <w:tc>
          <w:tcPr>
            <w:tcW w:w="962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w:t>
            </w:r>
          </w:p>
        </w:tc>
        <w:tc>
          <w:tcPr>
            <w:tcW w:w="68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61</w:t>
            </w:r>
          </w:p>
        </w:tc>
      </w:t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MATTERS</w:t>
            </w:r>
          </w:p>
        </w:tc>
        <w:tc>
          <w:tcPr>
            <w:tcW w:w="680" w:type="dxa"/>
            <w:vAlign w:val="bottom"/>
          </w:tcPr>
          <w:p>
            <w:pPr>
              <w:spacing w:after="0"/>
              <w:rPr>
                <w:sz w:val="19"/>
                <w:szCs w:val="19"/>
                <w:color w:val="auto"/>
              </w:rPr>
            </w:pPr>
          </w:p>
        </w:tc>
      </w:tr>
      <w:tr>
        <w:trPr>
          <w:trHeight w:val="225"/>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13.</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3"/>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14.</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438"/>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2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34"/>
        </w:trPr>
        <w:tc>
          <w:tcPr>
            <w:tcW w:w="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ITEM 15.</w:t>
            </w:r>
          </w:p>
        </w:tc>
        <w:tc>
          <w:tcPr>
            <w:tcW w:w="200" w:type="dxa"/>
            <w:vAlign w:val="bottom"/>
            <w:gridSpan w:val="2"/>
          </w:tcPr>
          <w:p>
            <w:pPr>
              <w:spacing w:after="0"/>
              <w:rPr>
                <w:sz w:val="20"/>
                <w:szCs w:val="20"/>
                <w:color w:val="auto"/>
              </w:rPr>
            </w:pP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3"/>
        </w:trPr>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ITEM 16.</w:t>
            </w:r>
          </w:p>
        </w:tc>
        <w:tc>
          <w:tcPr>
            <w:tcW w:w="9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FORM 10-K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438"/>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1100" w:type="dxa"/>
            <w:vAlign w:val="bottom"/>
            <w:gridSpan w:val="6"/>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4"/>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ITEM 15(a)(1) -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3"/>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ITEM 15(a)(2) -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40" w:top="85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006EBF"/>
        </w:rPr>
        <w:t>Glossary</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initialisms or acronyms may be used in this document and shall be defined as set forth below:</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AKIP</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Advance Kern Incentive Program</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ASC</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Accounting Standards Codification</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ASU</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Accounting Standards Update</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AVEK</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Antelope Valley East Kern Water Agency</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CFL</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Centennial Founders, LLC</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CBD</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Center for Biological Diversity</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CEQA</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California Environmental Quality Act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CFD</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Community Facilities District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CNPS</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California Native Plant Society</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Earnings Before Interest Taxes Depreciation and Amortization</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EIR</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Environmental Impact Report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FTZ</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Foreign Trade Zone</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Generally Accepted Accounting Principles in the United States</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GHG</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Greenhouse Gas</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GSP</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Groundwater Sustainability Plan</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MV</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Mountain Village at Tejon Ranch</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NOI</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Operating Income</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NLER</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Liabilities to Equity Ratio</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PEF</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Pastoria Energy Facility, LLC</w:t>
            </w:r>
          </w:p>
        </w:tc>
      </w:tr>
      <w:tr>
        <w:trPr>
          <w:trHeight w:val="232"/>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RCL</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Revolving Credit Line</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RWA</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Tejon Ranch Conservation and Land Use Agreement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Securities and Exchange Commission</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SOFR</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Secured Overnight Financing Rate</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SWP</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State Water Project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TCWD</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Tejon-Castac Water District</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Tejon Ranch Co.</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TRCC</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Tejon Ranch Commerce Center</w:t>
            </w:r>
          </w:p>
        </w:tc>
      </w:tr>
      <w:tr>
        <w:trPr>
          <w:trHeight w:val="219"/>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TRPFFA</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Tejon Ranch Public Facilities Financing Authority</w:t>
            </w:r>
          </w:p>
        </w:tc>
      </w:tr>
      <w:tr>
        <w:trPr>
          <w:trHeight w:val="223"/>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WRMWSD</w:t>
            </w:r>
          </w:p>
        </w:tc>
        <w:tc>
          <w:tcPr>
            <w:tcW w:w="96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Wheeler Ridge Maricopa Water Storage District</w:t>
            </w:r>
          </w:p>
        </w:tc>
      </w:tr>
      <w:tr>
        <w:trPr>
          <w:trHeight w:val="812"/>
        </w:trPr>
        <w:tc>
          <w:tcPr>
            <w:tcW w:w="1580" w:type="dxa"/>
            <w:vAlign w:val="bottom"/>
          </w:tcPr>
          <w:p>
            <w:pPr>
              <w:spacing w:after="0"/>
              <w:rPr>
                <w:sz w:val="24"/>
                <w:szCs w:val="24"/>
                <w:color w:val="auto"/>
              </w:rPr>
            </w:pPr>
          </w:p>
        </w:tc>
        <w:tc>
          <w:tcPr>
            <w:tcW w:w="9660" w:type="dxa"/>
            <w:vAlign w:val="bottom"/>
          </w:tcPr>
          <w:p>
            <w:pPr>
              <w:ind w:left="4000"/>
              <w:spacing w:after="0"/>
              <w:rPr>
                <w:sz w:val="20"/>
                <w:szCs w:val="20"/>
                <w:color w:val="auto"/>
              </w:rPr>
            </w:pPr>
            <w:r>
              <w:rPr>
                <w:rFonts w:ascii="Times New Roman" w:cs="Times New Roman" w:eastAsia="Times New Roman" w:hAnsi="Times New Roman"/>
                <w:sz w:val="17"/>
                <w:szCs w:val="17"/>
                <w:color w:val="auto"/>
              </w:rPr>
              <w:t>3</w:t>
            </w:r>
          </w:p>
        </w:tc>
      </w:tr>
      <w:tr>
        <w:trPr>
          <w:trHeight w:val="108"/>
        </w:trPr>
        <w:tc>
          <w:tcPr>
            <w:tcW w:w="1580" w:type="dxa"/>
            <w:vAlign w:val="bottom"/>
            <w:tcBorders>
              <w:bottom w:val="single" w:sz="8" w:color="9A9A9A"/>
            </w:tcBorders>
          </w:tcPr>
          <w:p>
            <w:pPr>
              <w:spacing w:after="0"/>
              <w:rPr>
                <w:sz w:val="9"/>
                <w:szCs w:val="9"/>
                <w:color w:val="auto"/>
              </w:rPr>
            </w:pPr>
          </w:p>
        </w:tc>
        <w:tc>
          <w:tcPr>
            <w:tcW w:w="9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i w:val="1"/>
          <w:iCs w:val="1"/>
          <w:color w:val="auto"/>
        </w:rPr>
        <w:t>This annual report on Form 10-K contains forward-looking statements, including without limitation, statements regarding strategic alliances, the almond, pistachio, olives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future revenue and income from residential leasing,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Part I, Item 1A, “Risk Factors” of this report.</w:t>
      </w:r>
    </w:p>
    <w:p>
      <w:pPr>
        <w:spacing w:after="0" w:line="29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1.</w:t>
        <w:tab/>
        <w:t>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Company Overview</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are a diversified real estate development and agribusiness company committed to responsibly using our land and resources to meet the housing, employment, and lifestyle needs of Californians and create value for our shareholders. Current operations consist of land planning and entitlement, land development, commercial land sales and leasing, leasing of land for mineral royalties, water asset management and sales, grazing leases, farming, and ranch operations. In 2025, our real estate operations will expand to include residential leasing tied to our multi-family project, Terra Vista at Tejon, which began development in 2024, further diversifying our portfolio and enhancing long-term recurring revenue streams.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activities are performed through our five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115570</wp:posOffset>
            </wp:positionV>
            <wp:extent cx="5730240" cy="1710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0240" cy="171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and/or sales, and conservation in order to maximize the highest and best use for our land. We are involved in nine joint ventures that either own, develop, and/or operate real estate properties. We enter into joint ventures as a means to facilitate the development of portions of our land.</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77"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974725</wp:posOffset>
            </wp:positionH>
            <wp:positionV relativeFrom="page">
              <wp:posOffset>751840</wp:posOffset>
            </wp:positionV>
            <wp:extent cx="5599430" cy="4739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599430" cy="473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Business Objectives and Strategies</w:t>
      </w:r>
    </w:p>
    <w:p>
      <w:pPr>
        <w:spacing w:after="0" w:line="16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Our primary business objective is to maximize long-term shareholder value through the improvement and monetization of our land-based assets. A key element of our strategy is to entitle and then develop large-scale mixed-use master planned residential and commercial/industrial real estate development projects to serve the growing populations of Southern and Central California. An active example of this strategy is the TRCC mixed-use development, which was entitled and prevailed in litigation in 2007.</w:t>
      </w:r>
    </w:p>
    <w:p>
      <w:pPr>
        <w:spacing w:after="0" w:line="12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Our mixed-use master planned residential developments have been approved to collectively include up to 35,278 housing units, and more than 35 million square feet of commercial space. We have obtained entitlements on MV and the first approved final map for the project consisting of 401 residential lots and parcels for hospitality, amenities, and public uses. The Grapevine at Tejon Ranch, or Grapevine, has approved entitlements for 12,000 units and 5 million square feet of commercial development. Centennial at Tejon Ranch, or Centennial, had entitlements approved in 2018, and received legislative approvals in 2019 from the Los Angeles County Board of Supervisors.</w:t>
      </w:r>
    </w:p>
    <w:p>
      <w:pPr>
        <w:spacing w:after="0" w:line="1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Centennial approvals were litigated in two lawsuits filed in Los Angeles County Superior Court in May 2019 and the Company has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During the appeal process the Superior Court’s order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the rescission of project approvals have been placed on hold. The appeal has been fully briefed and a hearing has been scheduled for April 4, 2025.</w:t>
      </w:r>
    </w:p>
    <w:p>
      <w:pPr>
        <w:spacing w:after="0" w:line="2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We are actively executing our value creation strategy through construction, commercial sales, and leasing at our commercial and industrial center, TRCC. As part of this strategy, we commenced construction in 2024 of the first phase of Terra Vista at Tejon, a multi-family community within TRCC. This development is located on a 22-acre site immediately north of the Outlets at Tejon. The first phase includes 228 multi-family residences across seven apartment buildings, along with a clubhouse featuring a pool and fitness facilities. The project was approved for a maximum of 495 multi-family residences. We remain on track to deliver the first phase on budget and on schedule, with residential leasing expected to begin in the second quarter of 2025. All of these efforts are supported by diverse revenue streams generated from other operations including: farming, mineral resources, ranch operations, and our various joint ventures.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Terra Vista at Tejon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158750</wp:posOffset>
            </wp:positionV>
            <wp:extent cx="5599430" cy="3143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9430"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974725</wp:posOffset>
            </wp:positionH>
            <wp:positionV relativeFrom="page">
              <wp:posOffset>506095</wp:posOffset>
            </wp:positionV>
            <wp:extent cx="5599430" cy="7244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99430" cy="724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006EBF"/>
        </w:rPr>
        <w:t>Percentage of Total Revenue</w:t>
      </w:r>
      <w:r>
        <w:rPr>
          <w:rFonts w:ascii="Times New Roman" w:cs="Times New Roman" w:eastAsia="Times New Roman" w:hAnsi="Times New Roman"/>
          <w:sz w:val="22"/>
          <w:szCs w:val="22"/>
          <w:b w:val="1"/>
          <w:bCs w:val="1"/>
          <w:color w:val="006EBF"/>
          <w:vertAlign w:val="superscript"/>
        </w:rPr>
        <w:t>1</w:t>
      </w:r>
      <w:r>
        <w:rPr>
          <w:rFonts w:ascii="Times New Roman" w:cs="Times New Roman" w:eastAsia="Times New Roman" w:hAnsi="Times New Roman"/>
          <w:sz w:val="17"/>
          <w:szCs w:val="17"/>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83185</wp:posOffset>
            </wp:positionV>
            <wp:extent cx="5534025" cy="6606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4025" cy="660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hanging="57"/>
        <w:spacing w:after="0"/>
        <w:tabs>
          <w:tab w:leader="none" w:pos="60" w:val="left"/>
        </w:tabs>
        <w:numPr>
          <w:ilvl w:val="0"/>
          <w:numId w:val="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Charts present segment revenues and equity in earnings of unconsolidated joint ventures, which has been included in real estate, while other income components are excluded.</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774"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604520</wp:posOffset>
            </wp:positionV>
            <wp:extent cx="5452110" cy="660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660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Our Resort Residential reporting segment did not report revenues in the periods reported herein.</w:t>
      </w:r>
    </w:p>
    <w:p>
      <w:pPr>
        <w:spacing w:after="0" w:line="200" w:lineRule="exact"/>
        <w:rPr>
          <w:sz w:val="20"/>
          <w:szCs w:val="20"/>
          <w:color w:val="auto"/>
        </w:rPr>
      </w:pPr>
    </w:p>
    <w:p>
      <w:pPr>
        <w:spacing w:after="0" w:line="26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ind w:right="200"/>
        <w:spacing w:after="0" w:line="287" w:lineRule="auto"/>
        <w:rPr>
          <w:sz w:val="20"/>
          <w:szCs w:val="20"/>
          <w:color w:val="auto"/>
        </w:rPr>
      </w:pPr>
      <w:r>
        <w:rPr>
          <w:rFonts w:ascii="Times New Roman" w:cs="Times New Roman" w:eastAsia="Times New Roman" w:hAnsi="Times New Roman"/>
          <w:sz w:val="17"/>
          <w:szCs w:val="17"/>
          <w:color w:val="auto"/>
        </w:rPr>
        <w:t>The following table shows the revenues from continuing operations, segment operating results and identifiable assets of each of our continuing segments for the last three years: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FINANCIAL INFORMATION ABOUT SEGMENTS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thousands of dollars)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color w:val="auto"/>
                <w:w w:val="98"/>
              </w:rPr>
              <w:t>Year Ended December 31,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5540" w:type="dxa"/>
            <w:vAlign w:val="bottom"/>
            <w:gridSpan w:val="3"/>
            <w:vMerge w:val="restart"/>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554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4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40,515</w:t>
            </w:r>
          </w:p>
        </w:tc>
        <w:tc>
          <w:tcPr>
            <w:tcW w:w="0" w:type="dxa"/>
            <w:vAlign w:val="bottom"/>
          </w:tcPr>
          <w:p>
            <w:pPr>
              <w:spacing w:after="0"/>
              <w:rPr>
                <w:sz w:val="1"/>
                <w:szCs w:val="1"/>
                <w:color w:val="auto"/>
              </w:rPr>
            </w:pPr>
          </w:p>
        </w:tc>
      </w:tr>
      <w:tr>
        <w:trPr>
          <w:trHeight w:val="21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21,595</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0" w:type="dxa"/>
            <w:vAlign w:val="bottom"/>
          </w:tcPr>
          <w:p>
            <w:pPr>
              <w:spacing w:after="0"/>
              <w:rPr>
                <w:sz w:val="1"/>
                <w:szCs w:val="1"/>
                <w:color w:val="auto"/>
              </w:rPr>
            </w:pPr>
          </w:p>
        </w:tc>
      </w:tr>
      <w:tr>
        <w:trPr>
          <w:trHeight w:val="212"/>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revenues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20" w:type="dxa"/>
            <w:vAlign w:val="bottom"/>
            <w:tcBorders>
              <w:bottom w:val="single" w:sz="8" w:color="auto"/>
            </w:tcBorders>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Segment Operating Results</w:t>
            </w:r>
          </w:p>
        </w:tc>
        <w:tc>
          <w:tcPr>
            <w:tcW w:w="436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15,523</w:t>
            </w:r>
          </w:p>
        </w:tc>
        <w:tc>
          <w:tcPr>
            <w:tcW w:w="4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31,911</w:t>
            </w:r>
          </w:p>
        </w:tc>
        <w:tc>
          <w:tcPr>
            <w:tcW w:w="0" w:type="dxa"/>
            <w:vAlign w:val="bottom"/>
          </w:tcPr>
          <w:p>
            <w:pPr>
              <w:spacing w:after="0"/>
              <w:rPr>
                <w:sz w:val="1"/>
                <w:szCs w:val="1"/>
                <w:color w:val="auto"/>
              </w:rPr>
            </w:pPr>
          </w:p>
        </w:tc>
      </w:tr>
      <w:tr>
        <w:trPr>
          <w:trHeight w:val="21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8,626</w:t>
            </w:r>
          </w:p>
        </w:tc>
        <w:tc>
          <w:tcPr>
            <w:tcW w:w="0" w:type="dxa"/>
            <w:vAlign w:val="bottom"/>
          </w:tcPr>
          <w:p>
            <w:pPr>
              <w:spacing w:after="0"/>
              <w:rPr>
                <w:sz w:val="1"/>
                <w:szCs w:val="1"/>
                <w:color w:val="auto"/>
              </w:rPr>
            </w:pPr>
          </w:p>
        </w:tc>
      </w:tr>
      <w:tr>
        <w:trPr>
          <w:trHeight w:val="21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0" w:type="dxa"/>
            <w:vAlign w:val="bottom"/>
          </w:tcPr>
          <w:p>
            <w:pPr>
              <w:spacing w:after="0"/>
              <w:rPr>
                <w:sz w:val="1"/>
                <w:szCs w:val="1"/>
                <w:color w:val="auto"/>
              </w:rPr>
            </w:pPr>
          </w:p>
        </w:tc>
      </w:tr>
      <w:tr>
        <w:trPr>
          <w:trHeight w:val="212"/>
        </w:trPr>
        <w:tc>
          <w:tcPr>
            <w:tcW w:w="6200" w:type="dxa"/>
            <w:vAlign w:val="bottom"/>
            <w:gridSpan w:val="5"/>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Segment operating results </w:t>
            </w:r>
            <w:r>
              <w:rPr>
                <w:rFonts w:ascii="Times New Roman" w:cs="Times New Roman" w:eastAsia="Times New Roman" w:hAnsi="Times New Roman"/>
                <w:sz w:val="22"/>
                <w:szCs w:val="22"/>
                <w:color w:val="auto"/>
                <w:vertAlign w:val="superscript"/>
              </w:rPr>
              <w:t>1</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31,180</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Investment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(loss)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7"/>
                <w:szCs w:val="17"/>
                <w:color w:val="auto"/>
              </w:rPr>
              <w:t>Corporate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(11,092)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(9,699)</w:t>
            </w:r>
          </w:p>
        </w:tc>
        <w:tc>
          <w:tcPr>
            <w:tcW w:w="0" w:type="dxa"/>
            <w:vAlign w:val="bottom"/>
          </w:tcPr>
          <w:p>
            <w:pPr>
              <w:spacing w:after="0"/>
              <w:rPr>
                <w:sz w:val="1"/>
                <w:szCs w:val="1"/>
                <w:color w:val="auto"/>
              </w:rPr>
            </w:pPr>
          </w:p>
        </w:tc>
      </w:tr>
      <w:tr>
        <w:trPr>
          <w:trHeight w:val="212"/>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8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Identifiable Assets by Segment </w:t>
            </w:r>
            <w:r>
              <w:rPr>
                <w:rFonts w:ascii="Times New Roman" w:cs="Times New Roman" w:eastAsia="Times New Roman" w:hAnsi="Times New Roman"/>
                <w:sz w:val="20"/>
                <w:szCs w:val="20"/>
                <w:b w:val="1"/>
                <w:bCs w:val="1"/>
                <w:color w:val="auto"/>
                <w:vertAlign w:val="superscript"/>
              </w:rPr>
              <w:t>2</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98,185</w:t>
            </w:r>
          </w:p>
        </w:tc>
        <w:tc>
          <w:tcPr>
            <w:tcW w:w="4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74,292</w:t>
            </w:r>
          </w:p>
        </w:tc>
        <w:tc>
          <w:tcPr>
            <w:tcW w:w="0" w:type="dxa"/>
            <w:vAlign w:val="bottom"/>
          </w:tcPr>
          <w:p>
            <w:pPr>
              <w:spacing w:after="0"/>
              <w:rPr>
                <w:sz w:val="1"/>
                <w:szCs w:val="1"/>
                <w:color w:val="auto"/>
              </w:rPr>
            </w:pPr>
          </w:p>
        </w:tc>
      </w:tr>
      <w:tr>
        <w:trPr>
          <w:trHeight w:val="21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330,513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312,956</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48,780</w:t>
            </w:r>
          </w:p>
        </w:tc>
        <w:tc>
          <w:tcPr>
            <w:tcW w:w="0" w:type="dxa"/>
            <w:vAlign w:val="bottom"/>
          </w:tcPr>
          <w:p>
            <w:pPr>
              <w:spacing w:after="0"/>
              <w:rPr>
                <w:sz w:val="1"/>
                <w:szCs w:val="1"/>
                <w:color w:val="auto"/>
              </w:rPr>
            </w:pPr>
          </w:p>
        </w:tc>
      </w:tr>
      <w:tr>
        <w:trPr>
          <w:trHeight w:val="219"/>
        </w:trPr>
        <w:tc>
          <w:tcPr>
            <w:tcW w:w="62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45,814</w:t>
            </w:r>
          </w:p>
        </w:tc>
        <w:tc>
          <w:tcPr>
            <w:tcW w:w="0" w:type="dxa"/>
            <w:vAlign w:val="bottom"/>
          </w:tcPr>
          <w:p>
            <w:pPr>
              <w:spacing w:after="0"/>
              <w:rPr>
                <w:sz w:val="1"/>
                <w:szCs w:val="1"/>
                <w:color w:val="auto"/>
              </w:rPr>
            </w:pPr>
          </w:p>
        </w:tc>
      </w:tr>
      <w:tr>
        <w:trPr>
          <w:trHeight w:val="219"/>
        </w:trPr>
        <w:tc>
          <w:tcPr>
            <w:tcW w:w="6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83,004</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607,998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577,523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right="440" w:firstLine="3"/>
        <w:spacing w:after="0" w:line="257" w:lineRule="auto"/>
        <w:tabs>
          <w:tab w:leader="none" w:pos="79"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Segment operating results are comprised of revenues and equity in earnings of unconsolidated joint ventures, less segment expenses, excluding investment income, other income (loss), corporate expenses, and income taxes.</w:t>
      </w:r>
    </w:p>
    <w:p>
      <w:pPr>
        <w:spacing w:after="0" w:line="1" w:lineRule="exact"/>
        <w:rPr>
          <w:rFonts w:ascii="Times New Roman" w:cs="Times New Roman" w:eastAsia="Times New Roman" w:hAnsi="Times New Roman"/>
          <w:sz w:val="9"/>
          <w:szCs w:val="9"/>
          <w:color w:val="auto"/>
        </w:rPr>
      </w:pPr>
    </w:p>
    <w:p>
      <w:pPr>
        <w:ind w:right="60"/>
        <w:spacing w:after="0" w:line="225" w:lineRule="auto"/>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Identifiable Assets by Segment include both assets directly identified with those operations and an allocable share of jointly used assets. Corporate assets consist of cash and cash equivalents, refundable and deferred income taxes, land, buildings, and improvements. Commercial/Industrial also includes buildings and improvements.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006EBF"/>
        </w:rPr>
        <w:t>Real Estate Development Overview</w:t>
      </w:r>
    </w:p>
    <w:p>
      <w:pPr>
        <w:spacing w:after="0" w:line="16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real estate operations consist of the following activities: real estate development, commercial land sales and leasing, land planning and entitlement, and conservation. During 2024 we began our first residential development, Terra Vista at Tejon, a multi-family project community at TRCC with leasing scheduled to begin during the second quarter of 2025.</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Interstate 5, one of the nation’s most heavily traveled freeways, brings in excess of 92,000 vehicles per day through our land, according to data from the California Department of Transportation. Our holdings include 16 miles of Interstate 5 frontage on each side of the freeway and the commercial land surrounding three interchanges. The strategic plan for real estate focuses on development opportunities along the Interstate 5 and Highway 138 corridors, which includes TRCC; MV, a resort and residential community; Grapevine, a mixed-use master planned community in Kern County; Grapevine North, a 7,655-acre development area; and Centennial, a mixed-use master planned community in Los Angeles County. TRCC includes developments east and west of Interstate 5 at TRCC-East and TRCC-West, respectively.</w:t>
      </w:r>
    </w:p>
    <w:p>
      <w:pPr>
        <w:spacing w:after="0" w:line="12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328295</wp:posOffset>
            </wp:positionV>
            <wp:extent cx="5599430" cy="1440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9943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Note: Grapevine North's entitlement efforts have not yet begun. The Company regularly assesses its long-term growth strategy and capital resources when determining when to start this additional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006EBF"/>
        </w:rPr>
        <w:t>Reporting Segments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6EBF"/>
        </w:rPr>
        <w:t>Real Estate - Commercial/Industrial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118110</wp:posOffset>
            </wp:positionV>
            <wp:extent cx="5599430" cy="4166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9430" cy="416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primary focus of the Company is our real estate commercial/industrial segment that includes: planning and permitting of land held for development; construction of infrastructure; the construction of pre-leased buildings; the construction of buildings to be leased or sold; and the sale of land to third parties for their own development. The real estate commercial/industrial segment also includes activities related to communications leases, a power plant lease, and landscape maintenance fees.</w:t>
      </w:r>
    </w:p>
    <w:p>
      <w:pPr>
        <w:spacing w:after="0" w:line="12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At the heart of our real estate commercial/industrial segment is TRCC, a 20 million square foot commercial/industrial development on Interstate 5 just north of the Los Angeles basin. The Los Angeles industrial market is the largest in the country by many measures, sitting at the center of a 2 billion square-foot Southern California industrial market. It has been characterized by some of the highest asking rents and lowest vacancy rates of any market in the nation. The Ports of Los Angeles and Long Beach are the primary industrial drivers and are responsible for over 30% of all inbound containers into the U.S.</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As of December 31, 2024, our industrial portfolio, through our joint venture partnerships, consisted of 2.8 million square feet of gross leasable area, or GLA, and our TRCC commercial portfolio consisted of 620,907 square feet of GLA. As of December 31, 2024, our industrial portfolio was 100% leased and our commercial portfolio was 96% leased. Substantially all of our tenants are subject to net lease agreements. A net lease typically requires the tenant to be responsible for minimum monthly rent and property expenses including property taxes, insurance, and maintenance.</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Over eight million square feet of industrial, commercial, and retail space has been developed and is either operational (by us or third parties that we sold to), under construction, or soon to be under construction at TRCC,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7"/>
          <w:szCs w:val="17"/>
          <w:color w:val="auto"/>
        </w:rPr>
        <w:t>TRCC has an FTZ designation, of approximately 1,094 acres, which allows a user within the FTZ to secure the many benefits and cost reductions associated with streamlined movement of goods in and out of a trade zone. TRCC's attractiveness as a commercial/industrial location is further enhanced by AdvanceKern, formerly known as the Economic Development Incentive Policy, or EDIP, adopted by the Kern County Board of Supervisors. AdvanceKern is aimed to expand and enhance the County's competitiveness by taking affirmative steps to attract new businesses and to encourage the growth and resilience of existing businesses. AdvanceKern provides incentives such as assistance in obtaining state tax incentives, building supporting infrastructure, and workforce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Recent Developments</w:t>
      </w:r>
    </w:p>
    <w:p>
      <w:pPr>
        <w:spacing w:after="0" w:line="17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For a discussion of business developments that occurred in 2024, see “Item 7 – Management’s Discussion and Analysis of Financial Condition and Results of Operations” later in this report. Certain summarized highlights are contained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Construction</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During the first quarter of 2024, we began construction of the first phase of a multi-family community, Terra Vista at Tejon, within TRCC. The development is located on a 22-acre site immediately north of the Outlets at Tejon. Terra Vista at Tejon is our first residential development. This development will also begin TRCC’s transition to a mixed-use master-planned community. TRCC already includes a large employment base of industrial and retail users totaling over 8.8 million square feet of existing development, under construction or near construction, with an additional 11.1 million square feet of entitled space to be developed in the future.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Investments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Leasing</w:t>
      </w:r>
    </w:p>
    <w:p>
      <w:pPr>
        <w:spacing w:after="0" w:line="20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Within our commercial/industrial segment, we lease land to various types of tenants. We currently lease land to two auto service stations with convenience stores, 12 fast-food operations, one service diner-style restaurant, a motel, an antique shop, and a post office.</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addition, the Company leases several microwave repeater locations, radio and cellular transmitter sites, fiber optic cable routes, and 32 acres of land to PEF for an electric power plant.</w:t>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4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The following table summarizes information with respect to lease expirations for our consolidated entities as of December 31, 2024.</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Rentable Square Footage of</w:t>
            </w:r>
          </w:p>
        </w:tc>
        <w:tc>
          <w:tcPr>
            <w:tcW w:w="2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auto"/>
              </w:rPr>
              <w:t>Annualized Base Rent</w:t>
            </w:r>
            <w:r>
              <w:rPr>
                <w:rFonts w:ascii="Times New Roman" w:cs="Times New Roman" w:eastAsia="Times New Roman" w:hAnsi="Times New Roman"/>
                <w:sz w:val="22"/>
                <w:szCs w:val="22"/>
                <w:color w:val="auto"/>
                <w:vertAlign w:val="superscript"/>
              </w:rPr>
              <w:t>1</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Percentage of Annual</w:t>
            </w:r>
          </w:p>
        </w:tc>
        <w:tc>
          <w:tcPr>
            <w:tcW w:w="0" w:type="dxa"/>
            <w:vAlign w:val="bottom"/>
          </w:tcPr>
          <w:p>
            <w:pPr>
              <w:spacing w:after="0"/>
              <w:rPr>
                <w:sz w:val="1"/>
                <w:szCs w:val="1"/>
                <w:color w:val="auto"/>
              </w:rPr>
            </w:pPr>
          </w:p>
        </w:tc>
      </w:tr>
      <w:tr>
        <w:trPr>
          <w:trHeight w:val="232"/>
        </w:trPr>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Year of Lease Expiration</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Number of Expiring Leases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Expiring Leases</w:t>
            </w:r>
          </w:p>
        </w:tc>
        <w:tc>
          <w:tcPr>
            <w:tcW w:w="2260" w:type="dxa"/>
            <w:vAlign w:val="bottom"/>
            <w:gridSpan w:val="2"/>
            <w:vMerge w:val="continue"/>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Minimum Rent</w:t>
            </w:r>
          </w:p>
        </w:tc>
        <w:tc>
          <w:tcPr>
            <w:tcW w:w="0" w:type="dxa"/>
            <w:vAlign w:val="bottom"/>
          </w:tcPr>
          <w:p>
            <w:pPr>
              <w:spacing w:after="0"/>
              <w:rPr>
                <w:sz w:val="1"/>
                <w:szCs w:val="1"/>
                <w:color w:val="auto"/>
              </w:rPr>
            </w:pPr>
          </w:p>
        </w:tc>
      </w:tr>
      <w:tr>
        <w:trPr>
          <w:trHeight w:val="212"/>
        </w:trPr>
        <w:tc>
          <w:tcPr>
            <w:tcW w:w="214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68,518</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Pr>
          <w:p>
            <w:pPr>
              <w:spacing w:after="0"/>
              <w:rPr>
                <w:sz w:val="18"/>
                <w:szCs w:val="18"/>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12.49%</w:t>
            </w: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65,367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19"/>
        </w:trPr>
        <w:tc>
          <w:tcPr>
            <w:tcW w:w="2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90,131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19"/>
        </w:trPr>
        <w:tc>
          <w:tcPr>
            <w:tcW w:w="2140" w:type="dxa"/>
            <w:vAlign w:val="bottom"/>
          </w:tcPr>
          <w:p>
            <w:pPr>
              <w:ind w:left="900"/>
              <w:spacing w:after="0" w:line="219" w:lineRule="exact"/>
              <w:rPr>
                <w:sz w:val="20"/>
                <w:szCs w:val="20"/>
                <w:color w:val="auto"/>
              </w:rPr>
            </w:pPr>
            <w:r>
              <w:rPr>
                <w:rFonts w:ascii="Times New Roman" w:cs="Times New Roman" w:eastAsia="Times New Roman" w:hAnsi="Times New Roman"/>
                <w:sz w:val="17"/>
                <w:szCs w:val="17"/>
                <w:color w:val="auto"/>
              </w:rPr>
              <w:t>2030</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1,394,000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$4,645</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64.34%</w:t>
            </w: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2.11%</w:t>
            </w:r>
          </w:p>
        </w:tc>
        <w:tc>
          <w:tcPr>
            <w:tcW w:w="0" w:type="dxa"/>
            <w:vAlign w:val="bottom"/>
          </w:tcPr>
          <w:p>
            <w:pPr>
              <w:spacing w:after="0"/>
              <w:rPr>
                <w:sz w:val="1"/>
                <w:szCs w:val="1"/>
                <w:color w:val="auto"/>
              </w:rPr>
            </w:pPr>
          </w:p>
        </w:tc>
      </w:tr>
      <w:tr>
        <w:trPr>
          <w:trHeight w:val="219"/>
        </w:trPr>
        <w:tc>
          <w:tcPr>
            <w:tcW w:w="2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125,453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9"/>
        </w:trPr>
        <w:tc>
          <w:tcPr>
            <w:tcW w:w="2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2034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4"/>
        </w:trPr>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Thereafter</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64,004</w:t>
            </w:r>
          </w:p>
        </w:tc>
        <w:tc>
          <w:tcPr>
            <w:tcW w:w="10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bl>
    <w:p>
      <w:pPr>
        <w:ind w:left="140" w:hanging="81"/>
        <w:spacing w:after="0" w:line="221" w:lineRule="auto"/>
        <w:tabs>
          <w:tab w:leader="none" w:pos="1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Annualized base rent is calculated as monthly base rent (cash basis) per the lease, as of the reporting period, multiplied by 12. Annualized base rent shown in thousands.</w:t>
      </w:r>
    </w:p>
    <w:p>
      <w:pPr>
        <w:ind w:left="140" w:hanging="81"/>
        <w:spacing w:after="0"/>
        <w:tabs>
          <w:tab w:leader="none" w:pos="14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This amount includes 32 acres of the PEF ground lease.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2024, we had three lease renewals.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Terra Vista at Tejon</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2021, the Kern County Board of Supervisors approved a Conditional Use Permit (CUP) which authorizes the development of a multi-family apartment complex within TRCC. The approved CUP authorizes the Company to develop up to a maximum of 495 multi-family residences, in thirteen apartment buildings, as well as approximately 6,500 square feet of community amenity space and 8,000 square feet of community serving retail, collectively known as Terra Vista at Tejon. The multi-family apartment community will be located on a 22-acre site immediately north of the Outlets at Tejon. Terra Vista at Tejon will be the first residential community at TRCC and for the Company providing an ideal housing option for the thousands of employees currently working at the various distribution centers, retailers, hotels and fast-food restaurants at TRCC.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Joint Ventures</w:t>
      </w:r>
    </w:p>
    <w:p>
      <w:pPr>
        <w:spacing w:after="0" w:line="16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use joint ventures to advance our development projects at TRCC. This allows us to combine our resources with other real estate companies and gain greater access to capital, share in the risks of real estate developments and share in the operating expenses. More importantly, we believe it allows us to better manage the deployment of our capital for entitlement and litigation efforts, and increase our leasing portfolio.</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Our joint venture with TravelCenters of America owns and operates two travel and truck stop facilities, two restaurants, 13 fast-food operations, and five separate gas stations with convenience stores within TRCC-West and TRCC-East.</w:t>
      </w:r>
    </w:p>
    <w:p>
      <w:pPr>
        <w:spacing w:after="0" w:line="1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We are involved in five joint ventures with Majestic Realty Co., or Majestic, to develop, lease, manage, and/or acquire industrial buildings within TRCC. These joint ventures currently operate five fully leased industrial buildings occupying over 2.8 million rentable square feet.</w:t>
      </w:r>
    </w:p>
    <w:p>
      <w:pPr>
        <w:spacing w:after="0" w:line="100"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We formed one new joint venture with Dedeaux Properties in the fourth quarter of 2024 to develop, lease and manage an approximately 510,385 industrial building within TRCC - East, subject to the execution of construction financing.</w:t>
      </w:r>
    </w:p>
    <w:p>
      <w:pPr>
        <w:spacing w:after="0" w:line="10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are involved in a joint venture with Rockefeller Development Group, or RDG, as of December 31, 2024. The TRCC/Rock Outlet Center LLC operates the Outlets at Tejon.</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TRCC Entitlements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Company's commercial, retail and industrial real estate developments as of December 31, 2024:</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Borders>
              <w:top w:val="single" w:sz="8" w:color="auto"/>
            </w:tcBorders>
            <w:vMerge w:val="restart"/>
          </w:tcPr>
          <w:p>
            <w:pPr>
              <w:ind w:left="2300"/>
              <w:spacing w:after="0"/>
              <w:rPr>
                <w:sz w:val="20"/>
                <w:szCs w:val="20"/>
                <w:color w:val="auto"/>
              </w:rPr>
            </w:pPr>
            <w:r>
              <w:rPr>
                <w:rFonts w:ascii="Times New Roman" w:cs="Times New Roman" w:eastAsia="Times New Roman" w:hAnsi="Times New Roman"/>
                <w:sz w:val="17"/>
                <w:szCs w:val="17"/>
                <w:b w:val="1"/>
                <w:bCs w:val="1"/>
                <w:color w:val="auto"/>
              </w:rPr>
              <w:t>Project</w:t>
            </w:r>
          </w:p>
        </w:tc>
        <w:tc>
          <w:tcPr>
            <w:tcW w:w="14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Cost to Date</w:t>
            </w: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ind w:right="254"/>
              <w:spacing w:after="0" w:line="161" w:lineRule="exact"/>
              <w:rPr>
                <w:sz w:val="20"/>
                <w:szCs w:val="20"/>
                <w:color w:val="auto"/>
              </w:rPr>
            </w:pPr>
            <w:r>
              <w:rPr>
                <w:rFonts w:ascii="Times New Roman" w:cs="Times New Roman" w:eastAsia="Times New Roman" w:hAnsi="Times New Roman"/>
                <w:sz w:val="17"/>
                <w:szCs w:val="17"/>
                <w:b w:val="1"/>
                <w:bCs w:val="1"/>
                <w:color w:val="auto"/>
              </w:rPr>
              <w:t>Estimated Cost to</w:t>
            </w:r>
          </w:p>
        </w:tc>
        <w:tc>
          <w:tcPr>
            <w:tcW w:w="1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right"/>
              <w:ind w:right="114"/>
              <w:spacing w:after="0" w:line="161" w:lineRule="exact"/>
              <w:rPr>
                <w:sz w:val="20"/>
                <w:szCs w:val="20"/>
                <w:color w:val="auto"/>
              </w:rPr>
            </w:pPr>
            <w:r>
              <w:rPr>
                <w:rFonts w:ascii="Times New Roman" w:cs="Times New Roman" w:eastAsia="Times New Roman" w:hAnsi="Times New Roman"/>
                <w:sz w:val="17"/>
                <w:szCs w:val="17"/>
                <w:b w:val="1"/>
                <w:bCs w:val="1"/>
                <w:color w:val="auto"/>
                <w:w w:val="98"/>
              </w:rPr>
              <w:t>Total Estimated Cost at</w:t>
            </w: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Complete</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Completion</w:t>
            </w: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Tejon Ranch Commerce Center</w:t>
            </w:r>
          </w:p>
        </w:tc>
        <w:tc>
          <w:tcPr>
            <w:tcW w:w="1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112,841</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82,277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195,118</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auto"/>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Reimbursements from TRPFFA</w:t>
            </w:r>
            <w:r>
              <w:rPr>
                <w:rFonts w:ascii="Times New Roman" w:cs="Times New Roman" w:eastAsia="Times New Roman" w:hAnsi="Times New Roman"/>
                <w:sz w:val="22"/>
                <w:szCs w:val="22"/>
                <w:color w:val="auto"/>
                <w:vertAlign w:val="superscript"/>
              </w:rPr>
              <w:t>1</w:t>
            </w:r>
          </w:p>
        </w:tc>
        <w:tc>
          <w:tcPr>
            <w:tcW w:w="1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98,761</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33,061</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131,822</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TRCC Development Costs, net</w:t>
            </w:r>
          </w:p>
        </w:tc>
        <w:tc>
          <w:tcPr>
            <w:tcW w:w="14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14,080</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49,216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63,296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jc w:val="both"/>
        <w:ind w:left="100" w:right="40" w:hanging="76"/>
        <w:spacing w:after="0" w:line="222"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1"/>
          <w:szCs w:val="11"/>
          <w:color w:val="auto"/>
        </w:rPr>
        <w:t>TRPFFA is a joint powers authority formed by Kern County and TCWD to finance public infrastructure within the Company’s Kern County developments. TRPFFA, through bond sales, will reimburse the Company for qualifying infrastructure costs at TRCC.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total entitlements for TRCC as of December 31, 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square feet)</w:t>
            </w:r>
          </w:p>
        </w:tc>
        <w:tc>
          <w:tcPr>
            <w:tcW w:w="378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7"/>
                <w:szCs w:val="17"/>
                <w:b w:val="1"/>
                <w:bCs w:val="1"/>
                <w:color w:val="auto"/>
              </w:rPr>
              <w:t>Industrial</w:t>
            </w:r>
          </w:p>
        </w:tc>
        <w:tc>
          <w:tcPr>
            <w:tcW w:w="3900" w:type="dxa"/>
            <w:vAlign w:val="bottom"/>
            <w:tcBorders>
              <w:top w:val="single" w:sz="8" w:color="auto"/>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Commercial Retail</w:t>
            </w: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entitlements received</w:t>
            </w:r>
          </w:p>
        </w:tc>
        <w:tc>
          <w:tcPr>
            <w:tcW w:w="37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w w:val="99"/>
              </w:rPr>
              <w:t>19,300,941</w:t>
            </w:r>
          </w:p>
        </w:tc>
        <w:tc>
          <w:tcPr>
            <w:tcW w:w="39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956,309</w:t>
            </w:r>
          </w:p>
        </w:tc>
      </w:tr>
      <w:tr>
        <w:trPr>
          <w:trHeight w:val="219"/>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entitlements used</w:t>
            </w:r>
          </w:p>
        </w:tc>
        <w:tc>
          <w:tcPr>
            <w:tcW w:w="37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7"/>
                <w:szCs w:val="17"/>
                <w:color w:val="auto"/>
                <w:w w:val="99"/>
              </w:rPr>
              <w:t>8,201,864</w:t>
            </w:r>
          </w:p>
        </w:tc>
        <w:tc>
          <w:tcPr>
            <w:tcW w:w="39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674,246</w:t>
            </w: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Entitlements available</w:t>
            </w:r>
          </w:p>
        </w:tc>
        <w:tc>
          <w:tcPr>
            <w:tcW w:w="37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w w:val="99"/>
              </w:rPr>
              <w:t>11,099,077</w:t>
            </w:r>
          </w:p>
        </w:tc>
        <w:tc>
          <w:tcPr>
            <w:tcW w:w="39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282,063</w:t>
            </w:r>
          </w:p>
        </w:tc>
      </w:tr>
    </w:tbl>
    <w:p>
      <w:pPr>
        <w:spacing w:after="0" w:line="200" w:lineRule="exact"/>
        <w:rPr>
          <w:sz w:val="20"/>
          <w:szCs w:val="20"/>
          <w:color w:val="auto"/>
        </w:rPr>
      </w:pPr>
    </w:p>
    <w:p>
      <w:pPr>
        <w:spacing w:after="0" w:line="26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We believe we are well positioned for long-term value creation as we continue with our current development plans at TRCC. This is evident in the 157% increase in land prices achieved over a seven-year period starting with $3.50 per square foot in 2017. Industrial rents have increased 236% over the same seven-year period starting at $0.25 per square foot in 2017. Current entitlements available at TRCC can facilitate alternative uses and further increase the per-acre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974725</wp:posOffset>
            </wp:positionH>
            <wp:positionV relativeFrom="page">
              <wp:posOffset>654050</wp:posOffset>
            </wp:positionV>
            <wp:extent cx="5599430" cy="7244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599430" cy="724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77470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color w:val="auto"/>
        </w:rPr>
        <w:t>Commercial/industrial Real Estate Development Market Overview</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logistics operators currently located within TRCC have demonstrated success in serving all of California and the western region of the United States, and we are building on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several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believe that our ability to provide fully-entitled, shovel-ready land parcels to support buildings ranging from 10,000 square feet to more than two million square feet, provides us with a marketing advantage. Our marketing efforts target industrial users in the Santa Clarita Valley of northern Los Angeles County, and the northern part of the San Fernando Valley, for whom we may be an attractive location due to the limited availability of new product and high real estate costs in these locations. Tenants in these geographic areas are typically users of smaller facilities, but often are looking to expand operations and cannot find larger size buildings in these markets. We are also targeting larger users in the Inland Empire, east of Los Angeles, that are looking to relocate to lower their operating costs.</w:t>
      </w:r>
    </w:p>
    <w:p>
      <w:pPr>
        <w:spacing w:after="0" w:line="2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continue to closely monitor new construction, specifically speculative construction in comparison to pre-lease and build to suit. The commercial/industrial real estate sales market is highly competitive, with competition throughout California. The principal factors of competition in this industry are price, availability of labor, proximity to the port complexes of Los Angeles and Long Beach and customer base. A potential disadvantage to our development strategy is our distance from the ports of Los Angeles and Long Beach in comparison to the warehouses and distribution centers located in the West Inland Empire.</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of these counties in the search for large, entitled parcels, often increasing transportation costs and lead times for companies reliant on port access. As development in the Inland Empire continues to move east and farther away from the ports, we believe that our strategic location—with direct access to major transportation corridors and proximity to the ports—positions us as a competitive alternative for logistics, warehousing, and distribution operations.</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Inland Empire industrial market continues to witness elevated demand in the fourth quarter of 2024, with leasing activity surpassing 10 million square feet for the third quarter in a row. However, vacancy rates climbed to 6.8%, a 170-basis point increase year-over-year. Average asking rents declined for the sixth consecutive quarter, dropping by $0.07 per square foot (5.6%) quarter-over-quarter and $0.33 per square foot (22%) from one year ago to $1.15 per square foot. The San Fernando Valley and Ventura County industrial markets continue to see somewhat tight conditions. Some vacancy was returned to the market, and the overall vacancy rate in the San Fernando Valley increased by 60 basis points to 2.5% and remained unchanged at 2.2% in Ventura county, while net absorption was negative in the Valley and positive in Ventura County. Average asking rent declined in the Valley, dropping by $0.20 to $1.54 triple-net lease, or NNN, and by $0.09 in Ventura to $1.13 NNN.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Vacancy Rates</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Average Asking Rent</w:t>
            </w:r>
          </w:p>
        </w:tc>
        <w:tc>
          <w:tcPr>
            <w:tcW w:w="1420" w:type="dxa"/>
            <w:vAlign w:val="bottom"/>
            <w:tcBorders>
              <w:bottom w:val="single" w:sz="8" w:color="auto"/>
            </w:tcBorders>
          </w:tcPr>
          <w:p>
            <w:pPr>
              <w:spacing w:after="0"/>
              <w:rPr>
                <w:sz w:val="19"/>
                <w:szCs w:val="19"/>
                <w:color w:val="auto"/>
              </w:rPr>
            </w:pPr>
          </w:p>
        </w:tc>
      </w:tr>
      <w:tr>
        <w:trPr>
          <w:trHeight w:val="160"/>
        </w:trPr>
        <w:tc>
          <w:tcPr>
            <w:tcW w:w="2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tcPr>
          <w:p>
            <w:pPr>
              <w:ind w:left="16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420" w:type="dxa"/>
            <w:vAlign w:val="bottom"/>
          </w:tcPr>
          <w:p>
            <w:pPr>
              <w:spacing w:after="0"/>
              <w:rPr>
                <w:sz w:val="13"/>
                <w:szCs w:val="13"/>
                <w:color w:val="auto"/>
              </w:rPr>
            </w:pPr>
          </w:p>
        </w:tc>
      </w:tr>
      <w:tr>
        <w:trPr>
          <w:trHeight w:val="232"/>
        </w:trPr>
        <w:tc>
          <w:tcPr>
            <w:tcW w:w="23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2024</w:t>
            </w:r>
          </w:p>
        </w:tc>
        <w:tc>
          <w:tcPr>
            <w:tcW w:w="16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December 31, 2023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2024</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32"/>
        </w:trPr>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Inland Empire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1.61</w:t>
            </w:r>
          </w:p>
        </w:tc>
      </w:tr>
      <w:tr>
        <w:trPr>
          <w:trHeight w:val="168"/>
        </w:trPr>
        <w:tc>
          <w:tcPr>
            <w:tcW w:w="2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San Fernando Valley and</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Ventura County</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0.7%</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1.42</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i w:val="1"/>
          <w:iCs w:val="1"/>
          <w:color w:val="auto"/>
        </w:rPr>
        <w:t>Source data from Colliers International Group</w:t>
      </w:r>
    </w:p>
    <w:p>
      <w:pPr>
        <w:spacing w:after="0" w:line="9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7"/>
          <w:szCs w:val="17"/>
          <w:color w:val="auto"/>
        </w:rPr>
        <w:t>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17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7"/>
          <w:szCs w:val="17"/>
          <w:color w:val="auto"/>
        </w:rPr>
        <w:t>Given California’s regulators recent efforts at the local and state levels to tighten restrictions on industrial zoning and specific industrial uses, we anticipate further legislative activity in this area. The Company’s existing and planned development are designed to align with current regulatory requirements, while incorporating flexibility where possible to adapt to future policy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changes. Through our Company advocacy strategies, Tejon Ranch will engage to influence policy discussions to support our industrial development goals.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6EBF"/>
        </w:rPr>
        <w:t>Real Estate - Resort/Residential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resort/residential segment activities include land entitlement, land planning and pre-construction engineering, and land stewardship and conservation activities.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three major resort/residential communities within this segment:</w:t>
      </w:r>
    </w:p>
    <w:p>
      <w:pPr>
        <w:spacing w:after="0" w:line="149"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Mountain Village at Tejon Ranch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Centennial at Tejon Ranch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Grapevine at Tejon Ranch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Grapevine North</w:t>
      </w:r>
    </w:p>
    <w:p>
      <w:pPr>
        <w:spacing w:after="0" w:line="16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entitlement process precedes the regulatory approvals necessary for land development and routinely takes several years to complete. Litigation by environmental and other special interest groups has been a primary cause of delays and increased costs for our real estate development projects as well as other projects in California. For discussion on legal matters pertaining to our developments, see Note 13 (Commitments and Contingencies) of the Notes to Consolidated Financial Statements.</w:t>
      </w:r>
    </w:p>
    <w:p>
      <w:pPr>
        <w:spacing w:after="0" w:line="12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As we embark on our mixed-use master planned communities, we expect that full build out may take 25 years or longer from the start of construction. The entitlement process for development of property in California is inherently complex, lengthy (often spanning multiple years) and costly, requiring approvals at federal, state, and county levels. We are unable to determine anticipated completion dates for our real estate development projects with certainty because the time for completion is heavily dependent on the regulatory approvals necessary for land development.</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Beyond regulatory factors, we remain highly aware of both micro- and macroeconomic conditions that have a significant influence on the real estate sector. As a developer, one would be at an economic disadvantage to bring product to market with no willing or able buyers. This ebb and flow of the economy also plays into the timing of our completion date. Additionally, costs fluctuate over the life of these projects due to labor, raw material expenses, and shifting economic conditions. Inflation further compounds the uncertainty, as both cost estimates and completion dates remain subject to ongoing economic and regulatory dynamics. We have obtained entitlements on MV and prevailed in litigation in 2012, and Grapevine was reapproved unanimously by the Kern County Board of Supervisors in 2019 and prevailed in litigation in 2021.</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974725</wp:posOffset>
            </wp:positionH>
            <wp:positionV relativeFrom="page">
              <wp:posOffset>654050</wp:posOffset>
            </wp:positionV>
            <wp:extent cx="5599430" cy="7244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599430" cy="724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77470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color w:val="auto"/>
        </w:rPr>
        <w:t>Mountain Village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118110</wp:posOffset>
            </wp:positionV>
            <wp:extent cx="4502785" cy="3880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2785" cy="388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MV is planned to be an exclusive, low-density, resort-based community that will provide its owners and guests with a wide variety of recreational opportunities, lodging and spa facilities, putting greens, a range of housing options, and other exclusive services and amenities that are designed to distinguish MV as the resort community of choice for the Southern California market. MV encompasses 26,417 acres, including 5,082 acres for a mixed-use master planned community to include housing, lodging, retail, and commercial components. MV is entitled for 3,450 homes, 160,000 square feet of commercial development, 750 hotel keys, and 21,335 acres of open space. The first final map for the project consisting of 401 residential lots and parcels for hospitality, amenities, and public uses was approved by Kern County in December 2021.</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commercial component of the project is the 160,000 square foot commercial center that we call Farm Village (shown above). Farm Village will serve as the commercial center and community gathering place for MV residents and visitors, as well as the gateway to MV. Farm Village will include fresh culinary offerings, artisan markets, boutique lodging, and an array of trails, gardens, and agriculture that will be intertwined to create the most unique, relaxing and edutaining experience, while fulfilling the needs of residents and visitors of MV. In 2018, we obtained commercial site plan approval from Kern County for the first phase of the Farm Village consisting of 53,180 square feet.</w:t>
      </w:r>
    </w:p>
    <w:p>
      <w:pPr>
        <w:spacing w:after="0" w:line="123"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Timing of MV development in the coming years will be dependent on the strength of both the economy and the residential real estate market. We are currently exploring capital financing opportunities for the development of MV. Such financing opportunities could come from a variety of sources, such as joint ventures with financial partners, debt financing,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39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Centennial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118110</wp:posOffset>
            </wp:positionV>
            <wp:extent cx="5599430" cy="3733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99430" cy="373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Centennial development is a mixed-use master planned community development encompassing 12,323 acres of our land within Los Angeles County. Centennial is entitled for 19,333 housing units, including nearly 3,500 affordable units, and 10.1 million square feet of commercial development. Centennial will incorporate business districts, schools, retail and entertainment centers, medical facilities and other commercial offices and light industrial businesses that, when complete, will create a substantial number of jobs. The project is being developed by Centennial Founders, LLC, a consolidated joint venture in which we have a 93.65% ownership interest as of December 31, 2024. Centennial is envisioned to be an ecologically friendly community that will achieve a job-housing balance.</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Briefing at the Court of Appeal is complete and the Court of Appeal has calendared an April 4, 2025 hearing date for this matter. During the appeals process the Superior Court’s order of the rescission of project approvals has been placed on hold. See Note 13 (Commitments and Contingencies) of the Notes to Consolidated Financial Statements for further discussion.</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009"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Grapevine at Tejon 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118110</wp:posOffset>
            </wp:positionV>
            <wp:extent cx="5599430" cy="3143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99430"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mixed-use development will include housing, retail, commercial, and industrial components. See Note 13 (Commitments and Contingencies) of the Notes to Consolidated Financial Statement for further discussion.</w:t>
      </w:r>
    </w:p>
    <w:p>
      <w:pPr>
        <w:spacing w:after="0" w:line="12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greatest competition for the Centennial and Grapevine communities will come from developments in the Santa Clarita Valley, Lancaster, Palmdale, and Bakersfield. The developments in these areas will be providing similar housing products as our developments. The principal factors of competition in this industry are product segmentation, pricing of product, amenities offered, and location. We will attempt to differentiate our developments through our unique setting, land planning and different product offerings. MV will compete generally for discretionary dollars that consumers will allocate to recreational and residential homes.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09"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The following is a summary of the Company's residential real estate developments as of December 31, 2024:</w:t>
      </w:r>
    </w:p>
    <w:p>
      <w:pPr>
        <w:spacing w:after="0" w:line="278" w:lineRule="exact"/>
        <w:rPr>
          <w:sz w:val="20"/>
          <w:szCs w:val="20"/>
          <w:color w:val="auto"/>
        </w:rPr>
      </w:pPr>
    </w:p>
    <w:tbl>
      <w:tblPr>
        <w:tblLayout w:type="fixed"/>
        <w:tblInd w:w="110" w:type="dxa"/>
        <w:tblCellMar>
          <w:top w:w="0" w:type="dxa"/>
          <w:left w:w="0" w:type="dxa"/>
          <w:bottom w:w="0" w:type="dxa"/>
          <w:right w:w="0" w:type="dxa"/>
        </w:tblCellMar>
      </w:tblPr>
      <w:tr>
        <w:trPr>
          <w:trHeight w:val="225"/>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Community:</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Mountain Village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Centennial</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Grapevine</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Resort</w:t>
            </w:r>
          </w:p>
        </w:tc>
      </w:tr>
      <w:tr>
        <w:trPr>
          <w:trHeight w:val="216"/>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Los Angeles County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Kern County</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Residential</w:t>
            </w:r>
          </w:p>
        </w:tc>
      </w:tr>
      <w:tr>
        <w:trPr>
          <w:trHeight w:val="230"/>
        </w:trPr>
        <w:tc>
          <w:tcPr>
            <w:tcW w:w="3700" w:type="dxa"/>
            <w:vAlign w:val="bottom"/>
            <w:tcBorders>
              <w:left w:val="single" w:sz="8" w:color="auto"/>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17"/>
                <w:szCs w:val="17"/>
                <w:b w:val="1"/>
                <w:bCs w:val="1"/>
                <w:color w:val="auto"/>
                <w:w w:val="98"/>
              </w:rPr>
              <w:t>Project Status</w:t>
            </w:r>
            <w:r>
              <w:rPr>
                <w:rFonts w:ascii="Times New Roman" w:cs="Times New Roman" w:eastAsia="Times New Roman" w:hAnsi="Times New Roman"/>
                <w:sz w:val="22"/>
                <w:szCs w:val="22"/>
                <w:b w:val="1"/>
                <w:bCs w:val="1"/>
                <w:color w:val="auto"/>
                <w:w w:val="98"/>
                <w:vertAlign w:val="superscript"/>
              </w:rPr>
              <w:t>1</w:t>
            </w:r>
            <w:r>
              <w:rPr>
                <w:rFonts w:ascii="Times New Roman" w:cs="Times New Roman" w:eastAsia="Times New Roman" w:hAnsi="Times New Roman"/>
                <w:sz w:val="17"/>
                <w:szCs w:val="17"/>
                <w:b w:val="1"/>
                <w:bCs w:val="1"/>
                <w:color w:val="auto"/>
                <w:w w:val="98"/>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Entitled</w:t>
            </w:r>
          </w:p>
        </w:tc>
        <w:tc>
          <w:tcPr>
            <w:tcW w:w="18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17"/>
                <w:szCs w:val="17"/>
                <w:b w:val="1"/>
                <w:bCs w:val="1"/>
                <w:color w:val="auto"/>
                <w:w w:val="99"/>
              </w:rPr>
              <w:t xml:space="preserve">Entitled </w:t>
            </w:r>
            <w:r>
              <w:rPr>
                <w:rFonts w:ascii="Times New Roman" w:cs="Times New Roman" w:eastAsia="Times New Roman" w:hAnsi="Times New Roman"/>
                <w:sz w:val="22"/>
                <w:szCs w:val="22"/>
                <w:b w:val="1"/>
                <w:bCs w:val="1"/>
                <w:color w:val="auto"/>
                <w:w w:val="99"/>
                <w:vertAlign w:val="superscript"/>
              </w:rPr>
              <w:t>4</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12"/>
        </w:trPr>
        <w:tc>
          <w:tcPr>
            <w:tcW w:w="37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Entitlement Area (acres):</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26,417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12,323</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8,010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46,750</w:t>
            </w:r>
          </w:p>
        </w:tc>
      </w:tr>
      <w:tr>
        <w:trPr>
          <w:trHeight w:val="219"/>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Housing Units: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3,450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19,333</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12,000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34,783</w:t>
            </w:r>
          </w:p>
        </w:tc>
      </w:tr>
      <w:tr>
        <w:trPr>
          <w:trHeight w:val="219"/>
        </w:trPr>
        <w:tc>
          <w:tcPr>
            <w:tcW w:w="3700" w:type="dxa"/>
            <w:vAlign w:val="bottom"/>
            <w:tcBorders>
              <w:left w:val="single" w:sz="8" w:color="auto"/>
              <w:right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rPr>
              <w:t>Commercial Development (sqft)</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10,100,000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15,360,000</w:t>
            </w:r>
          </w:p>
        </w:tc>
      </w:tr>
      <w:tr>
        <w:trPr>
          <w:trHeight w:val="219"/>
        </w:trPr>
        <w:tc>
          <w:tcPr>
            <w:tcW w:w="3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Open Areas (acres):</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21,335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5,624</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3,367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30,326</w:t>
            </w:r>
          </w:p>
        </w:tc>
      </w:tr>
      <w:tr>
        <w:trPr>
          <w:trHeight w:val="219"/>
        </w:trPr>
        <w:tc>
          <w:tcPr>
            <w:tcW w:w="3700" w:type="dxa"/>
            <w:vAlign w:val="bottom"/>
            <w:tcBorders>
              <w:left w:val="single" w:sz="8" w:color="auto"/>
              <w:bottom w:val="single" w:sz="8" w:color="auto"/>
              <w:right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rPr>
              <w:t>Costs to Date</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$158,348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$124,136</w:t>
            </w: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$42,456</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$324,940</w:t>
            </w:r>
          </w:p>
        </w:tc>
      </w:tr>
    </w:tbl>
    <w:p>
      <w:pPr>
        <w:spacing w:after="0" w:line="57" w:lineRule="exact"/>
        <w:rPr>
          <w:sz w:val="20"/>
          <w:szCs w:val="20"/>
          <w:color w:val="auto"/>
        </w:rPr>
      </w:pPr>
    </w:p>
    <w:p>
      <w:pPr>
        <w:ind w:left="80" w:hanging="77"/>
        <w:spacing w:after="0"/>
        <w:tabs>
          <w:tab w:leader="none" w:pos="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Estimated completion anticipated to be 25 years, or longer, from commencement of construction. To-date construction has not begun.</w:t>
      </w:r>
    </w:p>
    <w:p>
      <w:pPr>
        <w:spacing w:after="0" w:line="53" w:lineRule="exact"/>
        <w:rPr>
          <w:rFonts w:ascii="Times New Roman" w:cs="Times New Roman" w:eastAsia="Times New Roman" w:hAnsi="Times New Roman"/>
          <w:sz w:val="9"/>
          <w:szCs w:val="9"/>
          <w:color w:val="auto"/>
        </w:rPr>
      </w:pPr>
    </w:p>
    <w:p>
      <w:pPr>
        <w:ind w:right="4280"/>
        <w:spacing w:after="0" w:line="278" w:lineRule="auto"/>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MV also has approval for up to 750 lodging units and 350,000 square feet of amenity facilities and two 18-hole golf courses. </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4"/>
          <w:szCs w:val="14"/>
          <w:color w:val="auto"/>
        </w:rPr>
        <w:t xml:space="preserve"> Dollars presented in thousands.</w:t>
      </w:r>
    </w:p>
    <w:p>
      <w:pPr>
        <w:spacing w:after="0" w:line="1"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vertAlign w:val="superscript"/>
        </w:rPr>
        <w:t>4</w:t>
      </w:r>
      <w:r>
        <w:rPr>
          <w:rFonts w:ascii="Times New Roman" w:cs="Times New Roman" w:eastAsia="Times New Roman" w:hAnsi="Times New Roman"/>
          <w:sz w:val="14"/>
          <w:szCs w:val="14"/>
          <w:color w:val="auto"/>
        </w:rPr>
        <w:t xml:space="preserve"> In the process of litigation, following LA County's approval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6EBF"/>
        </w:rPr>
        <w:t>Mineral Resources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mineral resources segment consists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The management of our water assets consists of the evaluation of near-term highest and best uses, which can include the sale of water on a temporary basis, the use of water for internal purposes, and the storage of water for future use in our development projects. At the same time, we are also evaluating opportunities as they arise for the purchase of additional water assets as we have done in the past.</w:t>
      </w:r>
    </w:p>
    <w:p>
      <w:pPr>
        <w:spacing w:after="0" w:line="1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Royalty rates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11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Estimates of oil and gas reserves on our properties are unknown to us. We do not make such estimates, and our lessees do not make information concerning reserves available to us.</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lease certain portions of our land to oil companies for the exploration and production of oil and gas. We do not engage in any oil exploration or extraction activities. As of December 31, 2024, 12,015 acres were committed to producing oil and gas leases from which the operators produced and sold approximately 83,411 barrels of oil and 20,480 MCF (each MCF being 1,000 cubic feet) of dry gas during 2024. Our share of production, based upon average royalty rates during the last three years, has been 31, 34, and 36 barrels of oil per day for 2024, 2023, and 2022, respectively. There are 302 active oil wells located on the leased land as of December 31, 2024. Royalty rates on our leases averaged approximately 13% of oil production in 2024. New exploration and expansion of oil production within California is discouraged by state permitting rules and regulatory actions.</w:t>
      </w:r>
    </w:p>
    <w:p>
      <w:pPr>
        <w:spacing w:after="0" w:line="12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price per barrel of oil decreased in the first quarter of 2024 and peaked for the year during the second quarter of 2024. Oil and natural gas prices are highly sensitive to fluctuations driven by relatively minor shifts in supply and demand, market uncertainty and various external factors beyond our control. These include changes in domestic and global supply and demand dynamics, domestic and global inventory levels, and political and economic conditions. Additionally, geopolitical tensions, including ongoing conflicts in the Middle East and Eastern Europe, further contribute to price volatility.</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We have approximately 2,000 acres under lease to National for the purpose of manufacturing Portland cement from limestone deposits found on the leased acreage. National owns and operates a cement manufacturing plant on our property with a production capacity in excess of 1,000,000 tons of cement per year. The amount of payment that we receive under the lease is based upon shipments from the cement plant. The term of this lease expires in 2026, however National has options to extend the lease until 2095.</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23" w:name="page24"/>
    <w:bookmarkEnd w:id="23"/>
    <w:p>
      <w:pPr>
        <w:ind w:right="80"/>
        <w:spacing w:after="0" w:line="276" w:lineRule="auto"/>
        <w:rPr>
          <w:sz w:val="20"/>
          <w:szCs w:val="20"/>
          <w:color w:val="auto"/>
        </w:rPr>
      </w:pPr>
      <w:r>
        <w:rPr>
          <w:rFonts w:ascii="Times New Roman" w:cs="Times New Roman" w:eastAsia="Times New Roman" w:hAnsi="Times New Roman"/>
          <w:sz w:val="17"/>
          <w:szCs w:val="17"/>
          <w:color w:val="auto"/>
        </w:rPr>
        <w:t>We also lease 277 acres to Granite Construction and 244 acres to Griffith Construction for the mining of rock and aggregate product that is used in construction of roads and bridges. The royalty revenues we receive under this arrangement are based upon the amount of product produced at these sites. The Granite site reached</w:t>
      </w:r>
    </w:p>
    <w:p>
      <w:pPr>
        <w:spacing w:after="0" w:line="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end of its economic life and began restoration activities during 2023. We also have a royalty arrangement with Granite Construction tied to 703 acres of land previously owned by the Company that began operations in 2021 and is now paying royalty payments, which will more than offset the payments received from the old Granite site.</w:t>
      </w:r>
    </w:p>
    <w:p>
      <w:pPr>
        <w:spacing w:after="0" w:line="11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Water sales opportunities each year are impacted by rain and snowfall volume along with California State Water Project, or SWP, allocations. The current SWP allocation is at 35% of contract amounts with an expectation that the allocation may increase.</w:t>
      </w:r>
    </w:p>
    <w:p>
      <w:pPr>
        <w:spacing w:after="0" w:line="1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In 2015, we entered into a water sale agreement with PEF, our current lessee under a power plant lease. PEF may purchase from us up to 3,500-acre feet of water per year through July 2030, with an option to extend the term. PEF is under no obligation to purchase water from us in any given year but is required to pay us an annual option payment equal to 30% of the maximum annual payment. The price of the water under the agreement is subject to 3% annual increases for the duration of the lease agreement. The Company's commitments to sell this water can be met through current water sources.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6EBF"/>
        </w:rPr>
        <w:t>Farming Operations</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the San Joaquin Valley, we farm permanent crops including the following acreage: wine grapes— 1,036 (all in production); almonds—2,116 (1,357 in production and 759 under development); and pistachios—935 (all in production). We periodically lease 530 acres of land that is used for the growing of vegetables which can also be used for the development of permanent crops, such as almonds. As part of our efforts to diversify our permanent crop portfolio, we are planting 160 acres of olives in 2025, with an additional 160 acres planned for 2026.</w:t>
      </w:r>
    </w:p>
    <w:p>
      <w:pPr>
        <w:spacing w:after="0" w:line="68"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Pricing for nut and grape crops is particularly sensitive to the size of each year’s world crop, prior year inventory carry forward, and demand for those crops. The almond industry projected 2024 yields to be about 2.6 billion pounds, down from the previous report of over 3.0 billion pounds. This estimate along with a lower inventory carry forward has helped to improve pricing.</w:t>
      </w:r>
    </w:p>
    <w:p>
      <w:pPr>
        <w:spacing w:after="0" w:line="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Weather conditions can also impact the number of tree and vine dormant hours, which are integral to tree and vine growth. In addition, late spring rains negatively impacted 2024 grape production as the rains occurred during the grape bloom. The timing of the rains also increased cultural costs within grapes to fight higher levels of mildew in the vineyards. We will not know the impact of current weather conditions on 2025 production until summer of 2025.</w:t>
      </w:r>
    </w:p>
    <w:p>
      <w:pPr>
        <w:spacing w:after="0" w:line="11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Labor costs, both internal and through labor contractors, continue to increase and the Company expects this trend to continue over the foreseeable future. The Company utilizes external labor contractors, as necessary, for large projects, such as pruning and harvesting, as a way to manage our labor needs. From a broader inflationary standpoint, the Company is seeing and expects to continue to see an increase in production costs, most notably chemicals such as herbicides and pesticides, and fuel costs.</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Sales of our grape crop typically occur in the third and fourth quarters of the calendar year. Sales of our pistachio and almond crops also typically occur in the third and fourth quarters of the calendar year but can occur up to a year or more after each crop is harvested. In 2024, we sold 44% of our grape crop to one winery, 33% to a second winery and the remainder to two other customers. These sales are under contracts ranging from one to eight years. In 2024, our almonds were sold to various commercial buyers, with the largest buyer accounting for 29% of our crop. We believe that we would not be adversely affected by the loss of any or all of these buyers, because of the markets for these commodities, the large number of buyers that would be available to us, and the fact that the prices for these commodities do not vary based on the identity of the buyer or the size of the contract.</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At this time, the State Department of Water Resources has announced that the estimated water supply for 2025 will be at 35% of full entitlement. This allocation may change based upon precipitation and snowpack runoff in Northern California from additional potential winter storms. The current 35% allocation of SWP water is enough for us to farm our crops when combined with our other water sources. We have additional water resources, such as groundwater and surface sources, and those of the water districts we are in that allow us to have sufficient water for our farming needs. It is too early in the year to determine the impact of 2025 water supplies on 2025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6EBF"/>
        </w:rPr>
        <w:t>Ranch Operations</w:t>
      </w:r>
    </w:p>
    <w:p>
      <w:pPr>
        <w:spacing w:after="0" w:line="16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Our ranch operations segment consists of grazing lease revenues, game management revenues, land maintenance activities, and ancillary land uses, such as filming.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Approximately 256,000 acres are used for two grazing leases, which account for 45% of total revenues from ranch operations at December 31, 2024.</w:t>
      </w:r>
    </w:p>
    <w:p>
      <w:pPr>
        <w:spacing w:after="0" w:line="16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Game management offers a wide variety of guided big game hunts, including trophy Rocky Mountain elk, deer, turkey and wild pig. We offer guided hunts and memberships for both the Spring and Fall hunting seasons. At December 31, 2024, game management accounted for 38% of the total revenue from ranch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Ranch Operations segment manages, and includes the expenses for the upkeep, maintenance, and security, of all 270,000 acres of 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General Environmental Regulation</w:t>
      </w:r>
    </w:p>
    <w:p>
      <w:pPr>
        <w:spacing w:after="0" w:line="16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Our operations are subject to federal, state, and local environmental laws and regulations, including laws relating to water, air, solid waste, and hazardous substances.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GHG.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Environmental Sustainability</w:t>
      </w:r>
    </w:p>
    <w:p>
      <w:pPr>
        <w:spacing w:after="0" w:line="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Environmental stewardship and sustainability are core values at Tejon Ranch Co., along with quality, visionary innovation and development. This commitment to sustainability manifests itself in many ways throughout the Company and its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Climate 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policies intended to both reduce its carbon footprint and proactively sequester, or capture and store carbon.</w:t>
      </w:r>
    </w:p>
    <w:p>
      <w:pPr>
        <w:spacing w:after="0" w:line="153" w:lineRule="exact"/>
        <w:rPr>
          <w:sz w:val="20"/>
          <w:szCs w:val="20"/>
          <w:color w:val="auto"/>
        </w:rPr>
      </w:pPr>
    </w:p>
    <w:p>
      <w:pPr>
        <w:ind w:left="620" w:right="6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2008, the Company has voluntarily conserved 240,000 acres of its land covered by trees and other vegetation. An analysis conducted in 2020 for the Company by Dudek Environmental Service's determined that this acreage effectively sequesters 3.3 million tons of carbon. That equals the volume of carbon produced in a single year by 2.5 million passenger vehicles, approximately 5% of California’s 2022 passenger vehicle fleet.</w:t>
      </w:r>
    </w:p>
    <w:p>
      <w:pPr>
        <w:spacing w:after="0" w:line="62" w:lineRule="exact"/>
        <w:rPr>
          <w:rFonts w:ascii="Times New Roman" w:cs="Times New Roman" w:eastAsia="Times New Roman" w:hAnsi="Times New Roman"/>
          <w:sz w:val="17"/>
          <w:szCs w:val="17"/>
          <w:color w:val="auto"/>
        </w:rPr>
      </w:pPr>
    </w:p>
    <w:p>
      <w:pPr>
        <w:ind w:left="620" w:right="140" w:hanging="307"/>
        <w:spacing w:after="0" w:line="26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Solar power is used significantly within TRCC. For example, the Company installed a solar-covered parking structure at the Outlets at Tejon. The structure covers 1.85 acres and is projected to reduce by approximately 83% the center’s electricity consumption needs for shared spaces and produce approximately 1,076,000-kilowatt hour, or kWh, of clean energy every year. In addition, the IKEA distribution center at TRCC features a 1.8 MW photovoltaic solar array covering 370,000 square feet of the warehouse’s rooftop. The system handles the power needs of IKEA’s distribution center and provides power to the electrical grid as well. Caterpillar’s distribution center in TRCC utilizes a ground-based solar array to reduce its energy usage.</w:t>
      </w:r>
    </w:p>
    <w:p>
      <w:pPr>
        <w:spacing w:after="0" w:line="71" w:lineRule="exact"/>
        <w:rPr>
          <w:rFonts w:ascii="Times New Roman" w:cs="Times New Roman" w:eastAsia="Times New Roman" w:hAnsi="Times New Roman"/>
          <w:sz w:val="17"/>
          <w:szCs w:val="17"/>
          <w:color w:val="auto"/>
        </w:rPr>
      </w:pPr>
    </w:p>
    <w:p>
      <w:pPr>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also working with Calpine Energy, a power generating company, to complete the development of a 600-acre industrial-sized solar field. Located immediately adjacent to Calpine’s Pastoria Energy Facility, a natural gas and steam powered generating plant in the San Joaquin Valley portion of Tejon Ranch, the solar array is expected to produce approximately 100 MW of power once fully operational.</w:t>
      </w:r>
    </w:p>
    <w:p>
      <w:pPr>
        <w:spacing w:after="0" w:line="62" w:lineRule="exact"/>
        <w:rPr>
          <w:rFonts w:ascii="Times New Roman" w:cs="Times New Roman" w:eastAsia="Times New Roman" w:hAnsi="Times New Roman"/>
          <w:sz w:val="17"/>
          <w:szCs w:val="17"/>
          <w:color w:val="auto"/>
        </w:rPr>
      </w:pPr>
    </w:p>
    <w:p>
      <w:pPr>
        <w:ind w:left="620" w:right="6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TRCC is important to the growth of electric vehicle usage, as it contains one of the largest Tesla Supercharger stations in the country. Combined, the west and east sides of TRCC contain nearly 100 superchargers.</w:t>
      </w:r>
    </w:p>
    <w:p>
      <w:pPr>
        <w:spacing w:after="0" w:line="35" w:lineRule="exact"/>
        <w:rPr>
          <w:rFonts w:ascii="Times New Roman" w:cs="Times New Roman" w:eastAsia="Times New Roman" w:hAnsi="Times New Roman"/>
          <w:sz w:val="17"/>
          <w:szCs w:val="17"/>
          <w:color w:val="auto"/>
        </w:rPr>
      </w:pPr>
    </w:p>
    <w:p>
      <w:pPr>
        <w:ind w:left="620" w:right="40" w:hanging="307"/>
        <w:spacing w:after="0" w:line="24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master planned mixed-use residential communities are designed with a jobs housing balance that will locate housing near employment centers, reducing commuting miles. Centennial is designed to include electric vehicles, through vehicle purchase incentives, and the installation of 30,000 EV chargers located within both residential and commercial sections of the community, at TRCC, and within qualifying communities in Southern California. At Centennial, at least 50% of the energy supply is intended to be produced by on-site renewable sources, and natural gas use in the community will be limited to essential commercial uses only.</w:t>
      </w:r>
    </w:p>
    <w:p>
      <w:pPr>
        <w:spacing w:after="0" w:line="214"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Grapevine, like Centennial, 50% or more of its energy supply is intended to be produced on site by renewable sources, and natural gas will not be installed in homes.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homes in MV will feature roof-top photovoltaic solar arrays and battery energy storage systems, where required by code.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color w:val="auto"/>
        </w:rPr>
        <w:t>Air Quality</w:t>
      </w:r>
    </w:p>
    <w:p>
      <w:pPr>
        <w:spacing w:after="0" w:line="157" w:lineRule="exact"/>
        <w:rPr>
          <w:sz w:val="20"/>
          <w:szCs w:val="20"/>
          <w:color w:val="auto"/>
        </w:rPr>
      </w:pPr>
    </w:p>
    <w:p>
      <w:pPr>
        <w:ind w:left="620" w:right="20" w:hanging="307"/>
        <w:spacing w:after="0" w:line="261"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contracted with the San Joaquin Valley Unified Air Pollution Control District, or SJVUAPCD, to pre-mitigate air emissions including GHG emissions related to the Company’s current development at TRCC-East and future development at MV and Grapevine. As part of this effort, in 2021, SJVUAPCD facilitated emissions reduction projects related to TRCC-East and identified measures to address projected future emissions for the full build-out of the project. Additionally, for the initial phase of development at Mountain Village, the Company has contributed funding to support the replacement of outdated agricultural engines, which is expected to reduce certain air emissions in the region.</w:t>
      </w:r>
    </w:p>
    <w:p>
      <w:pPr>
        <w:spacing w:after="0" w:line="110" w:lineRule="exact"/>
        <w:rPr>
          <w:rFonts w:ascii="Times New Roman" w:cs="Times New Roman" w:eastAsia="Times New Roman" w:hAnsi="Times New Roman"/>
          <w:sz w:val="17"/>
          <w:szCs w:val="17"/>
          <w:color w:val="auto"/>
        </w:rPr>
      </w:pPr>
    </w:p>
    <w:p>
      <w:pPr>
        <w:ind w:left="620" w:hanging="307"/>
        <w:spacing w:after="0" w:line="24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Two decades ago, the Company helped establish and has continued to support Valley Clean Air Now, or ValleyCAN, a non-profit, 501(c)(3) public charity that advances quantifiable and voluntary solutions addressing air pollution in California’s San Joaquin Valley, a region with some of the worst air quality and highest poverty levels in the United States. The Company continues to support ValleyCAN in its mission to improve public health and quality of life in disadvantaged communities located in the region.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Water Conservation</w:t>
      </w:r>
    </w:p>
    <w:p>
      <w:pPr>
        <w:spacing w:after="0" w:line="157" w:lineRule="exact"/>
        <w:rPr>
          <w:sz w:val="20"/>
          <w:szCs w:val="20"/>
          <w:color w:val="auto"/>
        </w:rPr>
      </w:pPr>
    </w:p>
    <w:p>
      <w:pPr>
        <w:ind w:left="620" w:right="48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TRCC-East, water used for irrigation purposes is reclaimed water from the water treatment plant. Landscaping at the Outlets at Tejon consists of drought-tolerant, native planting material.</w:t>
      </w:r>
    </w:p>
    <w:p>
      <w:pPr>
        <w:spacing w:after="0" w:line="48"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master planned, mixed-use residential communities will feature state-of-the-art water conservation measures, reclaimed water for irrigation, stormwater capture, and drought-tolerant landscaping.</w:t>
      </w:r>
    </w:p>
    <w:p>
      <w:pPr>
        <w:spacing w:after="0" w:line="48"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agricultural operations utilize highly efficient automated and drip irrigation systems to water its orchards and vineyards. This allows for increased control and flexibility in crop irrigation as well as real-time monitoring.</w:t>
      </w:r>
    </w:p>
    <w:p>
      <w:pPr>
        <w:spacing w:after="0" w:line="48"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water banks for water storage in the water basins in which we have operations which allows us to better manage our vital water resources more efficiently.</w:t>
      </w:r>
    </w:p>
    <w:p>
      <w:pPr>
        <w:spacing w:after="0" w:line="48" w:lineRule="exact"/>
        <w:rPr>
          <w:rFonts w:ascii="Times New Roman" w:cs="Times New Roman" w:eastAsia="Times New Roman" w:hAnsi="Times New Roman"/>
          <w:sz w:val="17"/>
          <w:szCs w:val="17"/>
          <w:color w:val="auto"/>
        </w:rPr>
      </w:pPr>
    </w:p>
    <w:p>
      <w:pPr>
        <w:ind w:left="620" w:right="460" w:hanging="307"/>
        <w:spacing w:after="0" w:line="27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of the Company’s developed land, including farming, lies within the White Wolf Groundwater Subbasin (basin ID 5-022.18), which is considered a non-critically overdrafted basin and has a Groundwater Sustainability Plan (GSP) approved by the California Department of Water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Customers</w:t>
      </w:r>
    </w:p>
    <w:p>
      <w:pPr>
        <w:spacing w:after="0" w:line="16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Our PEF power plant lease accounted for 11% of total revenues in 2024, 11% in 2023 and 6% in 2022. No other recurring customer represented 5% or more of our revenues in 2024, 2023 and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Organization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Tejon Ranch Co. is a Delaware corporation incorporated in 1987 to succeed the business operated as a California corporation since 1936.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Human Capital</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At December 31, 2024, we had 82 full-time employees and six part-time employees. We believe our employees are among our most important resources and are critical to our continued success. We focus significant attention on attracting and retaining talented and experienced individuals to manage and support our operations. To attract and retain top talent, we have designed our compensation and benefits programs to provide a balanced and effective reward structure. Our short and long-term incentive programs are aligned with key business objectives and are intended to motivate strong performance. Our employees are eligible for medical, dental and vision insurance, a 401(k) savings/retirement plan, employer-provided life and disability insurance and an array of voluntary benefits designed to meet individual needs. We have adopted a Compliance with State and Federal Statutes, Rules and Regulations Reporting Policy that applies to all of our employees. Its receipt and review by each employee are documented and verified quarterly. None of our employees are covered by a collective bargaining agreement.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6" w:name="page27"/>
    <w:bookmarkEnd w:id="26"/>
    <w:p>
      <w:pPr>
        <w:ind w:right="120"/>
        <w:spacing w:after="0" w:line="258" w:lineRule="auto"/>
        <w:rPr>
          <w:sz w:val="20"/>
          <w:szCs w:val="20"/>
          <w:color w:val="auto"/>
        </w:rPr>
      </w:pPr>
      <w:r>
        <w:rPr>
          <w:rFonts w:ascii="Times New Roman" w:cs="Times New Roman" w:eastAsia="Times New Roman" w:hAnsi="Times New Roman"/>
          <w:sz w:val="17"/>
          <w:szCs w:val="17"/>
          <w:color w:val="auto"/>
        </w:rPr>
        <w:t>Our policies are designed to promote fairness and equal opportunities within the Company. When attracting, developing and retaining talent, we seek individuals who hold varied experiences and viewpoints and embody our core values to create an inclusive culture and workplace that allows each employee to do their best work and drive our collective success. We believe that an experienced and varied workforce possesses a broader array of perspectives that businesses need to remain competitive in today’s economy. We maintain employment policies that comply with federal, state and local labor laws and promote a culture of fairness and respect. These policies set forth our goal to provide equal employment opportunity without discrimination or harassment on the basis of protected categories. All of our employees must adhere to a Code of Business Conduct and Ethics that sets standards for appropriate behavior, and all employees must also complete required internal training on respect in the workplace to further enhance our cultural behaviors.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Reports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website within four business days following the date of such amendment or waiver. Any document we file with the SEC may be inspected, without charge, at the SEC’s website: http://www.sec.gov.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Information about our Executive Officers</w:t>
      </w:r>
    </w:p>
    <w:p>
      <w:pPr>
        <w:spacing w:after="0" w:line="16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The following table shows each of our executive officers and the offices held as of March 6, 2025, the period the offices have been held, and the age of the executive officer.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Office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Held since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Age</w:t>
            </w:r>
          </w:p>
        </w:tc>
      </w:tr>
      <w:tr>
        <w:trPr>
          <w:trHeight w:val="212"/>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Gregory S. Bielli</w:t>
            </w:r>
          </w:p>
        </w:tc>
        <w:tc>
          <w:tcPr>
            <w:tcW w:w="10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 Director</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r>
      <w:tr>
        <w:trPr>
          <w:trHeight w:val="21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Matthew Walker</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Operating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Brett A. Brown</w:t>
            </w:r>
          </w:p>
        </w:tc>
        <w:tc>
          <w:tcPr>
            <w:tcW w:w="5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Executive Vice President &amp; Chief Financial Officer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1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Hugh McMahon</w:t>
            </w:r>
          </w:p>
        </w:tc>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Executive Vice President, Real Estate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1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Robert D. Velasquez</w:t>
            </w:r>
          </w:p>
        </w:tc>
        <w:tc>
          <w:tcPr>
            <w:tcW w:w="5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Senior Vice President, Chief Accounting Officer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2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Michael R.W. Houston</w:t>
            </w:r>
          </w:p>
        </w:tc>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Senior Vice President, General Counsel &amp; Secretary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present and prior positions with us, and business experience is given below.</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Mr. Bielli has been employed by the Company since September 2013 and, as previously disclosed, will retire on March 31, 2025. Mr. Bielli joined the Company as President and Chief Operating Officer and became President and Chief Executive Officer on December 17, 2013. Prior to joining the Company, Mr. Bielli was President of Newland Communities' Western Region, a diversified real estate company, and was responsible for overseeing management of all operational aspects of Newland's real estate projects in the region. Mr. Bielli worked with Newland Communities from 2006 through August 2013.</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Mr. Walker will join the Company on March 6, 2025 as Chief Operating Officer, as previously announced. He will succeed Gregory S. Bielli, becoming President and Chief Executive Officer as of April 1, 2025. Prior to joining the Company, Mr. Walker served as Executive Vice President at Lowe, a private real estate company, overseeing the firm’s hospitality and resort community platform from 2000 to 2025. Prior to joining Lowe, Mr. Walker held positions at several architectural firms. Mr. Walker earned a Bachelor of Architecture from Cornell University and a Master of Business Administration from the UCLA Anderson School of Management.</w:t>
      </w:r>
    </w:p>
    <w:p>
      <w:pPr>
        <w:spacing w:after="0" w:line="1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Mr. Brown has been employed by us since May 2023 as Executive Vice President and Chief Financial Officer. Prior to joining the Company, Mr. Brown served as Executive Vice President, Chief Financial Officer, and Treasurer at Alexander &amp; Baldwin, Inc., a commercial real estate company, from May 2019 to November 2022. From February 2018 to May 2019, Mr. Brown served as Chief Financial Officer at PREP Property Group, a commercial real estate company. Over the course of more than three decades, Mr. Brown has worked exclusively in the real estate industry, both with public and privately held companies, as well as Real Estate Investment Trusts. Mr. Brown earned a Bachelor of Science, Accountancy, from Northern Illinois University. He is a member of the National Association of Real Estate Investment Trusts, International Council of Shopping Centers, and the American Institute of Certified Public Accountants.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27" w:name="page28"/>
    <w:bookmarkEnd w:id="27"/>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in 2017 to Executive Vice President, Real Estate.</w:t>
      </w:r>
    </w:p>
    <w:p>
      <w:pPr>
        <w:spacing w:after="0" w:line="1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Mr. Velasquez joined the Company as Vice President of Finance in 2014. Mr. Velasquez's title was subsequently changed, in 2015, to Vice President of Finance and Chief Accounting Officer to more accurately describe the responsibilities of his office.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 and served in that role until March 2022. In 2022, he was given the title of Chief Accounting Officer.</w:t>
      </w:r>
    </w:p>
    <w:p>
      <w:pPr>
        <w:spacing w:after="0" w:line="1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Mr. Houston rejoined the Company in August 2023 as Senior Vice President, General Counsel &amp; Secretary. Mr. Houston joined the Company in May 2016 as the Senior Vice President, General Counsel. In January 2021, Mr. Houston left the Company and worked with the Southern California Association of Governments, a metropolitan planning organization, as their Chief Counsel and Director of Legal Services. He previously worked for the City of Anaheim, where he served as City Attorney from 2013 through 2016. His background involves extensive experience in corporate governance, municipal law, real estate, land use and environmental issues. Prior to working for the City of Anaheim, he served as a partner for a Newport Beach, CA-based law firm of Cummins &amp; White from 2011 to 2013, and prior to that, was a partner at Rutan &amp; Tucker, LLP, Costa Mesa, CA.</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006EBF"/>
        </w:rPr>
        <w:t>ITEM 1A.</w:t>
      </w:r>
      <w:r>
        <w:rPr>
          <w:sz w:val="20"/>
          <w:szCs w:val="20"/>
          <w:color w:val="auto"/>
        </w:rPr>
        <w:tab/>
      </w:r>
      <w:r>
        <w:rPr>
          <w:rFonts w:ascii="Times New Roman" w:cs="Times New Roman" w:eastAsia="Times New Roman" w:hAnsi="Times New Roman"/>
          <w:sz w:val="16"/>
          <w:szCs w:val="16"/>
          <w:b w:val="1"/>
          <w:bCs w:val="1"/>
          <w:color w:val="006EBF"/>
        </w:rPr>
        <w:t>RISK FACTORS</w:t>
      </w:r>
    </w:p>
    <w:p>
      <w:pPr>
        <w:spacing w:after="0" w:line="1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The material risks and uncertainties described below make investing in our securities risky.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may materially adversely affect our business, financial condition, and results of operations.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424242"/>
        </w:rPr>
        <w:t>STRATEGIC RISKS</w:t>
      </w:r>
    </w:p>
    <w:p>
      <w:pPr>
        <w:spacing w:after="0" w:line="240"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Strategic risk relates to the Company's future business plans and strategies, including the risks associated with the macro- and micro- environment in which we operate, the demand for our products and services, the success of investments in our real estate development, technology and public policy.</w:t>
      </w:r>
    </w:p>
    <w:p>
      <w:pPr>
        <w:spacing w:after="0" w:line="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Adverse changes in economic conditions in markets where we conduct our operations and where prospective purchasers of future homes and commercial products live could reduce the demand for our products and, as a result, could adversely affect our business, results of operations, and financial condition. </w:t>
      </w:r>
      <w:r>
        <w:rPr>
          <w:rFonts w:ascii="Times New Roman" w:cs="Times New Roman" w:eastAsia="Times New Roman" w:hAnsi="Times New Roman"/>
          <w:sz w:val="17"/>
          <w:szCs w:val="17"/>
          <w:color w:val="auto"/>
        </w:rPr>
        <w:t>Adverse changes in economic conditions in markets where we conduct our operations and where prospective purchasers of our real estate products live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had and may in the future have a negative impact on our business. Adverse changes in employment levels, job growth, consumer confidence, interest rates, and population growth, or an oversupply of product for sale or lease may reduce demand, depress prices, and cause buyers to cancel their purchase agreements. This, in turn, could adversely affect our results of operations and financial condition. Additionally, increasing insurance costs, particularly in wildfire-prone areas such as California, may make homeownership and commercial property leasing less affordable for prospective buyers and tenants. Rising premiums or limited availability of fire insurance could further suppress demand and negatively impact property values, which, in turn, could adversely affect our results of operations and financial condition.</w:t>
      </w:r>
    </w:p>
    <w:p>
      <w:pPr>
        <w:spacing w:after="0" w:line="12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Higher interest rates and lack of available financing can have significant impacts on the real estate industry. </w:t>
      </w:r>
      <w:r>
        <w:rPr>
          <w:rFonts w:ascii="Times New Roman" w:cs="Times New Roman" w:eastAsia="Times New Roman" w:hAnsi="Times New Roman"/>
          <w:sz w:val="17"/>
          <w:szCs w:val="17"/>
          <w:color w:val="auto"/>
        </w:rPr>
        <w:t>Higher interest rates generally impact the real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estate industry by making it harder for buyers to qualify for financing, which can lead to a decrease in the demand for residential, commercial or industrial sites. Higher interest rates can also lead to tighter construction lending markets impacting the development of industrial buildings within our projects. Any decrease in demand 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8" w:name="page29"/>
    <w:bookmarkEnd w:id="28"/>
    <w:p>
      <w:pPr>
        <w:spacing w:after="0" w:line="260" w:lineRule="auto"/>
        <w:rPr>
          <w:sz w:val="20"/>
          <w:szCs w:val="20"/>
          <w:color w:val="auto"/>
        </w:rPr>
      </w:pPr>
      <w:r>
        <w:rPr>
          <w:rFonts w:ascii="Times New Roman" w:cs="Times New Roman" w:eastAsia="Times New Roman" w:hAnsi="Times New Roman"/>
          <w:sz w:val="17"/>
          <w:szCs w:val="17"/>
          <w:b w:val="1"/>
          <w:bCs w:val="1"/>
          <w:color w:val="auto"/>
        </w:rPr>
        <w:t>We are subject to various land use regulations and require governmental approvals and permits for our developments that could be denied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planning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11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b w:val="1"/>
          <w:bCs w:val="1"/>
          <w:color w:val="auto"/>
        </w:rPr>
        <w:t>Third-party litigation increases the time and cost of our development efforts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land use approval processes we must follow to ultimately develop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projects have become increasingly complex. Moreover, the statutes, regulations and ordinances governing the approval processes provide third parties the opportunity to challenge the proposed plans and approvals, and we have repeatedly experienced such legal challenges related to our real estate development projects. As a result, the prospect and realization of third-party challenges to planned real estate developments provides additional uncertainties in real estate development planning and entitlements. Third-party challenges in the form of litigation have resulted in denial of the right to develop, and, by their nature, adversely affect the length of time and the cost required to obtain the necessary approvals, and may do so again in the future. In addition, adverse decisions arising from any litigation have increased and may again increase the costs and length of time to obtain ultimate approval of a project and could adversely affect the design, scope, plans and profitability of a project.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b w:val="1"/>
          <w:bCs w:val="1"/>
          <w:color w:val="auto"/>
        </w:rPr>
        <w:t>We are subject to environmental regulations and opposition from environmental groups that cause delays and increase the costs of our development efforts or preclude such development entirely</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Environmental laws that apply to a given site can vary greatly according to the site’s location and condition,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 and former uses of the site, and the presence or absence of sensitive 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GHG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and has, in the past, occurred. Currently, the Centennial entitlement approval has been opposed through litigation against the Company and Los Angeles County.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GHG emissions, water availability and criticism of proposed development in rural areas as being “sprawl.” In addition, California has a specific statutory and regulatory scheme intended to reduce GHG emissions in the state and any efforts to enact federal legislation to address climate change concerns could require further reductions in our projects’ carbon footprint in the future.</w:t>
      </w:r>
    </w:p>
    <w:p>
      <w:pPr>
        <w:spacing w:after="0" w:line="12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b w:val="1"/>
          <w:bCs w:val="1"/>
          <w:color w:val="auto"/>
        </w:rPr>
        <w:t>Until final permits are received, litigation is complete, and final maps are received, we will have a limited inventory of real estate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of our four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planned real estate projects, TRCC, Centennial, MV, and Grapevine involve obtaining various governmental agency permits, local government permits, such as building permits, overcoming litigation, and receiving final maps from local jurisdictions. A delay in achieving these items could lead to additional costs related to these developments and potentially lost opportunities for the sale of lots to developers and land users.</w:t>
      </w:r>
    </w:p>
    <w:p>
      <w:pPr>
        <w:spacing w:after="0" w:line="1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b w:val="1"/>
          <w:bCs w:val="1"/>
          <w:color w:val="auto"/>
        </w:rPr>
        <w:t>We are in competition with several other developments for customers and residents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our real estate activities, we are in direct competition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customers with other industrial sites in 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 so its competition will include a greater area and range of projects. Intense competition may decrease our sales and harm our results of operations.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Increases in taxes or government fees could increase our cost, and adverse changes in tax laws could reduce demand for homes in our future residential communities. </w:t>
      </w:r>
      <w:r>
        <w:rPr>
          <w:rFonts w:ascii="Times New Roman" w:cs="Times New Roman" w:eastAsia="Times New Roman" w:hAnsi="Times New Roman"/>
          <w:sz w:val="17"/>
          <w:szCs w:val="17"/>
          <w:color w:val="auto"/>
        </w:rPr>
        <w:t>Increases in real estate taxes and other local government fees, such as fees imposed on developers to fund schools, open space, and road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improvements, could increase our costs and have an adverse effect on our operations. In addition, any changes to federal or state income tax laws that would reduce or eliminate tax</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29" w:name="page30"/>
    <w:bookmarkEnd w:id="29"/>
    <w:p>
      <w:pPr>
        <w:ind w:right="260"/>
        <w:spacing w:after="0" w:line="287" w:lineRule="auto"/>
        <w:rPr>
          <w:sz w:val="20"/>
          <w:szCs w:val="20"/>
          <w:color w:val="auto"/>
        </w:rPr>
      </w:pPr>
      <w:r>
        <w:rPr>
          <w:rFonts w:ascii="Times New Roman" w:cs="Times New Roman" w:eastAsia="Times New Roman" w:hAnsi="Times New Roman"/>
          <w:sz w:val="17"/>
          <w:szCs w:val="17"/>
          <w:color w:val="auto"/>
        </w:rPr>
        <w:t>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9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Our developable land is concentrated entirely in California</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of our developable land is in California and our business is especially sensitive to the economic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within California. Any 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lots may decline as a result of weak economic conditions or restrictive regulations.</w:t>
      </w:r>
    </w:p>
    <w:p>
      <w:pPr>
        <w:spacing w:after="0" w:line="112"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b w:val="1"/>
          <w:bCs w:val="1"/>
          <w:color w:val="auto"/>
        </w:rPr>
        <w:t>Risks and challenges we have faced and may continue to face in land development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have in the past and may in the future encounter other difficulties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developing our land, including:</w:t>
      </w:r>
    </w:p>
    <w:p>
      <w:pPr>
        <w:spacing w:after="0" w:line="31"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securing adequate water resources for future developments;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risks, such as geological and soil problems, earthquakes, fire, heavy rains and flooding, and heavy winds;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trades people;</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local contractors, who may be inadequately capitalized or have limited availability;</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materials; and</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of materials, including as a result of tariffs or a trade war.</w:t>
      </w:r>
    </w:p>
    <w:p>
      <w:pPr>
        <w:spacing w:after="0" w:line="16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 prolonged downturn in the real estate market or instability in the mortgage and commercial real estate financing industry could have an adverse effect on our real estate business. </w:t>
      </w:r>
      <w:r>
        <w:rPr>
          <w:rFonts w:ascii="Times New Roman" w:cs="Times New Roman" w:eastAsia="Times New Roman" w:hAnsi="Times New Roman"/>
          <w:sz w:val="17"/>
          <w:szCs w:val="17"/>
          <w:color w:val="auto"/>
        </w:rPr>
        <w:t>Our residential housing projects, Centennial, MV, and Grapevine, are currently in the litigation phase, permitting phase, or are fully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and waiting for development to 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424242"/>
        </w:rPr>
        <w:t>OPERATIONAL RISKS</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10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color w:val="auto"/>
        </w:rPr>
        <w:t>We are involved in a cyclical industry and are affected by changes in general and local economic conditions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real estate development industry is cyclical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is significantly affected by changes in general and local economic conditions, including:</w:t>
      </w:r>
    </w:p>
    <w:p>
      <w:pPr>
        <w:spacing w:after="0" w:line="94"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levels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and insurance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confidence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the developed product, whether residential or commercial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of similar product, whether residential or commercial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and weather conditions</w:t>
      </w:r>
    </w:p>
    <w:p>
      <w:pPr>
        <w:spacing w:after="0" w:line="16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 Farming and mineral resources are also subject to business cycles and/or seasonality that could have a material impact to the business.</w:t>
      </w:r>
    </w:p>
    <w:p>
      <w:pPr>
        <w:spacing w:after="0" w:line="110" w:lineRule="exact"/>
        <w:rPr>
          <w:sz w:val="20"/>
          <w:szCs w:val="20"/>
          <w:color w:val="auto"/>
        </w:rPr>
      </w:pPr>
    </w:p>
    <w:p>
      <w:pPr>
        <w:ind w:right="10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The inability of a tenant to pay us rent adversely affects our business. </w:t>
      </w:r>
      <w:r>
        <w:rPr>
          <w:rFonts w:ascii="Times New Roman" w:cs="Times New Roman" w:eastAsia="Times New Roman" w:hAnsi="Times New Roman"/>
          <w:sz w:val="17"/>
          <w:szCs w:val="17"/>
          <w:color w:val="auto"/>
        </w:rPr>
        <w:t>Our commercial revenues are derived primarily from rental payments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reimbursement of operating expenses under our leases. If our tenants fail to make rental payments under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their leases, or negotiate lower rates or extended payment terms, our financial condition and cash flows have been and could again be adversely affected.</w:t>
      </w:r>
    </w:p>
    <w:p>
      <w:pPr>
        <w:spacing w:after="0" w:line="16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Our inability to renew leases or re-lease space on favorable terms as leases expire may significantly affect our business. </w:t>
      </w:r>
      <w:r>
        <w:rPr>
          <w:rFonts w:ascii="Times New Roman" w:cs="Times New Roman" w:eastAsia="Times New Roman" w:hAnsi="Times New Roman"/>
          <w:sz w:val="17"/>
          <w:szCs w:val="17"/>
          <w:color w:val="auto"/>
        </w:rPr>
        <w:t>Some of our revenues are derived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rental payments and reimbursement of operating expenses under our leases. If a tenant experiences a downturn in its business or other types of financial distress, it may be unable to make timely payments under its lease. Also, if our tenants terminate early or decide not to renew their leases, we may not be able to re-lease the space. Even if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We may experience increased operating costs, which may reduce profitability to the extent that we are unable to pass those costs on to tenants.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properties are subject to increases in operating expenses, including insurance, property taxes, utilities, administrative costs, and other costs associated with security, landscaping, and repairs and maintenance of our properties. We cannot be certain that our tenants will be able to bear the full burden of costs, such as real estate taxes, insurance, utilities, common area and other expenses that we pass along through our leases, or that such increased costs will not lead them, or other prospective tenants, to seek space elsewhere. If operating expenses increase, the availability of other comparable space in the markets in which we operate may hinder or limit our ability to increase our rents. If operating expenses increase without a corresponding increase in revenues, our profitability would diminish.</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From time to time, we experience shortages or increased costs of labor and supplies or other circumstances beyond our control that cause delays or increased costs within our commercial development, which can adversely affect our operating results. </w:t>
      </w:r>
      <w:r>
        <w:rPr>
          <w:rFonts w:ascii="Times New Roman" w:cs="Times New Roman" w:eastAsia="Times New Roman" w:hAnsi="Times New Roman"/>
          <w:sz w:val="17"/>
          <w:szCs w:val="17"/>
          <w:color w:val="auto"/>
        </w:rPr>
        <w:t>Our ability to develop our current industrial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has in the past and may in the future be adversely affected by circumstances beyond our control, including: work stoppages, labor disputes and shortages of qualified trades people; changes in laws relating to union organizing activity; and shortages, delays in availability, or fluctuations in prices of building materials (including as a result of inflation or tariffs).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11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b w:val="1"/>
          <w:bCs w:val="1"/>
          <w:color w:val="auto"/>
        </w:rPr>
        <w:t>We are dependent on key personnel and the loss of one or more of those key personnel may materially and adversely affect our prospects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 depends, to a significant degree, 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1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Volatile oil and natural gas prices could adversely affect our cash flows and results of operations. </w:t>
      </w:r>
      <w:r>
        <w:rPr>
          <w:rFonts w:ascii="Times New Roman" w:cs="Times New Roman" w:eastAsia="Times New Roman" w:hAnsi="Times New Roman"/>
          <w:sz w:val="17"/>
          <w:szCs w:val="17"/>
          <w:color w:val="auto"/>
        </w:rPr>
        <w:t>Our cash flows and results of operations are dependent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 on oil and natural gas prices, 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and related policies;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future natural gas, or crude oil price could have a negative impact on our business, liquidity, financial condition and results of operations.</w:t>
      </w:r>
    </w:p>
    <w:p>
      <w:pPr>
        <w:spacing w:after="0" w:line="12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Our reserves and production will decline from their current levels. </w:t>
      </w:r>
      <w:r>
        <w:rPr>
          <w:rFonts w:ascii="Times New Roman" w:cs="Times New Roman" w:eastAsia="Times New Roman" w:hAnsi="Times New Roman"/>
          <w:sz w:val="17"/>
          <w:szCs w:val="17"/>
          <w:color w:val="auto"/>
        </w:rPr>
        <w:t>The rate of production from oil, natural gas, and mining properties generally decline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reserves are produced. Any decline in production or reserves could materially and adversely affect our future cash flow, liquidity and results of operations.</w:t>
      </w:r>
    </w:p>
    <w:p>
      <w:pPr>
        <w:spacing w:after="0" w:line="92"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Water delivery and water availability continues to be a long-term concern within California. </w:t>
      </w:r>
      <w:r>
        <w:rPr>
          <w:rFonts w:ascii="Times New Roman" w:cs="Times New Roman" w:eastAsia="Times New Roman" w:hAnsi="Times New Roman"/>
          <w:sz w:val="17"/>
          <w:szCs w:val="17"/>
          <w:color w:val="auto"/>
        </w:rPr>
        <w:t>Any limitation of delivery of SWP water, limitations on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ability to move our water resources, and the absence of available, reliable alternatives during drought periods could potentially cause permanent damage to orchards and vineyards and possibly impact future development opportunities.</w:t>
      </w:r>
    </w:p>
    <w:p>
      <w:pPr>
        <w:spacing w:after="0" w:line="113"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 approvals and permits associated with such acquisitions, transportation arrangements, and changing technology. We may also encounter unforeseen technical or other difficulties, which could result in cost increases with respect to our water resources.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1" w:name="page32"/>
    <w:bookmarkEnd w:id="31"/>
    <w:p>
      <w:pPr>
        <w:ind w:right="100"/>
        <w:spacing w:after="0" w:line="270" w:lineRule="auto"/>
        <w:rPr>
          <w:sz w:val="20"/>
          <w:szCs w:val="20"/>
          <w:color w:val="auto"/>
        </w:rPr>
      </w:pPr>
      <w:r>
        <w:rPr>
          <w:rFonts w:ascii="Times New Roman" w:cs="Times New Roman" w:eastAsia="Times New Roman" w:hAnsi="Times New Roman"/>
          <w:sz w:val="17"/>
          <w:szCs w:val="17"/>
          <w:color w:val="auto"/>
        </w:rPr>
        <w:t>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Natural and man-made disasters, public health crises, political instability, global conflicts, including trade wars, and other potentially catastrophic events may have an adverse impact on our business and operating results and could decrease the value of our assets. </w:t>
      </w:r>
      <w:r>
        <w:rPr>
          <w:rFonts w:ascii="Times New Roman" w:cs="Times New Roman" w:eastAsia="Times New Roman" w:hAnsi="Times New Roman"/>
          <w:sz w:val="17"/>
          <w:szCs w:val="17"/>
          <w:color w:val="auto"/>
        </w:rPr>
        <w:t>Natural and man-made disasters, public health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crises, political instability, and other potentially catastrophic events, including terrorist attacks, particularly those that may cause a decline in global economic activity, could have a material adverse impact on our business, our operating results, and the market price of our common stock. Catastrophic events occurring in California, the United States, or globally may result in declining economic activity, which could reduce the demand for, and the value of, our properties. To the extent that catastrophic events impact our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1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Information technology failures and data security breaches could harm our business. </w:t>
      </w:r>
      <w:r>
        <w:rPr>
          <w:rFonts w:ascii="Times New Roman" w:cs="Times New Roman" w:eastAsia="Times New Roman" w:hAnsi="Times New Roman"/>
          <w:sz w:val="17"/>
          <w:szCs w:val="17"/>
          <w:color w:val="auto"/>
        </w:rPr>
        <w:t>We use information technology and other computer resources to carry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 important operational and 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Times New Roman" w:cs="Times New Roman" w:eastAsia="Times New Roman" w:hAnsi="Times New Roman"/>
          <w:sz w:val="17"/>
          <w:szCs w:val="17"/>
          <w:color w:val="auto"/>
        </w:rPr>
        <w:t>Increased global cybersecurity vulnerabilities, threats and more sophisticated and targeted cyber-related attacks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pose a risk to our security and our customers', partners', suppliers' 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12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Inflation can have a significant adverse effect on our operations. </w:t>
      </w:r>
      <w:r>
        <w:rPr>
          <w:rFonts w:ascii="Times New Roman" w:cs="Times New Roman" w:eastAsia="Times New Roman" w:hAnsi="Times New Roman"/>
          <w:sz w:val="17"/>
          <w:szCs w:val="17"/>
          <w:color w:val="auto"/>
        </w:rPr>
        <w:t>Inflation can have a major impact on our farming operations. The farming operations are most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affected by escalating costs, unpredictable revenues and very high irrigation water costs. High fixed water costs related to our farmlands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23"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11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Government policies and regulations, particularly those affecting the agricultural sector and related industries, could adversely affect our operations and profitability. </w:t>
      </w:r>
      <w:r>
        <w:rPr>
          <w:rFonts w:ascii="Times New Roman" w:cs="Times New Roman" w:eastAsia="Times New Roman" w:hAnsi="Times New Roman"/>
          <w:sz w:val="17"/>
          <w:szCs w:val="17"/>
          <w:color w:val="auto"/>
        </w:rPr>
        <w:t>Agricultural commodity production and trade flows are significantly affected by government policies and regulations. Governmental policies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affecting the agricultural industry, such as taxes, trade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2" w:name="page33"/>
    <w:bookmarkEnd w:id="32"/>
    <w:p>
      <w:pPr>
        <w:ind w:right="60"/>
        <w:spacing w:after="0" w:line="261" w:lineRule="auto"/>
        <w:rPr>
          <w:sz w:val="20"/>
          <w:szCs w:val="20"/>
          <w:color w:val="auto"/>
        </w:rPr>
      </w:pPr>
      <w:r>
        <w:rPr>
          <w:rFonts w:ascii="Times New Roman" w:cs="Times New Roman" w:eastAsia="Times New Roman" w:hAnsi="Times New Roman"/>
          <w:sz w:val="17"/>
          <w:szCs w:val="17"/>
          <w:color w:val="auto"/>
        </w:rPr>
        <w:t>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Our efforts, goals and disclosures related to environmental stewardship and sustainability matters expose us to risks that can adversely affect our reputation and performance. </w:t>
      </w:r>
      <w:r>
        <w:rPr>
          <w:rFonts w:ascii="Times New Roman" w:cs="Times New Roman" w:eastAsia="Times New Roman" w:hAnsi="Times New Roman"/>
          <w:sz w:val="17"/>
          <w:szCs w:val="17"/>
          <w:color w:val="auto"/>
        </w:rPr>
        <w:t>Our commitment to sustainability with respect to climate change, air quality, and water conservation reflect our current plans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aspirations and are not guarantees that we will be able to achieve our goals. Such plans and aspirations may also fail to satisfy all of our stakeholders, as they reflect a variety of views that may support or disagree with these initiatives. Our pursuit of, or our failure or perceived failure to achieve, these goals and objectives on a timely basis, or at all, could adversely affect our reputation, stock price, operations, financial performance and growth, and expose us to increased scrutiny from the investment community, as well as enforcement authorities.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424242"/>
        </w:rPr>
        <w:t>FINANCIAL RISKS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commercial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Constriction of the credit markets or other adverse changes in capital market conditions could limit our ability to access capital and increase our cost of capital. </w:t>
      </w:r>
      <w:r>
        <w:rPr>
          <w:rFonts w:ascii="Times New Roman" w:cs="Times New Roman" w:eastAsia="Times New Roman" w:hAnsi="Times New Roman"/>
          <w:sz w:val="17"/>
          <w:szCs w:val="17"/>
          <w:color w:val="auto"/>
        </w:rPr>
        <w:t>During past economic downturns, we relied principally on positive operating cash flow, cash and investments, our revolving credit facility and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offerings to meet current working capital needs, entitlement investment, and investment within our developments. Any slowdown in the local, national, or global economy could negatively impact our access to credit markets and may limit our sources of liquidity in the future and potentially increase our costs of capital.</w:t>
      </w:r>
    </w:p>
    <w:p>
      <w:pPr>
        <w:spacing w:after="0" w:line="11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 is very dependent on transactions with strategic partners. We may not be able to successfully (1) attract desirable strategic partners;</w:t>
      </w:r>
    </w:p>
    <w:p>
      <w:pPr>
        <w:spacing w:after="0" w:line="32" w:lineRule="exact"/>
        <w:rPr>
          <w:sz w:val="20"/>
          <w:szCs w:val="20"/>
          <w:color w:val="auto"/>
        </w:rPr>
      </w:pPr>
    </w:p>
    <w:p>
      <w:pPr>
        <w:ind w:right="40" w:firstLine="3"/>
        <w:spacing w:after="0" w:line="259" w:lineRule="auto"/>
        <w:tabs>
          <w:tab w:leader="none" w:pos="243"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complete agreements with strategic partners; and/or (3) manage relationships with strategic partners going forward, any of which could adversely affect our business. </w:t>
      </w:r>
      <w:r>
        <w:rPr>
          <w:rFonts w:ascii="Times New Roman" w:cs="Times New Roman" w:eastAsia="Times New Roman" w:hAnsi="Times New Roman"/>
          <w:sz w:val="17"/>
          <w:szCs w:val="17"/>
          <w:color w:val="auto"/>
        </w:rPr>
        <w:t>A key to our development and value creation strategies has been the use of joint ventures and strategic relationships. These joint venture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 bring development experience, industry expertise, financial resources, financing capabilities, brand recognition and credibility or other competitive assets.</w:t>
      </w:r>
    </w:p>
    <w:p>
      <w:pPr>
        <w:spacing w:after="0" w:line="12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A complicating factor in any joint venture is that strategic partners may have economic or business interests or goals that are inconsistent with ours or that are influenced by factors related to our business.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Inability to comply with credit facility covenants, restrictions or limitations could adversely affect our financial condition. </w:t>
      </w:r>
      <w:r>
        <w:rPr>
          <w:rFonts w:ascii="Times New Roman" w:cs="Times New Roman" w:eastAsia="Times New Roman" w:hAnsi="Times New Roman"/>
          <w:sz w:val="17"/>
          <w:szCs w:val="17"/>
          <w:color w:val="auto"/>
        </w:rPr>
        <w:t>Our ability to meet our debt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and other obligations and the 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Our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 A failure to comply with these requirements could allow the lending bank to terminate the availability of funds under our revolving credit facility and/or cause any outstanding borrowings to become due and payable prior to maturity.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424242"/>
        </w:rPr>
        <w:t>MARKET RISKS</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Market risk relates to the functioning of the New York Stock Exchange. Many factors affect market function: investor anticipation, shocks in other markets, and anything that limits the efficient functioning of the marketplace. Market risks can affect the price of our Common Stock.</w:t>
      </w:r>
    </w:p>
    <w:p>
      <w:pPr>
        <w:spacing w:after="0" w:line="9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color w:val="auto"/>
        </w:rPr>
        <w:t>Only a limited market exists for our Common Stock, which could lead to price volatility</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limited trading market for our Common Stock may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fluctuations in the market value of our Common Stock to be exaggerated, leading to price volatility in excess of that which would occur in a more active trading market of our Common Stock.</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b w:val="1"/>
          <w:bCs w:val="1"/>
          <w:color w:val="auto"/>
        </w:rPr>
        <w:t>Concentrated ownership of our Common Stock creates a risk of sudden change in our share price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of March 6, 2025, directors and members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management team beneficially owned or controlled approximately 21.6% of our 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20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006EBF"/>
        </w:rPr>
        <w:t>ITEM 1B.</w:t>
      </w:r>
      <w:r>
        <w:rPr>
          <w:sz w:val="20"/>
          <w:szCs w:val="20"/>
          <w:color w:val="auto"/>
        </w:rPr>
        <w:tab/>
      </w:r>
      <w:r>
        <w:rPr>
          <w:rFonts w:ascii="Times New Roman" w:cs="Times New Roman" w:eastAsia="Times New Roman" w:hAnsi="Times New Roman"/>
          <w:sz w:val="16"/>
          <w:szCs w:val="16"/>
          <w:b w:val="1"/>
          <w:bCs w:val="1"/>
          <w:color w:val="006EBF"/>
        </w:rPr>
        <w:t>UNRESOLVED STAFF COMMENTS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006EBF"/>
        </w:rPr>
        <w:t>ITEM 1C.</w:t>
        <w:tab/>
        <w:t>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identification and assessment of cybersecurity risk are integrated into our overall risk management systems and processes, which are managed by senior management and overseen by the Board of Directors. Cybersecurity risks related to our business, privacy and compliance issues are identified and addressed through a multi-faceted approach that includes third party assessments, internal information technology (IT) audit, IT security, governance, risk and compliance reviews. In connection with the aforementioned approaches, and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spacing w:after="0" w:line="128"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We have implemented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leaders from our IT and accounting teams.</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Cybersecurity incident events are evaluated, ranked by severity and prioritized for response and remediation. Incidents are evaluated to determine materiality, as well as operational and business impact, and reviewed for privacy impact.</w:t>
      </w:r>
    </w:p>
    <w:p>
      <w:pPr>
        <w:spacing w:after="0" w:line="1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also conduct tabletop exercises that simulate responses to cybersecurity incidents. Our team of cybersecurity professionals then collaborate with technical and business stakeholders across our business units to further analyze the risk to the Company, and form detection, mitigation and remediation strategies.</w:t>
      </w:r>
    </w:p>
    <w:p>
      <w:pPr>
        <w:spacing w:after="0" w:line="1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As part of the above processes, we regularly engage external auditors and consultants with expertise in cybersecurity to assess our internal cybersecurity programs and compliance with applicable practices and standards.</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risk management program also assesses third party risks, and we perform third-party risk management to identify and mitigate risks from third parties, such as vendors, suppliers, and other business partners associated with our use of third-party</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13" w:right="379" w:bottom="1440" w:gutter="0" w:footer="0" w:header="0"/>
        </w:sectPr>
      </w:pPr>
    </w:p>
    <w:bookmarkStart w:id="34" w:name="page35"/>
    <w:bookmarkEnd w:id="34"/>
    <w:p>
      <w:pPr>
        <w:ind w:right="420"/>
        <w:spacing w:after="0" w:line="287" w:lineRule="auto"/>
        <w:rPr>
          <w:sz w:val="20"/>
          <w:szCs w:val="20"/>
          <w:color w:val="auto"/>
        </w:rPr>
      </w:pPr>
      <w:r>
        <w:rPr>
          <w:rFonts w:ascii="Times New Roman" w:cs="Times New Roman" w:eastAsia="Times New Roman" w:hAnsi="Times New Roman"/>
          <w:sz w:val="17"/>
          <w:szCs w:val="17"/>
          <w:color w:val="auto"/>
        </w:rPr>
        <w:t>service providers. In addition to new vendor onboarding, we perform risk management during third-party cybersecurity compromise incidents to identify and mitigate risks to us from third-party incidents.</w:t>
      </w:r>
    </w:p>
    <w:p>
      <w:pPr>
        <w:spacing w:after="0" w:line="1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“Information technology failures and data security breaches could harm our business,” which discussion is included as part of our risk factor disclosures at Item 1A of this Annual Report on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Party Risk Management</w:t>
      </w:r>
    </w:p>
    <w:p>
      <w:pPr>
        <w:spacing w:after="0" w:line="24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Company uses third-party service providers to assist us from time to time to identify, assess, and manage material risks from cybersecurity threats, including, for example, a managed service security provider that monitors certain of the Company’s computer networks and third-party hosted services.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6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Cybersecurity is an important part of our risk management processes and an area of focus for our Board of Directors and management. The Board of Directors’ Audit Committee is responsible for the oversight of risks from cybersecurity threats. Members of the Audit Committee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management, represented by our Director of IT, Marcus O. Pegues, and our Senior Vice President of Finance and Chief Accounting Officer, Robert D. Velasquez, leads our cybersecurity risk assessment and management processes and oversees their implementation and maintenance.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1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Marcus O. Pegues has served as Director of IT since 2021. He works with the Company’s internal information technology department and external partners to monitor and improve our cybersecurity capabilities. Mr. Pegues has guided, in coordination with other management staff, strategic technology, risk mitigation, process improvement initiatives, and digital initiatives. His experience in technology and cybersecurity, spans a career of more than 15 years. He earned his Master of Science in Information Technology with Specialization in Project Management from Colorado Technical University and his Bachelor of Science in Business Management with Specialization in Information Technology from Colorado Technical University.</w:t>
      </w:r>
    </w:p>
    <w:p>
      <w:pPr>
        <w:spacing w:after="0" w:line="1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Robert D. Velasquez, CPA, is an experienced risk management professional in our finance and risk management function and has served as Senior Vice President, Finance and Chief Accounting Officer since March 2022. Mr. Velasquez currently oversees key functions for the Company’s accounting, finance, and treasury strategies, including risk management. In addition, Mr. Velasquez leads the Company’s cybersecurity risk oversight and the development and enhancement of internal controls designed to prevent, detect, address, and mitigate the risk of cyber incidents.</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2.</w:t>
        <w:tab/>
        <w:t>PROPERTIES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Land</w:t>
      </w:r>
    </w:p>
    <w:p>
      <w:pPr>
        <w:spacing w:after="0" w:line="16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Our approximately 270,000 acres include portions of the San Joaquin Valley, portions of the Tehachapi Mountains and portions of the western end of the Antelope Valley. Each of our five reporting segments uses various portions of this land, as indicated in Item 1.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Approximately 247,000 acres of our land are located in Kern County, California. The Kern County government's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to third party entities like the Company, it is subject to amendment to accommodate changing circumstances and needs. We have three major master planned real estate projects in Kern County: MV, TRCC and Grapevine.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5" w:name="page36"/>
    <w:bookmarkEnd w:id="35"/>
    <w:p>
      <w:pPr>
        <w:ind w:right="100"/>
        <w:spacing w:after="0" w:line="270" w:lineRule="auto"/>
        <w:rPr>
          <w:sz w:val="20"/>
          <w:szCs w:val="20"/>
          <w:color w:val="auto"/>
        </w:rPr>
      </w:pPr>
      <w:r>
        <w:rPr>
          <w:rFonts w:ascii="Times New Roman" w:cs="Times New Roman" w:eastAsia="Times New Roman" w:hAnsi="Times New Roman"/>
          <w:sz w:val="17"/>
          <w:szCs w:val="17"/>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The Centennial master planned project is on our lands in Los Angeles County.</w:t>
      </w:r>
    </w:p>
    <w:p>
      <w:pPr>
        <w:spacing w:after="0" w:line="11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Portions of our land consist of mountainous terrain, much of which is not presently served by paved roads or by utility or water lines. Much of this property is included within the RWA we entered into with five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12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GHG emissions. Accommodating these environmental concerns, could possibly limit development of portions of the land or result in substantial delays or certain changes to the scope of development in order to obtain governmental approval.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Water Operations</w:t>
      </w:r>
    </w:p>
    <w:p>
      <w:pPr>
        <w:spacing w:after="0" w:line="16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Our existing long-term water contracts with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In addition to the WRMWSD contract water entitlements, we have access to an additional water entitlement from the SWP sufficient to service a substantial amount of future residential and/or commercial development in Kern County. TCWD, a local water district whose service area includes land we own and land we have sold in TRCC, has 5,749 acre-feet of SWP entitlement (also called Table A amount), subject to SWP allocations. In addition, TCWD has 60,936 acre-feet of Company water stored in Kern County water banks for future uses. Both the SWP entitlement and the banked water are the subject of a long-term water supply contract extending to 2035 between TCWD and the Company. TCWD through its contract with the Company supplies water to TRCC, and will be the principal water supplier for any significant mixed-use development in MV. TCWD will also be the water district that provides services to the Grapevine and Centennial projects.</w:t>
      </w:r>
    </w:p>
    <w:p>
      <w:pPr>
        <w:spacing w:after="0" w:line="1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a 150-acre water bank consisting of nine ponds on our land in southern Kern County. Water is pumped into these ponds and then percolates into underground aquifers. Since 2006, we have banked 54,728 acre-feet of water from the Antelope Valley-East Kern Water Agency, or AVEK, which has been diverted from the California Aqueduct and is currently retained in this water bank. We anticipate adding additional water to the water bank in the future, as water is available.</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Over time, we have also purchased water for our future use or sale. We have secured SWP entitlement under long-term SWP water contracts with the Tulare Lake Basin Water Storage District and the Dudley-Ridge Water District, totaling 3,444 acre-feet of SWP entitlement annually, subject to SWP allocations. Since 2012, these contracts have been held by AVEK for our use and extend through 2035. The Company also has a water purchase agreement that requires the Company to purchase 6,693 acre-feet of water each year from the Nickel Family, LLC, or Nickel, through the Kern County Water Agency.</w:t>
      </w:r>
    </w:p>
    <w:p>
      <w:pPr>
        <w:spacing w:after="0" w:line="12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initial term of the water purchase agreement with Nickel runs through 2044 and includes a Company option to extend the contract for an additional 35 years. This contract allows us to purchase water each year. The purchase cost of water in 2024 was $957 per acre-foot. Purchase costs are subject to annual cost increases based on the greater of the consumer price index or 3%, resulting in a 2025 purchase cost of $986 per acre-foot.</w:t>
      </w:r>
    </w:p>
    <w:p>
      <w:pPr>
        <w:spacing w:after="0" w:line="11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needed to satisfy the Company’s water demands.</w:t>
      </w:r>
    </w:p>
    <w:p>
      <w:pPr>
        <w:spacing w:after="0" w:line="11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During 2024, SWP allocations were 40%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supplement our other water supplies. In years where the supply of water is sufficient, both WRMWSD and TCWD are able to bank (percolate into underground aquifers) excess supplies for future use. Water banked by TCWD is at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7"/>
          <w:szCs w:val="17"/>
          <w:color w:val="auto"/>
        </w:rPr>
        <w:t>request of the Company as a part of the water contract with TCWD. At this time, Wheeler Ridge expects to be able to deliver our entire contract water entitlement in any year that the SWP allocations exceed 30% by drawing on its supplemental water purchases from other water districts, ground water wells and water banking assets. Based on historical records of water availability, we believe we have no material problems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The DWR has announced a 35% preliminary SWP water allocation for 2025. The current 35% allocation of SWP water will allow us to have sufficient water for our farming needs for the next year.</w:t>
      </w:r>
    </w:p>
    <w:p>
      <w:pPr>
        <w:spacing w:after="0" w:line="124"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7"/>
          <w:szCs w:val="17"/>
          <w:color w:val="auto"/>
        </w:rPr>
        <w:t>All SWP water contracts require annual payments related to the fixed and variable costs of the SWP and each water district, whether or not water is used or available. WRMWSD and TCWD contracts also establish a lien on benefited land.</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Portions of our property also have available groundwater, which we believe would be sufficient to supply commercial development in the Interstate 5 corridor and support current agricultural operations. Groundwater rights in the Antelope Valley Basin have been adjudicated, which limits the availability of groundwater in that basin. In December of 2015, the judgement for the adjudication was finalized. Tejon Ranch was granted an annual groundwater production right of 1,634 acre-feet.</w:t>
      </w:r>
    </w:p>
    <w:p>
      <w:pPr>
        <w:spacing w:after="0" w:line="21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The Sustainable Groundwater Management Act, or SGMA, is a sustainable groundwater framework applicable to the water districts in which the Company participates in the San Joaquin Valley, where Groundwater Sustainability Plans, or GSPs, have been developed and submitted to the DWR for review. Through these plans, it will have to be demonstrated to the satisfaction of the DWR that the groundwater within the basins is sustainably managed by 2040 or 2042. To achieve sustainability, the GSPs could impose limitations on the use of groundwater. The Company's Kern County lands are located in the Kern Subbasin, the White Wolf Subbasin and the Castac Lake Basin. Approximately 9% of the Company's Kern County land is within the Kern Subbasin, 21% within the White Wolf Subbasin, and 1% within the Castac Lake Basin. The land within Kern Subbasin remains undeveloped and is primarily used for cattle grazing. Water use in this area is minimal, sustainably managed, and limited to domestic purposes for livestock troughs, with a primary reliance on surface water to support responsible land stewardship. Currently, only one well exists in this area of our land within the Kern Subbasin and it is operated by a third-party for limited agricultural use.</w:t>
      </w:r>
    </w:p>
    <w:p>
      <w:pPr>
        <w:spacing w:after="0" w:line="18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The Kern Subbasin is designated by DWR as a high priority, critically overdrafted basin. GSPs submitted to DWR by the Groundwater Sustainability Agencies in the Kern Subbasin were determined to be inadequate, and DWR has initiated consultation with the State Water Resources Control Board (SWRCB) for possible State intervention. The DWR has been actively consulting with the SWRCB regarding potential state intervention under the SGMA. This process began in March 2023 when DWR deemed the GSPs for six basins inadequate, prompting possible intervention by the SWRCB. These basins include the Chowchilla, Delta-Mendota, Kaweah, Tulare Lake, Tule, and Kern County subbasins.</w:t>
      </w:r>
    </w:p>
    <w:p>
      <w:pPr>
        <w:spacing w:after="0" w:line="20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7"/>
          <w:szCs w:val="17"/>
          <w:color w:val="auto"/>
        </w:rPr>
        <w:t>On February 20, 2025, the SWRCB held a public hearing to consider a probationary designation for the Kern County Subbasin under SGMA. At the hearing, the Board members heard presentations from groundwater sustainability agencies (GSAs), Board staff, and other interested parties, and received public comments, before deciding to continue the hearing to September 17, 2025. By continuing the hearing, the Board is providing more time for the SWRCB staff to continue working with the Kern County Subbasin GSAs and finish resolving identified deficiencies in their GSPs.</w:t>
      </w:r>
    </w:p>
    <w:p>
      <w:pPr>
        <w:spacing w:after="0" w:line="21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7"/>
          <w:szCs w:val="17"/>
          <w:color w:val="auto"/>
        </w:rPr>
        <w:t>The White Wolf Subbasin is designated by DWR as a medium priority, non-critically overdrafted basin. In October 2023, DWR announced the approval of the GSP with only four minor correction items to be corrected in the five-year plan update due by 2027. Groundwater resources in the White Wolf Subbasin are currently being managed to sustainability.</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The Castac Basin is a low priority basin so there is no anticipation at this time of any restriction related to use of groundwater. The Castac Basin GSA filed its GSP in 2020 and is still waiting for a final determination from DWR. Regardless of any limitations on groundwater use that might result from SGMA, the Company's lands are in relatively good condition because of the diverse inventory of surface water supplies and banked water that the Company has access, to as mentioned above.</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There have been many environmental challenges regarding the movement of SWP water through the Sacramento - San Joaquin Delta. Operation of the Delta pumps are of primary importance to the California water system, because these pumps are part of the system that moves water from Northern California to Southern California. Biological Opinions, or BiOps, issued by the 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7" w:name="page38"/>
    <w:bookmarkEnd w:id="37"/>
    <w:p>
      <w:pPr>
        <w:ind w:right="20"/>
        <w:spacing w:after="0" w:line="264" w:lineRule="auto"/>
        <w:rPr>
          <w:sz w:val="20"/>
          <w:szCs w:val="20"/>
          <w:color w:val="auto"/>
        </w:rPr>
      </w:pPr>
      <w:r>
        <w:rPr>
          <w:rFonts w:ascii="Times New Roman" w:cs="Times New Roman" w:eastAsia="Times New Roman" w:hAnsi="Times New Roman"/>
          <w:sz w:val="17"/>
          <w:szCs w:val="17"/>
          <w:color w:val="auto"/>
        </w:rPr>
        <w:t>One of these developments relates to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Another development is DWR’s plan for construction of a facility to convey water through the Delta in the form of a tunnel system that would divert water at or near the northern end of the Delta and convey the water underground via tunnel for delivery at or near the southern end of the Delta. This project is known as the Delta Conveyance Project, or DCP. DWR has approved the Final EIR for DCP. DWR and the SWP Contractors will continue to work on executing amendments to the water supply contracts that provide for addition of the DCP to the SWP. The DCP is intended to increase the amount of water available for delivery across the Delta, particularly in wet years.</w:t>
      </w:r>
    </w:p>
    <w:p>
      <w:pPr>
        <w:spacing w:after="0" w:line="1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 third development is the Reinitiation of Consultation on the Coordinated Long-Term Operation of the Central Valley Project and State Water Project. This is a process that DWR and the Bureau jointly requested in 2016 and that resulted in new federal FWS and NMFS BiOps under Federal Endangered Species Act, or ESA, in 2019. The 2019 BiOps were intended to enhance reliability of water available for pumping out of the Delta based on updated best available science. The State of California and various non-governmental organizations filed a legal challenge to the new BiOps. Shortly after the 2019 BiOps were finalized, the State of California issued an Incidental Take Permit, or ITP, pursuant to the California Endangered Species Act, or CESA, which is generally more restrictive on pumping out of the Delta in comparison to the BiOps. Several SWP Contractors, and others, filed litigation challenging ITP on several grounds, including CEQA and breach of contract. Additionally, the Bureau has reinitiated further consultation relative to the proposed actions in the federal BiOps. An interim operations plan for the Delta has been introduced that would govern Delta operations in the absence of final BiOps, and that plan is also the subject of legal challenges. The new BiOps were finalized and adopted in December 2024. These will supersede the 2019 BiOps.</w:t>
      </w:r>
    </w:p>
    <w:p>
      <w:pPr>
        <w:spacing w:after="0" w:line="1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Company is also a participant in a water storage project, Sites Reservoir, located in Northern California, in the Sacramento Valley. The Sites Reservoir Project is led by the Sites Project Authority, a joint powers authority made up of irrigation agencies, water districts, cities, and counties. The Company is participating in the project through AVEK, with 500 acre feet, and through WRMWSD with an additional 500-acre feet. The project’s main goal is to capture more water during wet years, which is especially beneficial and necessary when the precipitation is higher than the snowpack. The reservoir can hold up to 1.5-million-acre feet. This project is one of the state's largest proposed water infrastructure projects and strongly supported by the State’s Governor. It also recently received over 100 million dollars of federal funding. The Authority is in the process of obtaining a water right permit for the Project. Construction is scheduled to begin in the year 2026, and full operations are expected by 2032.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Other Activities</w:t>
      </w:r>
    </w:p>
    <w:p>
      <w:pPr>
        <w:spacing w:after="0" w:line="1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$18,605,000 of additional bond debt authorized by TRPFFA. Proceeds from the sales of these bonds are to reimburse the Company for public infrastructure related to TRCC-East.</w:t>
      </w:r>
    </w:p>
    <w:p>
      <w:pPr>
        <w:spacing w:after="0" w:line="1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paid $3,191,000 and $2,775,000 in special taxes related to the CFDs in 2024 and 2023, respectively. As development continues to occur at TRCC, new owners of land and new lease tenants, through triple net leases, will bear an increasing portion of the assessed special tax. It is expected that we will have special tax payments in 2025 of $3,642,000, but this could change in the future based on the amount of bonds outstanding within each CFD and the amount of taxes paid by other owners and tenants.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2024.</w:t>
      </w: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3.</w:t>
        <w:tab/>
        <w:t>LEGAL PROCEEDINGS</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is involved in various legal matters arising out of its operations in the normal course of business. None of these matters are expected, individually or in aggregate, to have a material adverse effect on the Company.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For a discussion of legal proceedings, see Note 13 (Commitments and Contingencies) of the Notes to the Consolidated Financial Statements.</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4.</w:t>
        <w:tab/>
        <w:t>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1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II</w:t>
      </w:r>
    </w:p>
    <w:p>
      <w:pPr>
        <w:spacing w:after="0" w:line="1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5.</w:t>
        <w:tab/>
        <w:t>MARKET FOR REGISTRANT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color w:val="006EBF"/>
        </w:rPr>
        <w:t>S COMMON EQUITY, RELATED STOCKHOLDER MATTERS AND ISSUER PURCHASES OF</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006EBF"/>
        </w:rPr>
        <w:t>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trades under the symbol TRC on the New York Stock Exchange.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28, 2025, there were 263 registered owners of record of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cash dividends were paid in 2024 or 2023 and at this time there is no intention of paying cash dividends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repurchases of our common stock during the year ended 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Total Number of Shares</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Maximum Fair Value of</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Average Price Paid per</w:t>
            </w:r>
          </w:p>
        </w:tc>
        <w:tc>
          <w:tcPr>
            <w:tcW w:w="2300" w:type="dxa"/>
            <w:vAlign w:val="bottom"/>
            <w:gridSpan w:val="2"/>
            <w:vMerge w:val="continue"/>
          </w:tcPr>
          <w:p>
            <w:pPr>
              <w:spacing w:after="0"/>
              <w:rPr>
                <w:sz w:val="14"/>
                <w:szCs w:val="14"/>
                <w:color w:val="auto"/>
              </w:rPr>
            </w:pPr>
          </w:p>
        </w:tc>
        <w:tc>
          <w:tcPr>
            <w:tcW w:w="22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Shares that May Yet Be</w:t>
            </w:r>
          </w:p>
        </w:tc>
        <w:tc>
          <w:tcPr>
            <w:tcW w:w="0" w:type="dxa"/>
            <w:vAlign w:val="bottom"/>
          </w:tcPr>
          <w:p>
            <w:pPr>
              <w:spacing w:after="0"/>
              <w:rPr>
                <w:sz w:val="1"/>
                <w:szCs w:val="1"/>
                <w:color w:val="auto"/>
              </w:rPr>
            </w:pPr>
          </w:p>
        </w:tc>
      </w:tr>
      <w:tr>
        <w:trPr>
          <w:trHeight w:val="180"/>
        </w:trPr>
        <w:tc>
          <w:tcPr>
            <w:tcW w:w="2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b w:val="1"/>
                <w:bCs w:val="1"/>
                <w:color w:val="auto"/>
              </w:rPr>
              <w:t>Purchased as Part of Publicly</w:t>
            </w:r>
          </w:p>
        </w:tc>
        <w:tc>
          <w:tcPr>
            <w:tcW w:w="22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Purchased Under the</w:t>
            </w:r>
          </w:p>
        </w:tc>
        <w:tc>
          <w:tcPr>
            <w:tcW w:w="0" w:type="dxa"/>
            <w:vAlign w:val="bottom"/>
          </w:tcPr>
          <w:p>
            <w:pPr>
              <w:spacing w:after="0"/>
              <w:rPr>
                <w:sz w:val="1"/>
                <w:szCs w:val="1"/>
                <w:color w:val="auto"/>
              </w:rPr>
            </w:pPr>
          </w:p>
        </w:tc>
      </w:tr>
      <w:tr>
        <w:trPr>
          <w:trHeight w:val="219"/>
        </w:trPr>
        <w:tc>
          <w:tcPr>
            <w:tcW w:w="2100" w:type="dxa"/>
            <w:vAlign w:val="bottom"/>
            <w:gridSpan w:val="2"/>
            <w:vMerge w:val="continue"/>
          </w:tcPr>
          <w:p>
            <w:pPr>
              <w:spacing w:after="0"/>
              <w:rPr>
                <w:sz w:val="19"/>
                <w:szCs w:val="19"/>
                <w:color w:val="auto"/>
              </w:rPr>
            </w:pPr>
          </w:p>
        </w:tc>
        <w:tc>
          <w:tcPr>
            <w:tcW w:w="2220" w:type="dxa"/>
            <w:vAlign w:val="bottom"/>
          </w:tcPr>
          <w:p>
            <w:pPr>
              <w:jc w:val="right"/>
              <w:ind w:right="614"/>
              <w:spacing w:after="0" w:line="219" w:lineRule="exact"/>
              <w:rPr>
                <w:sz w:val="20"/>
                <w:szCs w:val="20"/>
                <w:color w:val="auto"/>
              </w:rPr>
            </w:pP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center"/>
              <w:ind w:right="280"/>
              <w:spacing w:after="0" w:line="219" w:lineRule="exact"/>
              <w:rPr>
                <w:sz w:val="20"/>
                <w:szCs w:val="20"/>
                <w:color w:val="auto"/>
              </w:rPr>
            </w:pPr>
            <w:r>
              <w:rPr>
                <w:rFonts w:ascii="Times New Roman" w:cs="Times New Roman" w:eastAsia="Times New Roman" w:hAnsi="Times New Roman"/>
                <w:sz w:val="17"/>
                <w:szCs w:val="17"/>
                <w:b w:val="1"/>
                <w:bCs w:val="1"/>
                <w:color w:val="auto"/>
                <w:w w:val="96"/>
              </w:rPr>
              <w:t>Share</w:t>
            </w:r>
            <w:r>
              <w:rPr>
                <w:rFonts w:ascii="Times New Roman" w:cs="Times New Roman" w:eastAsia="Times New Roman" w:hAnsi="Times New Roman"/>
                <w:sz w:val="22"/>
                <w:szCs w:val="22"/>
                <w:b w:val="1"/>
                <w:bCs w:val="1"/>
                <w:color w:val="auto"/>
                <w:w w:val="96"/>
                <w:vertAlign w:val="superscript"/>
              </w:rPr>
              <w:t>1</w:t>
            </w:r>
          </w:p>
        </w:tc>
        <w:tc>
          <w:tcPr>
            <w:tcW w:w="2300" w:type="dxa"/>
            <w:vAlign w:val="bottom"/>
            <w:gridSpan w:val="2"/>
          </w:tcPr>
          <w:p>
            <w:pPr>
              <w:jc w:val="center"/>
              <w:ind w:right="80"/>
              <w:spacing w:after="0" w:line="219" w:lineRule="exact"/>
              <w:rPr>
                <w:sz w:val="20"/>
                <w:szCs w:val="20"/>
                <w:color w:val="auto"/>
              </w:rPr>
            </w:pPr>
            <w:r>
              <w:rPr>
                <w:rFonts w:ascii="Times New Roman" w:cs="Times New Roman" w:eastAsia="Times New Roman" w:hAnsi="Times New Roman"/>
                <w:sz w:val="17"/>
                <w:szCs w:val="17"/>
                <w:b w:val="1"/>
                <w:bCs w:val="1"/>
                <w:color w:val="auto"/>
                <w:w w:val="98"/>
              </w:rPr>
              <w:t>Announced Program</w:t>
            </w:r>
            <w:r>
              <w:rPr>
                <w:rFonts w:ascii="Times New Roman" w:cs="Times New Roman" w:eastAsia="Times New Roman" w:hAnsi="Times New Roman"/>
                <w:sz w:val="22"/>
                <w:szCs w:val="22"/>
                <w:b w:val="1"/>
                <w:bCs w:val="1"/>
                <w:color w:val="auto"/>
                <w:w w:val="98"/>
                <w:vertAlign w:val="superscript"/>
              </w:rPr>
              <w:t>2</w:t>
            </w:r>
          </w:p>
        </w:tc>
        <w:tc>
          <w:tcPr>
            <w:tcW w:w="2220" w:type="dxa"/>
            <w:vAlign w:val="bottom"/>
          </w:tcPr>
          <w:p>
            <w:pPr>
              <w:jc w:val="center"/>
              <w:spacing w:after="0" w:line="219" w:lineRule="exact"/>
              <w:rPr>
                <w:sz w:val="20"/>
                <w:szCs w:val="20"/>
                <w:color w:val="auto"/>
              </w:rPr>
            </w:pPr>
            <w:r>
              <w:rPr>
                <w:rFonts w:ascii="Times New Roman" w:cs="Times New Roman" w:eastAsia="Times New Roman" w:hAnsi="Times New Roman"/>
                <w:sz w:val="17"/>
                <w:szCs w:val="17"/>
                <w:b w:val="1"/>
                <w:bCs w:val="1"/>
                <w:color w:val="auto"/>
                <w:w w:val="99"/>
              </w:rPr>
              <w:t>Program</w:t>
            </w:r>
            <w:r>
              <w:rPr>
                <w:rFonts w:ascii="Times New Roman" w:cs="Times New Roman" w:eastAsia="Times New Roman" w:hAnsi="Times New Roman"/>
                <w:sz w:val="22"/>
                <w:szCs w:val="22"/>
                <w:b w:val="1"/>
                <w:bCs w:val="1"/>
                <w:color w:val="auto"/>
                <w:w w:val="99"/>
                <w:vertAlign w:val="superscript"/>
              </w:rPr>
              <w:t>2</w:t>
            </w:r>
          </w:p>
        </w:tc>
        <w:tc>
          <w:tcPr>
            <w:tcW w:w="0" w:type="dxa"/>
            <w:vAlign w:val="bottom"/>
          </w:tcPr>
          <w:p>
            <w:pPr>
              <w:spacing w:after="0"/>
              <w:rPr>
                <w:sz w:val="1"/>
                <w:szCs w:val="1"/>
                <w:color w:val="auto"/>
              </w:rPr>
            </w:pPr>
          </w:p>
        </w:tc>
      </w:tr>
      <w:tr>
        <w:trPr>
          <w:trHeight w:val="212"/>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2024</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March 2024</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11,152</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right="520"/>
        <w:spacing w:after="0" w:line="208" w:lineRule="auto"/>
        <w:tabs>
          <w:tab w:leader="none" w:pos="87"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shares of common stock that employees surrendered as part of the default option to satisfy withholding taxes in connection with the vesting of restricted stock awards under our stock incentive plan. Pursuant to the terms of our stock plan, such shares revert to available shares under the plan.</w:t>
      </w:r>
    </w:p>
    <w:p>
      <w:pPr>
        <w:ind w:left="100" w:hanging="80"/>
        <w:spacing w:after="0" w:line="210" w:lineRule="auto"/>
        <w:tabs>
          <w:tab w:leader="none" w:pos="1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do not have a publicly announced program to purchase shares of our common stock. Accordingly, there were no shares purchased as part of a publicly announced program.</w:t>
      </w:r>
    </w:p>
    <w:p>
      <w:pPr>
        <w:spacing w:after="0" w:line="25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stockholder performance graph will be provided separately in our annual report to stockholders.</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6.</w:t>
        <w:tab/>
        <w:t>RESERVED</w:t>
      </w:r>
    </w:p>
    <w:p>
      <w:pPr>
        <w:spacing w:after="0" w:line="2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7.</w:t>
        <w:tab/>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Part I, "Forward-Looking Statements" for our cautionary statement regarding forward-looking information.</w:t>
      </w:r>
    </w:p>
    <w:p>
      <w:pPr>
        <w:spacing w:after="0" w:line="2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This discussion and analysis are based on, should be read together with, and is qualified in its entirety by, the consolidated financial statements and notes thereto included in Item 15(a)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OVERVIEW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06EBF"/>
        </w:rPr>
        <w:t>Our Business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123" w:lineRule="exact"/>
        <w:rPr>
          <w:sz w:val="20"/>
          <w:szCs w:val="20"/>
          <w:color w:val="auto"/>
        </w:rPr>
      </w:pPr>
    </w:p>
    <w:p>
      <w:pPr>
        <w:ind w:right="960"/>
        <w:spacing w:after="0" w:line="287" w:lineRule="auto"/>
        <w:rPr>
          <w:sz w:val="20"/>
          <w:szCs w:val="20"/>
          <w:color w:val="auto"/>
        </w:rPr>
      </w:pPr>
      <w:r>
        <w:rPr>
          <w:rFonts w:ascii="Times New Roman" w:cs="Times New Roman" w:eastAsia="Times New Roman" w:hAnsi="Times New Roman"/>
          <w:sz w:val="17"/>
          <w:szCs w:val="17"/>
          <w:color w:val="auto"/>
        </w:rPr>
        <w:t>Our business model is designed to create value through the execution of commercial/industrial development, entitlement and development of land for resort/residential uses, and the maximization of earnings from operating assets, while at the same time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0" w:name="page41"/>
    <w:bookmarkEnd w:id="40"/>
    <w:p>
      <w:pPr>
        <w:ind w:right="580"/>
        <w:spacing w:after="0" w:line="287" w:lineRule="auto"/>
        <w:rPr>
          <w:sz w:val="20"/>
          <w:szCs w:val="20"/>
          <w:color w:val="auto"/>
        </w:rPr>
      </w:pPr>
      <w:r>
        <w:rPr>
          <w:rFonts w:ascii="Times New Roman" w:cs="Times New Roman" w:eastAsia="Times New Roman" w:hAnsi="Times New Roman"/>
          <w:sz w:val="17"/>
          <w:szCs w:val="17"/>
          <w:color w:val="auto"/>
        </w:rPr>
        <w:t>protecting significant portions of our land for conservation purposes. We operate our business near one of the country’s largest population centers, which is expected to continue to grow well into the future.</w:t>
      </w:r>
    </w:p>
    <w:p>
      <w:pPr>
        <w:spacing w:after="0" w:line="100"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7"/>
          <w:szCs w:val="17"/>
          <w:color w:val="auto"/>
        </w:rPr>
        <w:t>We currently operate in five reporting segments: real estate - commercial/industrial; real estate - resort/residential; mineral resources; farming; and ranch operations.</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commercial/industrial real estate segment generates revenues from real estate leases, and land and building sales. The primary commercial/industrial development is TRCC. In 2025, we plan to expand our real estate operations to include residential leasing, further diversifying our portfolio and enhancing long-term recurring revenue streams. The resort/residential real estate development segment is actively involved in the land entitlement and pre-development efforts both internally and through a joint venture. Our active developments within this segment are MV, Centennial, and Grapevine. Our mineral resources segment generates revenues from oil and gas royalty leases, rock and aggregate mining leases, a lease with National Cement of California Inc., and water sales. The farming segment produces revenues from the sale of wine grapes, almonds, and pistachios, and we intend to expand into olives. Lastly, the ranch operations segment consists of game management revenues and ancillary land uses, such as grazing leases and filming.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006EBF"/>
        </w:rPr>
        <w:t>Financial Highlights</w:t>
      </w:r>
    </w:p>
    <w:p>
      <w:pPr>
        <w:spacing w:after="0" w:line="1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For 2024, net income attributable to common stockholders was $2,690,000 compared to net income attributed to common stockholders of $3,265,000 in 2023. The primary factor driving the decrease was a reduction in mineral resources segment operating income of $2,677,000, which was largely attributable to limited opportunities to sell water. Additionally, the farming segment operating income decreased by $2,319,000 resulting from the lack of pistachio crop yield in the current year. The above decreases were partially offset by improved equity in earnings of unconsolidated joint ventures of $4,013,000 associated with better fuel margins at our TA/Petro joint venture and higher rental rates or rental escalations of our various joint ventures with Majestic.</w:t>
      </w:r>
    </w:p>
    <w:p>
      <w:pPr>
        <w:spacing w:after="0" w:line="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For 2023, net income attributable to common stockholders was $3,265,000 compared to net income attributed to common stockholders of $15,808,000 in 2022. The primary factor driving the decrease was the absence of land sales in 2023 within the commercial/industrial segment, contributing to a $20,454,000 decrease in segment operating profits. Additionally, the mineral resources segment operating income decreased by $2,787,000 largely attributable to limited opportunities to sell water as a result of 100% SWP allocation. The above decreases were partially offset by improved farming segment operating results of $5,503,000 mainly due to cost reductions. Also offsetting the decreases were income tax expense savings of $5,070,000 derived from lower taxable profits when compared with the prior period.</w:t>
      </w:r>
    </w:p>
    <w:p>
      <w:pPr>
        <w:spacing w:after="0" w:line="5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During 2025, we will continue to invest funds towards vertical development within our active commercial and industrial development, including construction on Terra Vista at Tejon, our new multi-family apartment community located immediately adjacent to the Outlets at Tejon at TRCC. We will also invest funds as necessary towards litigation defense, permits, and maps for our master plan mixed-use developments and for master project infrastructure. Securing entitlements for our land is a long, arduous process that can take several years and involves litigation. During the next few years, our net income will fluctuate from year-to-year based upon, among other factors, commodity prices, production within our farming segment, the timing of land sales and the leasing of land, industrial space, and/or multi-family apartment units within our industrial developments, and equity in earnings generated from our unconsolidated joint ventures.</w:t>
      </w:r>
    </w:p>
    <w:p>
      <w:pPr>
        <w:spacing w:after="0" w:line="122"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15 (Reporting Segments and Related Information) of the Notes to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Critical Accounting Estimates</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1" w:name="page42"/>
    <w:bookmarkEnd w:id="41"/>
    <w:p>
      <w:pPr>
        <w:ind w:right="40"/>
        <w:spacing w:after="0" w:line="261" w:lineRule="auto"/>
        <w:rPr>
          <w:sz w:val="20"/>
          <w:szCs w:val="20"/>
          <w:color w:val="auto"/>
        </w:rPr>
      </w:pPr>
      <w:r>
        <w:rPr>
          <w:rFonts w:ascii="Times New Roman" w:cs="Times New Roman" w:eastAsia="Times New Roman" w:hAnsi="Times New Roman"/>
          <w:sz w:val="17"/>
          <w:szCs w:val="17"/>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Please refer to Note 1 (Summary of Significant Accounting Policies) in the Notes to Consolidated Financial Statements, which discusses accounting policies that we have selected from acceptable alternatives.</w:t>
      </w:r>
    </w:p>
    <w:p>
      <w:pPr>
        <w:spacing w:after="0" w:line="12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We believe the following critical accounting estimates reflect our more significant judgments and estimates used in the preparation of the consolidated financial statements:</w:t>
      </w:r>
    </w:p>
    <w:p>
      <w:pPr>
        <w:spacing w:after="0" w:line="9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Real Estate Development – </w:t>
      </w:r>
      <w:r>
        <w:rPr>
          <w:rFonts w:ascii="Times New Roman" w:cs="Times New Roman" w:eastAsia="Times New Roman" w:hAnsi="Times New Roman"/>
          <w:sz w:val="17"/>
          <w:szCs w:val="17"/>
          <w:color w:val="auto"/>
        </w:rPr>
        <w:t>We evaluate our real estate development projects for impairment on an ongoing basis.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evaluation 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 and development costs.</w:t>
      </w:r>
    </w:p>
    <w:p>
      <w:pPr>
        <w:spacing w:after="0" w:line="12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We make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expected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accumulated and estimated future development costs. We use our internal forecasts and business plans to estimate future prices, absorption, and costs. We develop our forecasts based on recent sales data, input from marketing consultants, discussions with commercial real estate brokers, as well as contractors' and engineers' estimates.</w:t>
      </w:r>
    </w:p>
    <w:p>
      <w:pPr>
        <w:spacing w:after="0" w:line="13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When events or changes in circumstances exist that result in an indicator of impairment, we perform an impairment calculation, which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2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At this time, there are no assets within any of our reporting segments that we believe are at risk of being impaired due to market conditions, nor have we identified any impairment indicators.</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are expected to fluctuate due to changes in prices, absorption, and costs as future market conditions change.</w:t>
      </w:r>
    </w:p>
    <w:p>
      <w:pPr>
        <w:spacing w:after="0" w:line="1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Allocation of Costs Related to Land Sales and Leases </w:t>
      </w:r>
      <w:r>
        <w:rPr>
          <w:rFonts w:ascii="Times New Roman" w:cs="Times New Roman" w:eastAsia="Times New Roman" w:hAnsi="Times New Roman"/>
          <w:sz w:val="17"/>
          <w:szCs w:val="17"/>
          <w:color w:val="auto"/>
        </w:rPr>
        <w:t>– When we sell or lease land within one of our real estate developments, as we are currently doing within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TRCC, and we have not completed all 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2" w:name="page43"/>
    <w:bookmarkEnd w:id="42"/>
    <w:p>
      <w:pPr>
        <w:ind w:right="200"/>
        <w:spacing w:after="0" w:line="287" w:lineRule="auto"/>
        <w:rPr>
          <w:sz w:val="20"/>
          <w:szCs w:val="20"/>
          <w:color w:val="auto"/>
        </w:rPr>
      </w:pPr>
      <w:r>
        <w:rPr>
          <w:rFonts w:ascii="Times New Roman" w:cs="Times New Roman" w:eastAsia="Times New Roman" w:hAnsi="Times New Roman"/>
          <w:sz w:val="17"/>
          <w:szCs w:val="17"/>
          <w:color w:val="auto"/>
        </w:rPr>
        <w:t>costs of construction, absorption of product, and timing of project completion, and changes to these estimates could have a material impact on the recognition of profits from the sale of land within our developments.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discussion of recent accounting pronouncements, see Note 1 (Summary of Significant Accounting Policies) in the 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Results of Operations by Segment</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Real Estate – Commercial/Industrial</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Commercial/industrial revenues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Pastoria Energy Facility Lease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w:t>
            </w:r>
          </w:p>
        </w:tc>
      </w:tr>
      <w:tr>
        <w:trPr>
          <w:trHeight w:val="219"/>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TRCC Leasing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TRCC management fees and reimbursements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r>
      <w:tr>
        <w:trPr>
          <w:trHeight w:val="219"/>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leases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Communication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r>
      <w:tr>
        <w:trPr>
          <w:trHeight w:val="219"/>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Landscaping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w:t>
            </w:r>
          </w:p>
        </w:tc>
      </w:tr>
      <w:tr>
        <w:trPr>
          <w:trHeight w:val="219"/>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Land sales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29,796</w:t>
            </w:r>
          </w:p>
        </w:tc>
      </w:tr>
      <w:tr>
        <w:trPr>
          <w:trHeight w:val="212"/>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commercial/industrial revenues</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40,515</w:t>
            </w:r>
          </w:p>
        </w:tc>
      </w:tr>
      <w:tr>
        <w:trPr>
          <w:trHeight w:val="212"/>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sales of land</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8,623</w:t>
            </w:r>
          </w:p>
        </w:tc>
      </w:tr>
      <w:tr>
        <w:trPr>
          <w:trHeight w:val="219"/>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19"/>
        </w:trPr>
        <w:tc>
          <w:tcPr>
            <w:tcW w:w="74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w:t>
            </w:r>
          </w:p>
        </w:tc>
      </w:tr>
      <w:tr>
        <w:trPr>
          <w:trHeight w:val="219"/>
        </w:trPr>
        <w:tc>
          <w:tcPr>
            <w:tcW w:w="7420" w:type="dxa"/>
            <w:vAlign w:val="bottom"/>
            <w:tcBorders>
              <w:bottom w:val="single" w:sz="8" w:color="CCEEFF"/>
            </w:tcBorders>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commercial/industrial expenses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16,356</w:t>
            </w: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commercial/industrial</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-1905</wp:posOffset>
            </wp:positionV>
            <wp:extent cx="2423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ind w:left="100" w:hanging="80"/>
        <w:spacing w:after="0" w:line="223" w:lineRule="auto"/>
        <w:tabs>
          <w:tab w:leader="none" w:pos="10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General and administrative expenses included compensation expenses and overheads.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38670" cy="122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ind w:left="100" w:hanging="80"/>
        <w:spacing w:after="0" w:line="224" w:lineRule="auto"/>
        <w:tabs>
          <w:tab w:leader="none" w:pos="1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main components of the other expenses included tenant recoverable and depreciation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development segment revenues were $12,552,000 for the twelve months ended December 31, 2024, an increase of</w:t>
      </w:r>
    </w:p>
    <w:p>
      <w:pPr>
        <w:spacing w:after="0" w:line="27" w:lineRule="exact"/>
        <w:rPr>
          <w:rFonts w:ascii="Times New Roman" w:cs="Times New Roman" w:eastAsia="Times New Roman" w:hAnsi="Times New Roman"/>
          <w:sz w:val="17"/>
          <w:szCs w:val="17"/>
          <w:color w:val="auto"/>
        </w:rPr>
      </w:pPr>
    </w:p>
    <w:p>
      <w:pPr>
        <w:ind w:left="620" w:right="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$794,000, or 7%, from $11,758,000 in 2023. The primary driver of this increase was a $1,200,000 increase in communication lease revenue, attributable primarily to non-recurring amounts received from a right-of-way tenant for the tenant having increased its fiber optic cables running through the right-of-way for multiple prior periods without proper notification. The above mentioned increase was partially offset by a decrease of $276,000 in revenue from the PEF lease due to lower spark spread payments, and a reduction of $255,000 in management fees compared to 2023, when we completed construction of the TRC-MRC 5, LLC industrial building.</w:t>
      </w:r>
    </w:p>
    <w:p>
      <w:pPr>
        <w:spacing w:after="0" w:line="126" w:lineRule="exact"/>
        <w:rPr>
          <w:rFonts w:ascii="Times New Roman" w:cs="Times New Roman" w:eastAsia="Times New Roman" w:hAnsi="Times New Roman"/>
          <w:sz w:val="17"/>
          <w:szCs w:val="17"/>
          <w:color w:val="auto"/>
        </w:rPr>
      </w:pPr>
    </w:p>
    <w:p>
      <w:pPr>
        <w:ind w:left="620" w:right="14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segment expenses decreased $143,000, or 2%, from $8,053,000 in 2023 to $7,910,000 in 2024. The decrease in expenses is primarily attributed to lower property tax expense, partially offset by higher insurance cost and general and administrative expenses over the comparative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development segment revenues were $11,758,000 for the twelve months ended December 31, 2023, a decrease of</w:t>
      </w:r>
    </w:p>
    <w:p>
      <w:pPr>
        <w:spacing w:after="0" w:line="27" w:lineRule="exact"/>
        <w:rPr>
          <w:rFonts w:ascii="Times New Roman" w:cs="Times New Roman" w:eastAsia="Times New Roman" w:hAnsi="Times New Roman"/>
          <w:sz w:val="17"/>
          <w:szCs w:val="17"/>
          <w:color w:val="auto"/>
        </w:rPr>
      </w:pPr>
    </w:p>
    <w:p>
      <w:pPr>
        <w:ind w:left="6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$28,757,000, or 71%, from $40,515,000 in 2022. The absence of land sales was the primary driver of this decrease. We sold three land parcels in 2022, totaling 98.2 acres, for $29,796,000, whereas in 2023 we did not sell any land parcels. The decrease was partially offset by higher landscaping revenues of $728,000 and increases in Pastoria Energy Facility leasing revenues of $230,000.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3" w:name="page44"/>
    <w:bookmarkEnd w:id="43"/>
    <w:p>
      <w:pPr>
        <w:ind w:left="620" w:right="3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segment expenses decreased $8,303,000, or 51%, from $16,356,000 in 2022 to $8,053,000 in 2023. The decrease in expenses is primarily attributed to the absence of $8,623,000 in cost of sales from the land sales in 2022.</w:t>
      </w:r>
    </w:p>
    <w:p>
      <w:pPr>
        <w:spacing w:after="0" w:line="1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For 2025, TRCC will continue to be the driver of new activity within the Company. Construction began in January of 2024 on Terra Vista at Tejon, our new multi-family apartment community located immediately adjacent to the Outlets at Tejon. We expect to start the construction of a 510,385 square-foot industrial building in 2025 through the TRC-DP 1 joint venture formed with Dedeaux Properties. We also expect the commercial/industrial segment to continue to experience operating costs, net of amounts capitalized, related to professional service fees, marketing, commissions, and planning costs as we continue to pursue development opportunities. These costs are expected to remain consistent with current levels of expense with any variability in the future tied to specific absorption transactions in any given year and near-term inflation, tariff and trade impacts. TCWD water assessments vary depending on water availability and variable costs of delivering the water.</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actual timing and completion of development is difficult to predict due to the uncertainties of the market. Infrastructure development and marketing activities and costs will continue over several years as we develop our land holdings. We anticipate shorter lead times and more stable prices for materials, with electrical components being a notable exception.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1, “Business – Real Estate Development Overview” for discussion of the market outlook for the next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Real Estate – Resort/Residential</w:t>
      </w:r>
    </w:p>
    <w:p>
      <w:pPr>
        <w:spacing w:after="0" w:line="16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Our resort/residential segment activities include defending entitlements, land planning and pre-construction engineering and conservation activities for our Centennial, Grapevine, and MV projects.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in the preliminary stages of development; hence, no revenues are attributed to this segment for these reporting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ind w:left="620" w:right="46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resort/residential segment expenses increased $1,087,000 to $2,615,000, or 71%, when compared to $1,528,000 in 2023. The increase was primarily attributable to an additional $1,250,000 of professional service fees and planning costs related to capital raising efforts tied to our master planned communities.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within the resort/residential segment consisted of professional service fees of $1,352,000, general and administrative expenses of</w:t>
      </w:r>
    </w:p>
    <w:p>
      <w:pPr>
        <w:spacing w:after="0" w:line="27" w:lineRule="exact"/>
        <w:rPr>
          <w:rFonts w:ascii="Times New Roman" w:cs="Times New Roman" w:eastAsia="Times New Roman" w:hAnsi="Times New Roman"/>
          <w:sz w:val="17"/>
          <w:szCs w:val="17"/>
          <w:color w:val="auto"/>
        </w:rPr>
      </w:pPr>
    </w:p>
    <w:p>
      <w:pPr>
        <w:ind w:left="620" w:right="1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$1,215,000 and other expenses of $48,000 for the twelve months ended December 31, 2024. The main components of the other expenses included travel and entertainment expenses and depreciation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ind w:left="620" w:right="40" w:hanging="307"/>
        <w:spacing w:after="0" w:line="26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resort/residential segment expenses decreased $101,000 to $1,528,000, or 6%, when compared to $1,629,000 in 2022. The decrease is namely attributed to a decrease in payroll costs. The expenses consisted of general and administrative expenses of $1,384,000, professional service fees of $99,000 and other expenses of $45,000 for the twelve months ended December 31, 2023. The main components of the other expenses included travel and entertainment expenses and depreciation expenses.</w:t>
      </w:r>
    </w:p>
    <w:p>
      <w:pPr>
        <w:spacing w:after="0" w:line="12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resort/residential segment will continue to incur costs in the future related to professional service fees, public relations costs, and staffing costs as we continue to go forward with permitting and pre-development activities for the above communities. We expect these expenses to remain consistent with current years' cost in the near term and only begin to increase as we move into the development phase of each project in the future. The actual timing and completion of entitlement-related activities and the beginning of development is difficult to predict due to the uncertainties of the approval process, the length of time related to litigation defense, and the status of the economy. We will also continue to evaluate land resources to determine the highest and best use for our landholdings. Our long-term goal through this process is to increase the value of our land and create future revenue opportunities through resort and residential development.</w:t>
      </w:r>
    </w:p>
    <w:p>
      <w:pPr>
        <w:spacing w:after="0" w:line="12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We regularly monitoring the markets in order to identify the appropriate time in the future to begin infrastructure improvements and lot sales. Our long-term business plan of developing the communities of MV, Centennial, and Grapevine remains unchanged. As home buyer trends change in California to a more suburban orientation and the economy stabilizes, we believe the perception of land values will also begin to improve. Long-term market fundamentals, such as California's significant</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documented housing shortage and large Southern California population center we believe will support housing demand in our region.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1, “Business – Real Estate Development Overview” for a further discussion of real estate development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Mineral Resources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Oil and gas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r>
      <w:tr>
        <w:trPr>
          <w:trHeight w:val="21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Rock aggregate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w:t>
            </w: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w:t>
            </w:r>
          </w:p>
        </w:tc>
      </w:tr>
      <w:tr>
        <w:trPr>
          <w:trHeight w:val="21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Exploration leases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Water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14,658</w:t>
            </w:r>
          </w:p>
        </w:tc>
      </w:tr>
      <w:tr>
        <w:trPr>
          <w:trHeight w:val="219"/>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Reimbursables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mineral resources revenues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21,595</w:t>
            </w:r>
          </w:p>
        </w:tc>
      </w:tr>
      <w:tr>
        <w:trPr>
          <w:trHeight w:val="19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 of water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9,549</w:t>
            </w:r>
          </w:p>
        </w:tc>
      </w:tr>
      <w:tr>
        <w:trPr>
          <w:trHeight w:val="219"/>
        </w:trPr>
        <w:tc>
          <w:tcPr>
            <w:tcW w:w="69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r>
      <w:tr>
        <w:trPr>
          <w:trHeight w:val="212"/>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mineral resources expenses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12,969</w:t>
            </w: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mineral resources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38670"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ind w:left="80" w:hanging="60"/>
        <w:spacing w:after="0" w:line="212" w:lineRule="auto"/>
        <w:tabs>
          <w:tab w:leader="none" w:pos="8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4398010</wp:posOffset>
            </wp:positionH>
            <wp:positionV relativeFrom="paragraph">
              <wp:posOffset>-99695</wp:posOffset>
            </wp:positionV>
            <wp:extent cx="27425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vMerge w:val="restart"/>
          </w:tcPr>
          <w:p>
            <w:pPr>
              <w:spacing w:after="0"/>
              <w:rPr>
                <w:sz w:val="19"/>
                <w:szCs w:val="19"/>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Oil and gas</w:t>
            </w:r>
          </w:p>
        </w:tc>
        <w:tc>
          <w:tcPr>
            <w:tcW w:w="6080" w:type="dxa"/>
            <w:vAlign w:val="bottom"/>
            <w:gridSpan w:val="2"/>
            <w:vMerge w:val="restart"/>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608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production (barrels)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83,411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94,780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92,788</w:t>
            </w:r>
          </w:p>
        </w:tc>
        <w:tc>
          <w:tcPr>
            <w:tcW w:w="0" w:type="dxa"/>
            <w:vAlign w:val="bottom"/>
          </w:tcPr>
          <w:p>
            <w:pPr>
              <w:spacing w:after="0"/>
              <w:rPr>
                <w:sz w:val="1"/>
                <w:szCs w:val="1"/>
                <w:color w:val="auto"/>
              </w:rPr>
            </w:pPr>
          </w:p>
        </w:tc>
      </w:tr>
      <w:tr>
        <w:trPr>
          <w:trHeight w:val="219"/>
        </w:trPr>
        <w:tc>
          <w:tcPr>
            <w:tcW w:w="69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Average price per barrel</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$98.00</w:t>
            </w:r>
          </w:p>
        </w:tc>
        <w:tc>
          <w:tcPr>
            <w:tcW w:w="0" w:type="dxa"/>
            <w:vAlign w:val="bottom"/>
          </w:tcPr>
          <w:p>
            <w:pPr>
              <w:spacing w:after="0"/>
              <w:rPr>
                <w:sz w:val="1"/>
                <w:szCs w:val="1"/>
                <w:color w:val="auto"/>
              </w:rPr>
            </w:pPr>
          </w:p>
        </w:tc>
      </w:tr>
      <w:tr>
        <w:trPr>
          <w:trHeight w:val="219"/>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production (millions of cubic feet)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20,480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62,000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57,000</w:t>
            </w:r>
          </w:p>
        </w:tc>
        <w:tc>
          <w:tcPr>
            <w:tcW w:w="0" w:type="dxa"/>
            <w:vAlign w:val="bottom"/>
          </w:tcPr>
          <w:p>
            <w:pPr>
              <w:spacing w:after="0"/>
              <w:rPr>
                <w:sz w:val="1"/>
                <w:szCs w:val="1"/>
                <w:color w:val="auto"/>
              </w:rPr>
            </w:pPr>
          </w:p>
        </w:tc>
      </w:tr>
      <w:tr>
        <w:trPr>
          <w:trHeight w:val="219"/>
        </w:trPr>
        <w:tc>
          <w:tcPr>
            <w:tcW w:w="69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Average price per thousand cubic feet</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$2.87</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19"/>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Blended royalty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w w:val="95"/>
              </w:rPr>
              <w:t>Water</w:t>
            </w:r>
          </w:p>
        </w:tc>
        <w:tc>
          <w:tcPr>
            <w:tcW w:w="6460" w:type="dxa"/>
            <w:vAlign w:val="bottom"/>
            <w:tcBorders>
              <w:bottom w:val="single" w:sz="8" w:color="CCEEFF"/>
            </w:tcBorders>
            <w:gridSpan w:val="4"/>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Water sold in acre-feet</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5,145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10,400</w:t>
            </w:r>
          </w:p>
        </w:tc>
        <w:tc>
          <w:tcPr>
            <w:tcW w:w="0" w:type="dxa"/>
            <w:vAlign w:val="bottom"/>
          </w:tcPr>
          <w:p>
            <w:pPr>
              <w:spacing w:after="0"/>
              <w:rPr>
                <w:sz w:val="1"/>
                <w:szCs w:val="1"/>
                <w:color w:val="auto"/>
              </w:rPr>
            </w:pPr>
          </w:p>
        </w:tc>
      </w:tr>
      <w:tr>
        <w:trPr>
          <w:trHeight w:val="219"/>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price per acre-foot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$1,561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$1,409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w w:val="98"/>
              </w:rPr>
              <w:t>Cement</w:t>
            </w:r>
          </w:p>
        </w:tc>
        <w:tc>
          <w:tcPr>
            <w:tcW w:w="6340" w:type="dxa"/>
            <w:vAlign w:val="bottom"/>
            <w:tcBorders>
              <w:bottom w:val="single" w:sz="8" w:color="CCEEFF"/>
            </w:tcBorders>
            <w:gridSpan w:val="3"/>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Tons sold</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1,079,000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1,112,000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1,356,000</w:t>
            </w:r>
          </w:p>
        </w:tc>
        <w:tc>
          <w:tcPr>
            <w:tcW w:w="0" w:type="dxa"/>
            <w:vAlign w:val="bottom"/>
          </w:tcPr>
          <w:p>
            <w:pPr>
              <w:spacing w:after="0"/>
              <w:rPr>
                <w:sz w:val="1"/>
                <w:szCs w:val="1"/>
                <w:color w:val="auto"/>
              </w:rPr>
            </w:pPr>
          </w:p>
        </w:tc>
      </w:tr>
      <w:tr>
        <w:trPr>
          <w:trHeight w:val="219"/>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price per ton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Rock/Aggregate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1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Tons sold</w:t>
            </w:r>
          </w:p>
        </w:tc>
        <w:tc>
          <w:tcPr>
            <w:tcW w:w="57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1,442,000</w:t>
            </w:r>
          </w:p>
        </w:tc>
        <w:tc>
          <w:tcPr>
            <w:tcW w:w="10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1,600,000</w:t>
            </w:r>
          </w:p>
        </w:tc>
        <w:tc>
          <w:tcPr>
            <w:tcW w:w="10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1,677,000</w:t>
            </w:r>
          </w:p>
        </w:tc>
        <w:tc>
          <w:tcPr>
            <w:tcW w:w="0" w:type="dxa"/>
            <w:vAlign w:val="bottom"/>
          </w:tcPr>
          <w:p>
            <w:pPr>
              <w:spacing w:after="0"/>
              <w:rPr>
                <w:sz w:val="1"/>
                <w:szCs w:val="1"/>
                <w:color w:val="auto"/>
              </w:rPr>
            </w:pPr>
          </w:p>
        </w:tc>
      </w:tr>
      <w:tr>
        <w:trPr>
          <w:trHeight w:val="219"/>
        </w:trPr>
        <w:tc>
          <w:tcPr>
            <w:tcW w:w="6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price per ton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Note: Differences between revenues calculated within this table and reported revenues within the previous table are attributed to rounding and the level of precision presented on production units shown.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ind w:left="620" w:right="50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our mineral resources segment decreased $4,310,000, or 30%, to $10,214,000 in 2024 when compared to $14,524,000 in 2023. The decrease is primarily attributed to lower water sales revenue of $3,650,000 due to back-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5" w:name="page46"/>
    <w:bookmarkEnd w:id="45"/>
    <w:p>
      <w:pPr>
        <w:ind w:left="620" w:right="180"/>
        <w:spacing w:after="0" w:line="287" w:lineRule="auto"/>
        <w:rPr>
          <w:sz w:val="20"/>
          <w:szCs w:val="20"/>
          <w:color w:val="auto"/>
        </w:rPr>
      </w:pPr>
      <w:r>
        <w:rPr>
          <w:rFonts w:ascii="Times New Roman" w:cs="Times New Roman" w:eastAsia="Times New Roman" w:hAnsi="Times New Roman"/>
          <w:sz w:val="17"/>
          <w:szCs w:val="17"/>
          <w:color w:val="auto"/>
        </w:rPr>
        <w:t>to-back above average rainfall years in California, which severely limited water sales opportunities. Additionally, reimbursable revenues also decreased $711,000 due to a mineral resources tax reassessment.</w:t>
      </w:r>
    </w:p>
    <w:p>
      <w:pPr>
        <w:spacing w:after="0" w:line="100" w:lineRule="exact"/>
        <w:rPr>
          <w:sz w:val="20"/>
          <w:szCs w:val="20"/>
          <w:color w:val="auto"/>
        </w:rPr>
      </w:pPr>
    </w:p>
    <w:p>
      <w:pPr>
        <w:ind w:left="620" w:right="4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resources expenses decreased $1,633,000, or 19%, to $7,052,000 in 2024 when compared to $8,685,000 in 2023. The decrease was primarily due to lower water cost of sales recognized of $1,665,000.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ind w:left="620" w:right="40" w:hanging="307"/>
        <w:spacing w:after="0" w:line="261"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our mineral resources segment decreased $7,071,000, or 33%, to $14,524,000 in 2023 when compared to $21,595,000 in 2022. The decrease is primarily attributed to lower water sales revenue of $6,625,000. The SWP allocation was at 100% in 2023, due to heavy rainfall in California, which severely limited our water sales opportunities, whereas in 2022 the allocation was at 5%. Additionally, the Company experienced a decrease in royalties of $587,000 due to lower price per barrel for oil production, combined with lower production volume of cement and aggregate production, when compared to 2022.</w:t>
      </w:r>
    </w:p>
    <w:p>
      <w:pPr>
        <w:spacing w:after="0" w:line="123"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resources expenses decreased $4,284,000, or 33%, to $8,685,000 in 2023 when compared to $12,969,000 in 2022 as a result of having less cost of water sales.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discussion of mineral resources operations, refer to Item 1 “Business—Mineral Resources.”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006EBF"/>
              </w:rPr>
              <w:t>Farming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8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Farming revenues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Almonds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6,121</w:t>
            </w:r>
          </w:p>
        </w:tc>
      </w:tr>
      <w:tr>
        <w:trPr>
          <w:trHeight w:val="219"/>
        </w:trPr>
        <w:tc>
          <w:tcPr>
            <w:tcW w:w="7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Pistachios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w:t>
            </w:r>
          </w:p>
        </w:tc>
      </w:tr>
      <w:tr>
        <w:trPr>
          <w:trHeight w:val="21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Wine grapes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w:t>
            </w:r>
          </w:p>
        </w:tc>
      </w:tr>
      <w:tr>
        <w:trPr>
          <w:trHeight w:val="219"/>
        </w:trPr>
        <w:tc>
          <w:tcPr>
            <w:tcW w:w="7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Hay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r>
      <w:tr>
        <w:trPr>
          <w:trHeight w:val="21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2"/>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farming revenues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13,001</w:t>
            </w:r>
          </w:p>
        </w:tc>
      </w:tr>
      <w:tr>
        <w:trPr>
          <w:trHeight w:val="19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Farming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9"/>
        </w:trPr>
        <w:tc>
          <w:tcPr>
            <w:tcW w:w="7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15,412</w:t>
            </w:r>
          </w:p>
        </w:tc>
      </w:tr>
      <w:tr>
        <w:trPr>
          <w:trHeight w:val="21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Water Holding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w:t>
            </w:r>
          </w:p>
        </w:tc>
      </w:tr>
      <w:tr>
        <w:trPr>
          <w:trHeight w:val="219"/>
        </w:trPr>
        <w:tc>
          <w:tcPr>
            <w:tcW w:w="7120" w:type="dxa"/>
            <w:vAlign w:val="bottom"/>
            <w:tcBorders>
              <w:bottom w:val="single" w:sz="8" w:color="CCEEFF"/>
            </w:tcBorders>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farming expenses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19,811</w:t>
            </w: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 from farming</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-1905</wp:posOffset>
            </wp:positionV>
            <wp:extent cx="26193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1937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22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6"/>
        </w:trPr>
        <w:tc>
          <w:tcPr>
            <w:tcW w:w="2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5"/>
                <w:szCs w:val="15"/>
                <w:color w:val="auto"/>
              </w:rPr>
              <w:t>December 31, 2024</w:t>
            </w:r>
          </w:p>
        </w:tc>
        <w:tc>
          <w:tcPr>
            <w:tcW w:w="7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left="515"/>
              <w:spacing w:after="0"/>
              <w:rPr>
                <w:sz w:val="20"/>
                <w:szCs w:val="20"/>
                <w:color w:val="auto"/>
              </w:rPr>
            </w:pPr>
            <w:r>
              <w:rPr>
                <w:rFonts w:ascii="Times New Roman" w:cs="Times New Roman" w:eastAsia="Times New Roman" w:hAnsi="Times New Roman"/>
                <w:sz w:val="15"/>
                <w:szCs w:val="15"/>
                <w:color w:val="auto"/>
              </w:rPr>
              <w:t>December 31, 2023</w:t>
            </w:r>
          </w:p>
        </w:tc>
        <w:tc>
          <w:tcPr>
            <w:tcW w:w="7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Change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20" w:type="dxa"/>
            <w:vAlign w:val="bottom"/>
          </w:tcPr>
          <w:p>
            <w:pPr>
              <w:spacing w:after="0"/>
              <w:rPr>
                <w:sz w:val="12"/>
                <w:szCs w:val="12"/>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4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color w:val="auto"/>
                <w:w w:val="98"/>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5"/>
                <w:szCs w:val="15"/>
                <w:color w:val="auto"/>
              </w:rPr>
              <w:t>Revenue</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4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5"/>
                <w:szCs w:val="15"/>
                <w:color w:val="auto"/>
              </w:rPr>
              <w:t>Average</w:t>
            </w:r>
          </w:p>
        </w:tc>
        <w:tc>
          <w:tcPr>
            <w:tcW w:w="0" w:type="dxa"/>
            <w:vAlign w:val="bottom"/>
          </w:tcPr>
          <w:p>
            <w:pPr>
              <w:spacing w:after="0"/>
              <w:rPr>
                <w:sz w:val="1"/>
                <w:szCs w:val="1"/>
                <w:color w:val="auto"/>
              </w:rPr>
            </w:pPr>
          </w:p>
        </w:tc>
      </w:tr>
      <w:tr>
        <w:trPr>
          <w:trHeight w:val="205"/>
        </w:trPr>
        <w:tc>
          <w:tcPr>
            <w:tcW w:w="2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20"/>
              <w:spacing w:after="0" w:line="206" w:lineRule="exact"/>
              <w:rPr>
                <w:sz w:val="20"/>
                <w:szCs w:val="20"/>
                <w:color w:val="auto"/>
              </w:rPr>
            </w:pPr>
            <w:r>
              <w:rPr>
                <w:rFonts w:ascii="Times New Roman" w:cs="Times New Roman" w:eastAsia="Times New Roman" w:hAnsi="Times New Roman"/>
                <w:sz w:val="15"/>
                <w:szCs w:val="15"/>
                <w:color w:val="auto"/>
                <w:w w:val="99"/>
              </w:rPr>
              <w:t>Sold</w:t>
            </w:r>
            <w:r>
              <w:rPr>
                <w:rFonts w:ascii="Times New Roman" w:cs="Times New Roman" w:eastAsia="Times New Roman" w:hAnsi="Times New Roman"/>
                <w:sz w:val="20"/>
                <w:szCs w:val="20"/>
                <w:color w:val="auto"/>
                <w:w w:val="99"/>
                <w:vertAlign w:val="superscript"/>
              </w:rPr>
              <w:t>2</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Price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line="206" w:lineRule="exact"/>
              <w:rPr>
                <w:sz w:val="20"/>
                <w:szCs w:val="20"/>
                <w:color w:val="auto"/>
              </w:rPr>
            </w:pPr>
            <w:r>
              <w:rPr>
                <w:rFonts w:ascii="Times New Roman" w:cs="Times New Roman" w:eastAsia="Times New Roman" w:hAnsi="Times New Roman"/>
                <w:sz w:val="15"/>
                <w:szCs w:val="15"/>
                <w:color w:val="auto"/>
                <w:w w:val="93"/>
              </w:rPr>
              <w:t>Sold</w:t>
            </w:r>
            <w:r>
              <w:rPr>
                <w:rFonts w:ascii="Times New Roman" w:cs="Times New Roman" w:eastAsia="Times New Roman" w:hAnsi="Times New Roman"/>
                <w:sz w:val="20"/>
                <w:szCs w:val="20"/>
                <w:color w:val="auto"/>
                <w:w w:val="93"/>
                <w:vertAlign w:val="superscript"/>
              </w:rPr>
              <w:t>2</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Price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line="206" w:lineRule="exact"/>
              <w:rPr>
                <w:sz w:val="20"/>
                <w:szCs w:val="20"/>
                <w:color w:val="auto"/>
              </w:rPr>
            </w:pPr>
            <w:r>
              <w:rPr>
                <w:rFonts w:ascii="Times New Roman" w:cs="Times New Roman" w:eastAsia="Times New Roman" w:hAnsi="Times New Roman"/>
                <w:sz w:val="15"/>
                <w:szCs w:val="15"/>
                <w:color w:val="auto"/>
                <w:w w:val="93"/>
              </w:rPr>
              <w:t>Sold</w:t>
            </w:r>
            <w:r>
              <w:rPr>
                <w:rFonts w:ascii="Times New Roman" w:cs="Times New Roman" w:eastAsia="Times New Roman" w:hAnsi="Times New Roman"/>
                <w:sz w:val="20"/>
                <w:szCs w:val="20"/>
                <w:color w:val="auto"/>
                <w:w w:val="93"/>
                <w:vertAlign w:val="superscript"/>
              </w:rPr>
              <w:t>2</w:t>
            </w:r>
          </w:p>
        </w:tc>
        <w:tc>
          <w:tcPr>
            <w:tcW w:w="140" w:type="dxa"/>
            <w:vAlign w:val="bottom"/>
          </w:tcPr>
          <w:p>
            <w:pPr>
              <w:spacing w:after="0"/>
              <w:rPr>
                <w:sz w:val="17"/>
                <w:szCs w:val="17"/>
                <w:color w:val="auto"/>
              </w:rPr>
            </w:pPr>
          </w:p>
        </w:tc>
        <w:tc>
          <w:tcPr>
            <w:tcW w:w="700" w:type="dxa"/>
            <w:vAlign w:val="bottom"/>
          </w:tcPr>
          <w:p>
            <w:pPr>
              <w:jc w:val="center"/>
              <w:ind w:right="56"/>
              <w:spacing w:after="0"/>
              <w:rPr>
                <w:sz w:val="20"/>
                <w:szCs w:val="20"/>
                <w:color w:val="auto"/>
              </w:rPr>
            </w:pPr>
            <w:r>
              <w:rPr>
                <w:rFonts w:ascii="Times New Roman" w:cs="Times New Roman" w:eastAsia="Times New Roman" w:hAnsi="Times New Roman"/>
                <w:sz w:val="15"/>
                <w:szCs w:val="15"/>
                <w:color w:val="auto"/>
              </w:rPr>
              <w:t>Price</w:t>
            </w:r>
          </w:p>
        </w:tc>
        <w:tc>
          <w:tcPr>
            <w:tcW w:w="0" w:type="dxa"/>
            <w:vAlign w:val="bottom"/>
          </w:tcPr>
          <w:p>
            <w:pPr>
              <w:spacing w:after="0"/>
              <w:rPr>
                <w:sz w:val="1"/>
                <w:szCs w:val="1"/>
                <w:color w:val="auto"/>
              </w:rPr>
            </w:pPr>
          </w:p>
        </w:tc>
      </w:tr>
      <w:tr>
        <w:trPr>
          <w:trHeight w:val="19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ALMONDS (lbs.)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0.46</w:t>
            </w: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Prior crop years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tcPr>
          <w:p>
            <w:pPr>
              <w:ind w:left="320"/>
              <w:spacing w:after="0" w:line="212" w:lineRule="exact"/>
              <w:rPr>
                <w:sz w:val="20"/>
                <w:szCs w:val="20"/>
                <w:color w:val="auto"/>
              </w:rPr>
            </w:pPr>
            <w:r>
              <w:rPr>
                <w:rFonts w:ascii="Times New Roman" w:cs="Times New Roman" w:eastAsia="Times New Roman" w:hAnsi="Times New Roman"/>
                <w:sz w:val="17"/>
                <w:szCs w:val="17"/>
                <w:color w:val="auto"/>
              </w:rPr>
              <w:t>Subtotal Almonds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7"/>
                <w:szCs w:val="17"/>
                <w:color w:val="auto"/>
              </w:rPr>
              <w:t>0.45</w:t>
            </w: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PISTACHIOS (lbs.)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center"/>
              <w:ind w:left="156"/>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crop price adjustment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Crop insurance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line="212" w:lineRule="exact"/>
              <w:rPr>
                <w:sz w:val="20"/>
                <w:szCs w:val="20"/>
                <w:color w:val="auto"/>
              </w:rPr>
            </w:pPr>
            <w:r>
              <w:rPr>
                <w:rFonts w:ascii="Times New Roman" w:cs="Times New Roman" w:eastAsia="Times New Roman" w:hAnsi="Times New Roman"/>
                <w:sz w:val="17"/>
                <w:szCs w:val="17"/>
                <w:color w:val="auto"/>
              </w:rPr>
              <w:t>Subtotal Pistachios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19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WINE GRAPES (tons)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Crop insurance</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Subtotal Wine Grapes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19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farming revenues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farming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 w:hanging="80"/>
        <w:spacing w:after="0"/>
        <w:tabs>
          <w:tab w:leader="none" w:pos="1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Average price calculation reflects sale of almond and pistachio crops during the calendar reported year, exclusive of any price adjustments.</w:t>
      </w:r>
    </w:p>
    <w:p>
      <w:pPr>
        <w:spacing w:after="0" w:line="51" w:lineRule="exact"/>
        <w:rPr>
          <w:rFonts w:ascii="Times New Roman" w:cs="Times New Roman" w:eastAsia="Times New Roman" w:hAnsi="Times New Roman"/>
          <w:sz w:val="18"/>
          <w:szCs w:val="18"/>
          <w:color w:val="auto"/>
          <w:vertAlign w:val="superscript"/>
        </w:rPr>
      </w:pPr>
    </w:p>
    <w:p>
      <w:pPr>
        <w:ind w:left="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Almond and pistachio units are presented in thousands of pounds, while wine grapes are presented in thousands of tons.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ind w:left="620" w:right="40" w:hanging="307"/>
        <w:spacing w:after="0" w:line="260"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2024, farming segment revenues decreased $25,000, or 0.2%, from $13,950,000 in 2023 to $13,925,000 in 2024. The decrease was primarily driven by a $799,000 decline in pistachio sales revenue, resulting from the absence of a pistachio yield during the year. This is not indicative of a trend but rather attributed to insufficient chill hours, which affected production. Additionally, wine grape sales revenue fell by $586,000, primarily due to lower production volumes, which were impacted by a rare combination of late-season rains and unusually cool temperatures in early spring, both of which contributed to mildew issues that affected vine growth and overall yield. This weather pattern is atypical and not indicative of normal growing season conditions. These declines were mostly offset by a $1,744,000 increase in almond sales revenue, driven by higher crop availability and improved pricing.</w:t>
      </w:r>
    </w:p>
    <w:p>
      <w:pPr>
        <w:spacing w:after="0" w:line="121"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2024, farming segment expenses increased $2,294,000, or 15%, from $15,257,000 in 2023 to $17,551,000 in 2024. This increase was primarily due to an increase in water holding cost of $2,217,000 in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6"/>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5"/>
                <w:szCs w:val="15"/>
                <w:color w:val="auto"/>
              </w:rPr>
              <w:t>December 31, 2023</w:t>
            </w:r>
          </w:p>
        </w:tc>
        <w:tc>
          <w:tcPr>
            <w:tcW w:w="7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5"/>
                <w:szCs w:val="15"/>
                <w:color w:val="auto"/>
              </w:rPr>
              <w:t>December 31, 2022</w:t>
            </w:r>
          </w:p>
        </w:tc>
        <w:tc>
          <w:tcPr>
            <w:tcW w:w="72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Change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40" w:type="dxa"/>
            <w:vAlign w:val="bottom"/>
          </w:tcPr>
          <w:p>
            <w:pPr>
              <w:spacing w:after="0"/>
              <w:rPr>
                <w:sz w:val="12"/>
                <w:szCs w:val="12"/>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4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4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color w:val="auto"/>
                <w:w w:val="98"/>
              </w:rPr>
              <w:t>Average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color w:val="auto"/>
              </w:rPr>
              <w:t>Quantity</w:t>
            </w:r>
          </w:p>
        </w:tc>
        <w:tc>
          <w:tcPr>
            <w:tcW w:w="140" w:type="dxa"/>
            <w:vAlign w:val="bottom"/>
          </w:tcPr>
          <w:p>
            <w:pPr>
              <w:spacing w:after="0"/>
              <w:rPr>
                <w:sz w:val="12"/>
                <w:szCs w:val="12"/>
                <w:color w:val="auto"/>
              </w:rPr>
            </w:pPr>
          </w:p>
        </w:tc>
        <w:tc>
          <w:tcPr>
            <w:tcW w:w="70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5"/>
                <w:szCs w:val="15"/>
                <w:color w:val="auto"/>
              </w:rPr>
              <w:t>Average</w:t>
            </w:r>
          </w:p>
        </w:tc>
        <w:tc>
          <w:tcPr>
            <w:tcW w:w="0" w:type="dxa"/>
            <w:vAlign w:val="bottom"/>
          </w:tcPr>
          <w:p>
            <w:pPr>
              <w:spacing w:after="0"/>
              <w:rPr>
                <w:sz w:val="1"/>
                <w:szCs w:val="1"/>
                <w:color w:val="auto"/>
              </w:rPr>
            </w:pPr>
          </w:p>
        </w:tc>
      </w:tr>
      <w:tr>
        <w:trPr>
          <w:trHeight w:val="205"/>
        </w:trPr>
        <w:tc>
          <w:tcPr>
            <w:tcW w:w="2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line="206" w:lineRule="exact"/>
              <w:rPr>
                <w:sz w:val="20"/>
                <w:szCs w:val="20"/>
                <w:color w:val="auto"/>
              </w:rPr>
            </w:pPr>
            <w:r>
              <w:rPr>
                <w:rFonts w:ascii="Times New Roman" w:cs="Times New Roman" w:eastAsia="Times New Roman" w:hAnsi="Times New Roman"/>
                <w:sz w:val="15"/>
                <w:szCs w:val="15"/>
                <w:color w:val="auto"/>
                <w:w w:val="93"/>
              </w:rPr>
              <w:t>Sold</w:t>
            </w:r>
            <w:r>
              <w:rPr>
                <w:rFonts w:ascii="Times New Roman" w:cs="Times New Roman" w:eastAsia="Times New Roman" w:hAnsi="Times New Roman"/>
                <w:sz w:val="20"/>
                <w:szCs w:val="20"/>
                <w:color w:val="auto"/>
                <w:w w:val="93"/>
                <w:vertAlign w:val="superscript"/>
              </w:rPr>
              <w:t>2</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Price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line="206" w:lineRule="exact"/>
              <w:rPr>
                <w:sz w:val="20"/>
                <w:szCs w:val="20"/>
                <w:color w:val="auto"/>
              </w:rPr>
            </w:pPr>
            <w:r>
              <w:rPr>
                <w:rFonts w:ascii="Times New Roman" w:cs="Times New Roman" w:eastAsia="Times New Roman" w:hAnsi="Times New Roman"/>
                <w:sz w:val="15"/>
                <w:szCs w:val="15"/>
                <w:color w:val="auto"/>
                <w:w w:val="99"/>
              </w:rPr>
              <w:t>Sold</w:t>
            </w:r>
            <w:r>
              <w:rPr>
                <w:rFonts w:ascii="Times New Roman" w:cs="Times New Roman" w:eastAsia="Times New Roman" w:hAnsi="Times New Roman"/>
                <w:sz w:val="20"/>
                <w:szCs w:val="20"/>
                <w:color w:val="auto"/>
                <w:w w:val="99"/>
                <w:vertAlign w:val="superscript"/>
              </w:rPr>
              <w:t>2</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Price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line="206" w:lineRule="exact"/>
              <w:rPr>
                <w:sz w:val="20"/>
                <w:szCs w:val="20"/>
                <w:color w:val="auto"/>
              </w:rPr>
            </w:pPr>
            <w:r>
              <w:rPr>
                <w:rFonts w:ascii="Times New Roman" w:cs="Times New Roman" w:eastAsia="Times New Roman" w:hAnsi="Times New Roman"/>
                <w:sz w:val="15"/>
                <w:szCs w:val="15"/>
                <w:color w:val="auto"/>
                <w:w w:val="99"/>
              </w:rPr>
              <w:t>Sold</w:t>
            </w:r>
            <w:r>
              <w:rPr>
                <w:rFonts w:ascii="Times New Roman" w:cs="Times New Roman" w:eastAsia="Times New Roman" w:hAnsi="Times New Roman"/>
                <w:sz w:val="20"/>
                <w:szCs w:val="20"/>
                <w:color w:val="auto"/>
                <w:w w:val="99"/>
                <w:vertAlign w:val="superscript"/>
              </w:rPr>
              <w:t>2</w:t>
            </w:r>
          </w:p>
        </w:tc>
        <w:tc>
          <w:tcPr>
            <w:tcW w:w="140" w:type="dxa"/>
            <w:vAlign w:val="bottom"/>
          </w:tcPr>
          <w:p>
            <w:pPr>
              <w:spacing w:after="0"/>
              <w:rPr>
                <w:sz w:val="17"/>
                <w:szCs w:val="17"/>
                <w:color w:val="auto"/>
              </w:rPr>
            </w:pP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5"/>
                <w:szCs w:val="15"/>
                <w:color w:val="auto"/>
              </w:rPr>
              <w:t>Price</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ALMONDS (lbs.)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1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Prior crop years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Crop insurance</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320"/>
              <w:spacing w:after="0" w:line="212" w:lineRule="exact"/>
              <w:rPr>
                <w:sz w:val="20"/>
                <w:szCs w:val="20"/>
                <w:color w:val="auto"/>
              </w:rPr>
            </w:pPr>
            <w:r>
              <w:rPr>
                <w:rFonts w:ascii="Times New Roman" w:cs="Times New Roman" w:eastAsia="Times New Roman" w:hAnsi="Times New Roman"/>
                <w:sz w:val="17"/>
                <w:szCs w:val="17"/>
                <w:color w:val="auto"/>
              </w:rPr>
              <w:t>Subtotal Almonds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PISTACHIOS (lbs.)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crop price adjustment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Crop insurance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320"/>
              <w:spacing w:after="0" w:line="212" w:lineRule="exact"/>
              <w:rPr>
                <w:sz w:val="20"/>
                <w:szCs w:val="20"/>
                <w:color w:val="auto"/>
              </w:rPr>
            </w:pPr>
            <w:r>
              <w:rPr>
                <w:rFonts w:ascii="Times New Roman" w:cs="Times New Roman" w:eastAsia="Times New Roman" w:hAnsi="Times New Roman"/>
                <w:sz w:val="17"/>
                <w:szCs w:val="17"/>
                <w:color w:val="auto"/>
              </w:rPr>
              <w:t>Subtotal Pistachios</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19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WINE GRAPES (tons)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year crop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0" w:type="dxa"/>
            <w:vAlign w:val="bottom"/>
          </w:tcPr>
          <w:p>
            <w:pPr>
              <w:spacing w:after="0"/>
              <w:rPr>
                <w:sz w:val="1"/>
                <w:szCs w:val="1"/>
                <w:color w:val="auto"/>
              </w:rPr>
            </w:pPr>
          </w:p>
        </w:tc>
      </w:tr>
      <w:tr>
        <w:trPr>
          <w:trHeight w:val="212"/>
        </w:trPr>
        <w:tc>
          <w:tcPr>
            <w:tcW w:w="2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Subtotal Wine Grapes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3,290</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299.09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347.00</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farming revenues</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farming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00" w:hanging="80"/>
        <w:spacing w:after="0"/>
        <w:tabs>
          <w:tab w:leader="none" w:pos="10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Average price calculation reflects sale of almond and pistachio crops during the calendar reported year exclusive of any price adjustments.</w:t>
      </w:r>
    </w:p>
    <w:p>
      <w:pPr>
        <w:spacing w:after="0" w:line="51" w:lineRule="exact"/>
        <w:rPr>
          <w:rFonts w:ascii="Times New Roman" w:cs="Times New Roman" w:eastAsia="Times New Roman" w:hAnsi="Times New Roman"/>
          <w:sz w:val="18"/>
          <w:szCs w:val="18"/>
          <w:color w:val="auto"/>
          <w:vertAlign w:val="superscript"/>
        </w:rPr>
      </w:pPr>
    </w:p>
    <w:p>
      <w:pPr>
        <w:ind w:left="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Almond and pistachio units are presented in thousands of pounds while wine grapes are presented in thousands of tons.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ind w:left="620" w:right="220" w:hanging="307"/>
        <w:spacing w:after="0" w:line="287"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2023, farming segment revenues increased $949,000, or 7%, from $13,001,000 in 2022 to $13,950,000 in 2023. The factors contributing to this increase are as follows:</w:t>
      </w:r>
    </w:p>
    <w:p>
      <w:pPr>
        <w:spacing w:after="0" w:line="99" w:lineRule="exact"/>
        <w:rPr>
          <w:rFonts w:ascii="Times New Roman" w:cs="Times New Roman" w:eastAsia="Times New Roman" w:hAnsi="Times New Roman"/>
          <w:sz w:val="17"/>
          <w:szCs w:val="17"/>
          <w:color w:val="auto"/>
        </w:rPr>
      </w:pPr>
    </w:p>
    <w:p>
      <w:pPr>
        <w:ind w:left="1240" w:hanging="309"/>
        <w:spacing w:after="0" w:line="287" w:lineRule="auto"/>
        <w:tabs>
          <w:tab w:leader="none" w:pos="123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Pistachio crop revenue increased by $3,990,000 in 2023, which was partially offset by a $1,531,000 decrease in crop insurance and a $873,000 decrease in prior year crop price adjustment. Pistachio revenues increased primarily because the 2022 crop did not bear fruit due to a mild winter.</w:t>
      </w:r>
    </w:p>
    <w:p>
      <w:pPr>
        <w:spacing w:after="0" w:line="99" w:lineRule="exact"/>
        <w:rPr>
          <w:rFonts w:ascii="Times New Roman" w:cs="Times New Roman" w:eastAsia="Times New Roman" w:hAnsi="Times New Roman"/>
          <w:sz w:val="17"/>
          <w:szCs w:val="17"/>
          <w:color w:val="auto"/>
        </w:rPr>
      </w:pPr>
    </w:p>
    <w:p>
      <w:pPr>
        <w:ind w:left="1240" w:right="140" w:hanging="309"/>
        <w:spacing w:after="0" w:line="270" w:lineRule="auto"/>
        <w:tabs>
          <w:tab w:leader="none" w:pos="123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Almond revenues decreased $743,000 due to unfavorable pricing for crops sold in 2023 when compared to 2022. Additionally, the variations in the mix of almonds sold also contributed to this decrease. During 2022, a majority of almonds sold were of the Nonpareil and Monterey varieties, which generally sell at a higher price.</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Wine grape revenues decreased $180,000 due to unfavorable pricing, partially offset by higher yields.</w:t>
      </w:r>
    </w:p>
    <w:p>
      <w:pPr>
        <w:spacing w:after="0" w:line="165" w:lineRule="exact"/>
        <w:rPr>
          <w:rFonts w:ascii="Times New Roman" w:cs="Times New Roman" w:eastAsia="Times New Roman" w:hAnsi="Times New Roman"/>
          <w:sz w:val="17"/>
          <w:szCs w:val="17"/>
          <w:color w:val="auto"/>
        </w:rPr>
      </w:pPr>
    </w:p>
    <w:p>
      <w:pPr>
        <w:ind w:left="620" w:right="60" w:hanging="307"/>
        <w:spacing w:after="0" w:line="270"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2023, farming segment expenses decreased $4,554,000, or 23%, from $19,811,000 in 2022 to $15,257,000 in 2023. The decrease is mainly attributable to lower water holding cost of $3,040,000. Additionally, utility costs decreased by $805,000 due to water availability in 2023 resulting in less need of water transmission costs to pump water for farming.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discussion of the farming operations, refer to Item 1 “Business—Farming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6EBF"/>
              </w:rPr>
              <w:t>Ranch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89"/>
        </w:trPr>
        <w:tc>
          <w:tcPr>
            <w:tcW w:w="20" w:type="dxa"/>
            <w:vAlign w:val="bottom"/>
          </w:tcPr>
          <w:p>
            <w:pPr>
              <w:spacing w:after="0"/>
              <w:rPr>
                <w:sz w:val="24"/>
                <w:szCs w:val="24"/>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Ranch operations revenue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line="219" w:lineRule="exact"/>
              <w:rPr>
                <w:sz w:val="20"/>
                <w:szCs w:val="20"/>
                <w:color w:val="auto"/>
              </w:rPr>
            </w:pPr>
            <w:r>
              <w:rPr>
                <w:rFonts w:ascii="Times New Roman" w:cs="Times New Roman" w:eastAsia="Times New Roman" w:hAnsi="Times New Roman"/>
                <w:sz w:val="17"/>
                <w:szCs w:val="17"/>
                <w:color w:val="auto"/>
              </w:rPr>
              <w:t xml:space="preserve">Game management and other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w:t>
            </w: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Grazing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ranch operations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w:t>
            </w:r>
          </w:p>
        </w:tc>
      </w:tr>
      <w:tr>
        <w:trPr>
          <w:trHeight w:val="199"/>
        </w:trPr>
        <w:tc>
          <w:tcPr>
            <w:tcW w:w="20" w:type="dxa"/>
            <w:vAlign w:val="bottom"/>
          </w:tcPr>
          <w:p>
            <w:pPr>
              <w:spacing w:after="0"/>
              <w:rPr>
                <w:sz w:val="17"/>
                <w:szCs w:val="17"/>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Ranch operation expenses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w:t>
            </w:r>
          </w:p>
        </w:tc>
      </w:tr>
      <w:tr>
        <w:trPr>
          <w:trHeight w:val="219"/>
        </w:trPr>
        <w:tc>
          <w:tcPr>
            <w:tcW w:w="2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Compensation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12"/>
        </w:trPr>
        <w:tc>
          <w:tcPr>
            <w:tcW w:w="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ranch operations expenses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5,024</w:t>
            </w:r>
          </w:p>
        </w:tc>
      </w:tr>
      <w:tr>
        <w:trPr>
          <w:trHeight w:val="216"/>
        </w:trPr>
        <w:tc>
          <w:tcPr>
            <w:tcW w:w="2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income/(loss) from ranch operations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-149225</wp:posOffset>
            </wp:positionV>
            <wp:extent cx="7122160" cy="163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ind w:left="120" w:hanging="87"/>
        <w:spacing w:after="0" w:line="223" w:lineRule="auto"/>
        <w:tabs>
          <w:tab w:leader="none" w:pos="12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Game management and other revenues consist of revenues from hunting, filming, High Desert Hunt Club (a premier upland bird hunting club), and other ancillary activities.</w:t>
      </w:r>
    </w:p>
    <w:p>
      <w:pPr>
        <w:spacing w:after="0" w:line="29" w:lineRule="exact"/>
        <w:rPr>
          <w:rFonts w:ascii="Times New Roman" w:cs="Times New Roman" w:eastAsia="Times New Roman" w:hAnsi="Times New Roman"/>
          <w:sz w:val="18"/>
          <w:szCs w:val="18"/>
          <w:color w:val="auto"/>
          <w:vertAlign w:val="superscript"/>
        </w:rPr>
      </w:pPr>
    </w:p>
    <w:p>
      <w:pPr>
        <w:ind w:left="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The main components of the other expenses included depreciation and amortization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-127635</wp:posOffset>
            </wp:positionV>
            <wp:extent cx="7122160" cy="122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-241935</wp:posOffset>
            </wp:positionV>
            <wp:extent cx="2635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ind w:left="620" w:right="16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ranch operations increased $688,000, or 15%, from $4,507,000 in 2023 to $5,195,000 in 2024. This is primarily attributed to an increase in grazing lease revenues of $728,000 due to improved pasture levels as a result of winter rains.</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Ranch operations expenses decreased $179,000, or 4%, from 5,043,000 in 2023 to $4,864,000 in 2024. This decrease was primarily attributed to lower repair and maintenance expense of $109,000 and savings in payroll and compensation expenses of $54,000.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ind w:left="620" w:right="16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from ranch operations increased $401,000, or 10%, from $4,106,000 in 2022 to $4,507,000 in 2023. This is primarily attributed to an increase in grazing lease revenues due to improved pasture levels as a result of 2023 winter rains, which allowed for more cattle grazing on Company's land.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Ranch operations expenses were $5,043,000 in 2023, which stayed consistent when compared to $5,024,000 in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Other Income</w:t>
      </w:r>
    </w:p>
    <w:p>
      <w:pPr>
        <w:spacing w:after="0" w:line="16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Total other income decreased by $438,000, or 18%, from $2,419,000 in 2023 to $1,981,000 in 2024. Investment income recognized on marketable securities decreased by $284,000 due to a decrease in average funds invested. Additionally, the decrease was attributable to the $426,000 employee retention credit received during the first quarter of 2023, which did not reoccur in 2024. The above decreases of income were partially offset by a $98,000 decrease in pension expenses in 2024.</w:t>
      </w:r>
    </w:p>
    <w:p>
      <w:pPr>
        <w:spacing w:after="0" w:line="12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Total other income increased by $697,000, or 40%, from $1,722,000 in 2022 to $2,419,000 in 2023. Investment income recognized on marketable securities increased by $1,923,000 due to an increase in average funds invested and higher market interest rate in 2023 compared with 2022. This increase was offset by a decrease of $1,226,000 in other income mainly due to an absence of long-term deferred gains from the sale of the 18-19 West joint venture.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Corporate Expenses</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Corporate general and administrative costs increased $1,220,000, or 12.4%, to $11,092,000 during 2024 when compared to $9,872,000 in 2023. The increase was primarily attributable to higher stock compensation expense of $1,053,000 over the comparative period. The main components of the 2024 corporate expenses included salaries and compensation expenses of $10,261,000 and other expenses of $831,000. Other expenses include professional services fees, licenses and fees, and depreciation expenses. The year-over-year increase in compensation expense is not expected to be a trend, but rather to return to historical averages in the future.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49" w:name="page50"/>
    <w:bookmarkEnd w:id="49"/>
    <w:p>
      <w:pPr>
        <w:ind w:right="480"/>
        <w:spacing w:after="0" w:line="264" w:lineRule="auto"/>
        <w:rPr>
          <w:sz w:val="20"/>
          <w:szCs w:val="20"/>
          <w:color w:val="auto"/>
        </w:rPr>
      </w:pPr>
      <w:r>
        <w:rPr>
          <w:rFonts w:ascii="Times New Roman" w:cs="Times New Roman" w:eastAsia="Times New Roman" w:hAnsi="Times New Roman"/>
          <w:sz w:val="17"/>
          <w:szCs w:val="17"/>
          <w:color w:val="auto"/>
        </w:rPr>
        <w:t>Corporate general and administrative costs increased $173,000, or 1.8%, to $9,872,000 during 2023 when compared to $9,699,000 in 2022. The increase is primarily attributable to higher salary and stock compensation expense recognized during the period, offset by lower professional service expense. The main components of the corporate expenses included salaries and compensation expenses of $9,007,000 and other expenses of $865,000. Other expenses include professional services fees, licenses and fees, and depreciation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Equity in Earnings of Unconsolidated Joint Ventures</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We continue to use joint ventures to advance our development projects at TRCC. This allows us to combine our resources with other real estate companies and gain greater access to capital, share in the risks of real estate developments, and share in the operating expenses. More importantly, it allows us to better manage the deployment of our capital and increase our leasing portfolio.</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(loss)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Petro Travel Plaza Holdings LLC</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8,253</w:t>
            </w:r>
          </w:p>
        </w:tc>
        <w:tc>
          <w:tcPr>
            <w:tcW w:w="160" w:type="dxa"/>
            <w:vAlign w:val="bottom"/>
          </w:tcPr>
          <w:p>
            <w:pPr>
              <w:spacing w:after="0"/>
              <w:rPr>
                <w:sz w:val="19"/>
                <w:szCs w:val="19"/>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6,288</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8,526</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18-19 West, LLC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TRCC/Rock Outlet Center, LLC</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TRC-MRC 1, LLC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TRC-MRC 2, LLC</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TRC-MRC 3, LLC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TRC-MRC 4, LLC</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TRC-MRC 5, LLC</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earnings of unconsolidated joint ventures, net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10,881</w:t>
            </w:r>
          </w:p>
        </w:tc>
        <w:tc>
          <w:tcPr>
            <w:tcW w:w="1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8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7,752</w:t>
            </w:r>
          </w:p>
        </w:tc>
      </w:tr>
    </w:tbl>
    <w:p>
      <w:pPr>
        <w:ind w:left="120" w:hanging="80"/>
        <w:spacing w:after="0" w:line="195" w:lineRule="auto"/>
        <w:tabs>
          <w:tab w:leader="none" w:pos="12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TRC-DP1 had no operating activities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-123825</wp:posOffset>
            </wp:positionV>
            <wp:extent cx="7113905"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Operational Highlights: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2024, equity in earnings from unconsolidated joint ventures increased $4,013,000, or 58%, to $10,881,000 when compared to $6,868,000 in 2023.</w:t>
      </w:r>
    </w:p>
    <w:p>
      <w:pPr>
        <w:spacing w:after="0" w:line="165"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Petro Travel Plaza equity in earnings increased $1,965,000 or 31% when compared to 2023, which is largely attributable to higher fuel margins.</w:t>
      </w:r>
    </w:p>
    <w:p>
      <w:pPr>
        <w:spacing w:after="0" w:line="165"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 earnings for our TRC-MRC LLC joint ventures increased by $1,613,000 due to higher rental rates or rental escalations, and the new revenue stream generated by the completed industrial building of the TRC-MRC 5, LLC joint venture.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equity in loss from the TRCC/Rock Outlet Center joint venture decreased by $435,000 compared to 2023 because of improved occupancy.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Operational Highlights: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2023, equity in earnings from unconsolidated joint ventures decreased $884,000, or 11%, to $6,868,000 when compared to $7,752,000 in 2022.</w:t>
      </w:r>
    </w:p>
    <w:p>
      <w:pPr>
        <w:spacing w:after="0" w:line="165" w:lineRule="exact"/>
        <w:rPr>
          <w:sz w:val="20"/>
          <w:szCs w:val="20"/>
          <w:color w:val="auto"/>
        </w:rPr>
      </w:pPr>
    </w:p>
    <w:p>
      <w:pPr>
        <w:ind w:left="620" w:right="30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Petro Travel Plaza equity in earnings decreased $2,238,000 or 26% when compared to 2022, which is largely attributable to lower fuel margins in 2023, we don't expect this drop in fuel margins to continue in 2024.</w:t>
      </w:r>
    </w:p>
    <w:p>
      <w:pPr>
        <w:spacing w:after="0" w:line="99" w:lineRule="exact"/>
        <w:rPr>
          <w:rFonts w:ascii="Times New Roman" w:cs="Times New Roman" w:eastAsia="Times New Roman" w:hAnsi="Times New Roman"/>
          <w:sz w:val="17"/>
          <w:szCs w:val="17"/>
          <w:color w:val="auto"/>
        </w:rPr>
      </w:pPr>
    </w:p>
    <w:p>
      <w:pPr>
        <w:jc w:val="both"/>
        <w:ind w:left="620" w:right="16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decrease is partially offset by increases in equity in earnings of TRC-MRC 1, LLC and TRC-MRC 2, LLC joint ventures, mainly attributable to a combination of new leases at higher rental rates and rent escalations. Moreover, the lease within the TRC-MRC 4, LLC joint venture commenced in late 2022, bringing on a new revenue stream for the Company.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006EBF"/>
        </w:rPr>
        <w:t>Income Taxes</w:t>
      </w:r>
    </w:p>
    <w:p>
      <w:pPr>
        <w:spacing w:after="0" w:line="16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For the twelve months ended December 31, 2024, the Company's net income tax expense was $976,000 compared to $2,323,000 for the twelve months ended December 31, 2023. These amounts represent effective income tax rates of approximately 27% and 42% for the twelve months ended December 31, 2024 and 2023, respectively. Our effective income tax rate for the year ended December 31, 2024 was comparable to the federal statutory rate in the United States, with minor adjustments due to temporary differences. As of December 31, 2024 and 2023, we had income tax receivable of $1,279,000 and $1,245,000, respectively.</w:t>
      </w:r>
    </w:p>
    <w:p>
      <w:pPr>
        <w:spacing w:after="0" w:line="1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As of December 31, 2024, we had net deferred tax liabilities of $9,059,000 compared to $8,269,000 as of December 31, 2023. Our largest deferred tax assets were made up of temporary differences related to stock compensation, deferred gains, pension adjustments, an interest rate swap, and capitalization of costs. Deferred tax liabilities consist of joint venture differences, depreciation, deferred gains, and an interest rate swap. Due to the nature of most of our deferred tax assets, we believe they will be used in future years and an allowance is not necessary.</w:t>
      </w:r>
    </w:p>
    <w:p>
      <w:pPr>
        <w:spacing w:after="0" w:line="12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The Company classifies interest and penalties incurred on tax payments as income tax expenses. The Company made income tax payments of $315,000 in 2024 and $2,564,000 in 2023. The Company received refunds of $1,000 in 2024 and $0 in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details, see Note 11. (Income Taxes), of the Notes to Consolidated Financial Statements, included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Liquidity and Capital Resources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Cash Flow and Liquidity</w:t>
      </w:r>
    </w:p>
    <w:p>
      <w:pPr>
        <w:spacing w:after="0" w:line="16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To enhance shareholder value over the long term, we expect to continue to invest funds towards vertical development within our active commercial and industrial development, including construction on Terra Vista at Tejon, our new multi-family apartment community located immediately adjacent to the Outlets at Tejon at TRCC. We will also make investments as necessary in our real estate segments to secure land entitlement approvals, build infrastructure for our developments, invest in to be leased assets,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12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Our cash and cash equivalents and marketable securities totaled approximately $53,708,000 at December 31, 2024, a decrease of $10,755,000, or 17%, from the corresponding amount at the end of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cash flow activities for the following years ended December 31: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 in thousands)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14,314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center"/>
              <w:ind w:left="754"/>
              <w:spacing w:after="0"/>
              <w:rPr>
                <w:sz w:val="20"/>
                <w:szCs w:val="20"/>
                <w:color w:val="auto"/>
              </w:rPr>
            </w:pPr>
            <w:r>
              <w:rPr>
                <w:rFonts w:ascii="Times New Roman" w:cs="Times New Roman" w:eastAsia="Times New Roman" w:hAnsi="Times New Roman"/>
                <w:sz w:val="17"/>
                <w:szCs w:val="17"/>
                <w:color w:val="auto"/>
                <w:w w:val="99"/>
              </w:rPr>
              <w:t>8,531</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(25,748)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(14,002)</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(1,891)</w:t>
            </w: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18,794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(4,419)</w:t>
            </w:r>
          </w:p>
        </w:tc>
      </w:tr>
    </w:tbl>
    <w:p>
      <w:pPr>
        <w:spacing w:after="0" w:line="2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resources segment.</w:t>
      </w:r>
    </w:p>
    <w:p>
      <w:pPr>
        <w:spacing w:after="0" w:line="16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7"/>
          <w:szCs w:val="17"/>
          <w:color w:val="auto"/>
        </w:rPr>
        <w:t>During 2024, our operations generated $14,314,000 in cash. The distributions from joint ventures are largely attributed to the increasing earnings from the joint ventures due to improved fuel margins and rent rates, and an increased current liabilities balance.</w:t>
      </w:r>
    </w:p>
    <w:p>
      <w:pPr>
        <w:spacing w:after="0" w:line="177"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7"/>
          <w:szCs w:val="17"/>
          <w:color w:val="auto"/>
        </w:rPr>
        <w:t>During 2023, our operations generated $13,655,000 in cash primarily through joint venture distributions. The distributions from joint ventures are largely attributed to changes in loan covenants that allowed additional cash to be distributed in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During 2024, investing activities used $25,748,000, which was largely attributed to capital expenditures of $57,234,000 used primarily for real estate development. Of the $57,234,000, we primarily used $43,018,000 to develop multi-family units, road, and water infrastructures at TRCC. We also spent $3,014,000 on permitting efforts for MV, $3,963,000 on litigation defense for Centennial, and $1,417,000 on permitting efforts for Grapevine. All real estate capital expenditures are inclusive of capitalized interest, payroll and overhead. Our farming segment had cash outlays of $4,891,000 for cultural and water costs tied to crops not yet in production, developing new almond and olive orchards, and replacing old farm equipment. Additionally, our mineral resources segment spent $8,874,000 to acquire water for use as needed and for future residential development activity. Lastly, the Company reinvested $73,995,000 into marketable securities. Offsetting cash outlays were maturities on marketable securities of $92,605,000, distributions from unconsolidated joint ventures of $6,336,000, and CFD reimbursements of $15,745,000.</w:t>
      </w:r>
    </w:p>
    <w:p>
      <w:pPr>
        <w:spacing w:after="0" w:line="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During 2023, investing activities used $14,002,000, which was largely attributed to capital expenditures of $21,328,000 used primarily for real estate development. Of the $21,328,000, we spent $2,111,000 on permitting efforts for MV, $4,341,000 on litigation defense for Centennial, and $1,436,000 on permitting efforts for Grapevine. At TRCC, we primarily used $7,815,000 to develop road and water infrastructures. All real estate capital expenditures are inclusive of capitalized interest, payroll and overhead. Lastly, our farming segment had cash outlays of $4,870,000 for cultural and water costs tied to crops not yet in production, developing new almond orchards, grape vineyards, and replacing old farm equipment. Additionally, our mineral resources segment spent $6,034,000 to acquire water for use as needed and for future residential development activity. We also contributed $4,500,000 to our unconsolidated joint ventures during the year. Lastly, the Company reinvested $132,317,000 into marketable securities. The increase in investment activities is due to the short-term nature of our marketable securities and the reinvestment of maturities until the cash is needed for operational and development activities. Offsetting cash outlays were maturities on marketable securities of $134,083,000, distributions from unconsolidated joint ventures of $10,978,000, proceeds from water sales of $1,324,000 and proceeds from the interest rate swap settlement of $3,715,000.</w:t>
      </w:r>
    </w:p>
    <w:p>
      <w:pPr>
        <w:spacing w:after="0" w:line="2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estimated capital investment for 2025 is primarily related to our real estate projects as it was in 2024. These estimated investments include approximately $45,341,000 of development costs at TRCC-East. Of that amount, $29,657,000 is to complete the Terra Vista at Tejon multi-family project phase 1 development and $10,072,000 for road infrastructures, water treatment system improvements, and expansion of the wastewater treatment plant for future anticipated absorption. We expect to possibly invest up to $8,591,000 for entitlement and permitting activities, predevelopment activities and land planning design at MV and Grapevine and litigation defense and supplemental recirculated environmental impact report preparation for Centennial. All real estate capital expenditures are inclusive of capitalized interest, payroll and overhead. The timing of these investments is dependent on our coordination efforts with Los Angeles County regarding litigation defense for Centennial, permitting activities for Grapevine, and design, civil engineering, land planning and design for MV. Our efforts within our master plan projects are managed to minimize each year's investment. Our plans also include $8,322,000 for payment of annual water inventory and water related investments. We are also investing approximately $3,542,000 to continue a farm redevelopment program, and $511,000 in the normal replacement of operating equipment, such as ranch equipment, and vehicles.</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2024 and 2023, of $4,353,000 and $3,098,000, respectively, is classified in real estate development. We also capitalized payroll costs related to development, pre-construction, and construction projects, which aggregated $2,884,000 and $2,270,000 for the years ended December 31, 2024 and 2023, respectively. Expenditures for repairs and maintenance are expensed as incurred. As noted above, these costs are included in the above investment numbers.</w:t>
      </w:r>
    </w:p>
    <w:p>
      <w:pPr>
        <w:spacing w:after="0" w:line="12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During 2024, financing activities generated $18,794,000, which is comprised of borrowings from the line-of-credit facility of $19,000,000 to fund construction projects and other ongoing development such as Terra Vista and TRCC infrastructure, partially offset by the tax payments on vested stock grants of $206,000.</w:t>
      </w:r>
    </w:p>
    <w:p>
      <w:pPr>
        <w:spacing w:after="0" w:line="1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During 2023, financing activities used $6,865,000, which is comprised of long-term debt repayments of $50,357,000 and tax payments on vested stock grants of $3,353,000. This was partially offset by borrowings from the new line-of-credit facility of $47,942,000.</w:t>
      </w:r>
    </w:p>
    <w:p>
      <w:pPr>
        <w:spacing w:after="0" w:line="1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5" w:right="359" w:bottom="1440" w:gutter="0" w:footer="0" w:header="0"/>
        </w:sectPr>
      </w:pPr>
    </w:p>
    <w:bookmarkStart w:id="52" w:name="page53"/>
    <w:bookmarkEnd w:id="52"/>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twelve months to fund internal operations. As we move forward with the completion of the litigation, permitting and engineering design for our master planned communities and prepare to move into the development stage, we may need to secure additional funding in the long-term through either the issuance of equity and/or by securing other forms of financing such as joint ventures equity and debt financing.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Capital Structure and Financial Condition</w:t>
      </w:r>
    </w:p>
    <w:p>
      <w:pPr>
        <w:spacing w:after="0" w:line="169" w:lineRule="exact"/>
        <w:rPr>
          <w:sz w:val="20"/>
          <w:szCs w:val="20"/>
          <w:color w:val="auto"/>
        </w:rPr>
      </w:pPr>
    </w:p>
    <w:p>
      <w:pPr>
        <w:jc w:val="both"/>
        <w:ind w:right="140"/>
        <w:spacing w:after="0" w:line="287" w:lineRule="auto"/>
        <w:rPr>
          <w:sz w:val="20"/>
          <w:szCs w:val="20"/>
          <w:color w:val="auto"/>
        </w:rPr>
      </w:pPr>
      <w:r>
        <w:rPr>
          <w:rFonts w:ascii="Times New Roman" w:cs="Times New Roman" w:eastAsia="Times New Roman" w:hAnsi="Times New Roman"/>
          <w:sz w:val="17"/>
          <w:szCs w:val="17"/>
          <w:color w:val="auto"/>
        </w:rPr>
        <w:t>At December 31, 2024, total capitalization at book value was $555,898,000 consisting of $66,942,000 of debt and $488,956,000 of equity, resulting in a debt-to-total-capitalization ratio of approximately 12.0%, representing an increase when compared to the debt-to-total-capitalization ratio of 9.0% at December 31, 2023.</w:t>
      </w:r>
    </w:p>
    <w:p>
      <w:pPr>
        <w:spacing w:after="0" w:line="10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an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12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7"/>
          <w:szCs w:val="17"/>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1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 Currently there are no letter of credits outstanding.</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interest rate per annum applicable to the Revolving Credit Facility is one-month term SOFR plus an interest rate spread that is based on TRC’s consolidated NLER. The interest rate spread for the NLER has three tiers: (1) 2.75% if the NLER is 55% or more; (2) 2.5% if the NLER is between 35% and less than 55%; and</w:t>
      </w:r>
    </w:p>
    <w:p>
      <w:pPr>
        <w:spacing w:after="0" w:line="1" w:lineRule="exact"/>
        <w:rPr>
          <w:sz w:val="20"/>
          <w:szCs w:val="20"/>
          <w:color w:val="auto"/>
        </w:rPr>
      </w:pPr>
    </w:p>
    <w:p>
      <w:pPr>
        <w:ind w:right="40" w:firstLine="3"/>
        <w:spacing w:after="0" w:line="255" w:lineRule="auto"/>
        <w:tabs>
          <w:tab w:leader="none" w:pos="24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December 31, 2024, the Company's NLER was in tier 3, or less than 35%, and the applicable interest rate spread was 2.25%. We received partial patronage credit in February 2025 of $420,000 which represents 125 basis points from the primary lender. We expect to receive the remaining patronage credit in March 2025 for $206,000 which represents 100 basis point from the other participating lenders.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12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11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1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At December 31, 2024, the Company was in compliance with all financial covenants.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12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As noted above, at December 31, 2024, we had $53,708,000 in cash and securities and as of the filing date of this Form 10-K, we had $93,058,000 available on credit lines to meet any short-term liquidity needs.</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As we move into 2025, we will be evaluating various options for funding the potential start of development projects.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Contractual Cash Obligations</w:t>
      </w:r>
    </w:p>
    <w:p>
      <w:pPr>
        <w:spacing w:after="0" w:line="16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The following table summarizes our contractual cash obligations and commercial commitments as of December 31, 2024, to be paid over the next five years and beyond: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7"/>
                <w:szCs w:val="17"/>
                <w:color w:val="auto"/>
              </w:rPr>
              <w:t>Payments Due by Period</w:t>
            </w: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60"/>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14"/>
              <w:spacing w:after="0" w:line="161" w:lineRule="exact"/>
              <w:rPr>
                <w:sz w:val="20"/>
                <w:szCs w:val="20"/>
                <w:color w:val="auto"/>
              </w:rPr>
            </w:pPr>
            <w:r>
              <w:rPr>
                <w:rFonts w:ascii="Times New Roman" w:cs="Times New Roman" w:eastAsia="Times New Roman" w:hAnsi="Times New Roman"/>
                <w:sz w:val="17"/>
                <w:szCs w:val="17"/>
                <w:color w:val="auto"/>
              </w:rPr>
              <w:t>More than 5</w:t>
            </w:r>
          </w:p>
        </w:tc>
      </w:tr>
      <w:tr>
        <w:trPr>
          <w:trHeight w:val="23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Less than a year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1-3 years</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3-5 years</w:t>
            </w:r>
          </w:p>
        </w:tc>
        <w:tc>
          <w:tcPr>
            <w:tcW w:w="16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years</w:t>
            </w:r>
          </w:p>
        </w:tc>
      </w:tr>
      <w:tr>
        <w:trPr>
          <w:trHeight w:val="19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Contractual Obligations: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Estimated water payments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15,029</w:t>
            </w:r>
          </w:p>
        </w:tc>
        <w:tc>
          <w:tcPr>
            <w:tcW w:w="3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230,920</w:t>
            </w:r>
          </w:p>
        </w:tc>
      </w:tr>
      <w:tr>
        <w:trPr>
          <w:trHeight w:val="219"/>
        </w:trPr>
        <w:tc>
          <w:tcPr>
            <w:tcW w:w="4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Revolving line-of-credit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contract commitments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36,065</w:t>
            </w:r>
          </w:p>
        </w:tc>
        <w:tc>
          <w:tcPr>
            <w:tcW w:w="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r>
      <w:tr>
        <w:trPr>
          <w:trHeight w:val="219"/>
        </w:trPr>
        <w:tc>
          <w:tcPr>
            <w:tcW w:w="4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Defined Benefit Plan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3,011</w:t>
            </w:r>
          </w:p>
        </w:tc>
      </w:tr>
      <w:tr>
        <w:trPr>
          <w:trHeight w:val="219"/>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SERP</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422,807</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52,158</w:t>
            </w:r>
          </w:p>
        </w:tc>
        <w:tc>
          <w:tcPr>
            <w:tcW w:w="16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-1905</wp:posOffset>
            </wp:positionV>
            <wp:extent cx="4314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4190" cy="8255"/>
                    </a:xfrm>
                    <a:prstGeom prst="rect">
                      <a:avLst/>
                    </a:prstGeom>
                    <a:noFill/>
                  </pic:spPr>
                </pic:pic>
              </a:graphicData>
            </a:graphic>
          </wp:anchor>
        </w:drawing>
      </w:r>
    </w:p>
    <w:p>
      <w:pPr>
        <w:ind w:left="80" w:hanging="60"/>
        <w:spacing w:after="0" w:line="236" w:lineRule="auto"/>
        <w:tabs>
          <w:tab w:leader="none" w:pos="8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primarily represents our contractual commitments related to our multifamily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-99695</wp:posOffset>
            </wp:positionV>
            <wp:extent cx="43141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4190" cy="8255"/>
                    </a:xfrm>
                    <a:prstGeom prst="rect">
                      <a:avLst/>
                    </a:prstGeom>
                    <a:noFill/>
                  </pic:spPr>
                </pic:pic>
              </a:graphicData>
            </a:graphic>
          </wp:anchor>
        </w:drawing>
      </w:r>
    </w:p>
    <w:p>
      <w:pPr>
        <w:spacing w:after="0" w:line="28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color w:val="auto"/>
        </w:rPr>
        <w:t>The table above includes only those contracts that include fixed or minimum obligations. It does not include normal purchases, which are made in the ordinary course of business.</w:t>
      </w:r>
    </w:p>
    <w:p>
      <w:pPr>
        <w:spacing w:after="0" w:line="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As discussed in Note 14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2024, we didn't make any pension contributions and we don't expect to make contributions in 2025.</w:t>
      </w:r>
    </w:p>
    <w:p>
      <w:pPr>
        <w:spacing w:after="0" w:line="4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all project permits and entitlements and at a value measurement date five-years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4" w:name="page55"/>
    <w:bookmarkEnd w:id="54"/>
    <w:p>
      <w:pPr>
        <w:ind w:right="20"/>
        <w:spacing w:after="0" w:line="264" w:lineRule="auto"/>
        <w:rPr>
          <w:sz w:val="20"/>
          <w:szCs w:val="20"/>
          <w:color w:val="auto"/>
        </w:rPr>
      </w:pPr>
      <w:r>
        <w:rPr>
          <w:rFonts w:ascii="Times New Roman" w:cs="Times New Roman" w:eastAsia="Times New Roman" w:hAnsi="Times New Roman"/>
          <w:sz w:val="17"/>
          <w:szCs w:val="17"/>
          <w:color w:val="auto"/>
        </w:rPr>
        <w:t>Estimated water payments include the Nickel water purchase contract, which obligates us to purchase 6,693 acre-feet of water annually through 2044 and SWP contracts with WRMWSD,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6EBF"/>
        </w:rPr>
        <w:t>Off-Balance Sheet Arrangements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TRPFFA is a joint powers authority formed by Kern County and TCWD to finance public infrastructure within our Kern County developments. TRPFFA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created two CFD's, the West CFD and the East CFD. The West CFD has placed liens on 420 acres of land to secure payment of special taxes related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$19,540,000 of outstanding bond debt sold by TRPFFA for TRCC-West. The East CFD has placed liens on 1,931 acres of our land to secure payments of special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related to $95,660,000 of outstanding bond debt sold by TRPFFA for TRCC-East. At TRCC-West, the West CFD has no additional bond debt approved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On July 25, 2024, TRPFFA sold bonds which will provide approximately $25,000,000 of improvement funds for the reimbursement of public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infrastructure costs at TRCC-East. At TRCC-East, the East CFD has approximately $18,605,000 of additional bond debt authorized by TRPFFA.</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of December 31, 2024, aggregate outstanding debt of unconsolidated joint ventures was $221,465,000; $20,545,000 of this debt was attributable to the loan for TRCC/Rock Outlet joint venture. This loan was 100% guaranteed at December 31, 2024. All other outstanding debt attributed to our joint ventures have met their respective debt covenants hence not subject to an effective guarantee at December 31, 2024. We do not provide a guarantee on the $11,793,000 of debt related to our joint venture with TA/Petro.</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13"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006EBF"/>
        </w:rPr>
        <w:t>Non-GAAP Financial Measures</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7"/>
                <w:szCs w:val="17"/>
                <w:color w:val="auto"/>
              </w:rPr>
              <w:t>Year-Ended 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 in thousands)</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15,810</w:t>
            </w:r>
          </w:p>
        </w:tc>
        <w:tc>
          <w:tcPr>
            <w:tcW w:w="0" w:type="dxa"/>
            <w:vAlign w:val="bottom"/>
          </w:tcPr>
          <w:p>
            <w:pPr>
              <w:spacing w:after="0"/>
              <w:rPr>
                <w:sz w:val="1"/>
                <w:szCs w:val="1"/>
                <w:color w:val="auto"/>
              </w:rPr>
            </w:pP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 attributed to non-controlling interest</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Consolidated interest income</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Our share of interest expense from unconsolidated joint ventures</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net</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7,393</w:t>
            </w:r>
          </w:p>
        </w:tc>
        <w:tc>
          <w:tcPr>
            <w:tcW w:w="0" w:type="dxa"/>
            <w:vAlign w:val="bottom"/>
          </w:tcPr>
          <w:p>
            <w:pPr>
              <w:spacing w:after="0"/>
              <w:rPr>
                <w:sz w:val="1"/>
                <w:szCs w:val="1"/>
                <w:color w:val="auto"/>
              </w:rPr>
            </w:pP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Consolidated</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Our share of depreciation and amortization from unconsolidated joint ventures</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4,618</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1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9,246</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34,787</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0" w:type="dxa"/>
            <w:vAlign w:val="bottom"/>
          </w:tcPr>
          <w:p>
            <w:pPr>
              <w:spacing w:after="0"/>
              <w:rPr>
                <w:sz w:val="1"/>
                <w:szCs w:val="1"/>
                <w:color w:val="auto"/>
              </w:rPr>
            </w:pP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9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21,386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37,664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900" w:type="dxa"/>
            <w:vAlign w:val="bottom"/>
            <w:vMerge w:val="restart"/>
          </w:tcPr>
          <w:p>
            <w:pPr>
              <w:jc w:val="right"/>
              <w:ind w:right="1654"/>
              <w:spacing w:after="0"/>
              <w:rPr>
                <w:sz w:val="20"/>
                <w:szCs w:val="20"/>
                <w:color w:val="auto"/>
              </w:rPr>
            </w:pPr>
            <w:r>
              <w:rPr>
                <w:rFonts w:ascii="Times New Roman" w:cs="Times New Roman" w:eastAsia="Times New Roman" w:hAnsi="Times New Roman"/>
                <w:sz w:val="17"/>
                <w:szCs w:val="17"/>
                <w:color w:val="auto"/>
                <w:w w:val="82"/>
              </w:rPr>
              <w:t>56</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56" w:name="page57"/>
    <w:bookmarkEnd w:id="56"/>
    <w:p>
      <w:pPr>
        <w:jc w:val="both"/>
        <w:spacing w:after="0" w:line="264" w:lineRule="auto"/>
        <w:rPr>
          <w:sz w:val="20"/>
          <w:szCs w:val="20"/>
          <w:color w:val="auto"/>
        </w:rPr>
      </w:pPr>
      <w:r>
        <w:rPr>
          <w:rFonts w:ascii="Times New Roman" w:cs="Times New Roman" w:eastAsia="Times New Roman" w:hAnsi="Times New Roman"/>
          <w:sz w:val="17"/>
          <w:szCs w:val="17"/>
          <w:color w:val="auto"/>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Year-Ended December 31,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2"/>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operating income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Pastoria Energy Facility</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1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commercial leases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w:t>
            </w: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7,648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61"/>
        </w:trPr>
        <w:tc>
          <w:tcPr>
            <w:tcW w:w="5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Year-Ended December 31,</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2"/>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Commercial/Industrial operating income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24,159</w:t>
            </w:r>
          </w:p>
        </w:tc>
      </w:tr>
      <w:tr>
        <w:trPr>
          <w:trHeight w:val="219"/>
        </w:trPr>
        <w:tc>
          <w:tcPr>
            <w:tcW w:w="5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Plus: Commercial/Industrial depreciation and amortization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1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Plus: General, administrative, cost of sales and other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15,491</w:t>
            </w:r>
          </w:p>
        </w:tc>
      </w:tr>
      <w:tr>
        <w:trPr>
          <w:trHeight w:val="21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Other revenues including land sales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(32,457)</w:t>
            </w: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7,648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schedule reconciles net income from unconsolidated joint ventures to NOI of unconsolidated joint ventures.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w w:val="99"/>
              </w:rPr>
              <w:t>Year-Ended December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 in thousands)</w:t>
            </w:r>
          </w:p>
        </w:tc>
        <w:tc>
          <w:tcPr>
            <w:tcW w:w="1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of unconsolidated joint ventures</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12,662</w:t>
            </w:r>
          </w:p>
        </w:tc>
        <w:tc>
          <w:tcPr>
            <w:tcW w:w="0" w:type="dxa"/>
            <w:vAlign w:val="bottom"/>
          </w:tcPr>
          <w:p>
            <w:pPr>
              <w:spacing w:after="0"/>
              <w:rPr>
                <w:sz w:val="1"/>
                <w:szCs w:val="1"/>
                <w:color w:val="auto"/>
              </w:rPr>
            </w:pPr>
          </w:p>
        </w:tc>
      </w:tr>
      <w:tr>
        <w:trPr>
          <w:trHeight w:val="21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of unconsolidated joint ventures</w:t>
            </w:r>
          </w:p>
        </w:tc>
        <w:tc>
          <w:tcPr>
            <w:tcW w:w="1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5,834</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of unconsolidated joint ventures</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18,496</w:t>
            </w:r>
          </w:p>
        </w:tc>
        <w:tc>
          <w:tcPr>
            <w:tcW w:w="0" w:type="dxa"/>
            <w:vAlign w:val="bottom"/>
          </w:tcPr>
          <w:p>
            <w:pPr>
              <w:spacing w:after="0"/>
              <w:rPr>
                <w:sz w:val="1"/>
                <w:szCs w:val="1"/>
                <w:color w:val="auto"/>
              </w:rPr>
            </w:pPr>
          </w:p>
        </w:tc>
      </w:tr>
      <w:tr>
        <w:trPr>
          <w:trHeight w:val="21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of unconsolidated joint ventures</w:t>
            </w:r>
          </w:p>
        </w:tc>
        <w:tc>
          <w:tcPr>
            <w:tcW w:w="1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8,648</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operating income of unconsolidated joint ventures</w:t>
            </w:r>
          </w:p>
        </w:tc>
        <w:tc>
          <w:tcPr>
            <w:tcW w:w="1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43,910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31,474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27,144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454"/>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9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7" w:name="page58"/>
    <w:bookmarkEnd w:id="57"/>
    <w:p>
      <w:pPr>
        <w:spacing w:after="0" w:line="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006EBF"/>
        </w:rPr>
        <w:t>ITEM 7A.</w:t>
        <w:tab/>
        <w:t>QUANTITATIVE AND QUALITATIVE DISCLOSURES ABOUT MARKET RISK</w:t>
      </w:r>
    </w:p>
    <w:p>
      <w:pPr>
        <w:spacing w:after="0" w:line="169"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Financial Market Risks</w:t>
      </w:r>
    </w:p>
    <w:p>
      <w:pPr>
        <w:spacing w:after="0" w:line="16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Our exposure to financial market risks includes changes to interest rates and credit risks related to marketable securities, interest rates related to our outstanding indebtedness and trade receivables.</w:t>
      </w:r>
    </w:p>
    <w:p>
      <w:pPr>
        <w:spacing w:after="0" w:line="10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14"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Our current RCL has a $66,942,000 outstanding balance. The interest rate on this line of credit can float at a rate equal to one-month term SOFR plus 2.25%, before patronage. During the term of this RCL (which matures in January 2029), the Company can borrow at any time and partially or wholly repay any outstanding borrowings and then re-borrow, as necessary outstanding balances.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ind w:right="100"/>
        <w:spacing w:after="0" w:line="287" w:lineRule="auto"/>
        <w:rPr>
          <w:sz w:val="20"/>
          <w:szCs w:val="20"/>
          <w:color w:val="auto"/>
        </w:rPr>
      </w:pPr>
      <w:r>
        <w:rPr>
          <w:rFonts w:ascii="Times New Roman" w:cs="Times New Roman" w:eastAsia="Times New Roman" w:hAnsi="Times New Roman"/>
          <w:sz w:val="17"/>
          <w:szCs w:val="17"/>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Principal Amount by Expected Maturity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 December 31,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percentage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2029</w:t>
            </w: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Thereafter</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Fair Value</w:t>
            </w:r>
          </w:p>
        </w:tc>
        <w:tc>
          <w:tcPr>
            <w:tcW w:w="0" w:type="dxa"/>
            <w:vAlign w:val="bottom"/>
          </w:tcPr>
          <w:p>
            <w:pPr>
              <w:spacing w:after="0"/>
              <w:rPr>
                <w:sz w:val="1"/>
                <w:szCs w:val="1"/>
                <w:color w:val="auto"/>
              </w:rPr>
            </w:pPr>
          </w:p>
        </w:tc>
      </w:tr>
      <w:tr>
        <w:trPr>
          <w:trHeight w:val="199"/>
        </w:trPr>
        <w:tc>
          <w:tcPr>
            <w:tcW w:w="2880" w:type="dxa"/>
            <w:vAlign w:val="bottom"/>
            <w:vMerge w:val="continue"/>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$737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$14,437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$14,441</w:t>
            </w:r>
          </w:p>
        </w:tc>
        <w:tc>
          <w:tcPr>
            <w:tcW w:w="0" w:type="dxa"/>
            <w:vAlign w:val="bottom"/>
          </w:tcPr>
          <w:p>
            <w:pPr>
              <w:spacing w:after="0"/>
              <w:rPr>
                <w:sz w:val="1"/>
                <w:szCs w:val="1"/>
                <w:color w:val="auto"/>
              </w:rPr>
            </w:pPr>
          </w:p>
        </w:tc>
      </w:tr>
      <w:tr>
        <w:trPr>
          <w:trHeight w:val="219"/>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line-of-credit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$66,942</w:t>
            </w: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$66,942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$66,942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Weighted average interest rate</w:t>
            </w:r>
            <w:r>
              <w:rPr>
                <w:rFonts w:ascii="Times New Roman" w:cs="Times New Roman" w:eastAsia="Times New Roman" w:hAnsi="Times New Roman"/>
                <w:sz w:val="22"/>
                <w:szCs w:val="22"/>
                <w:color w:val="auto"/>
                <w:vertAlign w:val="superscript"/>
              </w:rPr>
              <w:t>1</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S+2.25%</w:t>
            </w: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The effective interest rate on this line of credit is SOFR plus a margin of 2.25%, and the rate was 6.85% as of December 31, 2024, before patronage.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Interest Rate Sensitivity Financial Market Risks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Principal Amount by Expected Maturity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 December 31, 2023</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percentage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c>
          <w:tcPr>
            <w:tcW w:w="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2028</w:t>
            </w:r>
          </w:p>
        </w:tc>
        <w:tc>
          <w:tcPr>
            <w:tcW w:w="1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Thereafter</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Fair Value</w:t>
            </w:r>
          </w:p>
        </w:tc>
        <w:tc>
          <w:tcPr>
            <w:tcW w:w="0" w:type="dxa"/>
            <w:vAlign w:val="bottom"/>
          </w:tcPr>
          <w:p>
            <w:pPr>
              <w:spacing w:after="0"/>
              <w:rPr>
                <w:sz w:val="1"/>
                <w:szCs w:val="1"/>
                <w:color w:val="auto"/>
              </w:rPr>
            </w:pPr>
          </w:p>
        </w:tc>
      </w:tr>
      <w:tr>
        <w:trPr>
          <w:trHeight w:val="199"/>
        </w:trPr>
        <w:tc>
          <w:tcPr>
            <w:tcW w:w="2880" w:type="dxa"/>
            <w:vAlign w:val="bottom"/>
            <w:vMerge w:val="continue"/>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$32,576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$32,576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$32,556</w:t>
            </w:r>
          </w:p>
        </w:tc>
        <w:tc>
          <w:tcPr>
            <w:tcW w:w="0" w:type="dxa"/>
            <w:vAlign w:val="bottom"/>
          </w:tcPr>
          <w:p>
            <w:pPr>
              <w:spacing w:after="0"/>
              <w:rPr>
                <w:sz w:val="1"/>
                <w:szCs w:val="1"/>
                <w:color w:val="auto"/>
              </w:rPr>
            </w:pPr>
          </w:p>
        </w:tc>
      </w:tr>
      <w:tr>
        <w:trPr>
          <w:trHeight w:val="219"/>
        </w:trPr>
        <w:tc>
          <w:tcPr>
            <w:tcW w:w="2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line-of-credit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$47,942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$47,942</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Weighted average interest rate</w:t>
            </w:r>
            <w:r>
              <w:rPr>
                <w:rFonts w:ascii="Times New Roman" w:cs="Times New Roman" w:eastAsia="Times New Roman" w:hAnsi="Times New Roman"/>
                <w:sz w:val="22"/>
                <w:szCs w:val="22"/>
                <w:color w:val="auto"/>
                <w:vertAlign w:val="superscript"/>
              </w:rPr>
              <w:t>1</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S+2.25%</w:t>
            </w: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The effective interest rate on this line of credit is SOFR plus a margin of 2.25%, and the rate was 7.59% as of December 31, 2023, before patronage.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Commodity Price Exposure</w:t>
      </w:r>
    </w:p>
    <w:p>
      <w:pPr>
        <w:spacing w:after="0" w:line="16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of December 31, 2024, we have exposure to adverse price fluctuations associated with certain inventories and accounts receivable. Farming inventories consist of farming cultural and processing costs related to 2024 and 2023 crop production. The farming costs inventoried are recorded as actual costs are incurred. Historically, these costs have been recovered each year when that year’s crop harvest has been sold.</w:t>
      </w:r>
    </w:p>
    <w:p>
      <w:pPr>
        <w:spacing w:after="0" w:line="11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With respect to accounts receivable, the amount at risk relates primarily to farm crops. These receivables are recorded based on estimated final pricing. The final price is generally not known for several months following the close of our fiscal year. Of the $7,916,000 in outstanding receivables at December 31, 2024, no receivables were at risk for changing prices as there was no pistachio yield in 2024.</w:t>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006EBF"/>
        </w:rPr>
        <w:t>ITEM 8.</w:t>
      </w:r>
      <w:r>
        <w:rPr>
          <w:sz w:val="20"/>
          <w:szCs w:val="20"/>
          <w:color w:val="auto"/>
        </w:rPr>
        <w:tab/>
      </w:r>
      <w:r>
        <w:rPr>
          <w:rFonts w:ascii="Times New Roman" w:cs="Times New Roman" w:eastAsia="Times New Roman" w:hAnsi="Times New Roman"/>
          <w:sz w:val="16"/>
          <w:szCs w:val="16"/>
          <w:b w:val="1"/>
          <w:bCs w:val="1"/>
          <w:color w:val="006EBF"/>
        </w:rPr>
        <w:t>FINANCIAL STATEMENTS AND SUPPLEMENTARY DATA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response to this Item is submitted in a separate section of this Form 10-K.</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006EBF"/>
        </w:rPr>
        <w:t>ITEM 9.</w:t>
        <w:tab/>
        <w:t>CHANGES IN AND DISAGREEMENTS WITH ACCOUNTANTS ON ACCOUNTING AND FINANCIAL DISCLOSURE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9" w:name="page60"/>
    <w:bookmarkEnd w:id="59"/>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006EBF"/>
        </w:rPr>
        <w:t>ITEM 9A.</w:t>
        <w:tab/>
        <w:t>CONTROLS AND PROCEDURES</w:t>
      </w:r>
    </w:p>
    <w:p>
      <w:pPr>
        <w:spacing w:after="0" w:line="169" w:lineRule="exact"/>
        <w:rPr>
          <w:sz w:val="20"/>
          <w:szCs w:val="20"/>
          <w:color w:val="auto"/>
        </w:rPr>
      </w:pPr>
    </w:p>
    <w:p>
      <w:pPr>
        <w:ind w:left="540" w:hanging="537"/>
        <w:spacing w:after="0"/>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2024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28" w:lineRule="exact"/>
        <w:rPr>
          <w:sz w:val="20"/>
          <w:szCs w:val="20"/>
          <w:color w:val="auto"/>
        </w:rPr>
      </w:pPr>
    </w:p>
    <w:p>
      <w:pPr>
        <w:ind w:left="540" w:hanging="537"/>
        <w:spacing w:after="0"/>
        <w:tabs>
          <w:tab w:leader="none" w:pos="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 Over Financial Reporting</w:t>
      </w:r>
    </w:p>
    <w:p>
      <w:pPr>
        <w:spacing w:after="0" w:line="16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(c)</w:t>
        <w:tab/>
        <w:t>Management’s Report on Internal Control Over Financial Reporting</w:t>
      </w:r>
    </w:p>
    <w:p>
      <w:pPr>
        <w:spacing w:after="0" w:line="1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or COSO. Management’s assessment included an evaluation of the design of the Company’s internal control over financial reporting and testing of the operational effectiveness of the Company’s internal control over financial reporting.</w:t>
      </w:r>
    </w:p>
    <w:p>
      <w:pPr>
        <w:spacing w:after="0" w:line="122"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7"/>
          <w:szCs w:val="17"/>
          <w:color w:val="auto"/>
        </w:rPr>
        <w:t>Based on this assessment, management did not identify any material weakness in the Company’s internal control, and management has concluded that the Company’s internal control over financial reporting was effective as of December 31, 2024.</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006EBF"/>
        </w:rPr>
        <w:t>ITEM 9B.</w:t>
      </w:r>
      <w:r>
        <w:rPr>
          <w:sz w:val="20"/>
          <w:szCs w:val="20"/>
          <w:color w:val="auto"/>
        </w:rPr>
        <w:tab/>
      </w:r>
      <w:r>
        <w:rPr>
          <w:rFonts w:ascii="Times New Roman" w:cs="Times New Roman" w:eastAsia="Times New Roman" w:hAnsi="Times New Roman"/>
          <w:sz w:val="16"/>
          <w:szCs w:val="16"/>
          <w:b w:val="1"/>
          <w:bCs w:val="1"/>
          <w:color w:val="006EBF"/>
        </w:rPr>
        <w:t>OTHER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006EBF"/>
        </w:rPr>
        <w:t>ITEM 9C.</w:t>
        <w:tab/>
        <w:t>DISCLOSURE REGARDING FOREIGN JURISDICTIONS THAT PREVENT INSPECTIONS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III</w:t>
      </w:r>
    </w:p>
    <w:p>
      <w:pPr>
        <w:spacing w:after="0" w:line="2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006EBF"/>
        </w:rPr>
        <w:t>ITEM 10.</w:t>
        <w:tab/>
        <w:t>DIRECTORS, EXECUTIVE OFFICERS AND CORPORATE GOVERNANCE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Information as to our Executive Officers is set forth in Part I, Item 1 of this Form 10-K under “Information about our Executive Officers” and information as to our Code of Business Conducts and Ethics is set forth in Part I, Item 1 of this Form 10-K under "Reports." The other information required by this Item is incorporated by reference from the definitive proxy statement to be filed by us with the SEC with respect to our 2025 Annual Meeting of Stockholders and will be found under the captions “The Election of Directors,” “Insider Trading Policy,” “Code of Business Conduct and Ethics and Corporate Governance Guidelines,” “Corporate Governance Matters” and, if applicable, “Delinquent Section 16(a) Reports.”</w:t>
      </w:r>
    </w:p>
    <w:p>
      <w:pPr>
        <w:spacing w:after="0" w:line="2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006EBF"/>
        </w:rPr>
        <w:t>ITEM 11.</w:t>
        <w:tab/>
        <w:t>EXECUTIVE COMPENSATION</w:t>
      </w:r>
    </w:p>
    <w:p>
      <w:pPr>
        <w:spacing w:after="0" w:line="10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definitive proxy statement to be filed by us with the SEC with respect to our 2025 Annual Meeting of Stockholders and will be found under the captions “Compensation Discussion and Analysis,” "Pay Ratio Disclosure," "Pay versus Performance," and “Compensation Committee Report.”</w:t>
      </w:r>
    </w:p>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006EBF"/>
        </w:rPr>
        <w:t>ITEM 12.</w:t>
        <w:tab/>
        <w:t>SECURITY OWNERSHIP OF CERTAIN BENEFICIAL OWNERS AND MANAGEMENT AND RELATED STOCKHOLDER MATTERS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Security Ownership of Certain Beneficial Owners and Management.</w:t>
      </w:r>
    </w:p>
    <w:p>
      <w:pPr>
        <w:spacing w:after="0" w:line="16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Information required by this Item with respect to security ownership of certain beneficial owners and management is incorporated by reference from the definitive proxy statement to be filed by us with the SEC with respect to our 2025 Annual Meeting of Stockholders and will be found under the caption "Stock Ownership of Certain Beneficial Owners and Management."</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 Securities Authorized for Issuance under Equity Compensation Plans.</w:t>
      </w:r>
    </w:p>
    <w:p>
      <w:pPr>
        <w:spacing w:after="0" w:line="1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following table shows aggregated information as of December 31, 2024 with respect to all of our compensation plans under which our equity securities were authorized for issuance. At December 31, 2024,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10 (Stock Compensation - Restricted Stock and Performance Share Grants) of the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Plans Approved by Security Holders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Equity</w:t>
            </w: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Number of securities remaining</w:t>
            </w:r>
          </w:p>
        </w:tc>
        <w:tc>
          <w:tcPr>
            <w:tcW w:w="0" w:type="dxa"/>
            <w:vAlign w:val="bottom"/>
          </w:tcPr>
          <w:p>
            <w:pPr>
              <w:spacing w:after="0"/>
              <w:rPr>
                <w:sz w:val="1"/>
                <w:szCs w:val="1"/>
                <w:color w:val="auto"/>
              </w:rPr>
            </w:pPr>
          </w:p>
        </w:tc>
      </w:tr>
      <w:tr>
        <w:trPr>
          <w:trHeight w:val="136"/>
        </w:trPr>
        <w:tc>
          <w:tcPr>
            <w:tcW w:w="2820" w:type="dxa"/>
            <w:vAlign w:val="bottom"/>
            <w:gridSpan w:val="2"/>
            <w:vMerge w:val="continue"/>
          </w:tcPr>
          <w:p>
            <w:pPr>
              <w:spacing w:after="0"/>
              <w:rPr>
                <w:sz w:val="11"/>
                <w:szCs w:val="11"/>
                <w:color w:val="auto"/>
              </w:rPr>
            </w:pPr>
          </w:p>
        </w:tc>
        <w:tc>
          <w:tcPr>
            <w:tcW w:w="2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6"/>
              </w:rPr>
              <w:t>Number of securities to be</w:t>
            </w: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5"/>
              </w:rPr>
              <w:t>Weighted-average</w:t>
            </w:r>
          </w:p>
        </w:tc>
        <w:tc>
          <w:tcPr>
            <w:tcW w:w="27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available for future issuance</w:t>
            </w:r>
          </w:p>
        </w:tc>
        <w:tc>
          <w:tcPr>
            <w:tcW w:w="0" w:type="dxa"/>
            <w:vAlign w:val="bottom"/>
          </w:tcPr>
          <w:p>
            <w:pPr>
              <w:spacing w:after="0"/>
              <w:rPr>
                <w:sz w:val="1"/>
                <w:szCs w:val="1"/>
                <w:color w:val="auto"/>
              </w:rPr>
            </w:pPr>
          </w:p>
        </w:tc>
      </w:tr>
      <w:tr>
        <w:trPr>
          <w:trHeight w:val="129"/>
        </w:trPr>
        <w:tc>
          <w:tcPr>
            <w:tcW w:w="28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w w:val="97"/>
              </w:rPr>
              <w:t>compensation plans</w:t>
            </w:r>
          </w:p>
        </w:tc>
        <w:tc>
          <w:tcPr>
            <w:tcW w:w="2820" w:type="dxa"/>
            <w:vAlign w:val="bottom"/>
            <w:gridSpan w:val="2"/>
            <w:vMerge w:val="continue"/>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2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under equity compensation</w:t>
            </w:r>
          </w:p>
        </w:tc>
        <w:tc>
          <w:tcPr>
            <w:tcW w:w="0" w:type="dxa"/>
            <w:vAlign w:val="bottom"/>
          </w:tcPr>
          <w:p>
            <w:pPr>
              <w:spacing w:after="0"/>
              <w:rPr>
                <w:sz w:val="1"/>
                <w:szCs w:val="1"/>
                <w:color w:val="auto"/>
              </w:rPr>
            </w:pPr>
          </w:p>
        </w:tc>
      </w:tr>
      <w:tr>
        <w:trPr>
          <w:trHeight w:val="142"/>
        </w:trPr>
        <w:tc>
          <w:tcPr>
            <w:tcW w:w="2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7"/>
              </w:rPr>
              <w:t>approved by</w:t>
            </w:r>
          </w:p>
        </w:tc>
        <w:tc>
          <w:tcPr>
            <w:tcW w:w="2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7"/>
              </w:rPr>
              <w:t>issued upon exercise of</w:t>
            </w:r>
          </w:p>
        </w:tc>
        <w:tc>
          <w:tcPr>
            <w:tcW w:w="2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7"/>
              </w:rPr>
              <w:t>exercise price of</w:t>
            </w:r>
          </w:p>
        </w:tc>
        <w:tc>
          <w:tcPr>
            <w:tcW w:w="2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plans (excluding securities</w:t>
            </w:r>
          </w:p>
        </w:tc>
        <w:tc>
          <w:tcPr>
            <w:tcW w:w="0" w:type="dxa"/>
            <w:vAlign w:val="bottom"/>
          </w:tcPr>
          <w:p>
            <w:pPr>
              <w:spacing w:after="0"/>
              <w:rPr>
                <w:sz w:val="1"/>
                <w:szCs w:val="1"/>
                <w:color w:val="auto"/>
              </w:rPr>
            </w:pPr>
          </w:p>
        </w:tc>
      </w:tr>
      <w:tr>
        <w:trPr>
          <w:trHeight w:val="193"/>
        </w:trPr>
        <w:tc>
          <w:tcPr>
            <w:tcW w:w="28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4"/>
                <w:szCs w:val="14"/>
                <w:color w:val="auto"/>
                <w:w w:val="97"/>
              </w:rPr>
              <w:t xml:space="preserve">security holders </w:t>
            </w:r>
            <w:r>
              <w:rPr>
                <w:rFonts w:ascii="Times New Roman" w:cs="Times New Roman" w:eastAsia="Times New Roman" w:hAnsi="Times New Roman"/>
                <w:sz w:val="17"/>
                <w:szCs w:val="17"/>
                <w:color w:val="auto"/>
                <w:w w:val="97"/>
                <w:vertAlign w:val="superscript"/>
              </w:rPr>
              <w:t>1</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outstanding grants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outstanding grants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reflected in column (a))</w:t>
            </w:r>
          </w:p>
        </w:tc>
        <w:tc>
          <w:tcPr>
            <w:tcW w:w="0" w:type="dxa"/>
            <w:vAlign w:val="bottom"/>
          </w:tcPr>
          <w:p>
            <w:pPr>
              <w:spacing w:after="0"/>
              <w:rPr>
                <w:sz w:val="1"/>
                <w:szCs w:val="1"/>
                <w:color w:val="auto"/>
              </w:rPr>
            </w:pPr>
          </w:p>
        </w:tc>
      </w:tr>
      <w:tr>
        <w:trPr>
          <w:trHeight w:val="186"/>
        </w:trPr>
        <w:tc>
          <w:tcPr>
            <w:tcW w:w="2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68"/>
        </w:trPr>
        <w:tc>
          <w:tcPr>
            <w:tcW w:w="282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rPr>
              <w:t>Restricted stock</w:t>
            </w:r>
          </w:p>
        </w:tc>
        <w:tc>
          <w:tcPr>
            <w:tcW w:w="27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312,564</w:t>
            </w:r>
          </w:p>
        </w:tc>
        <w:tc>
          <w:tcPr>
            <w:tcW w:w="100" w:type="dxa"/>
            <w:vAlign w:val="bottom"/>
          </w:tcPr>
          <w:p>
            <w:pPr>
              <w:spacing w:after="0"/>
              <w:rPr>
                <w:sz w:val="14"/>
                <w:szCs w:val="14"/>
                <w:color w:val="auto"/>
              </w:rPr>
            </w:pPr>
          </w:p>
        </w:tc>
        <w:tc>
          <w:tcPr>
            <w:tcW w:w="28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Final price determined</w:t>
            </w:r>
          </w:p>
        </w:tc>
        <w:tc>
          <w:tcPr>
            <w:tcW w:w="27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1,335,180</w:t>
            </w:r>
          </w:p>
        </w:tc>
        <w:tc>
          <w:tcPr>
            <w:tcW w:w="0" w:type="dxa"/>
            <w:vAlign w:val="bottom"/>
          </w:tcPr>
          <w:p>
            <w:pPr>
              <w:spacing w:after="0"/>
              <w:rPr>
                <w:sz w:val="1"/>
                <w:szCs w:val="1"/>
                <w:color w:val="auto"/>
              </w:rPr>
            </w:pPr>
          </w:p>
        </w:tc>
      </w:tr>
      <w:tr>
        <w:trPr>
          <w:trHeight w:val="177"/>
        </w:trPr>
        <w:tc>
          <w:tcPr>
            <w:tcW w:w="282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rPr>
              <w:t>grants and restricted</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color w:val="auto"/>
                <w:w w:val="99"/>
              </w:rPr>
              <w:t>at time of vesting</w:t>
            </w: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7"/>
                <w:szCs w:val="17"/>
                <w:color w:val="auto"/>
              </w:rPr>
              <w:t>stock units at target</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goal achievement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80" w:hanging="77"/>
        <w:spacing w:after="0"/>
        <w:tabs>
          <w:tab w:leader="none" w:pos="8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does not use equity compensation plans that have not been approved by the security holders.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006EBF"/>
        </w:rPr>
        <w:t>ITEM 13.</w:t>
        <w:tab/>
        <w:t>CERTAIN RELATIONSHIPS AND RELATED TRANSACTIONS, AND DIRECTOR INDEPENDENCE</w:t>
      </w:r>
    </w:p>
    <w:p>
      <w:pPr>
        <w:spacing w:after="0" w:line="10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definitive proxy statement to be filed by us with the SEC with respect to our 2025 Annual Meeting of Stockholders and will be found under the captions “Related Person Transactions” and “Corporate Governance Matters.”</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006EBF"/>
        </w:rPr>
        <w:t>ITEM 14.</w:t>
        <w:tab/>
        <w:t>PRINCIPAL ACCOUNTANT FEES AND SERVICES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independent registered public accounting firm is DELOITTE &amp; TOUCHE LLP, Los Angeles, CA, PCAOB Auditor Firm ID: 34.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61" w:name="page62"/>
    <w:bookmarkEnd w:id="61"/>
    <w:p>
      <w:pPr>
        <w:spacing w:after="0" w:line="287"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definitive proxy statement to be filed by us with the SEC with respect to our 2025 Annual Meeting of Stockholders and will be found under the caption "The Ratification of the Appointment of Independent Registered Public Accounting Firm."</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48" w:right="459" w:bottom="1440" w:gutter="0" w:footer="0" w:header="0"/>
        </w:sectPr>
      </w:pPr>
    </w:p>
    <w:bookmarkStart w:id="62" w:name="page63"/>
    <w:bookmarkEnd w:id="62"/>
    <w:p>
      <w:pPr>
        <w:ind w:left="5280"/>
        <w:spacing w:after="0"/>
        <w:rPr>
          <w:sz w:val="20"/>
          <w:szCs w:val="20"/>
          <w:color w:val="auto"/>
        </w:rPr>
      </w:pPr>
      <w:r>
        <w:rPr>
          <w:rFonts w:ascii="Times New Roman" w:cs="Times New Roman" w:eastAsia="Times New Roman" w:hAnsi="Times New Roman"/>
          <w:sz w:val="17"/>
          <w:szCs w:val="17"/>
          <w:b w:val="1"/>
          <w:bCs w:val="1"/>
          <w:u w:val="single" w:color="auto"/>
          <w:color w:val="auto"/>
        </w:rPr>
        <w:t>PART IV</w:t>
      </w:r>
    </w:p>
    <w:p>
      <w:pPr>
        <w:spacing w:after="0" w:line="1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006EBF"/>
        </w:rPr>
        <w:t>ITEM 15.</w:t>
        <w:tab/>
        <w:t>EXHIBITS AND FINANCIAL STATEMENT SCHEDULES</w:t>
      </w:r>
    </w:p>
    <w:p>
      <w:pPr>
        <w:spacing w:after="0" w:line="53" w:lineRule="exact"/>
        <w:rPr>
          <w:sz w:val="20"/>
          <w:szCs w:val="20"/>
          <w:color w:val="auto"/>
        </w:rPr>
      </w:pPr>
    </w:p>
    <w:p>
      <w:pPr>
        <w:ind w:left="20"/>
        <w:spacing w:after="0"/>
        <w:tabs>
          <w:tab w:leader="none" w:pos="9860" w:val="left"/>
        </w:tabs>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Documents filed as part of this report:</w:t>
      </w:r>
      <w:r>
        <w:rPr>
          <w:sz w:val="20"/>
          <w:szCs w:val="20"/>
          <w:color w:val="auto"/>
        </w:rPr>
        <w:tab/>
      </w:r>
      <w:r>
        <w:rPr>
          <w:rFonts w:ascii="Times New Roman" w:cs="Times New Roman" w:eastAsia="Times New Roman" w:hAnsi="Times New Roman"/>
          <w:sz w:val="17"/>
          <w:szCs w:val="17"/>
          <w:u w:val="single" w:color="auto"/>
          <w:color w:val="auto"/>
        </w:rPr>
        <w:t>Page Number</w:t>
      </w:r>
    </w:p>
    <w:p>
      <w:pPr>
        <w:spacing w:after="0" w:line="28" w:lineRule="exact"/>
        <w:rPr>
          <w:sz w:val="20"/>
          <w:szCs w:val="20"/>
          <w:color w:val="auto"/>
        </w:rPr>
      </w:pPr>
    </w:p>
    <w:p>
      <w:pPr>
        <w:ind w:left="520" w:hanging="285"/>
        <w:spacing w:after="0"/>
        <w:tabs>
          <w:tab w:leader="none" w:pos="5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Consolidated Financial Statements:</w:t>
      </w:r>
    </w:p>
    <w:p>
      <w:pPr>
        <w:spacing w:after="0" w:line="24" w:lineRule="exact"/>
        <w:rPr>
          <w:sz w:val="20"/>
          <w:szCs w:val="20"/>
          <w:color w:val="auto"/>
        </w:rPr>
      </w:pPr>
    </w:p>
    <w:tbl>
      <w:tblPr>
        <w:tblLayout w:type="fixed"/>
        <w:tblInd w:w="1060" w:type="dxa"/>
        <w:tblCellMar>
          <w:top w:w="0" w:type="dxa"/>
          <w:left w:w="0" w:type="dxa"/>
          <w:bottom w:w="0" w:type="dxa"/>
          <w:right w:w="0" w:type="dxa"/>
        </w:tblCellMar>
      </w:tblPr>
      <w:tr>
        <w:trPr>
          <w:trHeight w:val="215"/>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1.1</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1.2</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Balance Sheets – As of December 31, 2024 and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1.3</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Statements of Operations - Years Ended December 31, 2024, 2023 and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1.4</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December 31, 2024, 2023 and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1.5</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Statements of Changes of Equity - Years Ended December 31, 2024, 2023 and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1.6</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Consolidated Statements of Cash Flows - Years Ended December 31, 2024, 2023 and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1.7</w:t>
            </w:r>
          </w:p>
        </w:tc>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bl>
    <w:p>
      <w:pPr>
        <w:ind w:left="520" w:right="7580" w:hanging="285"/>
        <w:spacing w:after="0" w:line="269"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Supplemental Financial Statement Schedules: </w:t>
      </w:r>
      <w:r>
        <w:rPr>
          <w:rFonts w:ascii="Times New Roman" w:cs="Times New Roman" w:eastAsia="Times New Roman" w:hAnsi="Times New Roman"/>
          <w:sz w:val="17"/>
          <w:szCs w:val="17"/>
          <w:color w:val="auto"/>
        </w:rPr>
        <w:t>None.</w:t>
      </w:r>
    </w:p>
    <w:tbl>
      <w:tblPr>
        <w:tblLayout w:type="fixed"/>
        <w:tblInd w:w="0" w:type="dxa"/>
        <w:tblCellMar>
          <w:top w:w="0" w:type="dxa"/>
          <w:left w:w="0" w:type="dxa"/>
          <w:bottom w:w="0" w:type="dxa"/>
          <w:right w:w="0" w:type="dxa"/>
        </w:tblCellMar>
      </w:tblPr>
      <w:tr>
        <w:trPr>
          <w:trHeight w:val="180"/>
        </w:trPr>
        <w:tc>
          <w:tcPr>
            <w:tcW w:w="1400" w:type="dxa"/>
            <w:vAlign w:val="bottom"/>
            <w:gridSpan w:val="3"/>
          </w:tcPr>
          <w:p>
            <w:pPr>
              <w:jc w:val="right"/>
              <w:ind w:right="260"/>
              <w:spacing w:after="0" w:line="181" w:lineRule="exact"/>
              <w:rPr>
                <w:sz w:val="20"/>
                <w:szCs w:val="20"/>
                <w:color w:val="auto"/>
              </w:rPr>
            </w:pPr>
            <w:r>
              <w:rPr>
                <w:rFonts w:ascii="Times New Roman" w:cs="Times New Roman" w:eastAsia="Times New Roman" w:hAnsi="Times New Roman"/>
                <w:sz w:val="17"/>
                <w:szCs w:val="17"/>
                <w:color w:val="auto"/>
              </w:rPr>
              <w:t>3  Exhibits:</w:t>
            </w:r>
          </w:p>
        </w:tc>
        <w:tc>
          <w:tcPr>
            <w:tcW w:w="6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w:t>
            </w:r>
          </w:p>
        </w:tc>
        <w:tc>
          <w:tcPr>
            <w:tcW w:w="8500" w:type="dxa"/>
            <w:vAlign w:val="bottom"/>
            <w:gridSpan w:val="2"/>
          </w:tcPr>
          <w:p>
            <w:pPr>
              <w:ind w:left="120"/>
              <w:spacing w:after="0"/>
              <w:rPr>
                <w:rFonts w:ascii="Times New Roman" w:cs="Times New Roman" w:eastAsia="Times New Roman" w:hAnsi="Times New Roman"/>
                <w:sz w:val="17"/>
                <w:szCs w:val="17"/>
                <w:color w:val="auto"/>
              </w:rPr>
            </w:pPr>
            <w:hyperlink r:id="rId100">
              <w:r>
                <w:rPr>
                  <w:rFonts w:ascii="Times New Roman" w:cs="Times New Roman" w:eastAsia="Times New Roman" w:hAnsi="Times New Roman"/>
                  <w:sz w:val="17"/>
                  <w:szCs w:val="17"/>
                  <w:color w:val="auto"/>
                </w:rPr>
                <w:t>Restated Certificate of Incorporation</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1</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3.2</w:t>
            </w:r>
          </w:p>
        </w:tc>
        <w:tc>
          <w:tcPr>
            <w:tcW w:w="8500" w:type="dxa"/>
            <w:vAlign w:val="bottom"/>
            <w:gridSpan w:val="2"/>
          </w:tcPr>
          <w:p>
            <w:pPr>
              <w:ind w:left="120"/>
              <w:spacing w:after="0"/>
              <w:rPr>
                <w:rFonts w:ascii="Times New Roman" w:cs="Times New Roman" w:eastAsia="Times New Roman" w:hAnsi="Times New Roman"/>
                <w:sz w:val="17"/>
                <w:szCs w:val="17"/>
                <w:color w:val="auto"/>
              </w:rPr>
            </w:pPr>
            <w:hyperlink r:id="rId101">
              <w:r>
                <w:rPr>
                  <w:rFonts w:ascii="Times New Roman" w:cs="Times New Roman" w:eastAsia="Times New Roman" w:hAnsi="Times New Roman"/>
                  <w:sz w:val="17"/>
                  <w:szCs w:val="17"/>
                  <w:color w:val="auto"/>
                </w:rPr>
                <w:t>Amended and Restated Bylaws</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2</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4.3</w:t>
            </w:r>
          </w:p>
        </w:tc>
        <w:tc>
          <w:tcPr>
            <w:tcW w:w="8500" w:type="dxa"/>
            <w:vAlign w:val="bottom"/>
            <w:gridSpan w:val="2"/>
          </w:tcPr>
          <w:p>
            <w:pPr>
              <w:ind w:left="120"/>
              <w:spacing w:after="0"/>
              <w:rPr>
                <w:rFonts w:ascii="Times New Roman" w:cs="Times New Roman" w:eastAsia="Times New Roman" w:hAnsi="Times New Roman"/>
                <w:sz w:val="17"/>
                <w:szCs w:val="17"/>
                <w:color w:val="auto"/>
              </w:rPr>
            </w:pPr>
            <w:hyperlink r:id="rId102">
              <w:r>
                <w:rPr>
                  <w:rFonts w:ascii="Times New Roman" w:cs="Times New Roman" w:eastAsia="Times New Roman" w:hAnsi="Times New Roman"/>
                  <w:sz w:val="17"/>
                  <w:szCs w:val="17"/>
                  <w:color w:val="auto"/>
                </w:rPr>
                <w:t>Registration and Reimbursement Agreement</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5</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4.4</w:t>
            </w:r>
          </w:p>
        </w:tc>
        <w:tc>
          <w:tcPr>
            <w:tcW w:w="60" w:type="dxa"/>
            <w:vAlign w:val="bottom"/>
          </w:tcPr>
          <w:p>
            <w:pPr>
              <w:spacing w:after="0"/>
              <w:rPr>
                <w:sz w:val="19"/>
                <w:szCs w:val="19"/>
                <w:color w:val="auto"/>
              </w:rPr>
            </w:pPr>
          </w:p>
        </w:tc>
        <w:tc>
          <w:tcPr>
            <w:tcW w:w="8440" w:type="dxa"/>
            <w:vAlign w:val="bottom"/>
          </w:tcPr>
          <w:p>
            <w:pPr>
              <w:ind w:left="60"/>
              <w:spacing w:after="0"/>
              <w:rPr>
                <w:rFonts w:ascii="Times New Roman" w:cs="Times New Roman" w:eastAsia="Times New Roman" w:hAnsi="Times New Roman"/>
                <w:sz w:val="17"/>
                <w:szCs w:val="17"/>
                <w:color w:val="auto"/>
              </w:rPr>
            </w:pPr>
            <w:hyperlink r:id="rId103">
              <w:r>
                <w:rPr>
                  <w:rFonts w:ascii="Times New Roman" w:cs="Times New Roman" w:eastAsia="Times New Roman" w:hAnsi="Times New Roman"/>
                  <w:sz w:val="17"/>
                  <w:szCs w:val="17"/>
                  <w:color w:val="auto"/>
                </w:rPr>
                <w:t>Description of Securities</w:t>
              </w:r>
            </w:hyperlink>
          </w:p>
        </w:tc>
        <w:tc>
          <w:tcPr>
            <w:tcW w:w="13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FN 48</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4.5</w:t>
            </w:r>
          </w:p>
        </w:tc>
        <w:tc>
          <w:tcPr>
            <w:tcW w:w="8500" w:type="dxa"/>
            <w:vAlign w:val="bottom"/>
            <w:gridSpan w:val="2"/>
          </w:tcPr>
          <w:p>
            <w:pPr>
              <w:ind w:left="120"/>
              <w:spacing w:after="0"/>
              <w:rPr>
                <w:rFonts w:ascii="Times New Roman" w:cs="Times New Roman" w:eastAsia="Times New Roman" w:hAnsi="Times New Roman"/>
                <w:sz w:val="17"/>
                <w:szCs w:val="17"/>
                <w:color w:val="auto"/>
              </w:rPr>
            </w:pPr>
            <w:hyperlink r:id="rId104">
              <w:r>
                <w:rPr>
                  <w:rFonts w:ascii="Times New Roman" w:cs="Times New Roman" w:eastAsia="Times New Roman" w:hAnsi="Times New Roman"/>
                  <w:sz w:val="17"/>
                  <w:szCs w:val="17"/>
                  <w:color w:val="auto"/>
                </w:rPr>
                <w:t>Form of Indenture for Debt</w:t>
              </w:r>
            </w:hyperlink>
          </w:p>
        </w:tc>
        <w:tc>
          <w:tcPr>
            <w:tcW w:w="13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FN 37</w:t>
            </w:r>
          </w:p>
        </w:tc>
      </w:tr>
      <w:tr>
        <w:trPr>
          <w:trHeight w:val="171"/>
        </w:trPr>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4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auto"/>
              </w:rPr>
              <w:t>Water Service Contract with Wheeler Ridge-Maricopa Water Storage District (without exhibits), amendments</w:t>
            </w:r>
          </w:p>
        </w:tc>
        <w:tc>
          <w:tcPr>
            <w:tcW w:w="1340" w:type="dxa"/>
            <w:vAlign w:val="bottom"/>
          </w:tcPr>
          <w:p>
            <w:pPr>
              <w:spacing w:after="0"/>
              <w:rPr>
                <w:sz w:val="14"/>
                <w:szCs w:val="14"/>
                <w:color w:val="auto"/>
              </w:rPr>
            </w:pPr>
          </w:p>
        </w:tc>
      </w:tr>
      <w:tr>
        <w:trPr>
          <w:trHeight w:val="22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10.1</w:t>
            </w: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originally filed under Item 11 to Registrant's Annual Report on Form 10-K</w:t>
            </w:r>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6</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tcPr>
          <w:p>
            <w:pPr>
              <w:spacing w:after="0"/>
              <w:rPr>
                <w:sz w:val="19"/>
                <w:szCs w:val="19"/>
                <w:color w:val="auto"/>
              </w:rPr>
            </w:pPr>
          </w:p>
        </w:tc>
        <w:tc>
          <w:tcPr>
            <w:tcW w:w="8440" w:type="dxa"/>
            <w:vAlign w:val="bottom"/>
          </w:tcPr>
          <w:p>
            <w:pPr>
              <w:ind w:left="60"/>
              <w:spacing w:after="0"/>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*Severance Agreement</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7</w:t>
            </w:r>
          </w:p>
        </w:tc>
      </w:tr>
      <w:tr>
        <w:trPr>
          <w:trHeight w:val="219"/>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10.8</w:t>
            </w:r>
          </w:p>
        </w:tc>
        <w:tc>
          <w:tcPr>
            <w:tcW w:w="60" w:type="dxa"/>
            <w:vAlign w:val="bottom"/>
          </w:tcPr>
          <w:p>
            <w:pPr>
              <w:spacing w:after="0"/>
              <w:rPr>
                <w:sz w:val="19"/>
                <w:szCs w:val="19"/>
                <w:color w:val="auto"/>
              </w:rPr>
            </w:pPr>
          </w:p>
        </w:tc>
        <w:tc>
          <w:tcPr>
            <w:tcW w:w="8440" w:type="dxa"/>
            <w:vAlign w:val="bottom"/>
          </w:tcPr>
          <w:p>
            <w:pPr>
              <w:ind w:left="60"/>
              <w:spacing w:after="0"/>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*Director Compensation Plan</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7</w:t>
            </w:r>
          </w:p>
        </w:tc>
      </w:tr>
      <w:tr>
        <w:trPr>
          <w:trHeight w:val="223"/>
        </w:trPr>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10.9</w:t>
            </w:r>
          </w:p>
        </w:tc>
        <w:tc>
          <w:tcPr>
            <w:tcW w:w="8500" w:type="dxa"/>
            <w:vAlign w:val="bottom"/>
            <w:gridSpan w:val="2"/>
          </w:tcPr>
          <w:p>
            <w:pPr>
              <w:ind w:left="120"/>
              <w:spacing w:after="0"/>
              <w:rPr>
                <w:rFonts w:ascii="Times New Roman" w:cs="Times New Roman" w:eastAsia="Times New Roman" w:hAnsi="Times New Roman"/>
                <w:sz w:val="17"/>
                <w:szCs w:val="17"/>
                <w:color w:val="auto"/>
              </w:rPr>
            </w:pPr>
            <w:hyperlink r:id="rId106">
              <w:r>
                <w:rPr>
                  <w:rFonts w:ascii="Times New Roman" w:cs="Times New Roman" w:eastAsia="Times New Roman" w:hAnsi="Times New Roman"/>
                  <w:sz w:val="17"/>
                  <w:szCs w:val="17"/>
                  <w:color w:val="auto"/>
                </w:rPr>
                <w:t>*Amended and Restated Non-Employee Director Stock Incentive Plan</w:t>
              </w:r>
            </w:hyperlink>
          </w:p>
        </w:tc>
        <w:tc>
          <w:tcPr>
            <w:tcW w:w="1340" w:type="dxa"/>
            <w:vAlign w:val="bottom"/>
          </w:tcPr>
          <w:p>
            <w:pPr>
              <w:jc w:val="center"/>
              <w:ind w:left="774"/>
              <w:spacing w:after="0"/>
              <w:rPr>
                <w:sz w:val="20"/>
                <w:szCs w:val="20"/>
                <w:color w:val="auto"/>
              </w:rPr>
            </w:pPr>
            <w:r>
              <w:rPr>
                <w:rFonts w:ascii="Times New Roman" w:cs="Times New Roman" w:eastAsia="Times New Roman" w:hAnsi="Times New Roman"/>
                <w:sz w:val="17"/>
                <w:szCs w:val="17"/>
                <w:color w:val="auto"/>
              </w:rPr>
              <w:t>FN 8</w:t>
            </w:r>
          </w:p>
        </w:tc>
      </w:tr>
      <w:tr>
        <w:trPr>
          <w:trHeight w:val="318"/>
        </w:trPr>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8440" w:type="dxa"/>
            <w:vAlign w:val="bottom"/>
          </w:tcPr>
          <w:p>
            <w:pPr>
              <w:ind w:left="80"/>
              <w:spacing w:after="0"/>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*Stock Option Agreement Pursuant to the Non-Employee Director Stock Incentive Plan</w:t>
              </w:r>
            </w:hyperlink>
          </w:p>
        </w:tc>
        <w:tc>
          <w:tcPr>
            <w:tcW w:w="13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FN 7</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10.10</w:t>
            </w:r>
          </w:p>
        </w:tc>
        <w:tc>
          <w:tcPr>
            <w:tcW w:w="8440" w:type="dxa"/>
            <w:vAlign w:val="bottom"/>
          </w:tcPr>
          <w:p>
            <w:pPr>
              <w:ind w:left="80"/>
              <w:spacing w:after="0"/>
              <w:rPr>
                <w:rFonts w:ascii="Times New Roman" w:cs="Times New Roman" w:eastAsia="Times New Roman" w:hAnsi="Times New Roman"/>
                <w:sz w:val="17"/>
                <w:szCs w:val="17"/>
                <w:color w:val="auto"/>
              </w:rPr>
            </w:pPr>
            <w:hyperlink r:id="rId107">
              <w:r>
                <w:rPr>
                  <w:rFonts w:ascii="Times New Roman" w:cs="Times New Roman" w:eastAsia="Times New Roman" w:hAnsi="Times New Roman"/>
                  <w:sz w:val="17"/>
                  <w:szCs w:val="17"/>
                  <w:color w:val="auto"/>
                </w:rPr>
                <w:t>*Amended and Restated 1998 Stock Incentive Plan</w:t>
              </w:r>
            </w:hyperlink>
          </w:p>
        </w:tc>
        <w:tc>
          <w:tcPr>
            <w:tcW w:w="13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FN 9</w:t>
            </w:r>
          </w:p>
        </w:tc>
      </w:tr>
      <w:tr>
        <w:trPr>
          <w:trHeight w:val="219"/>
        </w:trPr>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10.10(1)</w:t>
            </w:r>
          </w:p>
        </w:tc>
        <w:tc>
          <w:tcPr>
            <w:tcW w:w="8440" w:type="dxa"/>
            <w:vAlign w:val="bottom"/>
          </w:tcPr>
          <w:p>
            <w:pPr>
              <w:ind w:left="80"/>
              <w:spacing w:after="0"/>
              <w:rPr>
                <w:rFonts w:ascii="Times New Roman" w:cs="Times New Roman" w:eastAsia="Times New Roman" w:hAnsi="Times New Roman"/>
                <w:sz w:val="17"/>
                <w:szCs w:val="17"/>
                <w:color w:val="auto"/>
              </w:rPr>
            </w:pPr>
            <w:hyperlink r:id="rId105">
              <w:r>
                <w:rPr>
                  <w:rFonts w:ascii="Times New Roman" w:cs="Times New Roman" w:eastAsia="Times New Roman" w:hAnsi="Times New Roman"/>
                  <w:sz w:val="17"/>
                  <w:szCs w:val="17"/>
                  <w:color w:val="auto"/>
                </w:rPr>
                <w:t>*Stock Option Agreement Pursuant to the 1998 Stock Incentive Plan</w:t>
              </w:r>
            </w:hyperlink>
          </w:p>
        </w:tc>
        <w:tc>
          <w:tcPr>
            <w:tcW w:w="13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FN 7</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10.12</w:t>
            </w:r>
          </w:p>
        </w:tc>
        <w:tc>
          <w:tcPr>
            <w:tcW w:w="8440" w:type="dxa"/>
            <w:vAlign w:val="bottom"/>
          </w:tcPr>
          <w:p>
            <w:pPr>
              <w:ind w:left="80"/>
              <w:spacing w:after="0"/>
              <w:rPr>
                <w:rFonts w:ascii="Times New Roman" w:cs="Times New Roman" w:eastAsia="Times New Roman" w:hAnsi="Times New Roman"/>
                <w:sz w:val="17"/>
                <w:szCs w:val="17"/>
                <w:color w:val="auto"/>
              </w:rPr>
            </w:pPr>
            <w:hyperlink r:id="rId108">
              <w:r>
                <w:rPr>
                  <w:rFonts w:ascii="Times New Roman" w:cs="Times New Roman" w:eastAsia="Times New Roman" w:hAnsi="Times New Roman"/>
                  <w:sz w:val="17"/>
                  <w:szCs w:val="17"/>
                  <w:color w:val="auto"/>
                </w:rPr>
                <w:t>Ground Lease with Pastoria Energy Facility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10</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10.15</w:t>
            </w:r>
          </w:p>
        </w:tc>
        <w:tc>
          <w:tcPr>
            <w:tcW w:w="8440" w:type="dxa"/>
            <w:vAlign w:val="bottom"/>
          </w:tcPr>
          <w:p>
            <w:pPr>
              <w:ind w:left="80"/>
              <w:spacing w:after="0"/>
              <w:rPr>
                <w:rFonts w:ascii="Times New Roman" w:cs="Times New Roman" w:eastAsia="Times New Roman" w:hAnsi="Times New Roman"/>
                <w:sz w:val="17"/>
                <w:szCs w:val="17"/>
                <w:color w:val="auto"/>
              </w:rPr>
            </w:pPr>
            <w:hyperlink r:id="rId109">
              <w:r>
                <w:rPr>
                  <w:rFonts w:ascii="Times New Roman" w:cs="Times New Roman" w:eastAsia="Times New Roman" w:hAnsi="Times New Roman"/>
                  <w:sz w:val="17"/>
                  <w:szCs w:val="17"/>
                  <w:color w:val="auto"/>
                </w:rPr>
                <w:t>Form of Securities Purchase Agreement</w:t>
              </w:r>
            </w:hyperlink>
          </w:p>
        </w:tc>
        <w:tc>
          <w:tcPr>
            <w:tcW w:w="134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w w:val="97"/>
              </w:rPr>
              <w:t>FN 11</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10.16</w:t>
            </w:r>
          </w:p>
        </w:tc>
        <w:tc>
          <w:tcPr>
            <w:tcW w:w="8440" w:type="dxa"/>
            <w:vAlign w:val="bottom"/>
          </w:tcPr>
          <w:p>
            <w:pPr>
              <w:ind w:left="80"/>
              <w:spacing w:after="0"/>
              <w:rPr>
                <w:rFonts w:ascii="Times New Roman" w:cs="Times New Roman" w:eastAsia="Times New Roman" w:hAnsi="Times New Roman"/>
                <w:sz w:val="17"/>
                <w:szCs w:val="17"/>
                <w:color w:val="auto"/>
              </w:rPr>
            </w:pPr>
            <w:hyperlink r:id="rId110">
              <w:r>
                <w:rPr>
                  <w:rFonts w:ascii="Times New Roman" w:cs="Times New Roman" w:eastAsia="Times New Roman" w:hAnsi="Times New Roman"/>
                  <w:sz w:val="17"/>
                  <w:szCs w:val="17"/>
                  <w:color w:val="auto"/>
                </w:rPr>
                <w:t>Form of Registration Rights Agreement</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12</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10.17</w:t>
            </w:r>
          </w:p>
        </w:tc>
        <w:tc>
          <w:tcPr>
            <w:tcW w:w="8440" w:type="dxa"/>
            <w:vAlign w:val="bottom"/>
          </w:tcPr>
          <w:p>
            <w:pPr>
              <w:ind w:left="80"/>
              <w:spacing w:after="0"/>
              <w:rPr>
                <w:rFonts w:ascii="Times New Roman" w:cs="Times New Roman" w:eastAsia="Times New Roman" w:hAnsi="Times New Roman"/>
                <w:sz w:val="17"/>
                <w:szCs w:val="17"/>
                <w:color w:val="auto"/>
              </w:rPr>
            </w:pPr>
            <w:hyperlink r:id="rId111">
              <w:r>
                <w:rPr>
                  <w:rFonts w:ascii="Times New Roman" w:cs="Times New Roman" w:eastAsia="Times New Roman" w:hAnsi="Times New Roman"/>
                  <w:sz w:val="17"/>
                  <w:szCs w:val="17"/>
                  <w:color w:val="auto"/>
                </w:rPr>
                <w:t>*2004 Stock Incentive Program</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13</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10.18</w:t>
            </w:r>
          </w:p>
        </w:tc>
        <w:tc>
          <w:tcPr>
            <w:tcW w:w="8440" w:type="dxa"/>
            <w:vAlign w:val="bottom"/>
          </w:tcPr>
          <w:p>
            <w:pPr>
              <w:ind w:left="80"/>
              <w:spacing w:after="0"/>
              <w:rPr>
                <w:rFonts w:ascii="Times New Roman" w:cs="Times New Roman" w:eastAsia="Times New Roman" w:hAnsi="Times New Roman"/>
                <w:sz w:val="17"/>
                <w:szCs w:val="17"/>
                <w:color w:val="auto"/>
              </w:rPr>
            </w:pPr>
            <w:hyperlink r:id="rId112">
              <w:r>
                <w:rPr>
                  <w:rFonts w:ascii="Times New Roman" w:cs="Times New Roman" w:eastAsia="Times New Roman" w:hAnsi="Times New Roman"/>
                  <w:sz w:val="17"/>
                  <w:szCs w:val="17"/>
                  <w:color w:val="auto"/>
                </w:rPr>
                <w:t>*Form of Restricted Stock Agreement for Directors</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13</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10.19</w:t>
            </w:r>
          </w:p>
        </w:tc>
        <w:tc>
          <w:tcPr>
            <w:tcW w:w="8440" w:type="dxa"/>
            <w:vAlign w:val="bottom"/>
          </w:tcPr>
          <w:p>
            <w:pPr>
              <w:ind w:left="80"/>
              <w:spacing w:after="0"/>
              <w:rPr>
                <w:rFonts w:ascii="Times New Roman" w:cs="Times New Roman" w:eastAsia="Times New Roman" w:hAnsi="Times New Roman"/>
                <w:sz w:val="17"/>
                <w:szCs w:val="17"/>
                <w:color w:val="auto"/>
              </w:rPr>
            </w:pPr>
            <w:hyperlink r:id="rId113">
              <w:r>
                <w:rPr>
                  <w:rFonts w:ascii="Times New Roman" w:cs="Times New Roman" w:eastAsia="Times New Roman" w:hAnsi="Times New Roman"/>
                  <w:sz w:val="17"/>
                  <w:szCs w:val="17"/>
                  <w:color w:val="auto"/>
                </w:rPr>
                <w:t>*Form of Restricted Stock Unit Agreement</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13</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10.23</w:t>
            </w:r>
          </w:p>
        </w:tc>
        <w:tc>
          <w:tcPr>
            <w:tcW w:w="8440" w:type="dxa"/>
            <w:vAlign w:val="bottom"/>
          </w:tcPr>
          <w:p>
            <w:pPr>
              <w:ind w:left="80"/>
              <w:spacing w:after="0"/>
              <w:rPr>
                <w:rFonts w:ascii="Times New Roman" w:cs="Times New Roman" w:eastAsia="Times New Roman" w:hAnsi="Times New Roman"/>
                <w:sz w:val="17"/>
                <w:szCs w:val="17"/>
                <w:color w:val="auto"/>
              </w:rPr>
            </w:pPr>
            <w:hyperlink r:id="rId114">
              <w:r>
                <w:rPr>
                  <w:rFonts w:ascii="Times New Roman" w:cs="Times New Roman" w:eastAsia="Times New Roman" w:hAnsi="Times New Roman"/>
                  <w:sz w:val="17"/>
                  <w:szCs w:val="17"/>
                  <w:color w:val="auto"/>
                </w:rPr>
                <w:t>Limited Liability Company Agreement of Tejon Mountain Village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14</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10.24</w:t>
            </w:r>
          </w:p>
        </w:tc>
        <w:tc>
          <w:tcPr>
            <w:tcW w:w="8440" w:type="dxa"/>
            <w:vAlign w:val="bottom"/>
          </w:tcPr>
          <w:p>
            <w:pPr>
              <w:ind w:left="80"/>
              <w:spacing w:after="0"/>
              <w:rPr>
                <w:rFonts w:ascii="Times New Roman" w:cs="Times New Roman" w:eastAsia="Times New Roman" w:hAnsi="Times New Roman"/>
                <w:sz w:val="17"/>
                <w:szCs w:val="17"/>
                <w:color w:val="auto"/>
              </w:rPr>
            </w:pPr>
            <w:hyperlink r:id="rId115">
              <w:r>
                <w:rPr>
                  <w:rFonts w:ascii="Times New Roman" w:cs="Times New Roman" w:eastAsia="Times New Roman" w:hAnsi="Times New Roman"/>
                  <w:sz w:val="17"/>
                  <w:szCs w:val="17"/>
                  <w:color w:val="auto"/>
                </w:rPr>
                <w:t>Tejon Ranch Conservation and Land Use Agreement</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15</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10.25</w:t>
            </w:r>
          </w:p>
        </w:tc>
        <w:tc>
          <w:tcPr>
            <w:tcW w:w="8440" w:type="dxa"/>
            <w:vAlign w:val="bottom"/>
          </w:tcPr>
          <w:p>
            <w:pPr>
              <w:ind w:left="80"/>
              <w:spacing w:after="0"/>
              <w:rPr>
                <w:rFonts w:ascii="Times New Roman" w:cs="Times New Roman" w:eastAsia="Times New Roman" w:hAnsi="Times New Roman"/>
                <w:sz w:val="17"/>
                <w:szCs w:val="17"/>
                <w:color w:val="auto"/>
              </w:rPr>
            </w:pPr>
            <w:hyperlink r:id="rId116">
              <w:r>
                <w:rPr>
                  <w:rFonts w:ascii="Times New Roman" w:cs="Times New Roman" w:eastAsia="Times New Roman" w:hAnsi="Times New Roman"/>
                  <w:sz w:val="17"/>
                  <w:szCs w:val="17"/>
                  <w:color w:val="auto"/>
                </w:rPr>
                <w:t>Second Amended and Restated Limited Liability Agreement of Centennial Founders,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16</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10.26</w:t>
            </w:r>
          </w:p>
        </w:tc>
        <w:tc>
          <w:tcPr>
            <w:tcW w:w="8440" w:type="dxa"/>
            <w:vAlign w:val="bottom"/>
          </w:tcPr>
          <w:p>
            <w:pPr>
              <w:ind w:left="80"/>
              <w:spacing w:after="0"/>
              <w:rPr>
                <w:rFonts w:ascii="Times New Roman" w:cs="Times New Roman" w:eastAsia="Times New Roman" w:hAnsi="Times New Roman"/>
                <w:sz w:val="17"/>
                <w:szCs w:val="17"/>
                <w:color w:val="auto"/>
              </w:rPr>
            </w:pPr>
            <w:hyperlink r:id="rId117">
              <w:r>
                <w:rPr>
                  <w:rFonts w:ascii="Times New Roman" w:cs="Times New Roman" w:eastAsia="Times New Roman" w:hAnsi="Times New Roman"/>
                  <w:sz w:val="17"/>
                  <w:szCs w:val="17"/>
                  <w:color w:val="auto"/>
                </w:rPr>
                <w:t>*Executive Employment Agreement - Allen E. Lyda</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17</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10.27</w:t>
            </w:r>
          </w:p>
        </w:tc>
        <w:tc>
          <w:tcPr>
            <w:tcW w:w="8440" w:type="dxa"/>
            <w:vAlign w:val="bottom"/>
          </w:tcPr>
          <w:p>
            <w:pPr>
              <w:ind w:left="80"/>
              <w:spacing w:after="0"/>
              <w:rPr>
                <w:rFonts w:ascii="Times New Roman" w:cs="Times New Roman" w:eastAsia="Times New Roman" w:hAnsi="Times New Roman"/>
                <w:sz w:val="17"/>
                <w:szCs w:val="17"/>
                <w:color w:val="auto"/>
              </w:rPr>
            </w:pPr>
            <w:hyperlink r:id="rId118">
              <w:r>
                <w:rPr>
                  <w:rFonts w:ascii="Times New Roman" w:cs="Times New Roman" w:eastAsia="Times New Roman" w:hAnsi="Times New Roman"/>
                  <w:sz w:val="17"/>
                  <w:szCs w:val="17"/>
                  <w:color w:val="auto"/>
                </w:rPr>
                <w:t>Limited Liability Company Agreement of TRCC/Rock Outlet Center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18</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10.28</w:t>
            </w:r>
          </w:p>
        </w:tc>
        <w:tc>
          <w:tcPr>
            <w:tcW w:w="8440" w:type="dxa"/>
            <w:vAlign w:val="bottom"/>
          </w:tcPr>
          <w:p>
            <w:pPr>
              <w:ind w:left="80"/>
              <w:spacing w:after="0"/>
              <w:rPr>
                <w:rFonts w:ascii="Times New Roman" w:cs="Times New Roman" w:eastAsia="Times New Roman" w:hAnsi="Times New Roman"/>
                <w:sz w:val="17"/>
                <w:szCs w:val="17"/>
                <w:color w:val="auto"/>
              </w:rPr>
            </w:pPr>
            <w:hyperlink r:id="rId119">
              <w:r>
                <w:rPr>
                  <w:rFonts w:ascii="Times New Roman" w:cs="Times New Roman" w:eastAsia="Times New Roman" w:hAnsi="Times New Roman"/>
                  <w:sz w:val="17"/>
                  <w:szCs w:val="17"/>
                  <w:color w:val="auto"/>
                </w:rPr>
                <w:t>Warrant Agreement</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19</w:t>
            </w:r>
          </w:p>
        </w:tc>
      </w:tr>
      <w:tr>
        <w:trPr>
          <w:trHeight w:val="219"/>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10.29</w:t>
            </w:r>
          </w:p>
        </w:tc>
        <w:tc>
          <w:tcPr>
            <w:tcW w:w="8440" w:type="dxa"/>
            <w:vAlign w:val="bottom"/>
          </w:tcPr>
          <w:p>
            <w:pPr>
              <w:ind w:left="80"/>
              <w:spacing w:after="0"/>
              <w:rPr>
                <w:rFonts w:ascii="Times New Roman" w:cs="Times New Roman" w:eastAsia="Times New Roman" w:hAnsi="Times New Roman"/>
                <w:sz w:val="17"/>
                <w:szCs w:val="17"/>
                <w:color w:val="auto"/>
              </w:rPr>
            </w:pPr>
            <w:hyperlink r:id="rId120">
              <w:r>
                <w:rPr>
                  <w:rFonts w:ascii="Times New Roman" w:cs="Times New Roman" w:eastAsia="Times New Roman" w:hAnsi="Times New Roman"/>
                  <w:sz w:val="17"/>
                  <w:szCs w:val="17"/>
                  <w:color w:val="auto"/>
                </w:rPr>
                <w:t>Amendments to Limited Liability Company Agreement of Tejon Mountain Village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20</w:t>
            </w:r>
          </w:p>
        </w:tc>
      </w:tr>
      <w:tr>
        <w:trPr>
          <w:trHeight w:val="223"/>
        </w:trPr>
        <w:tc>
          <w:tcPr>
            <w:tcW w:w="146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10.30</w:t>
            </w:r>
          </w:p>
        </w:tc>
        <w:tc>
          <w:tcPr>
            <w:tcW w:w="8440" w:type="dxa"/>
            <w:vAlign w:val="bottom"/>
          </w:tcPr>
          <w:p>
            <w:pPr>
              <w:ind w:left="80"/>
              <w:spacing w:after="0"/>
              <w:rPr>
                <w:rFonts w:ascii="Times New Roman" w:cs="Times New Roman" w:eastAsia="Times New Roman" w:hAnsi="Times New Roman"/>
                <w:sz w:val="17"/>
                <w:szCs w:val="17"/>
                <w:color w:val="auto"/>
              </w:rPr>
            </w:pPr>
            <w:hyperlink r:id="rId121">
              <w:r>
                <w:rPr>
                  <w:rFonts w:ascii="Times New Roman" w:cs="Times New Roman" w:eastAsia="Times New Roman" w:hAnsi="Times New Roman"/>
                  <w:sz w:val="17"/>
                  <w:szCs w:val="17"/>
                  <w:color w:val="auto"/>
                </w:rPr>
                <w:t>Membership Interest Purchase Agreement - Tejon Mountain Village LLC</w:t>
              </w:r>
            </w:hyperlink>
          </w:p>
        </w:tc>
        <w:tc>
          <w:tcPr>
            <w:tcW w:w="134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rPr>
              <w:t>FN 21</w:t>
            </w:r>
          </w:p>
        </w:tc>
      </w:tr>
      <w:tr>
        <w:trPr>
          <w:trHeight w:val="825"/>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40" w:type="dxa"/>
            <w:vAlign w:val="bottom"/>
          </w:tcPr>
          <w:p>
            <w:pPr>
              <w:ind w:left="4080"/>
              <w:spacing w:after="0"/>
              <w:rPr>
                <w:sz w:val="20"/>
                <w:szCs w:val="20"/>
                <w:color w:val="auto"/>
              </w:rPr>
            </w:pPr>
            <w:r>
              <w:rPr>
                <w:rFonts w:ascii="Times New Roman" w:cs="Times New Roman" w:eastAsia="Times New Roman" w:hAnsi="Times New Roman"/>
                <w:sz w:val="17"/>
                <w:szCs w:val="17"/>
                <w:color w:val="auto"/>
              </w:rPr>
              <w:t>63</w:t>
            </w:r>
          </w:p>
        </w:tc>
        <w:tc>
          <w:tcPr>
            <w:tcW w:w="1340" w:type="dxa"/>
            <w:vAlign w:val="bottom"/>
          </w:tcPr>
          <w:p>
            <w:pPr>
              <w:spacing w:after="0"/>
              <w:rPr>
                <w:sz w:val="24"/>
                <w:szCs w:val="24"/>
                <w:color w:val="auto"/>
              </w:rPr>
            </w:pPr>
          </w:p>
        </w:tc>
      </w:tr>
      <w:tr>
        <w:trPr>
          <w:trHeight w:val="108"/>
        </w:trPr>
        <w:tc>
          <w:tcPr>
            <w:tcW w:w="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3" w:name="page64"/>
    <w:bookmarkEnd w:id="63"/>
    <w:tbl>
      <w:tblPr>
        <w:tblLayout w:type="fixed"/>
        <w:tblInd w:w="760" w:type="dxa"/>
        <w:tblCellMar>
          <w:top w:w="0" w:type="dxa"/>
          <w:left w:w="0" w:type="dxa"/>
          <w:bottom w:w="0" w:type="dxa"/>
          <w:right w:w="0" w:type="dxa"/>
        </w:tblCellMar>
      </w:tblP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10.34</w:t>
            </w:r>
          </w:p>
        </w:tc>
        <w:tc>
          <w:tcPr>
            <w:tcW w:w="8400" w:type="dxa"/>
            <w:vAlign w:val="bottom"/>
          </w:tcPr>
          <w:p>
            <w:pPr>
              <w:ind w:left="60"/>
              <w:spacing w:after="0"/>
              <w:rPr>
                <w:rFonts w:ascii="Times New Roman" w:cs="Times New Roman" w:eastAsia="Times New Roman" w:hAnsi="Times New Roman"/>
                <w:sz w:val="17"/>
                <w:szCs w:val="17"/>
                <w:color w:val="auto"/>
              </w:rPr>
            </w:pPr>
            <w:hyperlink r:id="rId124">
              <w:r>
                <w:rPr>
                  <w:rFonts w:ascii="Times New Roman" w:cs="Times New Roman" w:eastAsia="Times New Roman" w:hAnsi="Times New Roman"/>
                  <w:sz w:val="17"/>
                  <w:szCs w:val="17"/>
                  <w:color w:val="auto"/>
                </w:rPr>
                <w:t>Amendments to Lease Agreement with Pastoria Energy Facility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23</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10.35</w:t>
            </w:r>
          </w:p>
        </w:tc>
        <w:tc>
          <w:tcPr>
            <w:tcW w:w="8400" w:type="dxa"/>
            <w:vAlign w:val="bottom"/>
          </w:tcPr>
          <w:p>
            <w:pPr>
              <w:ind w:left="60"/>
              <w:spacing w:after="0"/>
              <w:rPr>
                <w:rFonts w:ascii="Times New Roman" w:cs="Times New Roman" w:eastAsia="Times New Roman" w:hAnsi="Times New Roman"/>
                <w:sz w:val="17"/>
                <w:szCs w:val="17"/>
                <w:color w:val="auto"/>
              </w:rPr>
            </w:pPr>
            <w:hyperlink r:id="rId125">
              <w:r>
                <w:rPr>
                  <w:rFonts w:ascii="Times New Roman" w:cs="Times New Roman" w:eastAsia="Times New Roman" w:hAnsi="Times New Roman"/>
                  <w:sz w:val="17"/>
                  <w:szCs w:val="17"/>
                  <w:color w:val="auto"/>
                </w:rPr>
                <w:t>Water Supply Agreement with Pastoria Energy Facility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24</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10.37</w:t>
            </w:r>
          </w:p>
        </w:tc>
        <w:tc>
          <w:tcPr>
            <w:tcW w:w="8400" w:type="dxa"/>
            <w:vAlign w:val="bottom"/>
          </w:tcPr>
          <w:p>
            <w:pPr>
              <w:ind w:left="60"/>
              <w:spacing w:after="0"/>
              <w:rPr>
                <w:rFonts w:ascii="Times New Roman" w:cs="Times New Roman" w:eastAsia="Times New Roman" w:hAnsi="Times New Roman"/>
                <w:sz w:val="17"/>
                <w:szCs w:val="17"/>
                <w:color w:val="auto"/>
              </w:rPr>
            </w:pPr>
            <w:hyperlink r:id="rId126">
              <w:r>
                <w:rPr>
                  <w:rFonts w:ascii="Times New Roman" w:cs="Times New Roman" w:eastAsia="Times New Roman" w:hAnsi="Times New Roman"/>
                  <w:sz w:val="17"/>
                  <w:szCs w:val="17"/>
                  <w:color w:val="auto"/>
                </w:rPr>
                <w:t>Limited Liability Company Agreement of TRC-MRC 2,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26</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10.38</w:t>
            </w:r>
          </w:p>
        </w:tc>
        <w:tc>
          <w:tcPr>
            <w:tcW w:w="8400" w:type="dxa"/>
            <w:vAlign w:val="bottom"/>
          </w:tcPr>
          <w:p>
            <w:pPr>
              <w:ind w:left="60"/>
              <w:spacing w:after="0"/>
              <w:rPr>
                <w:rFonts w:ascii="Times New Roman" w:cs="Times New Roman" w:eastAsia="Times New Roman" w:hAnsi="Times New Roman"/>
                <w:sz w:val="17"/>
                <w:szCs w:val="17"/>
                <w:color w:val="auto"/>
              </w:rPr>
            </w:pPr>
            <w:hyperlink r:id="rId127">
              <w:r>
                <w:rPr>
                  <w:rFonts w:ascii="Times New Roman" w:cs="Times New Roman" w:eastAsia="Times New Roman" w:hAnsi="Times New Roman"/>
                  <w:sz w:val="17"/>
                  <w:szCs w:val="17"/>
                  <w:color w:val="auto"/>
                </w:rPr>
                <w:t>Limited Liability Company Agreement of TRC-MRC 1,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27</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10.39</w:t>
            </w:r>
          </w:p>
        </w:tc>
        <w:tc>
          <w:tcPr>
            <w:tcW w:w="8400" w:type="dxa"/>
            <w:vAlign w:val="bottom"/>
          </w:tcPr>
          <w:p>
            <w:pPr>
              <w:ind w:left="60"/>
              <w:spacing w:after="0"/>
              <w:rPr>
                <w:rFonts w:ascii="Times New Roman" w:cs="Times New Roman" w:eastAsia="Times New Roman" w:hAnsi="Times New Roman"/>
                <w:sz w:val="17"/>
                <w:szCs w:val="17"/>
                <w:color w:val="auto"/>
              </w:rPr>
            </w:pPr>
            <w:hyperlink r:id="rId128">
              <w:r>
                <w:rPr>
                  <w:rFonts w:ascii="Times New Roman" w:cs="Times New Roman" w:eastAsia="Times New Roman" w:hAnsi="Times New Roman"/>
                  <w:sz w:val="17"/>
                  <w:szCs w:val="17"/>
                  <w:color w:val="auto"/>
                </w:rPr>
                <w:t xml:space="preserve">Centennial Founders, LLC Redemption and Withdrawal Agreement </w:t>
              </w:r>
            </w:hyperlink>
            <w:r>
              <w:rPr>
                <w:rFonts w:ascii="Times New Roman" w:cs="Times New Roman" w:eastAsia="Times New Roman" w:hAnsi="Times New Roman"/>
                <w:sz w:val="17"/>
                <w:szCs w:val="17"/>
                <w:color w:val="auto"/>
              </w:rPr>
              <w:t>- Lewis Tejon Member</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28</w:t>
            </w:r>
          </w:p>
        </w:tc>
        <w:tc>
          <w:tcPr>
            <w:tcW w:w="0" w:type="dxa"/>
            <w:vAlign w:val="bottom"/>
          </w:tcPr>
          <w:p>
            <w:pPr>
              <w:spacing w:after="0"/>
              <w:rPr>
                <w:sz w:val="1"/>
                <w:szCs w:val="1"/>
                <w:color w:val="auto"/>
              </w:rPr>
            </w:pPr>
          </w:p>
        </w:tc>
      </w:tr>
      <w:tr>
        <w:trPr>
          <w:trHeight w:val="171"/>
        </w:trPr>
        <w:tc>
          <w:tcPr>
            <w:tcW w:w="720" w:type="dxa"/>
            <w:vAlign w:val="bottom"/>
          </w:tcPr>
          <w:p>
            <w:pPr>
              <w:jc w:val="right"/>
              <w:ind w:right="34"/>
              <w:spacing w:after="0" w:line="172" w:lineRule="exact"/>
              <w:rPr>
                <w:sz w:val="20"/>
                <w:szCs w:val="20"/>
                <w:color w:val="auto"/>
              </w:rPr>
            </w:pPr>
            <w:r>
              <w:rPr>
                <w:rFonts w:ascii="Times New Roman" w:cs="Times New Roman" w:eastAsia="Times New Roman" w:hAnsi="Times New Roman"/>
                <w:sz w:val="17"/>
                <w:szCs w:val="17"/>
                <w:color w:val="auto"/>
              </w:rPr>
              <w:t>10.40</w:t>
            </w:r>
          </w:p>
        </w:tc>
        <w:tc>
          <w:tcPr>
            <w:tcW w:w="8400" w:type="dxa"/>
            <w:vAlign w:val="bottom"/>
          </w:tcPr>
          <w:p>
            <w:pPr>
              <w:ind w:left="60"/>
              <w:spacing w:after="0" w:line="172" w:lineRule="exact"/>
              <w:rPr>
                <w:rFonts w:ascii="Times New Roman" w:cs="Times New Roman" w:eastAsia="Times New Roman" w:hAnsi="Times New Roman"/>
                <w:sz w:val="17"/>
                <w:szCs w:val="17"/>
                <w:color w:val="auto"/>
              </w:rPr>
            </w:pPr>
            <w:hyperlink r:id="rId129">
              <w:r>
                <w:rPr>
                  <w:rFonts w:ascii="Times New Roman" w:cs="Times New Roman" w:eastAsia="Times New Roman" w:hAnsi="Times New Roman"/>
                  <w:sz w:val="17"/>
                  <w:szCs w:val="17"/>
                  <w:color w:val="auto"/>
                </w:rPr>
                <w:t>First Amendment to Second Amended and Restated Limited Liability Company Agreement of Centennial Founders,</w:t>
              </w:r>
            </w:hyperlink>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400" w:type="dxa"/>
            <w:vAlign w:val="bottom"/>
          </w:tcPr>
          <w:p>
            <w:pPr>
              <w:ind w:left="60"/>
              <w:spacing w:after="0"/>
              <w:rPr>
                <w:rFonts w:ascii="Times New Roman" w:cs="Times New Roman" w:eastAsia="Times New Roman" w:hAnsi="Times New Roman"/>
                <w:sz w:val="17"/>
                <w:szCs w:val="17"/>
                <w:color w:val="auto"/>
              </w:rPr>
            </w:pPr>
            <w:hyperlink r:id="rId129">
              <w:r>
                <w:rPr>
                  <w:rFonts w:ascii="Times New Roman" w:cs="Times New Roman" w:eastAsia="Times New Roman" w:hAnsi="Times New Roman"/>
                  <w:sz w:val="17"/>
                  <w:szCs w:val="17"/>
                  <w:color w:val="auto"/>
                </w:rPr>
                <w:t>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29</w:t>
            </w:r>
          </w:p>
        </w:tc>
        <w:tc>
          <w:tcPr>
            <w:tcW w:w="0" w:type="dxa"/>
            <w:vAlign w:val="bottom"/>
          </w:tcPr>
          <w:p>
            <w:pPr>
              <w:spacing w:after="0"/>
              <w:rPr>
                <w:sz w:val="1"/>
                <w:szCs w:val="1"/>
                <w:color w:val="auto"/>
              </w:rPr>
            </w:pPr>
          </w:p>
        </w:tc>
      </w:tr>
      <w:tr>
        <w:trPr>
          <w:trHeight w:val="171"/>
        </w:trPr>
        <w:tc>
          <w:tcPr>
            <w:tcW w:w="720" w:type="dxa"/>
            <w:vAlign w:val="bottom"/>
          </w:tcPr>
          <w:p>
            <w:pPr>
              <w:jc w:val="right"/>
              <w:ind w:right="34"/>
              <w:spacing w:after="0" w:line="172" w:lineRule="exact"/>
              <w:rPr>
                <w:sz w:val="20"/>
                <w:szCs w:val="20"/>
                <w:color w:val="auto"/>
              </w:rPr>
            </w:pPr>
            <w:r>
              <w:rPr>
                <w:rFonts w:ascii="Times New Roman" w:cs="Times New Roman" w:eastAsia="Times New Roman" w:hAnsi="Times New Roman"/>
                <w:sz w:val="17"/>
                <w:szCs w:val="17"/>
                <w:color w:val="auto"/>
              </w:rPr>
              <w:t>10.41</w:t>
            </w:r>
          </w:p>
        </w:tc>
        <w:tc>
          <w:tcPr>
            <w:tcW w:w="8400" w:type="dxa"/>
            <w:vAlign w:val="bottom"/>
          </w:tcPr>
          <w:p>
            <w:pPr>
              <w:ind w:left="60"/>
              <w:spacing w:after="0" w:line="172" w:lineRule="exact"/>
              <w:rPr>
                <w:rFonts w:ascii="Times New Roman" w:cs="Times New Roman" w:eastAsia="Times New Roman" w:hAnsi="Times New Roman"/>
                <w:sz w:val="17"/>
                <w:szCs w:val="17"/>
                <w:color w:val="auto"/>
              </w:rPr>
            </w:pPr>
            <w:hyperlink r:id="rId130">
              <w:r>
                <w:rPr>
                  <w:rFonts w:ascii="Times New Roman" w:cs="Times New Roman" w:eastAsia="Times New Roman" w:hAnsi="Times New Roman"/>
                  <w:sz w:val="17"/>
                  <w:szCs w:val="17"/>
                  <w:color w:val="auto"/>
                </w:rPr>
                <w:t>Second Amendment to Second Amended and Restated Limited Liability Company Agreement of Centennial</w:t>
              </w:r>
            </w:hyperlink>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400" w:type="dxa"/>
            <w:vAlign w:val="bottom"/>
          </w:tcPr>
          <w:p>
            <w:pPr>
              <w:ind w:left="60"/>
              <w:spacing w:after="0"/>
              <w:rPr>
                <w:rFonts w:ascii="Times New Roman" w:cs="Times New Roman" w:eastAsia="Times New Roman" w:hAnsi="Times New Roman"/>
                <w:sz w:val="17"/>
                <w:szCs w:val="17"/>
                <w:color w:val="auto"/>
              </w:rPr>
            </w:pPr>
            <w:hyperlink r:id="rId130">
              <w:r>
                <w:rPr>
                  <w:rFonts w:ascii="Times New Roman" w:cs="Times New Roman" w:eastAsia="Times New Roman" w:hAnsi="Times New Roman"/>
                  <w:sz w:val="17"/>
                  <w:szCs w:val="17"/>
                  <w:color w:val="auto"/>
                </w:rPr>
                <w:t>Founders,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30</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10.42</w:t>
            </w:r>
          </w:p>
        </w:tc>
        <w:tc>
          <w:tcPr>
            <w:tcW w:w="8400" w:type="dxa"/>
            <w:vAlign w:val="bottom"/>
          </w:tcPr>
          <w:p>
            <w:pPr>
              <w:ind w:left="60"/>
              <w:spacing w:after="0"/>
              <w:rPr>
                <w:rFonts w:ascii="Times New Roman" w:cs="Times New Roman" w:eastAsia="Times New Roman" w:hAnsi="Times New Roman"/>
                <w:sz w:val="17"/>
                <w:szCs w:val="17"/>
                <w:color w:val="auto"/>
              </w:rPr>
            </w:pPr>
            <w:hyperlink r:id="rId131">
              <w:r>
                <w:rPr>
                  <w:rFonts w:ascii="Times New Roman" w:cs="Times New Roman" w:eastAsia="Times New Roman" w:hAnsi="Times New Roman"/>
                  <w:sz w:val="17"/>
                  <w:szCs w:val="17"/>
                  <w:color w:val="auto"/>
                </w:rPr>
                <w:t>Limited Liability Company Agreement of TRC-MRC 3,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31</w:t>
            </w:r>
          </w:p>
        </w:tc>
        <w:tc>
          <w:tcPr>
            <w:tcW w:w="0" w:type="dxa"/>
            <w:vAlign w:val="bottom"/>
          </w:tcPr>
          <w:p>
            <w:pPr>
              <w:spacing w:after="0"/>
              <w:rPr>
                <w:sz w:val="1"/>
                <w:szCs w:val="1"/>
                <w:color w:val="auto"/>
              </w:rPr>
            </w:pPr>
          </w:p>
        </w:tc>
      </w:tr>
      <w:tr>
        <w:trPr>
          <w:trHeight w:val="171"/>
        </w:trPr>
        <w:tc>
          <w:tcPr>
            <w:tcW w:w="720" w:type="dxa"/>
            <w:vAlign w:val="bottom"/>
          </w:tcPr>
          <w:p>
            <w:pPr>
              <w:jc w:val="right"/>
              <w:ind w:right="34"/>
              <w:spacing w:after="0" w:line="172" w:lineRule="exact"/>
              <w:rPr>
                <w:sz w:val="20"/>
                <w:szCs w:val="20"/>
                <w:color w:val="auto"/>
              </w:rPr>
            </w:pPr>
            <w:r>
              <w:rPr>
                <w:rFonts w:ascii="Times New Roman" w:cs="Times New Roman" w:eastAsia="Times New Roman" w:hAnsi="Times New Roman"/>
                <w:sz w:val="17"/>
                <w:szCs w:val="17"/>
                <w:color w:val="auto"/>
              </w:rPr>
              <w:t>10.43</w:t>
            </w:r>
          </w:p>
        </w:tc>
        <w:tc>
          <w:tcPr>
            <w:tcW w:w="8400" w:type="dxa"/>
            <w:vAlign w:val="bottom"/>
          </w:tcPr>
          <w:p>
            <w:pPr>
              <w:ind w:left="60"/>
              <w:spacing w:after="0" w:line="172" w:lineRule="exact"/>
              <w:rPr>
                <w:rFonts w:ascii="Times New Roman" w:cs="Times New Roman" w:eastAsia="Times New Roman" w:hAnsi="Times New Roman"/>
                <w:sz w:val="17"/>
                <w:szCs w:val="17"/>
                <w:color w:val="auto"/>
              </w:rPr>
            </w:pPr>
            <w:hyperlink r:id="rId132">
              <w:r>
                <w:rPr>
                  <w:rFonts w:ascii="Times New Roman" w:cs="Times New Roman" w:eastAsia="Times New Roman" w:hAnsi="Times New Roman"/>
                  <w:sz w:val="17"/>
                  <w:szCs w:val="17"/>
                  <w:color w:val="auto"/>
                </w:rPr>
                <w:t>Fourth Amendment to Second Amended and Restated Limited Liability Company Agreement of Centennial</w:t>
              </w:r>
            </w:hyperlink>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400" w:type="dxa"/>
            <w:vAlign w:val="bottom"/>
          </w:tcPr>
          <w:p>
            <w:pPr>
              <w:ind w:left="60"/>
              <w:spacing w:after="0"/>
              <w:rPr>
                <w:rFonts w:ascii="Times New Roman" w:cs="Times New Roman" w:eastAsia="Times New Roman" w:hAnsi="Times New Roman"/>
                <w:sz w:val="17"/>
                <w:szCs w:val="17"/>
                <w:color w:val="auto"/>
              </w:rPr>
            </w:pPr>
            <w:hyperlink r:id="rId132">
              <w:r>
                <w:rPr>
                  <w:rFonts w:ascii="Times New Roman" w:cs="Times New Roman" w:eastAsia="Times New Roman" w:hAnsi="Times New Roman"/>
                  <w:sz w:val="17"/>
                  <w:szCs w:val="17"/>
                  <w:color w:val="auto"/>
                </w:rPr>
                <w:t>Founders,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32</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10.44</w:t>
            </w:r>
          </w:p>
        </w:tc>
        <w:tc>
          <w:tcPr>
            <w:tcW w:w="8400" w:type="dxa"/>
            <w:vAlign w:val="bottom"/>
          </w:tcPr>
          <w:p>
            <w:pPr>
              <w:ind w:left="60"/>
              <w:spacing w:after="0"/>
              <w:rPr>
                <w:rFonts w:ascii="Times New Roman" w:cs="Times New Roman" w:eastAsia="Times New Roman" w:hAnsi="Times New Roman"/>
                <w:sz w:val="17"/>
                <w:szCs w:val="17"/>
                <w:color w:val="auto"/>
              </w:rPr>
            </w:pPr>
            <w:hyperlink r:id="rId133">
              <w:r>
                <w:rPr>
                  <w:rFonts w:ascii="Times New Roman" w:cs="Times New Roman" w:eastAsia="Times New Roman" w:hAnsi="Times New Roman"/>
                  <w:sz w:val="17"/>
                  <w:szCs w:val="17"/>
                  <w:color w:val="auto"/>
                </w:rPr>
                <w:t>Centennial Founders, LLC Redemption and Withdrawal Agreement - CalAtlantic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33</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10.47</w:t>
            </w:r>
          </w:p>
        </w:tc>
        <w:tc>
          <w:tcPr>
            <w:tcW w:w="8400" w:type="dxa"/>
            <w:vAlign w:val="bottom"/>
          </w:tcPr>
          <w:p>
            <w:pPr>
              <w:ind w:left="60"/>
              <w:spacing w:after="0"/>
              <w:rPr>
                <w:rFonts w:ascii="Times New Roman" w:cs="Times New Roman" w:eastAsia="Times New Roman" w:hAnsi="Times New Roman"/>
                <w:sz w:val="17"/>
                <w:szCs w:val="17"/>
                <w:color w:val="auto"/>
              </w:rPr>
            </w:pPr>
            <w:hyperlink r:id="rId134">
              <w:r>
                <w:rPr>
                  <w:rFonts w:ascii="Times New Roman" w:cs="Times New Roman" w:eastAsia="Times New Roman" w:hAnsi="Times New Roman"/>
                  <w:sz w:val="17"/>
                  <w:szCs w:val="17"/>
                  <w:color w:val="auto"/>
                </w:rPr>
                <w:t>*Executive Severance Agreement - Executive Severance Agreement - Gregory S. Bielli</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38</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10.48</w:t>
            </w:r>
          </w:p>
        </w:tc>
        <w:tc>
          <w:tcPr>
            <w:tcW w:w="8400" w:type="dxa"/>
            <w:vAlign w:val="bottom"/>
          </w:tcPr>
          <w:p>
            <w:pPr>
              <w:ind w:left="60"/>
              <w:spacing w:after="0"/>
              <w:rPr>
                <w:rFonts w:ascii="Times New Roman" w:cs="Times New Roman" w:eastAsia="Times New Roman" w:hAnsi="Times New Roman"/>
                <w:sz w:val="17"/>
                <w:szCs w:val="17"/>
                <w:color w:val="auto"/>
              </w:rPr>
            </w:pPr>
            <w:hyperlink r:id="rId135">
              <w:r>
                <w:rPr>
                  <w:rFonts w:ascii="Times New Roman" w:cs="Times New Roman" w:eastAsia="Times New Roman" w:hAnsi="Times New Roman"/>
                  <w:sz w:val="17"/>
                  <w:szCs w:val="17"/>
                  <w:color w:val="auto"/>
                </w:rPr>
                <w:t>Limited Liability Company Agreement of TRC-MRC 4,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39</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10.49</w:t>
            </w:r>
          </w:p>
        </w:tc>
        <w:tc>
          <w:tcPr>
            <w:tcW w:w="8400" w:type="dxa"/>
            <w:vAlign w:val="bottom"/>
          </w:tcPr>
          <w:p>
            <w:pPr>
              <w:ind w:left="60"/>
              <w:spacing w:after="0"/>
              <w:rPr>
                <w:rFonts w:ascii="Times New Roman" w:cs="Times New Roman" w:eastAsia="Times New Roman" w:hAnsi="Times New Roman"/>
                <w:sz w:val="17"/>
                <w:szCs w:val="17"/>
                <w:color w:val="auto"/>
              </w:rPr>
            </w:pPr>
            <w:hyperlink r:id="rId136">
              <w:r>
                <w:rPr>
                  <w:rFonts w:ascii="Times New Roman" w:cs="Times New Roman" w:eastAsia="Times New Roman" w:hAnsi="Times New Roman"/>
                  <w:sz w:val="17"/>
                  <w:szCs w:val="17"/>
                  <w:color w:val="auto"/>
                </w:rPr>
                <w:t>Settlement Agreement of CEQA litigation with Climate Resolve</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40</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10.50</w:t>
            </w:r>
          </w:p>
        </w:tc>
        <w:tc>
          <w:tcPr>
            <w:tcW w:w="8400" w:type="dxa"/>
            <w:vAlign w:val="bottom"/>
          </w:tcPr>
          <w:p>
            <w:pPr>
              <w:ind w:left="60"/>
              <w:spacing w:after="0"/>
              <w:rPr>
                <w:rFonts w:ascii="Times New Roman" w:cs="Times New Roman" w:eastAsia="Times New Roman" w:hAnsi="Times New Roman"/>
                <w:sz w:val="17"/>
                <w:szCs w:val="17"/>
                <w:color w:val="auto"/>
              </w:rPr>
            </w:pPr>
            <w:hyperlink r:id="rId137">
              <w:r>
                <w:rPr>
                  <w:rFonts w:ascii="Times New Roman" w:cs="Times New Roman" w:eastAsia="Times New Roman" w:hAnsi="Times New Roman"/>
                  <w:sz w:val="17"/>
                  <w:szCs w:val="17"/>
                  <w:color w:val="auto"/>
                </w:rPr>
                <w:t>Limited Liability Company Agreement of TRC-MRC Multi I,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41</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10.51</w:t>
            </w:r>
          </w:p>
        </w:tc>
        <w:tc>
          <w:tcPr>
            <w:tcW w:w="8400" w:type="dxa"/>
            <w:vAlign w:val="bottom"/>
          </w:tcPr>
          <w:p>
            <w:pPr>
              <w:ind w:left="60"/>
              <w:spacing w:after="0"/>
              <w:rPr>
                <w:rFonts w:ascii="Times New Roman" w:cs="Times New Roman" w:eastAsia="Times New Roman" w:hAnsi="Times New Roman"/>
                <w:sz w:val="17"/>
                <w:szCs w:val="17"/>
                <w:color w:val="auto"/>
              </w:rPr>
            </w:pPr>
            <w:hyperlink r:id="rId138">
              <w:r>
                <w:rPr>
                  <w:rFonts w:ascii="Times New Roman" w:cs="Times New Roman" w:eastAsia="Times New Roman" w:hAnsi="Times New Roman"/>
                  <w:sz w:val="17"/>
                  <w:szCs w:val="17"/>
                  <w:color w:val="auto"/>
                </w:rPr>
                <w:t>Limited Liability Company Agreement of TRC-MRC 5,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42</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10.52</w:t>
            </w:r>
          </w:p>
        </w:tc>
        <w:tc>
          <w:tcPr>
            <w:tcW w:w="8400" w:type="dxa"/>
            <w:vAlign w:val="bottom"/>
          </w:tcPr>
          <w:p>
            <w:pPr>
              <w:ind w:left="60"/>
              <w:spacing w:after="0"/>
              <w:rPr>
                <w:rFonts w:ascii="Times New Roman" w:cs="Times New Roman" w:eastAsia="Times New Roman" w:hAnsi="Times New Roman"/>
                <w:sz w:val="17"/>
                <w:szCs w:val="17"/>
                <w:color w:val="auto"/>
              </w:rPr>
            </w:pPr>
            <w:hyperlink r:id="rId139">
              <w:r>
                <w:rPr>
                  <w:rFonts w:ascii="Times New Roman" w:cs="Times New Roman" w:eastAsia="Times New Roman" w:hAnsi="Times New Roman"/>
                  <w:sz w:val="17"/>
                  <w:szCs w:val="17"/>
                  <w:color w:val="auto"/>
                </w:rPr>
                <w:t>Credit Agreement Between Tejon Ranchcorp and Bank of America, N.A.</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43</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10.53</w:t>
            </w:r>
          </w:p>
        </w:tc>
        <w:tc>
          <w:tcPr>
            <w:tcW w:w="8400" w:type="dxa"/>
            <w:vAlign w:val="bottom"/>
          </w:tcPr>
          <w:p>
            <w:pPr>
              <w:ind w:left="60"/>
              <w:spacing w:after="0"/>
              <w:rPr>
                <w:rFonts w:ascii="Times New Roman" w:cs="Times New Roman" w:eastAsia="Times New Roman" w:hAnsi="Times New Roman"/>
                <w:sz w:val="17"/>
                <w:szCs w:val="17"/>
                <w:color w:val="auto"/>
              </w:rPr>
            </w:pPr>
            <w:hyperlink r:id="rId140">
              <w:r>
                <w:rPr>
                  <w:rFonts w:ascii="Times New Roman" w:cs="Times New Roman" w:eastAsia="Times New Roman" w:hAnsi="Times New Roman"/>
                  <w:sz w:val="17"/>
                  <w:szCs w:val="17"/>
                  <w:color w:val="auto"/>
                </w:rPr>
                <w:t>Executive Officer Severance Agreement – Marc Hardy</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44</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10.54</w:t>
            </w:r>
          </w:p>
        </w:tc>
        <w:tc>
          <w:tcPr>
            <w:tcW w:w="8400" w:type="dxa"/>
            <w:vAlign w:val="bottom"/>
          </w:tcPr>
          <w:p>
            <w:pPr>
              <w:ind w:left="60"/>
              <w:spacing w:after="0"/>
              <w:rPr>
                <w:rFonts w:ascii="Times New Roman" w:cs="Times New Roman" w:eastAsia="Times New Roman" w:hAnsi="Times New Roman"/>
                <w:sz w:val="17"/>
                <w:szCs w:val="17"/>
                <w:color w:val="auto"/>
              </w:rPr>
            </w:pPr>
            <w:hyperlink r:id="rId141">
              <w:r>
                <w:rPr>
                  <w:rFonts w:ascii="Times New Roman" w:cs="Times New Roman" w:eastAsia="Times New Roman" w:hAnsi="Times New Roman"/>
                  <w:sz w:val="17"/>
                  <w:szCs w:val="17"/>
                  <w:color w:val="auto"/>
                </w:rPr>
                <w:t>Credit Agreement Between Tejon Ranchcorp and AgWest Farm Credit, PCA</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45</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10.55</w:t>
            </w:r>
          </w:p>
        </w:tc>
        <w:tc>
          <w:tcPr>
            <w:tcW w:w="8400" w:type="dxa"/>
            <w:vAlign w:val="bottom"/>
          </w:tcPr>
          <w:p>
            <w:pPr>
              <w:ind w:left="60"/>
              <w:spacing w:after="0"/>
              <w:rPr>
                <w:rFonts w:ascii="Times New Roman" w:cs="Times New Roman" w:eastAsia="Times New Roman" w:hAnsi="Times New Roman"/>
                <w:sz w:val="17"/>
                <w:szCs w:val="17"/>
                <w:color w:val="auto"/>
              </w:rPr>
            </w:pPr>
            <w:hyperlink r:id="rId142">
              <w:r>
                <w:rPr>
                  <w:rFonts w:ascii="Times New Roman" w:cs="Times New Roman" w:eastAsia="Times New Roman" w:hAnsi="Times New Roman"/>
                  <w:sz w:val="17"/>
                  <w:szCs w:val="17"/>
                  <w:color w:val="auto"/>
                </w:rPr>
                <w:t>Consulting Letter Agreement between Tejon Ranch Co. and Gregory S. Bielli</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46</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10.56</w:t>
            </w:r>
          </w:p>
        </w:tc>
        <w:tc>
          <w:tcPr>
            <w:tcW w:w="8400" w:type="dxa"/>
            <w:vAlign w:val="bottom"/>
          </w:tcPr>
          <w:p>
            <w:pPr>
              <w:ind w:left="60"/>
              <w:spacing w:after="0"/>
              <w:rPr>
                <w:rFonts w:ascii="Times New Roman" w:cs="Times New Roman" w:eastAsia="Times New Roman" w:hAnsi="Times New Roman"/>
                <w:sz w:val="17"/>
                <w:szCs w:val="17"/>
                <w:color w:val="auto"/>
              </w:rPr>
            </w:pPr>
            <w:hyperlink r:id="rId143">
              <w:r>
                <w:rPr>
                  <w:rFonts w:ascii="Times New Roman" w:cs="Times New Roman" w:eastAsia="Times New Roman" w:hAnsi="Times New Roman"/>
                  <w:sz w:val="17"/>
                  <w:szCs w:val="17"/>
                  <w:color w:val="auto"/>
                </w:rPr>
                <w:t>Limited Liability Company Agreement of TRC-DP 1, LLC</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47</w:t>
            </w:r>
          </w:p>
        </w:tc>
        <w:tc>
          <w:tcPr>
            <w:tcW w:w="0" w:type="dxa"/>
            <w:vAlign w:val="bottom"/>
          </w:tcPr>
          <w:p>
            <w:pPr>
              <w:spacing w:after="0"/>
              <w:rPr>
                <w:sz w:val="1"/>
                <w:szCs w:val="1"/>
                <w:color w:val="auto"/>
              </w:rPr>
            </w:pPr>
          </w:p>
        </w:tc>
      </w:tr>
      <w:tr>
        <w:trPr>
          <w:trHeight w:val="171"/>
        </w:trPr>
        <w:tc>
          <w:tcPr>
            <w:tcW w:w="720" w:type="dxa"/>
            <w:vAlign w:val="bottom"/>
          </w:tcPr>
          <w:p>
            <w:pPr>
              <w:jc w:val="right"/>
              <w:ind w:right="34"/>
              <w:spacing w:after="0" w:line="172" w:lineRule="exact"/>
              <w:rPr>
                <w:sz w:val="20"/>
                <w:szCs w:val="20"/>
                <w:color w:val="auto"/>
              </w:rPr>
            </w:pPr>
            <w:r>
              <w:rPr>
                <w:rFonts w:ascii="Times New Roman" w:cs="Times New Roman" w:eastAsia="Times New Roman" w:hAnsi="Times New Roman"/>
                <w:sz w:val="17"/>
                <w:szCs w:val="17"/>
                <w:color w:val="auto"/>
              </w:rPr>
              <w:t>10.57</w:t>
            </w:r>
          </w:p>
        </w:tc>
        <w:tc>
          <w:tcPr>
            <w:tcW w:w="8400" w:type="dxa"/>
            <w:vAlign w:val="bottom"/>
          </w:tcPr>
          <w:p>
            <w:pPr>
              <w:ind w:left="60"/>
              <w:spacing w:after="0" w:line="172" w:lineRule="exact"/>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color w:val="auto"/>
                </w:rPr>
                <w:t>Compensatory Agreement approved by the Board on February 10, 2025, by and among Tejon Ranch Co. and</w:t>
              </w:r>
            </w:hyperlink>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8400" w:type="dxa"/>
            <w:vAlign w:val="bottom"/>
          </w:tcPr>
          <w:p>
            <w:pPr>
              <w:ind w:left="60"/>
              <w:spacing w:after="0"/>
              <w:rPr>
                <w:rFonts w:ascii="Times New Roman" w:cs="Times New Roman" w:eastAsia="Times New Roman" w:hAnsi="Times New Roman"/>
                <w:sz w:val="17"/>
                <w:szCs w:val="17"/>
                <w:color w:val="auto"/>
              </w:rPr>
            </w:pPr>
            <w:hyperlink r:id="rId144">
              <w:r>
                <w:rPr>
                  <w:rFonts w:ascii="Times New Roman" w:cs="Times New Roman" w:eastAsia="Times New Roman" w:hAnsi="Times New Roman"/>
                  <w:sz w:val="17"/>
                  <w:szCs w:val="17"/>
                  <w:color w:val="auto"/>
                </w:rPr>
                <w:t>Matthew H. Walker</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49</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10.58</w:t>
            </w:r>
          </w:p>
        </w:tc>
        <w:tc>
          <w:tcPr>
            <w:tcW w:w="8400" w:type="dxa"/>
            <w:vAlign w:val="bottom"/>
          </w:tcPr>
          <w:p>
            <w:pPr>
              <w:ind w:left="60"/>
              <w:spacing w:after="0"/>
              <w:rPr>
                <w:rFonts w:ascii="Times New Roman" w:cs="Times New Roman" w:eastAsia="Times New Roman" w:hAnsi="Times New Roman"/>
                <w:sz w:val="17"/>
                <w:szCs w:val="17"/>
                <w:color w:val="auto"/>
              </w:rPr>
            </w:pPr>
            <w:hyperlink r:id="rId145">
              <w:r>
                <w:rPr>
                  <w:rFonts w:ascii="Times New Roman" w:cs="Times New Roman" w:eastAsia="Times New Roman" w:hAnsi="Times New Roman"/>
                  <w:sz w:val="17"/>
                  <w:szCs w:val="17"/>
                  <w:color w:val="auto"/>
                </w:rPr>
                <w:t>Support Agreement, by and between Company and Nitor, dated November 4, 2024</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50</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Insider Trading Policies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List of Subsidiaries of Registrant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23.1</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Consent of Deloitte &amp; Touche LLP, independent registered public accounting firm (Los Angeles, CA)</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31.1</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Certification as adopted pursuant to Section 302 of the Sarbanes-Oxley Act of 2002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31.2</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Certification as adopted pursuant to Section 302 of the Sarbanes-Oxley Act of 2002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171"/>
        </w:trPr>
        <w:tc>
          <w:tcPr>
            <w:tcW w:w="7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c>
          <w:tcPr>
            <w:tcW w:w="84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auto"/>
              </w:rPr>
              <w:t>Certification Pursuant to 18 U.S.C. Section 1350, as Adopted Pursuant to Section 906 of the Sarbanes-Oxley Act of</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vMerge w:val="continue"/>
          </w:tcPr>
          <w:p>
            <w:pPr>
              <w:spacing w:after="0"/>
              <w:rPr>
                <w:sz w:val="12"/>
                <w:szCs w:val="12"/>
                <w:color w:val="auto"/>
              </w:rPr>
            </w:pPr>
          </w:p>
        </w:tc>
        <w:tc>
          <w:tcPr>
            <w:tcW w:w="8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2002</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840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400" w:type="dxa"/>
            <w:vAlign w:val="bottom"/>
          </w:tcPr>
          <w:p>
            <w:pPr>
              <w:ind w:left="60"/>
              <w:spacing w:after="0"/>
              <w:rPr>
                <w:rFonts w:ascii="Times New Roman" w:cs="Times New Roman" w:eastAsia="Times New Roman" w:hAnsi="Times New Roman"/>
                <w:sz w:val="17"/>
                <w:szCs w:val="17"/>
                <w:color w:val="auto"/>
              </w:rPr>
            </w:pPr>
            <w:hyperlink r:id="rId146">
              <w:r>
                <w:rPr>
                  <w:rFonts w:ascii="Times New Roman" w:cs="Times New Roman" w:eastAsia="Times New Roman" w:hAnsi="Times New Roman"/>
                  <w:sz w:val="17"/>
                  <w:szCs w:val="17"/>
                  <w:color w:val="auto"/>
                </w:rPr>
                <w:t>Clawback Policy Pursuant to SEC Exchange Act Rule 10-D1</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FN 51</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Financial Statements of Petro Travel Plaza Holdings LLC</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Instance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101.SCH</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101.CAL</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9"/>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101.LAB</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23"/>
        </w:trPr>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8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bl>
    <w:p>
      <w:pPr>
        <w:ind w:left="1340" w:right="3420" w:hanging="194"/>
        <w:spacing w:after="0" w:line="298" w:lineRule="auto"/>
        <w:tabs>
          <w:tab w:leader="none" w:pos="154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Cover Page Interactive Data File (formatted as Inline XBRL and contained in Exhibit 101).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7"/>
          <w:szCs w:val="17"/>
          <w:color w:val="auto"/>
        </w:rPr>
        <w:t>Management contract, compensatory plan or arrangement.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1</w:t>
            </w:r>
          </w:p>
        </w:tc>
        <w:tc>
          <w:tcPr>
            <w:tcW w:w="10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3.1 to our</w:t>
            </w:r>
          </w:p>
        </w:tc>
      </w:tr>
      <w:tr>
        <w:trPr>
          <w:trHeight w:val="223"/>
        </w:trPr>
        <w:tc>
          <w:tcPr>
            <w:tcW w:w="880" w:type="dxa"/>
            <w:vAlign w:val="bottom"/>
          </w:tcPr>
          <w:p>
            <w:pPr>
              <w:spacing w:after="0"/>
              <w:rPr>
                <w:sz w:val="19"/>
                <w:szCs w:val="19"/>
                <w:color w:val="auto"/>
              </w:rPr>
            </w:pPr>
          </w:p>
        </w:tc>
        <w:tc>
          <w:tcPr>
            <w:tcW w:w="10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Quarterly Report on Form 10-Q for the period ended June 30, 2021, is incorporated herein by reference.</w:t>
            </w:r>
          </w:p>
        </w:tc>
      </w:tr>
      <w:tr>
        <w:trPr>
          <w:trHeight w:val="822"/>
        </w:trPr>
        <w:tc>
          <w:tcPr>
            <w:tcW w:w="880" w:type="dxa"/>
            <w:vAlign w:val="bottom"/>
          </w:tcPr>
          <w:p>
            <w:pPr>
              <w:spacing w:after="0"/>
              <w:rPr>
                <w:sz w:val="24"/>
                <w:szCs w:val="24"/>
                <w:color w:val="auto"/>
              </w:rPr>
            </w:pPr>
          </w:p>
        </w:tc>
        <w:tc>
          <w:tcPr>
            <w:tcW w:w="10360" w:type="dxa"/>
            <w:vAlign w:val="bottom"/>
          </w:tcPr>
          <w:p>
            <w:pPr>
              <w:jc w:val="right"/>
              <w:ind w:right="5454"/>
              <w:spacing w:after="0"/>
              <w:rPr>
                <w:sz w:val="20"/>
                <w:szCs w:val="20"/>
                <w:color w:val="auto"/>
              </w:rPr>
            </w:pPr>
            <w:r>
              <w:rPr>
                <w:rFonts w:ascii="Times New Roman" w:cs="Times New Roman" w:eastAsia="Times New Roman" w:hAnsi="Times New Roman"/>
                <w:sz w:val="17"/>
                <w:szCs w:val="17"/>
                <w:color w:val="auto"/>
              </w:rPr>
              <w:t>64</w:t>
            </w:r>
          </w:p>
        </w:tc>
      </w:tr>
      <w:tr>
        <w:trPr>
          <w:trHeight w:val="108"/>
        </w:trPr>
        <w:tc>
          <w:tcPr>
            <w:tcW w:w="880" w:type="dxa"/>
            <w:vAlign w:val="bottom"/>
            <w:tcBorders>
              <w:bottom w:val="single" w:sz="8" w:color="9A9A9A"/>
            </w:tcBorders>
          </w:tcPr>
          <w:p>
            <w:pPr>
              <w:spacing w:after="0"/>
              <w:rPr>
                <w:sz w:val="9"/>
                <w:szCs w:val="9"/>
                <w:color w:val="auto"/>
              </w:rPr>
            </w:pPr>
          </w:p>
        </w:tc>
        <w:tc>
          <w:tcPr>
            <w:tcW w:w="10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2</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3.1 to our Current</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8-K filed on March 24, 2023,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5</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4.1 to our Current</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8-K filed on December 20, 2005,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6</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under Item 14 to our Annual</w:t>
            </w:r>
          </w:p>
        </w:tc>
      </w:tr>
      <w:tr>
        <w:trPr>
          <w:trHeight w:val="177"/>
        </w:trPr>
        <w:tc>
          <w:tcPr>
            <w:tcW w:w="920" w:type="dxa"/>
            <w:vAlign w:val="bottom"/>
          </w:tcPr>
          <w:p>
            <w:pPr>
              <w:spacing w:after="0"/>
              <w:rPr>
                <w:sz w:val="15"/>
                <w:szCs w:val="15"/>
                <w:color w:val="auto"/>
              </w:rPr>
            </w:pPr>
          </w:p>
        </w:tc>
        <w:tc>
          <w:tcPr>
            <w:tcW w:w="10320" w:type="dxa"/>
            <w:vAlign w:val="bottom"/>
          </w:tcPr>
          <w:p>
            <w:pPr>
              <w:ind w:left="460"/>
              <w:spacing w:after="0" w:line="177" w:lineRule="exact"/>
              <w:rPr>
                <w:sz w:val="20"/>
                <w:szCs w:val="20"/>
                <w:color w:val="auto"/>
              </w:rPr>
            </w:pPr>
            <w:r>
              <w:rPr>
                <w:rFonts w:ascii="Times New Roman" w:cs="Times New Roman" w:eastAsia="Times New Roman" w:hAnsi="Times New Roman"/>
                <w:sz w:val="17"/>
                <w:szCs w:val="17"/>
                <w:color w:val="auto"/>
              </w:rPr>
              <w:t>Report on Form 10-K for the year ended December 31, 1994, is incorporated herein by reference. This Exhibit was not filed with the</w:t>
            </w:r>
          </w:p>
        </w:tc>
      </w:tr>
      <w:tr>
        <w:trPr>
          <w:trHeight w:val="219"/>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Securities and Exchange Commission in an electronic format.</w:t>
            </w:r>
          </w:p>
        </w:tc>
      </w:tr>
      <w:tr>
        <w:trPr>
          <w:trHeight w:val="171"/>
        </w:trPr>
        <w:tc>
          <w:tcPr>
            <w:tcW w:w="9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FN 7</w:t>
            </w:r>
          </w:p>
        </w:tc>
        <w:tc>
          <w:tcPr>
            <w:tcW w:w="10320" w:type="dxa"/>
            <w:vAlign w:val="bottom"/>
          </w:tcPr>
          <w:p>
            <w:pPr>
              <w:ind w:left="460"/>
              <w:spacing w:after="0" w:line="172"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under Item 14 to our Annual</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10-K for the year ended December 31, 1997,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8</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10.9 to our Annual</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10-K for the year ended December 31, 2008,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9</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10.10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2008,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10</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10.16 to our Annual</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10-K for the year ended December 31, 2001,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11</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4.1 to our Current</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8-K filed on May 7, 2004,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12</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4.2 to our Current</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8-K filed on May 7, 2004,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13</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Exhibits 10.21-10.23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2004,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14</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10.24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filed on May 24, 2006,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15</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10.28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filed on June 23, 2008,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16</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10.25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June 30, 2009,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17</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10.26 to our</w:t>
            </w:r>
          </w:p>
        </w:tc>
      </w:tr>
      <w:tr>
        <w:trPr>
          <w:trHeight w:val="177"/>
        </w:trPr>
        <w:tc>
          <w:tcPr>
            <w:tcW w:w="920" w:type="dxa"/>
            <w:vAlign w:val="bottom"/>
          </w:tcPr>
          <w:p>
            <w:pPr>
              <w:spacing w:after="0"/>
              <w:rPr>
                <w:sz w:val="15"/>
                <w:szCs w:val="15"/>
                <w:color w:val="auto"/>
              </w:rPr>
            </w:pPr>
          </w:p>
        </w:tc>
        <w:tc>
          <w:tcPr>
            <w:tcW w:w="10320" w:type="dxa"/>
            <w:vAlign w:val="bottom"/>
          </w:tcPr>
          <w:p>
            <w:pPr>
              <w:ind w:left="460"/>
              <w:spacing w:after="0" w:line="177" w:lineRule="exact"/>
              <w:rPr>
                <w:sz w:val="20"/>
                <w:szCs w:val="20"/>
                <w:color w:val="auto"/>
              </w:rPr>
            </w:pPr>
            <w:r>
              <w:rPr>
                <w:rFonts w:ascii="Times New Roman" w:cs="Times New Roman" w:eastAsia="Times New Roman" w:hAnsi="Times New Roman"/>
                <w:sz w:val="17"/>
                <w:szCs w:val="17"/>
                <w:color w:val="auto"/>
              </w:rPr>
              <w:t>Quarterly Report on Form 10-Q for the period ended March 31, 2013, for the period ended March 31, 2013, is incorporated herein by</w:t>
            </w:r>
          </w:p>
        </w:tc>
      </w:tr>
      <w:tr>
        <w:trPr>
          <w:trHeight w:val="219"/>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reference.</w:t>
            </w:r>
          </w:p>
        </w:tc>
      </w:tr>
      <w:tr>
        <w:trPr>
          <w:trHeight w:val="171"/>
        </w:trPr>
        <w:tc>
          <w:tcPr>
            <w:tcW w:w="9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FN 18</w:t>
            </w:r>
          </w:p>
        </w:tc>
        <w:tc>
          <w:tcPr>
            <w:tcW w:w="10320" w:type="dxa"/>
            <w:vAlign w:val="bottom"/>
          </w:tcPr>
          <w:p>
            <w:pPr>
              <w:ind w:left="460"/>
              <w:spacing w:after="0" w:line="172"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10.27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filed on June 4, 2013,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19</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10.1 to our Current</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8-K filed on August 8, 2013,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20</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10.29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Amended Annual Report on Form 10-K/A for the year ended December 31, 2013,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21</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10.30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filed on July 16, 2014,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23</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10.34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24</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10.35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June 30, 2015, is incorporated herein by reference.</w:t>
            </w:r>
          </w:p>
        </w:tc>
      </w:tr>
      <w:tr>
        <w:trPr>
          <w:trHeight w:val="834"/>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7"/>
                <w:szCs w:val="17"/>
                <w:color w:val="auto"/>
              </w:rPr>
              <w:t>65</w:t>
            </w:r>
          </w:p>
        </w:tc>
      </w:tr>
      <w:tr>
        <w:trPr>
          <w:trHeight w:val="108"/>
        </w:trPr>
        <w:tc>
          <w:tcPr>
            <w:tcW w:w="920" w:type="dxa"/>
            <w:vAlign w:val="bottom"/>
            <w:tcBorders>
              <w:bottom w:val="single" w:sz="8" w:color="9A9A9A"/>
            </w:tcBorders>
          </w:tcPr>
          <w:p>
            <w:pPr>
              <w:spacing w:after="0"/>
              <w:rPr>
                <w:sz w:val="9"/>
                <w:szCs w:val="9"/>
                <w:color w:val="auto"/>
              </w:rPr>
            </w:pPr>
          </w:p>
        </w:tc>
        <w:tc>
          <w:tcPr>
            <w:tcW w:w="10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26</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10.37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June 30, 2016,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27</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10.38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September 30, 2016,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28</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10.39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29</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10.40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30</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10.41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2016,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31</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10.42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September 30, 2018,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32</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10.43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33</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10.44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2018,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37</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333-231032) as Exhibit 4.6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Registration Statement on Form S-3 filed on April 25, 2019,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38</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10.47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2019,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39</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10.48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March 31, 2021, is incorporated herein by reference.</w:t>
            </w:r>
          </w:p>
        </w:tc>
      </w:tr>
      <w:tr>
        <w:trPr>
          <w:trHeight w:val="199"/>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40</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10.49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2021, is incorporated herein by reference.</w:t>
            </w:r>
          </w:p>
        </w:tc>
      </w:tr>
      <w:tr>
        <w:trPr>
          <w:trHeight w:val="21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41</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10.50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Annual Report on Form 10-K for the year ended December 31, 2021, is incorporated herein by reference.</w:t>
            </w:r>
          </w:p>
        </w:tc>
      </w:tr>
      <w:tr>
        <w:trPr>
          <w:trHeight w:val="21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42</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10.51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March 31, 2022, is incorporated herein by reference.</w:t>
            </w:r>
          </w:p>
        </w:tc>
      </w:tr>
      <w:tr>
        <w:trPr>
          <w:trHeight w:val="21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43</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10.52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September 30, 2022, is incorporated herein by reference.</w:t>
            </w:r>
          </w:p>
        </w:tc>
      </w:tr>
      <w:tr>
        <w:trPr>
          <w:trHeight w:val="215"/>
        </w:trPr>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FN 44</w:t>
            </w: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10.53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June 30, 2023, is incorporated herein by reference.</w:t>
            </w:r>
          </w:p>
        </w:tc>
      </w:tr>
      <w:tr>
        <w:trPr>
          <w:trHeight w:val="193"/>
        </w:trPr>
        <w:tc>
          <w:tcPr>
            <w:tcW w:w="92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auto"/>
              </w:rPr>
              <w:t>FN 45</w:t>
            </w:r>
          </w:p>
        </w:tc>
        <w:tc>
          <w:tcPr>
            <w:tcW w:w="10320" w:type="dxa"/>
            <w:vAlign w:val="bottom"/>
          </w:tcPr>
          <w:p>
            <w:pPr>
              <w:ind w:left="460"/>
              <w:spacing w:after="0" w:line="193"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10.01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on November 20, 2023,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46</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10.01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on March 26, 2024,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47</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10.56 to our</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Quarterly Report on Form 10-Q for the period ended September 30, 2024, is incorporated herein by reference.</w:t>
            </w:r>
          </w:p>
        </w:tc>
      </w:tr>
      <w:tr>
        <w:trPr>
          <w:trHeight w:val="177"/>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FN 48</w:t>
            </w:r>
          </w:p>
        </w:tc>
        <w:tc>
          <w:tcPr>
            <w:tcW w:w="1032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4.4 to our Annual</w:t>
            </w:r>
          </w:p>
        </w:tc>
      </w:tr>
      <w:tr>
        <w:trPr>
          <w:trHeight w:val="223"/>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10-K for the year ended December 31, 2020, is incorporated herein by reference.</w:t>
            </w:r>
          </w:p>
        </w:tc>
      </w:tr>
      <w:tr>
        <w:trPr>
          <w:trHeight w:val="834"/>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7"/>
                <w:szCs w:val="17"/>
                <w:color w:val="auto"/>
              </w:rPr>
              <w:t>66</w:t>
            </w:r>
          </w:p>
        </w:tc>
      </w:tr>
      <w:tr>
        <w:trPr>
          <w:trHeight w:val="108"/>
        </w:trPr>
        <w:tc>
          <w:tcPr>
            <w:tcW w:w="920" w:type="dxa"/>
            <w:vAlign w:val="bottom"/>
            <w:tcBorders>
              <w:bottom w:val="single" w:sz="8" w:color="9A9A9A"/>
            </w:tcBorders>
          </w:tcPr>
          <w:p>
            <w:pPr>
              <w:spacing w:after="0"/>
              <w:rPr>
                <w:sz w:val="9"/>
                <w:szCs w:val="9"/>
                <w:color w:val="auto"/>
              </w:rPr>
            </w:pPr>
          </w:p>
        </w:tc>
        <w:tc>
          <w:tcPr>
            <w:tcW w:w="10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FN 49</w:t>
            </w:r>
          </w:p>
        </w:tc>
        <w:tc>
          <w:tcPr>
            <w:tcW w:w="10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10.01 to our</w:t>
            </w:r>
          </w:p>
        </w:tc>
      </w:tr>
      <w:tr>
        <w:trPr>
          <w:trHeight w:val="223"/>
        </w:trPr>
        <w:tc>
          <w:tcPr>
            <w:tcW w:w="900" w:type="dxa"/>
            <w:vAlign w:val="bottom"/>
          </w:tcPr>
          <w:p>
            <w:pPr>
              <w:spacing w:after="0"/>
              <w:rPr>
                <w:sz w:val="19"/>
                <w:szCs w:val="19"/>
                <w:color w:val="auto"/>
              </w:rPr>
            </w:pPr>
          </w:p>
        </w:tc>
        <w:tc>
          <w:tcPr>
            <w:tcW w:w="10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on February 11, 2025, is incorporated herein by reference.</w:t>
            </w:r>
          </w:p>
        </w:tc>
      </w:tr>
      <w:tr>
        <w:trPr>
          <w:trHeight w:val="177"/>
        </w:trPr>
        <w:tc>
          <w:tcPr>
            <w:tcW w:w="9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FN 50</w:t>
            </w:r>
          </w:p>
        </w:tc>
        <w:tc>
          <w:tcPr>
            <w:tcW w:w="1010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10.01 to our</w:t>
            </w:r>
          </w:p>
        </w:tc>
      </w:tr>
      <w:tr>
        <w:trPr>
          <w:trHeight w:val="223"/>
        </w:trPr>
        <w:tc>
          <w:tcPr>
            <w:tcW w:w="900" w:type="dxa"/>
            <w:vAlign w:val="bottom"/>
          </w:tcPr>
          <w:p>
            <w:pPr>
              <w:spacing w:after="0"/>
              <w:rPr>
                <w:sz w:val="19"/>
                <w:szCs w:val="19"/>
                <w:color w:val="auto"/>
              </w:rPr>
            </w:pPr>
          </w:p>
        </w:tc>
        <w:tc>
          <w:tcPr>
            <w:tcW w:w="10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Report on Form 8-K on November 8, 2024, is incorporated herein by reference.</w:t>
            </w:r>
          </w:p>
        </w:tc>
      </w:tr>
      <w:tr>
        <w:trPr>
          <w:trHeight w:val="177"/>
        </w:trPr>
        <w:tc>
          <w:tcPr>
            <w:tcW w:w="9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FN 51</w:t>
            </w:r>
          </w:p>
        </w:tc>
        <w:tc>
          <w:tcPr>
            <w:tcW w:w="10100" w:type="dxa"/>
            <w:vAlign w:val="bottom"/>
          </w:tcPr>
          <w:p>
            <w:pPr>
              <w:ind w:left="460"/>
              <w:spacing w:after="0" w:line="176" w:lineRule="exact"/>
              <w:rPr>
                <w:sz w:val="20"/>
                <w:szCs w:val="20"/>
                <w:color w:val="auto"/>
              </w:rPr>
            </w:pPr>
            <w:r>
              <w:rPr>
                <w:rFonts w:ascii="Times New Roman" w:cs="Times New Roman" w:eastAsia="Times New Roman" w:hAnsi="Times New Roman"/>
                <w:sz w:val="17"/>
                <w:szCs w:val="17"/>
                <w:color w:val="auto"/>
              </w:rPr>
              <w:t>This document, filed with the Securities and Exchange Commission in Washington, D.C. (file number 1-07183) as Exhibit 97 to our Annual</w:t>
            </w:r>
          </w:p>
        </w:tc>
      </w:tr>
      <w:tr>
        <w:trPr>
          <w:trHeight w:val="223"/>
        </w:trPr>
        <w:tc>
          <w:tcPr>
            <w:tcW w:w="900" w:type="dxa"/>
            <w:vAlign w:val="bottom"/>
          </w:tcPr>
          <w:p>
            <w:pPr>
              <w:spacing w:after="0"/>
              <w:rPr>
                <w:sz w:val="19"/>
                <w:szCs w:val="19"/>
                <w:color w:val="auto"/>
              </w:rPr>
            </w:pPr>
          </w:p>
        </w:tc>
        <w:tc>
          <w:tcPr>
            <w:tcW w:w="10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Report on Form 10-K for the year ended December 31, 2023, is incorporated herein by reference.</w:t>
            </w:r>
          </w:p>
        </w:tc>
      </w:tr>
    </w:tbl>
    <w:p>
      <w:pPr>
        <w:spacing w:after="0" w:line="5" w:lineRule="exact"/>
        <w:rPr>
          <w:sz w:val="20"/>
          <w:szCs w:val="20"/>
          <w:color w:val="auto"/>
        </w:rPr>
      </w:pPr>
    </w:p>
    <w:p>
      <w:pPr>
        <w:ind w:left="260" w:hanging="240"/>
        <w:spacing w:after="0"/>
        <w:tabs>
          <w:tab w:leader="none" w:pos="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Exhibits. The exhibits being filed with this report are attached at the end of this report.</w:t>
      </w:r>
    </w:p>
    <w:p>
      <w:pPr>
        <w:spacing w:after="0" w:line="27" w:lineRule="exact"/>
        <w:rPr>
          <w:rFonts w:ascii="Times New Roman" w:cs="Times New Roman" w:eastAsia="Times New Roman" w:hAnsi="Times New Roman"/>
          <w:sz w:val="17"/>
          <w:szCs w:val="17"/>
          <w:color w:val="auto"/>
        </w:rPr>
      </w:pPr>
    </w:p>
    <w:p>
      <w:pPr>
        <w:ind w:left="260" w:hanging="240"/>
        <w:spacing w:after="0"/>
        <w:tabs>
          <w:tab w:leader="none" w:pos="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 Schedules - The response to this portion of Item 15 is submitted as a separate section of this report.</w:t>
      </w:r>
    </w:p>
    <w:p>
      <w:pPr>
        <w:spacing w:after="0" w:line="1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006EBF"/>
        </w:rPr>
        <w:t>ITEM 16.</w:t>
        <w:tab/>
        <w:t>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72" w:right="5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TEJON RANCH CO.</w:t>
            </w:r>
          </w:p>
        </w:tc>
      </w:tr>
      <w:tr>
        <w:trPr>
          <w:trHeight w:val="47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March 6, 2025</w:t>
            </w:r>
          </w:p>
        </w:tc>
        <w:tc>
          <w:tcPr>
            <w:tcW w:w="15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Gregory S. Bielli</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Gregory S. Bielli</w:t>
            </w:r>
          </w:p>
        </w:tc>
      </w:tr>
      <w:tr>
        <w:trPr>
          <w:trHeight w:val="219"/>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3"/>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734"/>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March 6, 2025</w:t>
            </w:r>
          </w:p>
        </w:tc>
        <w:tc>
          <w:tcPr>
            <w:tcW w:w="15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Brett A. Brown</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Brett A. Brown</w:t>
            </w:r>
          </w:p>
        </w:tc>
      </w:tr>
      <w:tr>
        <w:trPr>
          <w:trHeight w:val="219"/>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3"/>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722"/>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March 6, 2025</w:t>
            </w:r>
          </w:p>
        </w:tc>
        <w:tc>
          <w:tcPr>
            <w:tcW w:w="15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Robert D. Velasquez</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D. Velasquez</w:t>
            </w:r>
          </w:p>
        </w:tc>
      </w:tr>
      <w:tr>
        <w:trPr>
          <w:trHeight w:val="219"/>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Vice President, Finance and Chief Accounting Officer</w:t>
            </w:r>
          </w:p>
        </w:tc>
      </w:tr>
      <w:tr>
        <w:trPr>
          <w:trHeight w:val="223"/>
        </w:trPr>
        <w:tc>
          <w:tcPr>
            <w:tcW w:w="4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825"/>
        </w:trPr>
        <w:tc>
          <w:tcPr>
            <w:tcW w:w="4580" w:type="dxa"/>
            <w:vAlign w:val="bottom"/>
          </w:tcPr>
          <w:p>
            <w:pPr>
              <w:spacing w:after="0"/>
              <w:rPr>
                <w:sz w:val="24"/>
                <w:szCs w:val="24"/>
                <w:color w:val="auto"/>
              </w:rPr>
            </w:pPr>
          </w:p>
        </w:tc>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68</w:t>
            </w:r>
          </w:p>
        </w:tc>
        <w:tc>
          <w:tcPr>
            <w:tcW w:w="5100" w:type="dxa"/>
            <w:vAlign w:val="bottom"/>
          </w:tcPr>
          <w:p>
            <w:pPr>
              <w:spacing w:after="0"/>
              <w:rPr>
                <w:sz w:val="24"/>
                <w:szCs w:val="24"/>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8" w:name="page69"/>
    <w:bookmarkEnd w:id="68"/>
    <w:p>
      <w:pPr>
        <w:ind w:right="38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 indicated.</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Name</w:t>
            </w:r>
          </w:p>
        </w:tc>
        <w:tc>
          <w:tcPr>
            <w:tcW w:w="6820" w:type="dxa"/>
            <w:vAlign w:val="bottom"/>
          </w:tcPr>
          <w:p>
            <w:pPr>
              <w:ind w:left="4980"/>
              <w:spacing w:after="0"/>
              <w:rPr>
                <w:sz w:val="20"/>
                <w:szCs w:val="20"/>
                <w:color w:val="auto"/>
              </w:rPr>
            </w:pPr>
            <w:r>
              <w:rPr>
                <w:rFonts w:ascii="Times New Roman" w:cs="Times New Roman" w:eastAsia="Times New Roman" w:hAnsi="Times New Roman"/>
                <w:sz w:val="17"/>
                <w:szCs w:val="17"/>
                <w:color w:val="auto"/>
              </w:rPr>
              <w:t>Capacity</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w w:val="99"/>
              </w:rPr>
              <w:t>Date</w:t>
            </w:r>
          </w:p>
        </w:tc>
      </w:tr>
      <w:tr>
        <w:trPr>
          <w:trHeight w:val="438"/>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Steven A. Betts</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Steven A. Betts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Gregory S. Bielli</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Gregory S. Bielli</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Denise Gammon</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Denise Gammon</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Anthony L. Leggio</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5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Anthony L. Leggio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Jeffrey J. McCall</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Jeffrey J. McCall</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Norman J. Metcalfe</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5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Norman J. Metcalfe</w:t>
            </w:r>
          </w:p>
        </w:tc>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w w:val="99"/>
              </w:rPr>
              <w:t>/s/ Rhea Frawn Morgan</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Rhea Frawn Morgan</w:t>
            </w: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Eric H. Speron</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Eric H. Speron</w:t>
            </w: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4"/>
          </w:tcPr>
          <w:p>
            <w:pPr>
              <w:spacing w:after="0"/>
              <w:rPr>
                <w:sz w:val="18"/>
                <w:szCs w:val="18"/>
                <w:color w:val="auto"/>
              </w:rPr>
            </w:pPr>
          </w:p>
        </w:tc>
        <w:tc>
          <w:tcPr>
            <w:tcW w:w="180" w:type="dxa"/>
            <w:vAlign w:val="bottom"/>
            <w:gridSpan w:val="3"/>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Daniel R. Tisch</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Daniel R. Tisch</w:t>
            </w:r>
          </w:p>
        </w:tc>
        <w:tc>
          <w:tcPr>
            <w:tcW w:w="20" w:type="dxa"/>
            <w:vAlign w:val="bottom"/>
          </w:tcPr>
          <w:p>
            <w:pPr>
              <w:spacing w:after="0"/>
              <w:rPr>
                <w:sz w:val="18"/>
                <w:szCs w:val="18"/>
                <w:color w:val="auto"/>
              </w:rPr>
            </w:pPr>
          </w:p>
        </w:tc>
        <w:tc>
          <w:tcPr>
            <w:tcW w:w="120" w:type="dxa"/>
            <w:vAlign w:val="bottom"/>
            <w:gridSpan w:val="4"/>
          </w:tcPr>
          <w:p>
            <w:pPr>
              <w:spacing w:after="0"/>
              <w:rPr>
                <w:sz w:val="18"/>
                <w:szCs w:val="18"/>
                <w:color w:val="auto"/>
              </w:rPr>
            </w:pPr>
          </w:p>
        </w:tc>
        <w:tc>
          <w:tcPr>
            <w:tcW w:w="180" w:type="dxa"/>
            <w:vAlign w:val="bottom"/>
            <w:gridSpan w:val="3"/>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Michael H. Winer</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Michael H. Winer</w:t>
            </w:r>
          </w:p>
        </w:tc>
        <w:tc>
          <w:tcPr>
            <w:tcW w:w="180" w:type="dxa"/>
            <w:vAlign w:val="bottom"/>
            <w:gridSpan w:val="3"/>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162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/s/ Kenneth G. Yee</w:t>
            </w:r>
          </w:p>
        </w:tc>
        <w:tc>
          <w:tcPr>
            <w:tcW w:w="6820" w:type="dxa"/>
            <w:vAlign w:val="bottom"/>
          </w:tcPr>
          <w:p>
            <w:pPr>
              <w:ind w:left="5000"/>
              <w:spacing w:after="0"/>
              <w:rPr>
                <w:sz w:val="20"/>
                <w:szCs w:val="20"/>
                <w:color w:val="auto"/>
              </w:rPr>
            </w:pPr>
            <w:r>
              <w:rPr>
                <w:rFonts w:ascii="Times New Roman" w:cs="Times New Roman" w:eastAsia="Times New Roman" w:hAnsi="Times New Roman"/>
                <w:sz w:val="17"/>
                <w:szCs w:val="17"/>
                <w:color w:val="auto"/>
              </w:rPr>
              <w:t>Director</w:t>
            </w:r>
          </w:p>
        </w:tc>
        <w:tc>
          <w:tcPr>
            <w:tcW w:w="2780" w:type="dxa"/>
            <w:vAlign w:val="bottom"/>
          </w:tcPr>
          <w:p>
            <w:pPr>
              <w:jc w:val="center"/>
              <w:ind w:left="574"/>
              <w:spacing w:after="0"/>
              <w:rPr>
                <w:sz w:val="20"/>
                <w:szCs w:val="20"/>
                <w:color w:val="auto"/>
              </w:rPr>
            </w:pPr>
            <w:r>
              <w:rPr>
                <w:rFonts w:ascii="Times New Roman" w:cs="Times New Roman" w:eastAsia="Times New Roman" w:hAnsi="Times New Roman"/>
                <w:sz w:val="17"/>
                <w:szCs w:val="17"/>
                <w:color w:val="auto"/>
              </w:rPr>
              <w:t>March 6, 2025</w:t>
            </w:r>
          </w:p>
        </w:tc>
      </w:tr>
      <w:tr>
        <w:trPr>
          <w:trHeight w:val="216"/>
        </w:trPr>
        <w:tc>
          <w:tcPr>
            <w:tcW w:w="20" w:type="dxa"/>
            <w:vAlign w:val="bottom"/>
          </w:tcPr>
          <w:p>
            <w:pPr>
              <w:spacing w:after="0"/>
              <w:rPr>
                <w:sz w:val="18"/>
                <w:szCs w:val="18"/>
                <w:color w:val="auto"/>
              </w:rPr>
            </w:pPr>
          </w:p>
        </w:tc>
        <w:tc>
          <w:tcPr>
            <w:tcW w:w="13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Kenneth G. Yee</w:t>
            </w:r>
          </w:p>
        </w:tc>
        <w:tc>
          <w:tcPr>
            <w:tcW w:w="300" w:type="dxa"/>
            <w:vAlign w:val="bottom"/>
            <w:gridSpan w:val="7"/>
          </w:tcPr>
          <w:p>
            <w:pPr>
              <w:spacing w:after="0"/>
              <w:rPr>
                <w:sz w:val="18"/>
                <w:szCs w:val="18"/>
                <w:color w:val="auto"/>
              </w:rPr>
            </w:pPr>
          </w:p>
        </w:tc>
        <w:tc>
          <w:tcPr>
            <w:tcW w:w="6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79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20" w:type="dxa"/>
            <w:vAlign w:val="bottom"/>
          </w:tcPr>
          <w:p>
            <w:pPr>
              <w:ind w:left="3900"/>
              <w:spacing w:after="0"/>
              <w:rPr>
                <w:sz w:val="20"/>
                <w:szCs w:val="20"/>
                <w:color w:val="auto"/>
              </w:rPr>
            </w:pPr>
            <w:r>
              <w:rPr>
                <w:rFonts w:ascii="Times New Roman" w:cs="Times New Roman" w:eastAsia="Times New Roman" w:hAnsi="Times New Roman"/>
                <w:sz w:val="17"/>
                <w:szCs w:val="17"/>
                <w:color w:val="auto"/>
              </w:rPr>
              <w:t>69</w:t>
            </w:r>
          </w:p>
        </w:tc>
        <w:tc>
          <w:tcPr>
            <w:tcW w:w="27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2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8, Item 15(a) (1) and (2), (b) and (c)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List of Financial Statements and Financial Statement Schedules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Exhibits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Tejon Ranch Co.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Form 10-K - Item 15(a)(1) and (2)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 and Financial Statement Schedules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15(a)(1) - FINANCIAL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consolidated financial statements of Tejon Ranch Co. and subsidiaries are included in Item 8:</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99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
        </w:trPr>
        <w:tc>
          <w:tcPr>
            <w:tcW w:w="9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900" w:type="dxa"/>
            <w:vAlign w:val="bottom"/>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219"/>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 As of December 31, 2024 and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74</w:t>
            </w:r>
          </w:p>
        </w:tc>
        <w:tc>
          <w:tcPr>
            <w:tcW w:w="0" w:type="dxa"/>
            <w:vAlign w:val="bottom"/>
          </w:tcPr>
          <w:p>
            <w:pPr>
              <w:spacing w:after="0"/>
              <w:rPr>
                <w:sz w:val="1"/>
                <w:szCs w:val="1"/>
                <w:color w:val="auto"/>
              </w:rPr>
            </w:pPr>
          </w:p>
        </w:tc>
      </w:tr>
      <w:tr>
        <w:trPr>
          <w:trHeight w:val="219"/>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Operations - Years Ended December 31, 2024, 2023, and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0" w:type="dxa"/>
            <w:vAlign w:val="bottom"/>
          </w:tcPr>
          <w:p>
            <w:pPr>
              <w:spacing w:after="0"/>
              <w:rPr>
                <w:sz w:val="1"/>
                <w:szCs w:val="1"/>
                <w:color w:val="auto"/>
              </w:rPr>
            </w:pPr>
          </w:p>
        </w:tc>
      </w:tr>
      <w:tr>
        <w:trPr>
          <w:trHeight w:val="219"/>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December 31, 2024, 2023 and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0" w:type="dxa"/>
            <w:vAlign w:val="bottom"/>
          </w:tcPr>
          <w:p>
            <w:pPr>
              <w:spacing w:after="0"/>
              <w:rPr>
                <w:sz w:val="1"/>
                <w:szCs w:val="1"/>
                <w:color w:val="auto"/>
              </w:rPr>
            </w:pPr>
          </w:p>
        </w:tc>
      </w:tr>
      <w:tr>
        <w:trPr>
          <w:trHeight w:val="219"/>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Changes in Equity - Years Ended December 31, 2024, 2023 and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77</w:t>
            </w:r>
          </w:p>
        </w:tc>
        <w:tc>
          <w:tcPr>
            <w:tcW w:w="0" w:type="dxa"/>
            <w:vAlign w:val="bottom"/>
          </w:tcPr>
          <w:p>
            <w:pPr>
              <w:spacing w:after="0"/>
              <w:rPr>
                <w:sz w:val="1"/>
                <w:szCs w:val="1"/>
                <w:color w:val="auto"/>
              </w:rPr>
            </w:pPr>
          </w:p>
        </w:tc>
      </w:tr>
      <w:tr>
        <w:trPr>
          <w:trHeight w:val="219"/>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 Years Ended December 31, 2024, 2023 and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78</w:t>
            </w:r>
          </w:p>
        </w:tc>
        <w:tc>
          <w:tcPr>
            <w:tcW w:w="0" w:type="dxa"/>
            <w:vAlign w:val="bottom"/>
          </w:tcPr>
          <w:p>
            <w:pPr>
              <w:spacing w:after="0"/>
              <w:rPr>
                <w:sz w:val="1"/>
                <w:szCs w:val="1"/>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80</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15(a)(2) - FINANCIAL STATEMENT SCHEDULES</w:t>
      </w:r>
    </w:p>
    <w:p>
      <w:pPr>
        <w:spacing w:after="0" w:line="10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71" w:name="page72"/>
    <w:bookmarkEnd w:id="71"/>
    <w:p>
      <w:pPr>
        <w:ind w:right="5360"/>
        <w:spacing w:after="0" w:line="42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Tejon Ranch Co. </w:t>
      </w:r>
      <w:r>
        <w:rPr>
          <w:rFonts w:ascii="Times New Roman" w:cs="Times New Roman" w:eastAsia="Times New Roman" w:hAnsi="Times New Roman"/>
          <w:sz w:val="17"/>
          <w:szCs w:val="17"/>
          <w:b w:val="1"/>
          <w:bCs w:val="1"/>
          <w:color w:val="auto"/>
        </w:rPr>
        <w:t>Opinion on the Financial Statements</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Tejon Ranch Co. and subsidiaries (the "Company") as of December 31, 2024 and 2023, the related consolidated statements of operations,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5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Real Estate — Real Estate Development - Refer to Notes 1 and 5 to the financial statements </w:t>
      </w:r>
      <w:r>
        <w:rPr>
          <w:rFonts w:ascii="Times New Roman" w:cs="Times New Roman" w:eastAsia="Times New Roman" w:hAnsi="Times New Roman"/>
          <w:sz w:val="17"/>
          <w:szCs w:val="17"/>
          <w:i w:val="1"/>
          <w:iCs w:val="1"/>
          <w:color w:val="auto"/>
        </w:rPr>
        <w:t>Critical Audit Matter Description</w:t>
      </w:r>
    </w:p>
    <w:p>
      <w:pPr>
        <w:spacing w:after="0"/>
        <w:rPr>
          <w:sz w:val="20"/>
          <w:szCs w:val="20"/>
          <w:color w:val="auto"/>
        </w:rPr>
      </w:pPr>
      <w:r>
        <w:rPr>
          <w:rFonts w:ascii="Times New Roman" w:cs="Times New Roman" w:eastAsia="Times New Roman" w:hAnsi="Times New Roman"/>
          <w:sz w:val="17"/>
          <w:szCs w:val="17"/>
          <w:color w:val="auto"/>
        </w:rPr>
        <w:t>The Company’s evaluation of real estate development 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 and development costs. When events or changes in circumstances exist that result in an indicator of impairment, the Company evaluates the real estate development for impairment by comparing future undiscounted cash flows expected to be generated over the life of the real estate development to the respective carrying amount. If the carrying amount of the real estate development exceeds future undiscounted cash flows, an analysis is performed to determine the fair value of the asset.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2" w:name="page73"/>
    <w:bookmarkEnd w:id="72"/>
    <w:p>
      <w:pPr>
        <w:ind w:right="20"/>
        <w:spacing w:after="0" w:line="243" w:lineRule="auto"/>
        <w:rPr>
          <w:sz w:val="20"/>
          <w:szCs w:val="20"/>
          <w:color w:val="auto"/>
        </w:rPr>
      </w:pPr>
      <w:r>
        <w:rPr>
          <w:rFonts w:ascii="Times New Roman" w:cs="Times New Roman" w:eastAsia="Times New Roman" w:hAnsi="Times New Roman"/>
          <w:sz w:val="17"/>
          <w:szCs w:val="17"/>
          <w:color w:val="auto"/>
        </w:rPr>
        <w:t>The Company makes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expected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accumulated and estimated future development costs. Further, the facts and circumstances utilized to make these assumptions may change from period to period. The real estate development balance was $377.9 million as of December 31, 2024. No impairment loss has been recognized on any real estate development for the year ended December 31, 2024.</w:t>
      </w:r>
    </w:p>
    <w:p>
      <w:pPr>
        <w:spacing w:after="0" w:line="1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We identified the determination of impairment indicators for real estate development as a critical audit matter due to the quantitative significance of real estate development and because of the assumptions management makes when determining whether events or changes in circumstances have occurred indicating that the carrying amounts of any real estate development may not be recoverable. This required a high degree of auditor judgment when performing audit procedures to evaluate whether management appropriately identified impairment indicators.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evaluated the real estate development asset for possible indications of impairment including the following, among others:</w:t>
      </w:r>
    </w:p>
    <w:p>
      <w:pPr>
        <w:spacing w:after="0" w:line="101" w:lineRule="exact"/>
        <w:rPr>
          <w:sz w:val="20"/>
          <w:szCs w:val="20"/>
          <w:color w:val="auto"/>
        </w:rPr>
      </w:pPr>
    </w:p>
    <w:p>
      <w:pPr>
        <w:ind w:left="620" w:right="20" w:hanging="307"/>
        <w:spacing w:after="0" w:line="25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design and implementation of controls over management’s identification of circumstances that may indicate the carrying amounts of the real estate developments are no longer recoverable, including controls over management’s evaluation of the entitlement process, government regulation, litigation, geographical demand for new housing, and market conditions related to pricing of new homes and development costs.</w:t>
      </w:r>
    </w:p>
    <w:p>
      <w:pPr>
        <w:spacing w:after="0" w:line="114" w:lineRule="exact"/>
        <w:rPr>
          <w:rFonts w:ascii="Times New Roman" w:cs="Times New Roman" w:eastAsia="Times New Roman" w:hAnsi="Times New Roman"/>
          <w:sz w:val="17"/>
          <w:szCs w:val="17"/>
          <w:color w:val="auto"/>
        </w:rPr>
      </w:pPr>
    </w:p>
    <w:p>
      <w:pPr>
        <w:ind w:left="620" w:right="400" w:hanging="307"/>
        <w:spacing w:after="0" w:line="271"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and evaluated management’s documentation, including relevant accounting policies and information obtained by management from outside sources.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management’s impairment analysis by:</w:t>
      </w:r>
    </w:p>
    <w:p>
      <w:pPr>
        <w:spacing w:after="0" w:line="152" w:lineRule="exact"/>
        <w:rPr>
          <w:rFonts w:ascii="Times New Roman" w:cs="Times New Roman" w:eastAsia="Times New Roman" w:hAnsi="Times New Roman"/>
          <w:sz w:val="17"/>
          <w:szCs w:val="17"/>
          <w:color w:val="auto"/>
        </w:rPr>
      </w:pPr>
    </w:p>
    <w:p>
      <w:pPr>
        <w:ind w:left="1240" w:right="660" w:hanging="309"/>
        <w:spacing w:after="0" w:line="243" w:lineRule="auto"/>
        <w:tabs>
          <w:tab w:leader="none" w:pos="1236"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real estate development for possible indications of impairment, including searching for adverse asset-specific and/or market conditions by reviewing publicly available information on home values and land values in the surrounding regions of the development, periodicals and news information relating to the Southern California housing market, and other independent market data, including considerations of the demand for housing in the market, changes to comparable home prices, and trends of development costs.</w:t>
      </w:r>
    </w:p>
    <w:p>
      <w:pPr>
        <w:spacing w:after="0" w:line="123" w:lineRule="exact"/>
        <w:rPr>
          <w:rFonts w:ascii="Times New Roman" w:cs="Times New Roman" w:eastAsia="Times New Roman" w:hAnsi="Times New Roman"/>
          <w:sz w:val="17"/>
          <w:szCs w:val="17"/>
          <w:color w:val="auto"/>
        </w:rPr>
      </w:pPr>
    </w:p>
    <w:p>
      <w:pPr>
        <w:ind w:left="1240" w:hanging="309"/>
        <w:spacing w:after="0" w:line="254" w:lineRule="auto"/>
        <w:tabs>
          <w:tab w:leader="none" w:pos="1236"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letters from legal counsel and performing inquiries with the Company’s in-house legal counsel to evaluate any changes in the status of litigation matters affecting the development properties and the potential impact on the Company’s ability to recover the accumulated costs, including any relevant government regulations and/or other matters impacting the entitlement process.</w:t>
      </w:r>
    </w:p>
    <w:p>
      <w:pPr>
        <w:spacing w:after="0" w:line="114"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 independent expectation of impairment indicators and comparing such expectation to management’s analysis.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December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31,907</w:t>
            </w:r>
          </w:p>
        </w:tc>
        <w:tc>
          <w:tcPr>
            <w:tcW w:w="0" w:type="dxa"/>
            <w:vAlign w:val="bottom"/>
          </w:tcPr>
          <w:p>
            <w:pPr>
              <w:spacing w:after="0"/>
              <w:rPr>
                <w:sz w:val="1"/>
                <w:szCs w:val="1"/>
                <w:color w:val="auto"/>
              </w:rPr>
            </w:pPr>
          </w:p>
        </w:tc>
      </w:tr>
      <w:tr>
        <w:trPr>
          <w:trHeight w:val="219"/>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Marketable securities - available-for-sale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w:t>
            </w:r>
          </w:p>
        </w:tc>
        <w:tc>
          <w:tcPr>
            <w:tcW w:w="0" w:type="dxa"/>
            <w:vAlign w:val="bottom"/>
          </w:tcPr>
          <w:p>
            <w:pPr>
              <w:spacing w:after="0"/>
              <w:rPr>
                <w:sz w:val="1"/>
                <w:szCs w:val="1"/>
                <w:color w:val="auto"/>
              </w:rPr>
            </w:pPr>
          </w:p>
        </w:tc>
      </w:tr>
      <w:tr>
        <w:trPr>
          <w:trHeight w:val="219"/>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79,810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and improvements - held for lease,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16,609</w:t>
            </w:r>
          </w:p>
        </w:tc>
        <w:tc>
          <w:tcPr>
            <w:tcW w:w="0" w:type="dxa"/>
            <w:vAlign w:val="bottom"/>
          </w:tcPr>
          <w:p>
            <w:pPr>
              <w:spacing w:after="0"/>
              <w:rPr>
                <w:sz w:val="1"/>
                <w:szCs w:val="1"/>
                <w:color w:val="auto"/>
              </w:rPr>
            </w:pPr>
          </w:p>
        </w:tc>
      </w:tr>
      <w:tr>
        <w:trPr>
          <w:trHeight w:val="168"/>
        </w:trPr>
        <w:tc>
          <w:tcPr>
            <w:tcW w:w="76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Real estate development (includes $124,136 at December 31, 2024 and $119,788 at December 31, 2023,</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attributable to Centennial Founders, LLC, Note 16)</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53,985</w:t>
            </w:r>
          </w:p>
        </w:tc>
        <w:tc>
          <w:tcPr>
            <w:tcW w:w="0" w:type="dxa"/>
            <w:vAlign w:val="bottom"/>
          </w:tcPr>
          <w:p>
            <w:pPr>
              <w:spacing w:after="0"/>
              <w:rPr>
                <w:sz w:val="1"/>
                <w:szCs w:val="1"/>
                <w:color w:val="auto"/>
              </w:rPr>
            </w:pPr>
          </w:p>
        </w:tc>
      </w:tr>
      <w:tr>
        <w:trPr>
          <w:trHeight w:val="219"/>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joint ventures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 water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52,130</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4,084</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577,523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Trade accounts payable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Deferred income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11,562</w:t>
            </w:r>
          </w:p>
        </w:tc>
        <w:tc>
          <w:tcPr>
            <w:tcW w:w="0" w:type="dxa"/>
            <w:vAlign w:val="bottom"/>
          </w:tcPr>
          <w:p>
            <w:pPr>
              <w:spacing w:after="0"/>
              <w:rPr>
                <w:sz w:val="1"/>
                <w:szCs w:val="1"/>
                <w:color w:val="auto"/>
              </w:rPr>
            </w:pPr>
          </w:p>
        </w:tc>
      </w:tr>
      <w:tr>
        <w:trPr>
          <w:trHeight w:val="219"/>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Revolving line of credit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deferred gains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w:t>
            </w:r>
          </w:p>
        </w:tc>
        <w:tc>
          <w:tcPr>
            <w:tcW w:w="0" w:type="dxa"/>
            <w:vAlign w:val="bottom"/>
          </w:tcPr>
          <w:p>
            <w:pPr>
              <w:spacing w:after="0"/>
              <w:rPr>
                <w:sz w:val="1"/>
                <w:szCs w:val="1"/>
                <w:color w:val="auto"/>
              </w:rPr>
            </w:pPr>
          </w:p>
        </w:tc>
      </w:tr>
      <w:tr>
        <w:trPr>
          <w:trHeight w:val="219"/>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w:t>
            </w:r>
          </w:p>
        </w:tc>
        <w:tc>
          <w:tcPr>
            <w:tcW w:w="0" w:type="dxa"/>
            <w:vAlign w:val="bottom"/>
          </w:tcPr>
          <w:p>
            <w:pPr>
              <w:spacing w:after="0"/>
              <w:rPr>
                <w:sz w:val="1"/>
                <w:szCs w:val="1"/>
                <w:color w:val="auto"/>
              </w:rPr>
            </w:pPr>
          </w:p>
        </w:tc>
      </w:tr>
      <w:tr>
        <w:trPr>
          <w:trHeight w:val="212"/>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94,427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Tejon Ranch Co. stockholders’ equity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Common stock, $0.50 par value per share:</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Authorized shares - 50,000,000</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600" w:type="dxa"/>
            <w:vAlign w:val="bottom"/>
          </w:tcPr>
          <w:p>
            <w:pPr>
              <w:ind w:left="640"/>
              <w:spacing w:after="0" w:line="167" w:lineRule="exact"/>
              <w:rPr>
                <w:sz w:val="20"/>
                <w:szCs w:val="20"/>
                <w:color w:val="auto"/>
              </w:rPr>
            </w:pPr>
            <w:r>
              <w:rPr>
                <w:rFonts w:ascii="Times New Roman" w:cs="Times New Roman" w:eastAsia="Times New Roman" w:hAnsi="Times New Roman"/>
                <w:sz w:val="17"/>
                <w:szCs w:val="17"/>
                <w:color w:val="auto"/>
              </w:rPr>
              <w:t>Issued and outstanding shares - 26,822,768 at December 31, 2024 and 26,770,545 at December 31,</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348,497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345,609</w:t>
            </w:r>
          </w:p>
        </w:tc>
        <w:tc>
          <w:tcPr>
            <w:tcW w:w="0" w:type="dxa"/>
            <w:vAlign w:val="bottom"/>
          </w:tcPr>
          <w:p>
            <w:pPr>
              <w:spacing w:after="0"/>
              <w:rPr>
                <w:sz w:val="1"/>
                <w:szCs w:val="1"/>
                <w:color w:val="auto"/>
              </w:rPr>
            </w:pPr>
          </w:p>
        </w:tc>
      </w:tr>
      <w:tr>
        <w:trPr>
          <w:trHeight w:val="219"/>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Retained earnings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108,908</w:t>
            </w:r>
          </w:p>
        </w:tc>
        <w:tc>
          <w:tcPr>
            <w:tcW w:w="0" w:type="dxa"/>
            <w:vAlign w:val="bottom"/>
          </w:tcPr>
          <w:p>
            <w:pPr>
              <w:spacing w:after="0"/>
              <w:rPr>
                <w:sz w:val="1"/>
                <w:szCs w:val="1"/>
                <w:color w:val="auto"/>
              </w:rPr>
            </w:pPr>
          </w:p>
        </w:tc>
      </w:tr>
      <w:tr>
        <w:trPr>
          <w:trHeight w:val="212"/>
        </w:trPr>
        <w:tc>
          <w:tcPr>
            <w:tcW w:w="7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Tejon Ranch Co. stockholders’ equity</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473,594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467,732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488,956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483,096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577,523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6"/>
          </w:tcPr>
          <w:p>
            <w:pPr>
              <w:jc w:val="right"/>
              <w:ind w:right="94"/>
              <w:spacing w:after="0"/>
              <w:rPr>
                <w:sz w:val="20"/>
                <w:szCs w:val="20"/>
                <w:color w:val="auto"/>
              </w:rPr>
            </w:pPr>
            <w:r>
              <w:rPr>
                <w:rFonts w:ascii="Times New Roman" w:cs="Times New Roman" w:eastAsia="Times New Roman" w:hAnsi="Times New Roman"/>
                <w:sz w:val="17"/>
                <w:szCs w:val="17"/>
                <w:color w:val="auto"/>
              </w:rPr>
              <w:t>Year Ended December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0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99"/>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40,515</w:t>
            </w:r>
          </w:p>
        </w:tc>
        <w:tc>
          <w:tcPr>
            <w:tcW w:w="0" w:type="dxa"/>
            <w:vAlign w:val="bottom"/>
          </w:tcPr>
          <w:p>
            <w:pPr>
              <w:spacing w:after="0"/>
              <w:rPr>
                <w:sz w:val="1"/>
                <w:szCs w:val="1"/>
                <w:color w:val="auto"/>
              </w:rPr>
            </w:pPr>
          </w:p>
        </w:tc>
      </w:tr>
      <w:tr>
        <w:trPr>
          <w:trHeight w:val="219"/>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Mineral resources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21,595</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Farming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Ranch operations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79,217</w:t>
            </w: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16,356</w:t>
            </w:r>
          </w:p>
        </w:tc>
        <w:tc>
          <w:tcPr>
            <w:tcW w:w="0" w:type="dxa"/>
            <w:vAlign w:val="bottom"/>
          </w:tcPr>
          <w:p>
            <w:pPr>
              <w:spacing w:after="0"/>
              <w:rPr>
                <w:sz w:val="1"/>
                <w:szCs w:val="1"/>
                <w:color w:val="auto"/>
              </w:rPr>
            </w:pPr>
          </w:p>
        </w:tc>
      </w:tr>
      <w:tr>
        <w:trPr>
          <w:trHeight w:val="219"/>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Mineral resources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12,969</w:t>
            </w:r>
          </w:p>
        </w:tc>
        <w:tc>
          <w:tcPr>
            <w:tcW w:w="0" w:type="dxa"/>
            <w:vAlign w:val="bottom"/>
          </w:tcPr>
          <w:p>
            <w:pPr>
              <w:spacing w:after="0"/>
              <w:rPr>
                <w:sz w:val="1"/>
                <w:szCs w:val="1"/>
                <w:color w:val="auto"/>
              </w:rPr>
            </w:pPr>
          </w:p>
        </w:tc>
      </w:tr>
      <w:tr>
        <w:trPr>
          <w:trHeight w:val="219"/>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Farming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Ranch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Corporate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9,699</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expenses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65,488</w:t>
            </w:r>
          </w:p>
        </w:tc>
        <w:tc>
          <w:tcPr>
            <w:tcW w:w="0" w:type="dxa"/>
            <w:vAlign w:val="bottom"/>
          </w:tcPr>
          <w:p>
            <w:pPr>
              <w:spacing w:after="0"/>
              <w:rPr>
                <w:sz w:val="1"/>
                <w:szCs w:val="1"/>
                <w:color w:val="auto"/>
              </w:rPr>
            </w:pP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13,729</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(loss)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other income, net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148"/>
        </w:trPr>
        <w:tc>
          <w:tcPr>
            <w:tcW w:w="70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(Loss) income from operations before equity in earnings of unconsolidated joint ventures and</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15,451</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earnings of unconsolidated joint ventures,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7,752</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23,203</w:t>
            </w:r>
          </w:p>
        </w:tc>
        <w:tc>
          <w:tcPr>
            <w:tcW w:w="0" w:type="dxa"/>
            <w:vAlign w:val="bottom"/>
          </w:tcPr>
          <w:p>
            <w:pPr>
              <w:spacing w:after="0"/>
              <w:rPr>
                <w:sz w:val="1"/>
                <w:szCs w:val="1"/>
                <w:color w:val="auto"/>
              </w:rPr>
            </w:pPr>
          </w:p>
        </w:tc>
      </w:tr>
      <w:tr>
        <w:trPr>
          <w:trHeight w:val="21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7,393</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15,810</w:t>
            </w: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common stockholders,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common stockholders,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12"/>
        </w:trPr>
        <w:tc>
          <w:tcPr>
            <w:tcW w:w="7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4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15,810</w:t>
            </w:r>
          </w:p>
        </w:tc>
      </w:tr>
      <w:tr>
        <w:trPr>
          <w:trHeight w:val="219"/>
        </w:trPr>
        <w:tc>
          <w:tcPr>
            <w:tcW w:w="7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 (loss) on available-for-sale securities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 plan adjustments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9"/>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SERP liability adjustments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r>
      <w:tr>
        <w:trPr>
          <w:trHeight w:val="219"/>
        </w:trPr>
        <w:tc>
          <w:tcPr>
            <w:tcW w:w="7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interest rate swap gain</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5,641</w:t>
            </w:r>
          </w:p>
        </w:tc>
      </w:tr>
      <w:tr>
        <w:trPr>
          <w:trHeight w:val="212"/>
        </w:trPr>
        <w:tc>
          <w:tcPr>
            <w:tcW w:w="7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comprehensive income before taxes</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6,660</w:t>
            </w:r>
          </w:p>
        </w:tc>
      </w:tr>
      <w:tr>
        <w:trPr>
          <w:trHeight w:val="219"/>
        </w:trPr>
        <w:tc>
          <w:tcPr>
            <w:tcW w:w="71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Provision for income taxes related to other comprehensive income items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(1,866)</w:t>
            </w:r>
          </w:p>
        </w:tc>
      </w:tr>
      <w:tr>
        <w:trPr>
          <w:trHeight w:val="212"/>
        </w:trPr>
        <w:tc>
          <w:tcPr>
            <w:tcW w:w="7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2,946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20,604</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 attributable to non-controlling interests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common stockholders</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2,948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20,602</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thousands, except shares outstanding)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Common</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Additional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Accumulated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color w:val="auto"/>
                <w:w w:val="94"/>
              </w:rPr>
              <w:t>Total</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rPr>
              <w:t>Non-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Common</w:t>
            </w: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5"/>
                <w:szCs w:val="15"/>
                <w:color w:val="auto"/>
                <w:w w:val="99"/>
              </w:rPr>
              <w:t>Other</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5"/>
                <w:szCs w:val="15"/>
                <w:color w:val="auto"/>
              </w:rPr>
              <w:t>Retained</w:t>
            </w: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Stock Shares</w:t>
            </w:r>
          </w:p>
        </w:tc>
        <w:tc>
          <w:tcPr>
            <w:tcW w:w="760" w:type="dxa"/>
            <w:vAlign w:val="bottom"/>
            <w:gridSpan w:val="2"/>
            <w:vMerge w:val="continue"/>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Paid-In</w:t>
            </w:r>
          </w:p>
        </w:tc>
        <w:tc>
          <w:tcPr>
            <w:tcW w:w="1080" w:type="dxa"/>
            <w:vAlign w:val="bottom"/>
            <w:gridSpan w:val="3"/>
          </w:tcPr>
          <w:p>
            <w:pPr>
              <w:spacing w:after="0" w:line="155" w:lineRule="exact"/>
              <w:rPr>
                <w:sz w:val="20"/>
                <w:szCs w:val="20"/>
                <w:color w:val="auto"/>
              </w:rPr>
            </w:pPr>
            <w:r>
              <w:rPr>
                <w:rFonts w:ascii="Times New Roman" w:cs="Times New Roman" w:eastAsia="Times New Roman" w:hAnsi="Times New Roman"/>
                <w:sz w:val="15"/>
                <w:szCs w:val="15"/>
                <w:color w:val="auto"/>
              </w:rPr>
              <w:t>Comprehensive</w:t>
            </w:r>
          </w:p>
        </w:tc>
        <w:tc>
          <w:tcPr>
            <w:tcW w:w="800" w:type="dxa"/>
            <w:vAlign w:val="bottom"/>
            <w:gridSpan w:val="3"/>
            <w:vMerge w:val="continue"/>
          </w:tcPr>
          <w:p>
            <w:pPr>
              <w:spacing w:after="0"/>
              <w:rPr>
                <w:sz w:val="13"/>
                <w:szCs w:val="13"/>
                <w:color w:val="auto"/>
              </w:rPr>
            </w:pPr>
          </w:p>
        </w:tc>
        <w:tc>
          <w:tcPr>
            <w:tcW w:w="9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5"/>
                <w:szCs w:val="15"/>
                <w:color w:val="auto"/>
              </w:rPr>
              <w:t>Stockholders'</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color w:val="auto"/>
              </w:rPr>
              <w:t>controlling</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Total Equity</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Outstanding</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(Loss) Income</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Earnings</w:t>
            </w:r>
          </w:p>
        </w:tc>
        <w:tc>
          <w:tcPr>
            <w:tcW w:w="18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Equity</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Interest</w:t>
            </w: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26,400,921</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$ 13,200</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$ 344,936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441,149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456,511</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249,127</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withheld for taxes and tax benefit of vested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(108,495)</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21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26,541,553</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$ 13,271</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$ 345,344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105,643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462,230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477,594</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446,969</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withheld for taxes and tax benefit of vested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(217,977)</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0" w:type="dxa"/>
            <w:vAlign w:val="bottom"/>
          </w:tcPr>
          <w:p>
            <w:pPr>
              <w:spacing w:after="0"/>
              <w:rPr>
                <w:sz w:val="1"/>
                <w:szCs w:val="1"/>
                <w:color w:val="auto"/>
              </w:rPr>
            </w:pPr>
          </w:p>
        </w:tc>
      </w:tr>
      <w:tr>
        <w:trPr>
          <w:trHeight w:val="21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26,770,545</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$ 13,386</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$ 345,609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108,908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467,732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483,096</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left="558"/>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issuance</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center"/>
              <w:ind w:left="45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withheld for taxes and tax benefit of vested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(18,455)</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left="45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37"/>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26,822,768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$ 13,412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$ 348,497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111,598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488,956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color w:val="auto"/>
              </w:rPr>
              <w:t>Twelve Months Ended December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color w:val="auto"/>
                <w:w w:val="99"/>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Amortization of (discount) premium on marketable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Equity in earnings of unconsolidated joint ventures,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retirement plan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(Gain) loss on sale of real estate/assets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profits recognized from land contribution</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Profit from water sale</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Profit from land sales</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Excess tax benefit of stock-based compensation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Abandonment expense</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Inventory write down</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Distribution of earnings from unconsolidated joint ventures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Receivables, inventories, prepaids and other assets,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Current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Maturities and sales of marketable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92,605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134,083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(132,317)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and equipment expenditures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Reimbursement proceeds from Community Facilities District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real estate/assets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 of land</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unconsolidated joint ventures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 of equity from unconsolidated joint ventures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Investments in long-term water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Proceeds from water sales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Interest rate swap settlement</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(14,002)</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Borrowings on line of credit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Borrowings of long-term debt</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(50,357)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financing costs</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Interest rate swap settlement</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Taxes on vested stock grants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39,619</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year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39,767</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32,407</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39,619</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634"/>
              <w:spacing w:after="0"/>
              <w:rPr>
                <w:sz w:val="20"/>
                <w:szCs w:val="20"/>
                <w:color w:val="auto"/>
              </w:rPr>
            </w:pPr>
            <w:r>
              <w:rPr>
                <w:rFonts w:ascii="Times New Roman" w:cs="Times New Roman" w:eastAsia="Times New Roman" w:hAnsi="Times New Roman"/>
                <w:sz w:val="17"/>
                <w:szCs w:val="17"/>
                <w:color w:val="auto"/>
              </w:rPr>
              <w:t>78</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4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color w:val="auto"/>
              </w:rPr>
              <w:t>Twelve Months Ended 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color w:val="auto"/>
              </w:rPr>
              <w:t>2023</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color w:val="auto"/>
                <w:w w:val="99"/>
              </w:rPr>
              <w:t>2022</w:t>
            </w:r>
          </w:p>
        </w:tc>
        <w:tc>
          <w:tcPr>
            <w:tcW w:w="0" w:type="dxa"/>
            <w:vAlign w:val="bottom"/>
          </w:tcPr>
          <w:p>
            <w:pPr>
              <w:spacing w:after="0"/>
              <w:rPr>
                <w:sz w:val="1"/>
                <w:szCs w:val="1"/>
                <w:color w:val="auto"/>
              </w:rPr>
            </w:pPr>
          </w:p>
        </w:tc>
      </w:tr>
      <w:tr>
        <w:trPr>
          <w:trHeight w:val="112"/>
        </w:trPr>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to amounts on consolidated balance sheets: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39,267</w:t>
            </w:r>
          </w:p>
        </w:tc>
        <w:tc>
          <w:tcPr>
            <w:tcW w:w="1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31,907</w:t>
            </w:r>
          </w:p>
        </w:tc>
        <w:tc>
          <w:tcPr>
            <w:tcW w:w="16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39,119</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(recorded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39,767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32,407</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39,619</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42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Accrued capital and water expenditures included in current liabilities</w:t>
            </w:r>
          </w:p>
        </w:tc>
        <w:tc>
          <w:tcPr>
            <w:tcW w:w="280" w:type="dxa"/>
            <w:vAlign w:val="bottom"/>
            <w:tcBorders>
              <w:bottom w:val="single" w:sz="8" w:color="auto"/>
            </w:tcBorders>
            <w:shd w:val="clear" w:color="auto" w:fill="CCEEFF"/>
          </w:tcPr>
          <w:p>
            <w:pPr>
              <w:jc w:val="right"/>
              <w:ind w:right="74"/>
              <w:spacing w:after="0" w:line="194"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5,290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2,091</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Contribution to unconsolidated joint venture</w:t>
            </w: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20" w:type="dxa"/>
            <w:vAlign w:val="bottom"/>
            <w:tcBorders>
              <w:top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8,501</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 term deferred profit on land contribution</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right"/>
        <w:ind w:left="20" w:right="280"/>
        <w:spacing w:after="0" w:line="217"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In determining the classification of cash inflows and outflows related to water asset activity, the Company’s practices are supported by ASC 230-10-45-22, which provides that “Certain cash receipts and payments have aspects of more than one class of cash flows…. If so, the appropriate classification shall depend on the activity that is likely to be the</w:t>
      </w:r>
    </w:p>
    <w:p>
      <w:pPr>
        <w:ind w:left="100" w:right="200"/>
        <w:spacing w:after="0" w:line="250" w:lineRule="auto"/>
        <w:rPr>
          <w:sz w:val="20"/>
          <w:szCs w:val="20"/>
          <w:color w:val="auto"/>
        </w:rPr>
      </w:pPr>
      <w:r>
        <w:rPr>
          <w:rFonts w:ascii="Times New Roman" w:cs="Times New Roman" w:eastAsia="Times New Roman" w:hAnsi="Times New Roman"/>
          <w:sz w:val="15"/>
          <w:szCs w:val="15"/>
          <w:color w:val="auto"/>
        </w:rPr>
        <w:t>predominant source of cash flows for the item.” Also, at the 2006 American Institution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06" w:lineRule="exact"/>
        <w:rPr>
          <w:sz w:val="20"/>
          <w:szCs w:val="20"/>
          <w:color w:val="auto"/>
        </w:rPr>
      </w:pPr>
    </w:p>
    <w:p>
      <w:pPr>
        <w:ind w:left="100" w:right="120"/>
        <w:spacing w:after="0" w:line="247" w:lineRule="auto"/>
        <w:rPr>
          <w:sz w:val="20"/>
          <w:szCs w:val="20"/>
          <w:color w:val="auto"/>
        </w:rPr>
      </w:pPr>
      <w:r>
        <w:rPr>
          <w:rFonts w:ascii="Times New Roman" w:cs="Times New Roman" w:eastAsia="Times New Roman" w:hAnsi="Times New Roman"/>
          <w:sz w:val="15"/>
          <w:szCs w:val="15"/>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$1.32 and $6.18 million in 2023 and 2022, respectively, and this cash inflow is appropriately classified in the Company’s investing activities. The profit of $0.5 and $2.2 million in 2023 and 2022 related to the water purchased in prior periods is appropriately being deducted from operating activities for the respective period. The Company has and will continue to apply this methodology to water asset transactions that meet this fact pattern.</w:t>
      </w:r>
    </w:p>
    <w:p>
      <w:pPr>
        <w:spacing w:after="0" w:line="200" w:lineRule="exact"/>
        <w:rPr>
          <w:sz w:val="20"/>
          <w:szCs w:val="20"/>
          <w:color w:val="auto"/>
        </w:rPr>
      </w:pPr>
    </w:p>
    <w:p>
      <w:pPr>
        <w:spacing w:after="0" w:line="224" w:lineRule="exact"/>
        <w:rPr>
          <w:sz w:val="20"/>
          <w:szCs w:val="20"/>
          <w:color w:val="auto"/>
        </w:rPr>
      </w:pPr>
    </w:p>
    <w:p>
      <w:pPr>
        <w:ind w:left="100" w:right="100" w:hanging="76"/>
        <w:spacing w:after="0" w:line="212"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The Company had an interest rate swap agreement with Bank of America, N.A. to reduce its exposure to fluctuations in the floating interest rate tied to SOFR under the term note. The hedging relationship qualified as an effective cash flow hedge and was recorded at fair value. On October 23, 2023, the Company terminated the interest rate swap, and received a $3,715,000 cash termination fee from Bank of America, N.A.</w:t>
      </w:r>
    </w:p>
    <w:p>
      <w:pPr>
        <w:spacing w:after="0" w:line="240" w:lineRule="exact"/>
        <w:rPr>
          <w:sz w:val="20"/>
          <w:szCs w:val="20"/>
          <w:color w:val="auto"/>
        </w:rPr>
      </w:pPr>
    </w:p>
    <w:p>
      <w:pPr>
        <w:ind w:left="100" w:right="240"/>
        <w:spacing w:after="0" w:line="212"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5"/>
          <w:szCs w:val="15"/>
          <w:color w:val="auto"/>
        </w:rPr>
        <w:t>The Company had an interest rate swap agreement with Wells Fargo Bank, N.A. to reduce its exposure to fluctuations in the floating interest rate tied to the London Inter-Bank Rate under a term note with Wells Fargo. The hedging relationship qualified as an effective cash flow hedge and was recorded at fair value. On June 27, 2022, the Company terminated the interest rate swap, and received a $1,123,000 cash termination fee from Wells Fargo.</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Tejon Ranch Co.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38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SUMMARY OF SIGNIFICANT ACCOUNTING POLICIES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9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Tejon Ranch Co. (the Company or Tejon) is a diversified real estate development and agribusiness company committed to responsibly using its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 Beginning in 2025, the Company will also initiate residential leasing from multifamily developments as part of its long-term growth strategy.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activities are performed through five reporting segments:</w:t>
      </w:r>
    </w:p>
    <w:p>
      <w:pPr>
        <w:spacing w:after="0" w:line="101" w:lineRule="exact"/>
        <w:rPr>
          <w:sz w:val="20"/>
          <w:szCs w:val="20"/>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 Commercial/Industrial</w:t>
      </w:r>
    </w:p>
    <w:p>
      <w:pPr>
        <w:spacing w:after="0" w:line="8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 Resort/Residential</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Farming</w:t>
      </w:r>
    </w:p>
    <w:p>
      <w:pPr>
        <w:spacing w:after="0" w:line="8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Ranch Operations</w:t>
      </w:r>
    </w:p>
    <w:p>
      <w:pPr>
        <w:spacing w:after="0" w:line="10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Tejon's prime asset is approximately 270,000 acres of contiguous, largely undeveloped land that, at its most southerly border, is 60 miles north of downtown Los Angeles and, at its most northerly border, is 15 miles east of Bakersfield. The Company creates value by securing entitlements for its land, facilitating infrastructure development, strategic land planning, monetization of land through development and sales, and conservation, in order to maximize the highest and best use for its land.</w:t>
      </w:r>
    </w:p>
    <w:p>
      <w:pPr>
        <w:spacing w:after="0" w:line="120"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The Company is involved in nine joint ventures that own, develop, and operate real estate properties. The Company enters into joint ventures as a means to facilitate the development of portions of its land. The Company is also actively engaged in land planning, land entitlement, and conservation projects.</w:t>
      </w:r>
    </w:p>
    <w:p>
      <w:pPr>
        <w:spacing w:after="0" w:line="3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Any references to the number of acres, number of buildings, square footage, number of leases, occupancy, and any amounts derived from these values in the notes to the consolidated financial statements are unaudited.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the accounts of all subsidiaries and investments in which a controlling interest is held by the Company. All intercompany transactions have been eliminated in consolidation. The Company has evaluated subsequent events through the date of issuance of the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6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Company considers all highly liquid investments with maturities of three months or less when purchased to be cash equivalents. The carrying amount for cash equivalents approximates fair value.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Marketable Securities</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changes in equity.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Investments in Unconsolidated Joint Ventures</w:t>
      </w:r>
    </w:p>
    <w:p>
      <w:pPr>
        <w:spacing w:after="0" w:line="1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When the Company contributes land to a joint venture, it records the investment in the venture at fair value, regardless of whether the other investors in the venture contribute cash or property.</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Company generally allocates income and loss from an unconsolidated joint venture based on the venture's distribution priorities, which may be different from its stated ownership percentage.</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Financial Instruments</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22"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Valuation is based on quoted prices in active markets for identical assets and liabilities.</w:t>
      </w:r>
    </w:p>
    <w:p>
      <w:pPr>
        <w:spacing w:after="0" w:line="165"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99"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10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When available, the Company uses quoted market prices in active markets to determine fair value. The Company considers the principal market and nonperformance risk associated with counterparties when determining the fair value measurement. Fair value measurements are used on a recurring basis for marketable securities, investments within the pension plan and hedging instruments, if any.</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carrying values of cash and cash equivalents, restricted cash, receivables, accounts payable, accrued expenses, and other short-term liabilities approximate their fair value. Additionally, the fair value of the RCL approximates fair value considering factors such as the interest rate being variable and the estimated credit spread available in the market at the balance sheet date being comparable to the terms at origination.</w:t>
      </w: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09" w:right="4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Interest Rate Swap Agreements</w:t>
      </w:r>
    </w:p>
    <w:p>
      <w:pPr>
        <w:spacing w:after="0" w:line="16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June 30, 2022, the Company entered into a variable rate term note, or New Term Note, with Bank of America, N.A. and on the same day, the Company entered into a new interest rate swap agreement to reduce its exposure to fluctuations in the floating interest rate tied to SOFR under the New Term Note. The hedging relationship qualified as an effective cash flow hedge and was recorded at fair value. On October 23, 2023, the Company terminated its interest rate swap agreement with Bank of America, N.A., and received a $3,715,000 cash termination fee from Bank of America, N.A.</w:t>
      </w:r>
    </w:p>
    <w:p>
      <w:pPr>
        <w:spacing w:after="0" w:line="12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Company had an interest rate swap agreement with Wells Fargo Bank, N.A. to reduce its exposure to fluctuations in the floating interest rate tied to the London Inter-Bank Rate, or LIBOR under a term note with Wells Fargo. The hedging relationship qualified as an effective cash flow hedge and was recorded at fair value. On June 27, 2022, the Company terminated the interest rate swap, and received a $1,123,000 cash termination fee from Wells Fargo.</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Company believes it is prudent at times to limit the variability of floating-rate interest payments and in the past has entered into interest rate swaps to manage those fluctuations.</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The Company recognizes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The interest rate swap agreement was considered a cash flow hedge because it was designed to match the terms of the term loan with Bank of America, N.A.,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was evaluated based on whether it is deemed highly effective in reducing exposure to variable interest rates. The Company formally documents all relationships between interest rate swap agreements and hedged items, including the method for evaluating effectiveness and the risk strategy. The Company makes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3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 of interest rate swap agreements is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the Company has determined to be insignificant to the overall fair value of its interest rate swap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Interest Entity</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 VIE is broadly defined as an entity where either: (i) the equity investment at risk is insufficient to finance that entity’s activities without additional subordinated financial support, (ii) substantially all of an entity’s activities either involve or are conducted on behalf of an investor that has disproportionately few voting rights, or (iii) the equity investors as a group lack any of the following: (a) the power through voting or similar rights to direct the activities of an entity that most significantly impact the entity’s economic performance, (b) the obligation to absorb the expected losses of an entity, or (c) the right to receive the expected residual returns of an entity. Criterion (iii) above is generally applied to limited partnerships and similarly structured entities by assessing whether a simple majority of the limited partners hold substantive rights to participate in the significant decisions of the entity or have the ability to remove the decision maker or liquidate the entity without cause. If neither of those criteria are met, the entity is a VIE.</w:t>
      </w:r>
    </w:p>
    <w:p>
      <w:pPr>
        <w:spacing w:after="0" w:line="1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evaluates all of its interests in VIEs for consolidation. When the Company's interests are determined to be variable interests, the Company assesses whether the Company is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The Company considers its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2" w:name="page83"/>
    <w:bookmarkEnd w:id="82"/>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variable interests as well as any variable interests of related parties in making this determination. Where both of these factors are present, the Company is deemed to be the primary beneficiary and consolidates the VIE. Where either one of these factors is not present, the Company is not the primary beneficiary and does not consolidate the VIE.</w:t>
      </w:r>
    </w:p>
    <w:p>
      <w:pPr>
        <w:spacing w:after="0" w:line="19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7"/>
          <w:szCs w:val="17"/>
          <w:color w:val="auto"/>
        </w:rPr>
        <w:t>To assess whether the Company has the power to direct the activities of a VIE that most significantly impact the VIE’s economic performance, the Company considers all facts and circumstances, including its role in establishing the VIE and its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To assess whether the Company has the obligation to absorb losses of the VIE or the right to receive benefits from the VIE that could potentially be significant to the VIE, the Company considers all economic interests, including debt and equity investments, servicing fees, and other arrangements deemed to be variable interests in the VIE. This assessment requires that the Company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22"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As of December 31, 2024 and 2023, the Company had two VIEs. One was consolidated in the financial statements while the other was not. See Note 16 (Investment in Unconsolidated and Consolidated Joint Ventures) to the Notes to Consolidated Financial Statements for further discussion.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169"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1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assesses the risk of loss on accounts receivable and adjusts the allowance for doubtful accounts based on this risk assessment. We do so by applying historical loss rates to our accounts receivable aging schedule to estimate expected credit losses. We further adjusted expected credit losses for specifically identified and forecasted credit losses. Accounts are written off when they are deemed to be no longer collectible.</w:t>
      </w:r>
    </w:p>
    <w:p>
      <w:pPr>
        <w:spacing w:after="0" w:line="114" w:lineRule="exact"/>
        <w:rPr>
          <w:sz w:val="20"/>
          <w:szCs w:val="20"/>
          <w:color w:val="auto"/>
        </w:rPr>
      </w:pPr>
    </w:p>
    <w:p>
      <w:pPr>
        <w:ind w:right="860"/>
        <w:spacing w:after="0" w:line="287" w:lineRule="auto"/>
        <w:rPr>
          <w:sz w:val="20"/>
          <w:szCs w:val="20"/>
          <w:color w:val="auto"/>
        </w:rPr>
      </w:pPr>
      <w:r>
        <w:rPr>
          <w:rFonts w:ascii="Times New Roman" w:cs="Times New Roman" w:eastAsia="Times New Roman" w:hAnsi="Times New Roman"/>
          <w:sz w:val="17"/>
          <w:szCs w:val="17"/>
          <w:color w:val="auto"/>
        </w:rPr>
        <w:t>During the years ended December 31, 2024, 2023, and 2022, the PEF power plant lease generated approximately 11%, 11%, and 6% of total revenues, respectively. The Company had no other customers accounting for 5% or more of total revenues from operations.</w:t>
      </w:r>
    </w:p>
    <w:p>
      <w:pPr>
        <w:spacing w:after="0" w:line="1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Farm Inventories</w:t>
      </w:r>
    </w:p>
    <w:p>
      <w:pPr>
        <w:spacing w:after="0" w:line="16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6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The Company's property and equipment and their respective estimated useful lives are as follows: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3"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Useful Life</w:t>
            </w:r>
          </w:p>
        </w:tc>
        <w:tc>
          <w:tcPr>
            <w:tcW w:w="24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9"/>
                <w:szCs w:val="19"/>
                <w:color w:val="auto"/>
              </w:rPr>
            </w:pPr>
          </w:p>
        </w:tc>
        <w:tc>
          <w:tcPr>
            <w:tcW w:w="18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Vineyards and orchards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68,274</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Machinery, furniture fixtures and other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3 - 10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21,668</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10 - 27.5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9,185</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7,835</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Development in process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5,079</w:t>
            </w:r>
          </w:p>
        </w:tc>
      </w:tr>
      <w:tr>
        <w:trPr>
          <w:trHeight w:val="212"/>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117,274</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112,041</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(58,056)</w:t>
            </w:r>
          </w:p>
        </w:tc>
      </w:tr>
      <w:tr>
        <w:trPr>
          <w:trHeight w:val="212"/>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56,387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53,985</w:t>
            </w:r>
          </w:p>
        </w:tc>
      </w:tr>
      <w:tr>
        <w:trPr>
          <w:trHeight w:val="20"/>
        </w:trPr>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Water Assets</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Vineyards and Orchards</w:t>
      </w:r>
    </w:p>
    <w:p>
      <w:pPr>
        <w:spacing w:after="0" w:line="16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1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the Company's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increased pistachio revenues by $1,836,000 in 2024, while they had no impact on pistachio revenues in 2023, and increased the pistachio revenues by $873,000 in 2022. There were no pricing adjustments associated with the Company's almonds.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Almond Board of California has the authority to require producers of almonds to withhold a portion of their annual production from the marketplace through a marketing order approved by the Secretary of Agriculture. At December 31, 2024, 2023, and 2022, no such withholding was mandated.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Options and Grants</w:t>
      </w:r>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probable number of shares that will actually be granted based upon estimated ranges of success in meeting defined performance measures. An estimate for share forfeitures, based on historical forfeitures, are recorded on all grants. Periodically, the Company updates its estimates and reflects any changes to the estimate in the consolidated statements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6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On a quarterly basis, the Company reviews current activities and changes in the business conditions of all of its operating properties prior to and subsequent to the end of each quarter to determine the existence of any triggering events requiring an impairment analysis. If triggering events are identified, the Company reviews an estimate of the future undiscounted cash flows for the properties, including, if necessary, a probability-weighted approach if multiple outcomes are under consideration.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bookmarkStart w:id="84" w:name="page85"/>
    <w:bookmarkEnd w:id="84"/>
    <w:p>
      <w:pPr>
        <w:ind w:right="80"/>
        <w:spacing w:after="0" w:line="257" w:lineRule="auto"/>
        <w:rPr>
          <w:sz w:val="20"/>
          <w:szCs w:val="20"/>
          <w:color w:val="auto"/>
        </w:rPr>
      </w:pPr>
      <w:r>
        <w:rPr>
          <w:rFonts w:ascii="Times New Roman" w:cs="Times New Roman" w:eastAsia="Times New Roman" w:hAnsi="Times New Roman"/>
          <w:sz w:val="17"/>
          <w:szCs w:val="17"/>
          <w:color w:val="auto"/>
        </w:rPr>
        <w:t>Long-lived assets to be held and used, including rental properties, construction in progress, or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The Company assesses the expected undiscounted cash flows based upon numerous factors, including, but not limited to, available market information, current and historical operating results, known trends, current market/economic conditions that may affect the property, and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Indicators of impairment for real estate development may include events or changes in circumstances affecting the entitlement process, government regulation, litigation, geographical demand for new housing, and market conditions related to pricing of new homes and development costs. When events or changes in circumstances exist that result in an indicator of impairment, the Company evaluates the real estate development for impairment by comparing future undiscounted cash flows expected to be generated over the life of the real estate development to the respective carrying amount. If the carrying amount of the real estate development exceeds future undiscounted cash flows, an analysis is performed to determine the fair value of the asset.</w:t>
      </w:r>
    </w:p>
    <w:p>
      <w:pPr>
        <w:spacing w:after="0" w:line="123" w:lineRule="exact"/>
        <w:rPr>
          <w:sz w:val="20"/>
          <w:szCs w:val="20"/>
          <w:color w:val="auto"/>
        </w:rPr>
      </w:pPr>
    </w:p>
    <w:p>
      <w:pPr>
        <w:ind w:right="540"/>
        <w:spacing w:after="0" w:line="533" w:lineRule="auto"/>
        <w:rPr>
          <w:sz w:val="20"/>
          <w:szCs w:val="20"/>
          <w:color w:val="auto"/>
        </w:rPr>
      </w:pPr>
      <w:r>
        <w:rPr>
          <w:rFonts w:ascii="Times New Roman" w:cs="Times New Roman" w:eastAsia="Times New Roman" w:hAnsi="Times New Roman"/>
          <w:sz w:val="17"/>
          <w:szCs w:val="17"/>
          <w:color w:val="auto"/>
        </w:rPr>
        <w:t xml:space="preserve">In addition, the Company accounts for long-lived assets to be disposed of at the lower of their carrying amounts or fair value less selling and disposal costs. As of December 31, 2024, management of the Company believes that none of its long-lived assets were impaired. </w:t>
      </w:r>
      <w:r>
        <w:rPr>
          <w:rFonts w:ascii="Times New Roman" w:cs="Times New Roman" w:eastAsia="Times New Roman" w:hAnsi="Times New Roman"/>
          <w:sz w:val="17"/>
          <w:szCs w:val="17"/>
          <w:b w:val="1"/>
          <w:bCs w:val="1"/>
          <w:color w:val="auto"/>
        </w:rPr>
        <w:t>Revenue Recognition</w:t>
      </w:r>
    </w:p>
    <w:p>
      <w:pPr>
        <w:spacing w:after="0" w:line="2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revenue is primarily derived from royalty revenue from mineral leases, sales of farm crops, sales of water, and land sales.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the Company (i) identifies the contract with the customer, (ii) identifies the performance obligations in the contract, (iii) determines the transaction price, including variable consideration to the extent that it is probable that a significant future reversal will not occur, (iv) allocates the transaction price to the respective performance obligations in the contract, and (v) recognize revenue when (or as) the Company satisfies the performance obligation.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Real Estate</w:t>
      </w:r>
    </w:p>
    <w:p>
      <w:pPr>
        <w:spacing w:after="0" w:line="16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allocates the transaction price, on land sales with multiple performance obligations, to the performance obligations in proportion to their standalone selling prices (i.e., on a relative standalone selling price basis) and not total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Easements</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Allocation of Costs Related to Land Sales and Leases</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Royalty Income</w:t>
      </w:r>
    </w:p>
    <w:p>
      <w:pPr>
        <w:spacing w:after="0" w:line="16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Royalty revenues are contractually defined as to the percentage of royalty and are tied to production and market prices. The Company’s royalty arrangements generally require payment on a monthly basis with the payment based on the previous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5" w:name="page86"/>
    <w:bookmarkEnd w:id="85"/>
    <w:p>
      <w:pPr>
        <w:ind w:right="1280"/>
        <w:spacing w:after="0" w:line="443" w:lineRule="auto"/>
        <w:rPr>
          <w:sz w:val="20"/>
          <w:szCs w:val="20"/>
          <w:color w:val="auto"/>
        </w:rPr>
      </w:pPr>
      <w:r>
        <w:rPr>
          <w:rFonts w:ascii="Times New Roman" w:cs="Times New Roman" w:eastAsia="Times New Roman" w:hAnsi="Times New Roman"/>
          <w:sz w:val="17"/>
          <w:szCs w:val="17"/>
          <w:color w:val="auto"/>
        </w:rPr>
        <w:t xml:space="preserve">month's activity. The Company accrues monthly royalty revenues based upon estimates and adjusts to actual as the Company receives payments. </w:t>
      </w:r>
      <w:r>
        <w:rPr>
          <w:rFonts w:ascii="Times New Roman" w:cs="Times New Roman" w:eastAsia="Times New Roman" w:hAnsi="Times New Roman"/>
          <w:sz w:val="17"/>
          <w:szCs w:val="17"/>
          <w:b w:val="1"/>
          <w:bCs w:val="1"/>
          <w:color w:val="auto"/>
        </w:rPr>
        <w:t>Rental Income</w:t>
      </w:r>
    </w:p>
    <w:p>
      <w:pPr>
        <w:ind w:right="60"/>
        <w:spacing w:after="0" w:line="261" w:lineRule="auto"/>
        <w:rPr>
          <w:sz w:val="20"/>
          <w:szCs w:val="20"/>
          <w:color w:val="auto"/>
        </w:rPr>
      </w:pPr>
      <w:r>
        <w:rPr>
          <w:rFonts w:ascii="Times New Roman" w:cs="Times New Roman" w:eastAsia="Times New Roman" w:hAnsi="Times New Roman"/>
          <w:sz w:val="17"/>
          <w:szCs w:val="17"/>
          <w:color w:val="auto"/>
        </w:rPr>
        <w:t>Rental income from leases is recognized on a straight-line basis over the respective lease terms. For each lease, the amount by which the straight-line rent recognized exceeds the amount contractually due under the lease is classified as deferred rent in prepaid expenses and other current assets in the accompanying consolidated balance sheets. Furthermore, for each lease, amounts paid by the tenant in excess of the straight-line rent recognized is classified as deferred income in the accompanying consolidated balance sheets. The Company commences recognition of rental income at the date the property is ready for its intended use, and the tenant takes possession of, or controls the physical use of, the property.</w:t>
      </w:r>
    </w:p>
    <w:p>
      <w:pPr>
        <w:spacing w:after="0" w:line="1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term of each lease, the Company monitors the credit quality of its tenants by (i) reviewing the credit rating of tenants that are rated by a nationally recognized credit rating agency, (ii) reviewing financial statements of the tenants that are publicly available or that are required to be delivered to the Company pursuant to the applicable lease, (iii) monitoring news reports regarding its tenants and their respective businesses, and (iv) monitoring the timeliness of lease payments. For operating leases in which collectability of rental income is not considered probable, rental income is recognized on a cash basis and allowances are taken for those balances that we have reason to believe may be uncollectible in the period it is determined not to be probable of collection.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Expenditures</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2024 and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 Adopted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Reporting</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 Improvements to Reportable Segment Disclosures". This ASU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ASU for the Company's annual report on Form 10-K beginning with the year ending December 31, 2024 and for subsequent quarterly and annual reports. The adoption resulted in the additional disclosures mentioned above, which were not material.</w:t>
      </w:r>
    </w:p>
    <w:p>
      <w:pPr>
        <w:spacing w:after="0" w:line="118" w:lineRule="exact"/>
        <w:rPr>
          <w:sz w:val="20"/>
          <w:szCs w:val="20"/>
          <w:color w:val="auto"/>
        </w:rPr>
      </w:pPr>
    </w:p>
    <w:p>
      <w:pPr>
        <w:ind w:right="3400"/>
        <w:spacing w:after="0" w:line="358" w:lineRule="auto"/>
        <w:rPr>
          <w:sz w:val="20"/>
          <w:szCs w:val="20"/>
          <w:color w:val="auto"/>
        </w:rPr>
      </w:pPr>
      <w:r>
        <w:rPr>
          <w:rFonts w:ascii="Times New Roman" w:cs="Times New Roman" w:eastAsia="Times New Roman" w:hAnsi="Times New Roman"/>
          <w:sz w:val="17"/>
          <w:szCs w:val="17"/>
          <w:b w:val="1"/>
          <w:bCs w:val="1"/>
          <w:color w:val="auto"/>
        </w:rPr>
        <w:t xml:space="preserve">New Accounting Pronouncements and Climate Change Related Update by SEC Effective in Future Periods </w:t>
      </w:r>
      <w:r>
        <w:rPr>
          <w:rFonts w:ascii="Times New Roman" w:cs="Times New Roman" w:eastAsia="Times New Roman" w:hAnsi="Times New Roman"/>
          <w:sz w:val="17"/>
          <w:szCs w:val="17"/>
          <w:i w:val="1"/>
          <w:iCs w:val="1"/>
          <w:color w:val="auto"/>
        </w:rPr>
        <w:t>Business Combinations - Joint Venture Formations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In August 2023, the Financial Accounting Standards Board, or FASB, issued Accounting Standards Update, or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is not expected to have a material effect on our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05"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(Topic740) - Improvements to Income Tax Disclosures". This ASU requires public business entities to disclose a tabular rate reconciliation of both percentages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6" w:name="page87"/>
    <w:bookmarkEnd w:id="86"/>
    <w:p>
      <w:pPr>
        <w:ind w:right="200"/>
        <w:spacing w:after="0" w:line="270" w:lineRule="auto"/>
        <w:rPr>
          <w:sz w:val="20"/>
          <w:szCs w:val="20"/>
          <w:color w:val="auto"/>
        </w:rPr>
      </w:pPr>
      <w:r>
        <w:rPr>
          <w:rFonts w:ascii="Times New Roman" w:cs="Times New Roman" w:eastAsia="Times New Roman" w:hAnsi="Times New Roman"/>
          <w:sz w:val="17"/>
          <w:szCs w:val="17"/>
          <w:color w:val="auto"/>
        </w:rPr>
        <w:t>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Adoption of Rules to Enhance and Standardize Climate-related Disclosures for Investors</w:t>
      </w:r>
    </w:p>
    <w:p>
      <w:pPr>
        <w:spacing w:after="0" w:line="10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On March 6, 2024, the SEC adopted final rules to require registrants to disclose certain climate-related information in registration statements and annual reports. 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ending December 31, 2027; however, the SEC disclosed in its litigation filings that it would publish a new effective date for the rules at the conclusion of its stay. On February 11, 2025, the SEC also indicated it would ask the court to hold on scheduling further arguments while the SEC reassessed its position in the litigation. We are currently evaluating the impact of our pending adoption of these requirements on our financial statement disclosures.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Expense Disaggregation Disclosures</w:t>
      </w:r>
    </w:p>
    <w:p>
      <w:pPr>
        <w:spacing w:after="0" w:line="9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We are currently evaluating the impact of these requirements on our financial statement disclosures.</w:t>
      </w:r>
    </w:p>
    <w:p>
      <w:pPr>
        <w:spacing w:after="0" w:line="11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EQUITY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 (EPS)</w:t>
      </w:r>
    </w:p>
    <w:p>
      <w:pPr>
        <w:spacing w:after="0" w:line="169"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7"/>
          <w:szCs w:val="17"/>
          <w:color w:val="auto"/>
        </w:rPr>
        <w:t>Basic net income per share attributable to common stockholders is based upon the weighted-average number of shares of common stock outstanding during the year. Diluted net income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24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4220" w:type="dxa"/>
            <w:vAlign w:val="bottom"/>
            <w:tcBorders>
              <w:bottom w:val="single" w:sz="8" w:color="auto"/>
            </w:tcBorders>
            <w:gridSpan w:val="5"/>
          </w:tcPr>
          <w:p>
            <w:pPr>
              <w:ind w:left="1460"/>
              <w:spacing w:after="0"/>
              <w:rPr>
                <w:sz w:val="20"/>
                <w:szCs w:val="20"/>
                <w:color w:val="auto"/>
              </w:rPr>
            </w:pPr>
            <w:r>
              <w:rPr>
                <w:rFonts w:ascii="Times New Roman" w:cs="Times New Roman" w:eastAsia="Times New Roman" w:hAnsi="Times New Roman"/>
                <w:sz w:val="17"/>
                <w:szCs w:val="17"/>
                <w:color w:val="auto"/>
              </w:rPr>
              <w:t>Twelve Months Ended December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7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99"/>
        </w:trPr>
        <w:tc>
          <w:tcPr>
            <w:tcW w:w="57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Common stock</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26,806,173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26,706,824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9"/>
        </w:trPr>
        <w:tc>
          <w:tcPr>
            <w:tcW w:w="5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equivalents: stock options, grants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17,233</w:t>
            </w:r>
          </w:p>
        </w:tc>
        <w:tc>
          <w:tcPr>
            <w:tcW w:w="100" w:type="dxa"/>
            <w:vAlign w:val="bottom"/>
          </w:tcPr>
          <w:p>
            <w:pPr>
              <w:spacing w:after="0"/>
              <w:rPr>
                <w:sz w:val="19"/>
                <w:szCs w:val="19"/>
                <w:color w:val="auto"/>
              </w:rPr>
            </w:pPr>
          </w:p>
        </w:tc>
        <w:tc>
          <w:tcPr>
            <w:tcW w:w="2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57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 shares outstanding</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26,823,406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26,706,824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For the twelve-months ended December 31, 2023, 5,351 shares of restricted stock were excluded from the calculation of dilutive net income per share as the shares were anti-dilutive.</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48" w:right="239" w:bottom="1440" w:gutter="0" w:footer="0" w:header="0"/>
        </w:sectPr>
      </w:pPr>
    </w:p>
    <w:bookmarkStart w:id="87" w:name="page88"/>
    <w:bookmarkEnd w:id="87"/>
    <w:p>
      <w:pPr>
        <w:ind w:left="340" w:hanging="337"/>
        <w:spacing w:after="0"/>
        <w:tabs>
          <w:tab w:leader="none" w:pos="34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MARKETABLE SECURITIES</w:t>
      </w:r>
    </w:p>
    <w:p>
      <w:pPr>
        <w:spacing w:after="0" w:line="16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2024</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tcBorders>
              <w:bottom w:val="single" w:sz="8" w:color="auto"/>
            </w:tcBorders>
          </w:tcPr>
          <w:p>
            <w:pPr>
              <w:spacing w:after="0"/>
              <w:rPr>
                <w:sz w:val="19"/>
                <w:szCs w:val="19"/>
                <w:color w:val="auto"/>
              </w:rPr>
            </w:pPr>
          </w:p>
        </w:tc>
      </w:tr>
      <w:tr>
        <w:trPr>
          <w:trHeight w:val="160"/>
        </w:trPr>
        <w:tc>
          <w:tcPr>
            <w:tcW w:w="4200" w:type="dxa"/>
            <w:vAlign w:val="bottom"/>
          </w:tcPr>
          <w:p>
            <w:pPr>
              <w:spacing w:after="0"/>
              <w:rPr>
                <w:sz w:val="13"/>
                <w:szCs w:val="13"/>
                <w:color w:val="auto"/>
              </w:rPr>
            </w:pPr>
          </w:p>
        </w:tc>
        <w:tc>
          <w:tcPr>
            <w:tcW w:w="1860" w:type="dxa"/>
            <w:vAlign w:val="bottom"/>
          </w:tcPr>
          <w:p>
            <w:pPr>
              <w:jc w:val="center"/>
              <w:ind w:left="374"/>
              <w:spacing w:after="0" w:line="161" w:lineRule="exact"/>
              <w:rPr>
                <w:sz w:val="20"/>
                <w:szCs w:val="20"/>
                <w:color w:val="auto"/>
              </w:rPr>
            </w:pPr>
            <w:r>
              <w:rPr>
                <w:rFonts w:ascii="Times New Roman" w:cs="Times New Roman" w:eastAsia="Times New Roman" w:hAnsi="Times New Roman"/>
                <w:sz w:val="17"/>
                <w:szCs w:val="17"/>
                <w:color w:val="auto"/>
                <w:w w:val="99"/>
              </w:rPr>
              <w:t>Fair Value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color w:val="auto"/>
              </w:rPr>
              <w:t>Estimated 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color w:val="auto"/>
              </w:rPr>
              <w:t>Estimated Fair</w:t>
            </w: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214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9"/>
              </w:rPr>
              <w:t>Hierarchy</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Cost</w:t>
            </w:r>
          </w:p>
        </w:tc>
        <w:tc>
          <w:tcPr>
            <w:tcW w:w="26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Value</w:t>
            </w:r>
          </w:p>
        </w:tc>
        <w:tc>
          <w:tcPr>
            <w:tcW w:w="2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Cost</w:t>
            </w:r>
          </w:p>
        </w:tc>
        <w:tc>
          <w:tcPr>
            <w:tcW w:w="28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Value</w:t>
            </w:r>
          </w:p>
        </w:tc>
      </w:tr>
      <w:tr>
        <w:trPr>
          <w:trHeight w:val="19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Certificates of deposit</w:t>
            </w:r>
          </w:p>
        </w:tc>
        <w:tc>
          <w:tcPr>
            <w:tcW w:w="18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 unrecognized losses for less than 12 months</w:t>
            </w:r>
          </w:p>
        </w:tc>
        <w:tc>
          <w:tcPr>
            <w:tcW w:w="21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with unrecognized gains</w:t>
            </w:r>
          </w:p>
        </w:tc>
        <w:tc>
          <w:tcPr>
            <w:tcW w:w="1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2"/>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Certificates of deposit</w:t>
            </w:r>
          </w:p>
        </w:tc>
        <w:tc>
          <w:tcPr>
            <w:tcW w:w="186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Level 1</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19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U.S. Treasury and agency notes</w:t>
            </w: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 unrecognized losses for less than 12 months</w:t>
            </w: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13,787</w:t>
            </w: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with unrecognized gains</w:t>
            </w:r>
          </w:p>
        </w:tc>
        <w:tc>
          <w:tcPr>
            <w:tcW w:w="1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r>
      <w:tr>
        <w:trPr>
          <w:trHeight w:val="212"/>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U.S. Treasury and agency notes</w:t>
            </w:r>
          </w:p>
        </w:tc>
        <w:tc>
          <w:tcPr>
            <w:tcW w:w="186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Level 2</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16,161</w:t>
            </w:r>
          </w:p>
        </w:tc>
      </w:tr>
      <w:tr>
        <w:trPr>
          <w:trHeight w:val="19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 notes</w:t>
            </w: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 unrecognized losses for less than 12 months</w:t>
            </w: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15,587</w:t>
            </w: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 unrecognized gains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12"/>
        </w:trPr>
        <w:tc>
          <w:tcPr>
            <w:tcW w:w="42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Corporate notes</w:t>
            </w:r>
          </w:p>
        </w:tc>
        <w:tc>
          <w:tcPr>
            <w:tcW w:w="1860" w:type="dxa"/>
            <w:vAlign w:val="bottom"/>
            <w:tcBorders>
              <w:top w:val="single" w:sz="8" w:color="CCEEFF"/>
            </w:tcBorders>
            <w:shd w:val="clear" w:color="auto" w:fill="CCEEFF"/>
          </w:tcPr>
          <w:p>
            <w:pPr>
              <w:jc w:val="center"/>
              <w:ind w:left="374"/>
              <w:spacing w:after="0"/>
              <w:rPr>
                <w:sz w:val="20"/>
                <w:szCs w:val="20"/>
                <w:color w:val="auto"/>
              </w:rPr>
            </w:pPr>
            <w:r>
              <w:rPr>
                <w:rFonts w:ascii="Times New Roman" w:cs="Times New Roman" w:eastAsia="Times New Roman" w:hAnsi="Times New Roman"/>
                <w:sz w:val="17"/>
                <w:szCs w:val="17"/>
                <w:color w:val="auto"/>
              </w:rPr>
              <w:t>Level 2</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15,836</w:t>
            </w:r>
          </w:p>
        </w:tc>
      </w:tr>
      <w:tr>
        <w:trPr>
          <w:trHeight w:val="19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Municipal notes</w:t>
            </w: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 unrecognized losses for less than 12 months</w:t>
            </w:r>
          </w:p>
        </w:tc>
        <w:tc>
          <w:tcPr>
            <w:tcW w:w="1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Municipal notes</w:t>
            </w:r>
          </w:p>
        </w:tc>
        <w:tc>
          <w:tcPr>
            <w:tcW w:w="1860" w:type="dxa"/>
            <w:vAlign w:val="bottom"/>
            <w:tcBorders>
              <w:bottom w:val="single" w:sz="8" w:color="CCEEFF"/>
            </w:tcBorders>
          </w:tcPr>
          <w:p>
            <w:pPr>
              <w:jc w:val="center"/>
              <w:ind w:left="374"/>
              <w:spacing w:after="0"/>
              <w:rPr>
                <w:sz w:val="20"/>
                <w:szCs w:val="20"/>
                <w:color w:val="auto"/>
              </w:rPr>
            </w:pPr>
            <w:r>
              <w:rPr>
                <w:rFonts w:ascii="Times New Roman" w:cs="Times New Roman" w:eastAsia="Times New Roman" w:hAnsi="Times New Roman"/>
                <w:sz w:val="17"/>
                <w:szCs w:val="17"/>
                <w:color w:val="auto"/>
              </w:rPr>
              <w:t>Level 2</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12"/>
        </w:trPr>
        <w:tc>
          <w:tcPr>
            <w:tcW w:w="4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32,577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32,556</w:t>
            </w:r>
          </w:p>
        </w:tc>
      </w:tr>
      <w:tr>
        <w:trPr>
          <w:trHeight w:val="20"/>
        </w:trPr>
        <w:tc>
          <w:tcPr>
            <w:tcW w:w="4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As of December 31, 2024, the Company has not recorded any credit losses.</w:t>
      </w:r>
    </w:p>
    <w:p>
      <w:pPr>
        <w:spacing w:after="0" w:line="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December 31, 2024, the fair market value of investment securities was $4,000 above the cost basis of securities. The Company’s gross unrealized holding losses equal $6,000. As of December 31, 2024, the adjustment to accumulated other comprehensive loss in consolidated equity for the temporary change in the value of securities reflects a decrease in the market value of available-for-sale securities of $25,000.</w:t>
      </w:r>
    </w:p>
    <w:p>
      <w:pPr>
        <w:spacing w:after="0" w:line="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$171,000 as of December 31, 2024,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 Treasury and agency notes</w:t>
      </w:r>
    </w:p>
    <w:p>
      <w:pPr>
        <w:spacing w:after="0" w:line="10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The unrealized losses on the Company's investments in U.S. Treasury and agency notes at December 31, 2024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2024, the Company did not intend to sell these securities and it is not more-likely-than-not that the Company would be required to sell these securities before recovery of their cost basis. Therefore, these investments did not require an ACL as of December 31, 2024.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The following tables summarize the maturities, at par, of marketable securities by year ($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20" w:type="dxa"/>
            <w:vAlign w:val="bottom"/>
          </w:tcPr>
          <w:p>
            <w:pPr>
              <w:spacing w:after="0"/>
              <w:rPr>
                <w:sz w:val="18"/>
                <w:szCs w:val="18"/>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9"/>
        </w:trPr>
        <w:tc>
          <w:tcPr>
            <w:tcW w:w="2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and agency notes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13,752</w:t>
            </w:r>
          </w:p>
        </w:tc>
      </w:tr>
      <w:tr>
        <w:trPr>
          <w:trHeight w:val="219"/>
        </w:trPr>
        <w:tc>
          <w:tcPr>
            <w:tcW w:w="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notes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2"/>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14,500</w:t>
            </w:r>
          </w:p>
        </w:tc>
      </w:tr>
      <w:tr>
        <w:trPr>
          <w:trHeight w:val="20"/>
        </w:trPr>
        <w:tc>
          <w:tcPr>
            <w:tcW w:w="65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9"/>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19"/>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U.S. Treasury and agency notes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16,212</w:t>
            </w:r>
          </w:p>
        </w:tc>
      </w:tr>
      <w:tr>
        <w:trPr>
          <w:trHeight w:val="21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15,880</w:t>
            </w:r>
          </w:p>
        </w:tc>
      </w:tr>
      <w:tr>
        <w:trPr>
          <w:trHeight w:val="212"/>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32,652</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investments in corporate notes are with companies that have an investment grade rating from Standard &amp; Poor’s.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INVENTORIES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consisted of the following at December 31:</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Farming inventories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w:t>
            </w:r>
          </w:p>
        </w:tc>
      </w:tr>
      <w:tr>
        <w:trPr>
          <w:trHeight w:val="21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Farming inventories consist of costs incurred during the current year related to next year’s crop along with unsold current year crop and farming chemicals.</w:t>
      </w:r>
    </w:p>
    <w:p>
      <w:pPr>
        <w:spacing w:after="0" w:line="110" w:lineRule="exact"/>
        <w:rPr>
          <w:sz w:val="20"/>
          <w:szCs w:val="20"/>
          <w:color w:val="auto"/>
        </w:rPr>
      </w:pPr>
    </w:p>
    <w:p>
      <w:pPr>
        <w:ind w:left="340" w:hanging="337"/>
        <w:spacing w:after="0"/>
        <w:tabs>
          <w:tab w:leader="none" w:pos="34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REAL ESTATE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estate consisted of the following as of December 31: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Real estate development</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Mountain Village</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155,168</w:t>
            </w:r>
          </w:p>
        </w:tc>
      </w:tr>
      <w:tr>
        <w:trPr>
          <w:trHeight w:val="219"/>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Centennial</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119,788</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Grapevine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40,716</w:t>
            </w:r>
          </w:p>
        </w:tc>
      </w:tr>
      <w:tr>
        <w:trPr>
          <w:trHeight w:val="219"/>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Tejon Ranch Commerce Center</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Commercial</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17,612</w:t>
            </w:r>
          </w:p>
        </w:tc>
      </w:tr>
      <w:tr>
        <w:trPr>
          <w:trHeight w:val="219"/>
        </w:trPr>
        <w:tc>
          <w:tcPr>
            <w:tcW w:w="7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 Residential</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3,973</w:t>
            </w:r>
          </w:p>
        </w:tc>
      </w:tr>
      <w:tr>
        <w:trPr>
          <w:trHeight w:val="212"/>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Tejon Ranch Commerce Center</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21,585</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development</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377,905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337,257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1"/>
        </w:trPr>
        <w:tc>
          <w:tcPr>
            <w:tcW w:w="7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9"/>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Real estate and improvements - held for lease, net</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Tejon Ranch Commerce Center</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20,606</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and improvements - held for lease,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20,606</w:t>
            </w: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and improvements - held for lease, net</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16,609</w:t>
            </w:r>
          </w:p>
        </w:tc>
      </w:tr>
      <w:tr>
        <w:trPr>
          <w:trHeight w:val="20"/>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6.</w:t>
        <w:tab/>
        <w:t>LONG-TERM WATER ASSETS</w:t>
      </w:r>
    </w:p>
    <w:p>
      <w:pPr>
        <w:spacing w:after="0" w:line="169"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7"/>
          <w:szCs w:val="17"/>
          <w:color w:val="auto"/>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9" w:name="page90"/>
    <w:bookmarkEnd w:id="89"/>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The Company has secured SWP water purchase contracts from the Tulare Lake Basin Water Storage District and the Dudley-Ridge Water District, totaling 3,444 acre-feet of SWP water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2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The initial term of the water purchase agreement with Nickel runs to 2044 and includes a Company option to extend the contract for an additional 35 years. The purchase cost of water in 2024 was $957 per acre-foot. The purchase cost is subject to annual cost increases based on the greater of the consumer price index or 3%.</w:t>
      </w:r>
    </w:p>
    <w:p>
      <w:pPr>
        <w:spacing w:after="0" w:line="11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Water revenues and cost of sales were as follows for the years ended December 31:</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89"/>
        </w:trPr>
        <w:tc>
          <w:tcPr>
            <w:tcW w:w="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640" w:type="dxa"/>
            <w:vAlign w:val="bottom"/>
          </w:tcPr>
          <w:p>
            <w:pPr>
              <w:spacing w:after="0"/>
              <w:rPr>
                <w:sz w:val="24"/>
                <w:szCs w:val="24"/>
                <w:color w:val="auto"/>
              </w:rPr>
            </w:pPr>
          </w:p>
        </w:tc>
        <w:tc>
          <w:tcPr>
            <w:tcW w:w="12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2022</w:t>
            </w:r>
          </w:p>
        </w:tc>
        <w:tc>
          <w:tcPr>
            <w:tcW w:w="58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53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r>
      <w:tr>
        <w:trPr>
          <w:trHeight w:val="219"/>
        </w:trPr>
        <w:tc>
          <w:tcPr>
            <w:tcW w:w="2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Acre-Feet Sold</w:t>
            </w: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10,400</w:t>
            </w:r>
          </w:p>
        </w:tc>
      </w:tr>
      <w:tr>
        <w:trPr>
          <w:trHeight w:val="90"/>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19"/>
        </w:trPr>
        <w:tc>
          <w:tcPr>
            <w:tcW w:w="2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142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14,658</w:t>
            </w:r>
          </w:p>
        </w:tc>
      </w:tr>
      <w:tr>
        <w:trPr>
          <w:trHeight w:val="219"/>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9,549</w:t>
            </w: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629"/>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Costs assigned to water assets held for future use were as follows ($ in thousands):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3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 2024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December 31, 2023</w:t>
            </w:r>
          </w:p>
        </w:tc>
        <w:tc>
          <w:tcPr>
            <w:tcW w:w="580" w:type="dxa"/>
            <w:vAlign w:val="bottom"/>
            <w:tcBorders>
              <w:bottom w:val="single" w:sz="8" w:color="auto"/>
            </w:tcBorders>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Banked water and water for future delivery</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31,002</w:t>
            </w:r>
          </w:p>
        </w:tc>
      </w:tr>
      <w:tr>
        <w:trPr>
          <w:trHeight w:val="219"/>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Transferable water</w:t>
            </w:r>
          </w:p>
        </w:tc>
        <w:tc>
          <w:tcPr>
            <w:tcW w:w="6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w:t>
            </w: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water held for future use at cost</w:t>
            </w:r>
          </w:p>
        </w:tc>
        <w:tc>
          <w:tcPr>
            <w:tcW w:w="6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31,758</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Water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carrying amounts of its purchased water contracts were as follows ($ in thousands):</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4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December 31, 2024</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160"/>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294"/>
              <w:spacing w:after="0" w:line="161" w:lineRule="exact"/>
              <w:rPr>
                <w:sz w:val="20"/>
                <w:szCs w:val="20"/>
                <w:color w:val="auto"/>
              </w:rPr>
            </w:pPr>
            <w:r>
              <w:rPr>
                <w:rFonts w:ascii="Times New Roman" w:cs="Times New Roman" w:eastAsia="Times New Roman" w:hAnsi="Times New Roman"/>
                <w:sz w:val="17"/>
                <w:szCs w:val="17"/>
                <w:color w:val="auto"/>
              </w:rPr>
              <w:t>Accumulated</w:t>
            </w:r>
          </w:p>
        </w:tc>
      </w:tr>
      <w:tr>
        <w:trPr>
          <w:trHeight w:val="232"/>
        </w:trPr>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Costs</w:t>
            </w:r>
          </w:p>
        </w:tc>
        <w:tc>
          <w:tcPr>
            <w:tcW w:w="100" w:type="dxa"/>
            <w:vAlign w:val="bottom"/>
          </w:tcPr>
          <w:p>
            <w:pPr>
              <w:spacing w:after="0"/>
              <w:rPr>
                <w:sz w:val="20"/>
                <w:szCs w:val="20"/>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6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Costs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Depreciation</w:t>
            </w:r>
          </w:p>
        </w:tc>
      </w:tr>
      <w:tr>
        <w:trPr>
          <w:trHeight w:val="212"/>
        </w:trPr>
        <w:tc>
          <w:tcPr>
            <w:tcW w:w="4180" w:type="dxa"/>
            <w:vAlign w:val="bottom"/>
            <w:tcBorders>
              <w:top w:val="single" w:sz="8" w:color="CCEEFF"/>
            </w:tcBorders>
            <w:shd w:val="clear" w:color="auto" w:fill="CCEEFF"/>
          </w:tcPr>
          <w:p>
            <w:pPr>
              <w:spacing w:after="0" w:line="212" w:lineRule="exact"/>
              <w:rPr>
                <w:sz w:val="20"/>
                <w:szCs w:val="20"/>
                <w:color w:val="auto"/>
              </w:rPr>
            </w:pPr>
            <w:r>
              <w:rPr>
                <w:rFonts w:ascii="Times New Roman" w:cs="Times New Roman" w:eastAsia="Times New Roman" w:hAnsi="Times New Roman"/>
                <w:sz w:val="17"/>
                <w:szCs w:val="17"/>
                <w:color w:val="auto"/>
              </w:rPr>
              <w:t>Dudley-Ridge water purchase contract</w:t>
            </w:r>
            <w:r>
              <w:rPr>
                <w:rFonts w:ascii="Times New Roman" w:cs="Times New Roman" w:eastAsia="Times New Roman" w:hAnsi="Times New Roman"/>
                <w:sz w:val="22"/>
                <w:szCs w:val="22"/>
                <w:color w:val="auto"/>
                <w:vertAlign w:val="superscript"/>
              </w:rPr>
              <w:t>*</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19"/>
        </w:trPr>
        <w:tc>
          <w:tcPr>
            <w:tcW w:w="418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Nickel water purchase contract</w:t>
            </w:r>
            <w:r>
              <w:rPr>
                <w:rFonts w:ascii="Times New Roman" w:cs="Times New Roman" w:eastAsia="Times New Roman" w:hAnsi="Times New Roman"/>
                <w:sz w:val="22"/>
                <w:szCs w:val="22"/>
                <w:color w:val="auto"/>
                <w:vertAlign w:val="superscript"/>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r>
      <w:tr>
        <w:trPr>
          <w:trHeight w:val="219"/>
        </w:trPr>
        <w:tc>
          <w:tcPr>
            <w:tcW w:w="41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Tulare Lake Basin water purchase contract</w:t>
            </w:r>
            <w:r>
              <w:rPr>
                <w:rFonts w:ascii="Times New Roman" w:cs="Times New Roman" w:eastAsia="Times New Roman" w:hAnsi="Times New Roman"/>
                <w:sz w:val="22"/>
                <w:szCs w:val="22"/>
                <w:color w:val="auto"/>
                <w:vertAlign w:val="superscript"/>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w:t>
            </w:r>
          </w:p>
        </w:tc>
      </w:tr>
      <w:tr>
        <w:trPr>
          <w:trHeight w:val="212"/>
        </w:trPr>
        <w:tc>
          <w:tcPr>
            <w:tcW w:w="4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36,800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(16,428)</w:t>
            </w:r>
          </w:p>
        </w:tc>
      </w:tr>
      <w:tr>
        <w:trPr>
          <w:trHeight w:val="212"/>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cost of purchased water contracts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cost of water held for future use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36,083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r>
      <w:tr>
        <w:trPr>
          <w:trHeight w:val="218"/>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investments in water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*All water purchase contracts were acquired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-100965</wp:posOffset>
            </wp:positionV>
            <wp:extent cx="1031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1031240" cy="825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-100965</wp:posOffset>
            </wp:positionV>
            <wp:extent cx="8839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0" w:name="page91"/>
    <w:bookmarkEnd w:id="90"/>
    <w:p>
      <w:pPr>
        <w:ind w:right="220"/>
        <w:spacing w:after="0" w:line="270" w:lineRule="auto"/>
        <w:rPr>
          <w:sz w:val="20"/>
          <w:szCs w:val="20"/>
          <w:color w:val="auto"/>
        </w:rPr>
      </w:pPr>
      <w:r>
        <w:rPr>
          <w:rFonts w:ascii="Times New Roman" w:cs="Times New Roman" w:eastAsia="Times New Roman" w:hAnsi="Times New Roman"/>
          <w:sz w:val="17"/>
          <w:szCs w:val="17"/>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acre feet)</w:t>
            </w:r>
          </w:p>
        </w:tc>
        <w:tc>
          <w:tcPr>
            <w:tcW w:w="140" w:type="dxa"/>
            <w:vAlign w:val="bottom"/>
          </w:tcPr>
          <w:p>
            <w:pPr>
              <w:spacing w:after="0"/>
              <w:rPr>
                <w:sz w:val="19"/>
                <w:szCs w:val="19"/>
                <w:color w:val="auto"/>
              </w:rPr>
            </w:pPr>
          </w:p>
        </w:tc>
        <w:tc>
          <w:tcPr>
            <w:tcW w:w="1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December 31, 2024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December 31, 2023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Water held for future use:</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TCWD - Banked water owned by the Company</w:t>
            </w:r>
          </w:p>
        </w:tc>
        <w:tc>
          <w:tcPr>
            <w:tcW w:w="1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60,936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 water bank</w:t>
            </w: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Transferable water</w:t>
            </w:r>
          </w:p>
        </w:tc>
        <w:tc>
          <w:tcPr>
            <w:tcW w:w="1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Recharged water</w:t>
            </w:r>
          </w:p>
        </w:tc>
        <w:tc>
          <w:tcPr>
            <w:tcW w:w="1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water held for future use</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Water purchase contracts:</w:t>
            </w: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Water Contracts (Dudley-Ridge, Nickel and Tulare)</w:t>
            </w:r>
          </w:p>
        </w:tc>
        <w:tc>
          <w:tcPr>
            <w:tcW w:w="1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WRMWSD - Contracts with Company</w:t>
            </w: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TCWD - Contracts with Company</w:t>
            </w:r>
          </w:p>
        </w:tc>
        <w:tc>
          <w:tcPr>
            <w:tcW w:w="140" w:type="dxa"/>
            <w:vAlign w:val="bottom"/>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water purchase contracts</w:t>
            </w:r>
          </w:p>
        </w:tc>
        <w:tc>
          <w:tcPr>
            <w:tcW w:w="1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31,433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31,433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water held for future use and purchased water contracts</w:t>
            </w:r>
          </w:p>
        </w:tc>
        <w:tc>
          <w:tcPr>
            <w:tcW w:w="14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154,399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158,756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7.  ACCRUED LIABILITIES AND OTHER CURRENT LIABILITIES</w:t>
            </w: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 and other current liabilities consisted of the following as of December 31:</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 in thousands)</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vacation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Accrued paid personal leave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bonus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Accrued stock compensation expense</w:t>
            </w:r>
          </w:p>
        </w:tc>
        <w:tc>
          <w:tcPr>
            <w:tcW w:w="140" w:type="dxa"/>
            <w:vAlign w:val="bottom"/>
          </w:tcPr>
          <w:p>
            <w:pPr>
              <w:spacing w:after="0"/>
              <w:rPr>
                <w:sz w:val="12"/>
                <w:szCs w:val="12"/>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1,831</w:t>
            </w:r>
          </w:p>
        </w:tc>
        <w:tc>
          <w:tcPr>
            <w:tcW w:w="12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6276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ind w:left="80" w:hanging="60"/>
        <w:spacing w:after="0"/>
        <w:tabs>
          <w:tab w:leader="none" w:pos="8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Cash settled awards classified as liabilities. See Note 10 of the Notes to Consolidated Financial Statements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05650" cy="1225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05650" cy="1225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40" w:hanging="337"/>
        <w:spacing w:after="0"/>
        <w:tabs>
          <w:tab w:leader="none" w:pos="3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LINE OF CREDIT AND LONG-TERM DEBT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consisted of revolving line-of credit balance of $66,942,000 as of December 31, 2024, and $47,942,000 as of December 31, 2023.</w:t>
      </w:r>
    </w:p>
    <w:p>
      <w:pPr>
        <w:spacing w:after="0" w:line="1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On November 17, 2023, the Company entered into a Credit Agreement with AgWest Farm Credit, PCA and certain other lenders. The Revolving Credit Facility provides TRC an RCL in the amount of $160,000,000. The RCL requires interest only payments and has a maturity date of January 1, 2029. As of December 31, 2024, the outstanding balance under the RCL was $66,942,000, and the interest rate was one-month term SOFR plus a margin of 2.25% for an effective rate of 6.85%, before patronage. The Company received patronage credit from the participating lenders of 116 basis points in 2023, and is also expecting to receive a similar percentage of patronage credit for 2024.</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Funds from the RCL in November 2023 were used to pay off and close out the existing Bank of America, N.A. Term Note and Revolving Line of Credit Note. The amount of this pay off was $47,078,564 plus accrued interest and fees on the Bank of America Term Note. The Company evaluated the debt exchange under Accounting Standards Codification (ASC) 470 and determined that the exchange should be treated as a debt extinguishment.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1" w:name="page92"/>
    <w:bookmarkEnd w:id="91"/>
    <w:p>
      <w:pPr>
        <w:ind w:left="340" w:hanging="337"/>
        <w:spacing w:after="0"/>
        <w:tabs>
          <w:tab w:leader="none" w:pos="34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liabilities consist of the following as of December 31:</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executive retirement plan liability (See Note 14)</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w:t>
            </w: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Excess joint venture distributions and other (See Note 16)</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9,083</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w:t>
            </w:r>
          </w:p>
        </w:tc>
      </w:tr>
    </w:tbl>
    <w:p>
      <w:pPr>
        <w:spacing w:after="0" w:line="225" w:lineRule="exact"/>
        <w:rPr>
          <w:sz w:val="20"/>
          <w:szCs w:val="20"/>
          <w:color w:val="auto"/>
        </w:rPr>
      </w:pPr>
    </w:p>
    <w:p>
      <w:pPr>
        <w:ind w:left="440" w:hanging="437"/>
        <w:spacing w:after="0"/>
        <w:tabs>
          <w:tab w:leader="none" w:pos="44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COMPENSATION - RESTRICTED STOCK AND PERFORMANCE SHARE GRANTS</w:t>
      </w:r>
    </w:p>
    <w:p>
      <w:pPr>
        <w:spacing w:after="0" w:line="9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7"/>
          <w:szCs w:val="17"/>
          <w:i w:val="1"/>
          <w:iCs w:val="1"/>
          <w:color w:val="auto"/>
        </w:rPr>
        <w:t>Monte Carlo</w:t>
      </w:r>
      <w:r>
        <w:rPr>
          <w:rFonts w:ascii="Times New Roman" w:cs="Times New Roman" w:eastAsia="Times New Roman" w:hAnsi="Times New Roman"/>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Company's performance share grants with performance conditions as of the year ended December 31, 2024:</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660" w:type="dxa"/>
            <w:vAlign w:val="bottom"/>
            <w:tcBorders>
              <w:bottom w:val="single" w:sz="8" w:color="auto"/>
            </w:tcBorders>
          </w:tcPr>
          <w:p>
            <w:pPr>
              <w:spacing w:after="0"/>
              <w:rPr>
                <w:sz w:val="19"/>
                <w:szCs w:val="19"/>
                <w:color w:val="auto"/>
              </w:rPr>
            </w:pPr>
          </w:p>
        </w:tc>
        <w:tc>
          <w:tcPr>
            <w:tcW w:w="8560" w:type="dxa"/>
            <w:vAlign w:val="bottom"/>
            <w:tcBorders>
              <w:bottom w:val="single" w:sz="8" w:color="auto"/>
            </w:tcBorders>
          </w:tcPr>
          <w:p>
            <w:pPr>
              <w:jc w:val="right"/>
              <w:ind w:right="3594"/>
              <w:spacing w:after="0"/>
              <w:rPr>
                <w:sz w:val="20"/>
                <w:szCs w:val="20"/>
                <w:color w:val="auto"/>
              </w:rPr>
            </w:pPr>
            <w:r>
              <w:rPr>
                <w:rFonts w:ascii="Times New Roman" w:cs="Times New Roman" w:eastAsia="Times New Roman" w:hAnsi="Times New Roman"/>
                <w:sz w:val="17"/>
                <w:szCs w:val="17"/>
                <w:color w:val="auto"/>
              </w:rPr>
              <w:t>Performance Share Grants with Performance Conditions</w:t>
            </w:r>
          </w:p>
        </w:tc>
      </w:tr>
      <w:tr>
        <w:trPr>
          <w:trHeight w:val="21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Target performance</w:t>
            </w:r>
          </w:p>
        </w:tc>
        <w:tc>
          <w:tcPr>
            <w:tcW w:w="8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242,905</w:t>
            </w: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Maximum performance</w:t>
            </w:r>
          </w:p>
        </w:tc>
        <w:tc>
          <w:tcPr>
            <w:tcW w:w="8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333,640</w:t>
            </w:r>
          </w:p>
        </w:tc>
      </w:tr>
    </w:tbl>
    <w:p>
      <w:pPr>
        <w:spacing w:after="0" w:line="173"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7"/>
          <w:szCs w:val="17"/>
          <w:color w:val="auto"/>
        </w:rPr>
        <w:t>The following is a summary of the Company’s stock grant activity, both time and performance unit grants, assuming target achievement for outstanding performance grants for the following twelve-month periods ended: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Pr>
          <w:p>
            <w:pPr>
              <w:spacing w:after="0"/>
              <w:rPr>
                <w:sz w:val="19"/>
                <w:szCs w:val="19"/>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December 31, 2024</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December 31, 2023</w:t>
            </w:r>
          </w:p>
        </w:tc>
        <w:tc>
          <w:tcPr>
            <w:tcW w:w="1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Grants Outstanding Beginning of the Year at Target Achievement</w:t>
            </w:r>
          </w:p>
        </w:tc>
        <w:tc>
          <w:tcPr>
            <w:tcW w:w="1860" w:type="dxa"/>
            <w:vAlign w:val="bottom"/>
            <w:tcBorders>
              <w:top w:val="single" w:sz="8" w:color="auto"/>
            </w:tcBorders>
            <w:shd w:val="clear" w:color="auto" w:fill="CCEEFF"/>
          </w:tcPr>
          <w:p>
            <w:pPr>
              <w:jc w:val="center"/>
              <w:ind w:left="1054"/>
              <w:spacing w:after="0"/>
              <w:rPr>
                <w:sz w:val="20"/>
                <w:szCs w:val="20"/>
                <w:color w:val="auto"/>
              </w:rPr>
            </w:pPr>
            <w:r>
              <w:rPr>
                <w:rFonts w:ascii="Times New Roman" w:cs="Times New Roman" w:eastAsia="Times New Roman" w:hAnsi="Times New Roman"/>
                <w:sz w:val="17"/>
                <w:szCs w:val="17"/>
                <w:color w:val="auto"/>
              </w:rPr>
              <w:t>248,768</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234,899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683,645</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Stock Grants/Additional shares due to achievement in excess of target</w:t>
            </w:r>
          </w:p>
        </w:tc>
        <w:tc>
          <w:tcPr>
            <w:tcW w:w="1860" w:type="dxa"/>
            <w:vAlign w:val="bottom"/>
          </w:tcPr>
          <w:p>
            <w:pPr>
              <w:jc w:val="center"/>
              <w:ind w:left="1054"/>
              <w:spacing w:after="0"/>
              <w:rPr>
                <w:sz w:val="20"/>
                <w:szCs w:val="20"/>
                <w:color w:val="auto"/>
              </w:rPr>
            </w:pPr>
            <w:r>
              <w:rPr>
                <w:rFonts w:ascii="Times New Roman" w:cs="Times New Roman" w:eastAsia="Times New Roman" w:hAnsi="Times New Roman"/>
                <w:sz w:val="17"/>
                <w:szCs w:val="17"/>
                <w:color w:val="auto"/>
              </w:rPr>
              <w:t>386,956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321,026</w:t>
            </w:r>
          </w:p>
        </w:tc>
        <w:tc>
          <w:tcPr>
            <w:tcW w:w="100" w:type="dxa"/>
            <w:vAlign w:val="bottom"/>
          </w:tcPr>
          <w:p>
            <w:pPr>
              <w:spacing w:after="0"/>
              <w:rPr>
                <w:sz w:val="19"/>
                <w:szCs w:val="19"/>
                <w:color w:val="auto"/>
              </w:rPr>
            </w:pPr>
          </w:p>
        </w:tc>
        <w:tc>
          <w:tcPr>
            <w:tcW w:w="1840" w:type="dxa"/>
            <w:vAlign w:val="bottom"/>
          </w:tcPr>
          <w:p>
            <w:pPr>
              <w:jc w:val="center"/>
              <w:ind w:left="1074"/>
              <w:spacing w:after="0"/>
              <w:rPr>
                <w:sz w:val="20"/>
                <w:szCs w:val="20"/>
                <w:color w:val="auto"/>
              </w:rPr>
            </w:pPr>
            <w:r>
              <w:rPr>
                <w:rFonts w:ascii="Times New Roman" w:cs="Times New Roman" w:eastAsia="Times New Roman" w:hAnsi="Times New Roman"/>
                <w:sz w:val="17"/>
                <w:szCs w:val="17"/>
                <w:color w:val="auto"/>
              </w:rPr>
              <w:t>180,034</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Grants</w:t>
            </w:r>
          </w:p>
        </w:tc>
        <w:tc>
          <w:tcPr>
            <w:tcW w:w="1860" w:type="dxa"/>
            <w:vAlign w:val="bottom"/>
            <w:shd w:val="clear" w:color="auto" w:fill="CCEEFF"/>
          </w:tcPr>
          <w:p>
            <w:pPr>
              <w:jc w:val="center"/>
              <w:ind w:left="1034"/>
              <w:spacing w:after="0"/>
              <w:rPr>
                <w:sz w:val="20"/>
                <w:szCs w:val="20"/>
                <w:color w:val="auto"/>
              </w:rPr>
            </w:pPr>
            <w:r>
              <w:rPr>
                <w:rFonts w:ascii="Times New Roman" w:cs="Times New Roman" w:eastAsia="Times New Roman" w:hAnsi="Times New Roman"/>
                <w:sz w:val="17"/>
                <w:szCs w:val="17"/>
                <w:color w:val="auto"/>
                <w:w w:val="99"/>
              </w:rPr>
              <w:t>(179,082)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(260,070)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054"/>
              <w:spacing w:after="0"/>
              <w:rPr>
                <w:sz w:val="20"/>
                <w:szCs w:val="20"/>
                <w:color w:val="auto"/>
              </w:rPr>
            </w:pPr>
            <w:r>
              <w:rPr>
                <w:rFonts w:ascii="Times New Roman" w:cs="Times New Roman" w:eastAsia="Times New Roman" w:hAnsi="Times New Roman"/>
                <w:sz w:val="17"/>
                <w:szCs w:val="17"/>
                <w:color w:val="auto"/>
                <w:w w:val="99"/>
              </w:rPr>
              <w:t>(384,112)</w:t>
            </w:r>
          </w:p>
        </w:tc>
      </w:tr>
      <w:tr>
        <w:trPr>
          <w:trHeight w:val="21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Expired/Forfeited Grants</w:t>
            </w:r>
          </w:p>
        </w:tc>
        <w:tc>
          <w:tcPr>
            <w:tcW w:w="1860" w:type="dxa"/>
            <w:vAlign w:val="bottom"/>
            <w:tcBorders>
              <w:bottom w:val="single" w:sz="8" w:color="auto"/>
            </w:tcBorders>
          </w:tcPr>
          <w:p>
            <w:pPr>
              <w:jc w:val="center"/>
              <w:ind w:left="1034"/>
              <w:spacing w:after="0"/>
              <w:rPr>
                <w:sz w:val="20"/>
                <w:szCs w:val="20"/>
                <w:color w:val="auto"/>
              </w:rPr>
            </w:pPr>
            <w:r>
              <w:rPr>
                <w:rFonts w:ascii="Times New Roman" w:cs="Times New Roman" w:eastAsia="Times New Roman" w:hAnsi="Times New Roman"/>
                <w:sz w:val="17"/>
                <w:szCs w:val="17"/>
                <w:color w:val="auto"/>
                <w:w w:val="99"/>
              </w:rPr>
              <w:t>(144,078)</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(47,087)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ind w:left="1034"/>
              <w:spacing w:after="0"/>
              <w:rPr>
                <w:sz w:val="20"/>
                <w:szCs w:val="20"/>
                <w:color w:val="auto"/>
              </w:rPr>
            </w:pPr>
            <w:r>
              <w:rPr>
                <w:rFonts w:ascii="Times New Roman" w:cs="Times New Roman" w:eastAsia="Times New Roman" w:hAnsi="Times New Roman"/>
                <w:sz w:val="17"/>
                <w:szCs w:val="17"/>
                <w:color w:val="auto"/>
              </w:rPr>
              <w:t>(244,668)</w:t>
            </w: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Grants Outstanding End of Period at Target Achievement</w:t>
            </w:r>
          </w:p>
        </w:tc>
        <w:tc>
          <w:tcPr>
            <w:tcW w:w="1860" w:type="dxa"/>
            <w:vAlign w:val="bottom"/>
            <w:tcBorders>
              <w:bottom w:val="single" w:sz="8" w:color="auto"/>
            </w:tcBorders>
            <w:shd w:val="clear" w:color="auto" w:fill="CCEEFF"/>
          </w:tcPr>
          <w:p>
            <w:pPr>
              <w:jc w:val="center"/>
              <w:ind w:left="1054"/>
              <w:spacing w:after="0"/>
              <w:rPr>
                <w:sz w:val="20"/>
                <w:szCs w:val="20"/>
                <w:color w:val="auto"/>
              </w:rPr>
            </w:pPr>
            <w:r>
              <w:rPr>
                <w:rFonts w:ascii="Times New Roman" w:cs="Times New Roman" w:eastAsia="Times New Roman" w:hAnsi="Times New Roman"/>
                <w:sz w:val="17"/>
                <w:szCs w:val="17"/>
                <w:color w:val="auto"/>
              </w:rPr>
              <w:t>312,564</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248,768</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center"/>
              <w:ind w:left="1074"/>
              <w:spacing w:after="0"/>
              <w:rPr>
                <w:sz w:val="20"/>
                <w:szCs w:val="20"/>
                <w:color w:val="auto"/>
              </w:rPr>
            </w:pPr>
            <w:r>
              <w:rPr>
                <w:rFonts w:ascii="Times New Roman" w:cs="Times New Roman" w:eastAsia="Times New Roman" w:hAnsi="Times New Roman"/>
                <w:sz w:val="17"/>
                <w:szCs w:val="17"/>
                <w:color w:val="auto"/>
              </w:rPr>
              <w:t>234,899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following is a summary of the assumptions used to determine the fair value of the Company's market-based Performance Condition Grants outstanding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 except for share prices)</w:t>
            </w: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 date</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03/17/2022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12/14/2022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06/16/2023</w:t>
            </w: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end</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03/17/2025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12/14/2025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12/31/2025</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price at target achievement</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$20.72</w:t>
            </w:r>
          </w:p>
        </w:tc>
      </w:tr>
      <w:tr>
        <w:trPr>
          <w:trHeight w:val="193"/>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31.54%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26.58%</w:t>
            </w: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4.38%</w:t>
            </w:r>
          </w:p>
        </w:tc>
      </w:tr>
      <w:tr>
        <w:trPr>
          <w:trHeight w:val="193"/>
        </w:trPr>
        <w:tc>
          <w:tcPr>
            <w:tcW w:w="5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Simulated Monte Carlo share price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$21.75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$26.00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granted at target achievement</w:t>
            </w:r>
          </w:p>
        </w:tc>
        <w:tc>
          <w:tcPr>
            <w:tcW w:w="17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9,515</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fair value of award</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$193</w:t>
            </w:r>
          </w:p>
        </w:tc>
      </w:tr>
      <w:tr>
        <w:trPr>
          <w:trHeight w:val="331"/>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 except for share prices)</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 date</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08/21/2023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12/16/2023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03/13/2024</w:t>
            </w: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end</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12/31/2025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12/31/2026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03/22/2027</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price at target achievement</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$18.93</w:t>
            </w:r>
          </w:p>
        </w:tc>
      </w:tr>
      <w:tr>
        <w:trPr>
          <w:trHeight w:val="193"/>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25.55%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25.56%</w:t>
            </w: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4.31%</w:t>
            </w:r>
          </w:p>
        </w:tc>
      </w:tr>
      <w:tr>
        <w:trPr>
          <w:trHeight w:val="193"/>
        </w:trPr>
        <w:tc>
          <w:tcPr>
            <w:tcW w:w="5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19"/>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Simulated Monte Carlo share price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$17.88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$19.74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$18.36</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granted at target achievement</w:t>
            </w: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15,225</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fair value of award</w:t>
            </w:r>
          </w:p>
        </w:tc>
        <w:tc>
          <w:tcPr>
            <w:tcW w:w="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$280</w:t>
            </w:r>
          </w:p>
        </w:tc>
      </w:tr>
    </w:tbl>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unamortized cost associated with unvested stock grants and the weighted-average period over which it is expected to be recognized as of December 31, 2024, was $2,153,000 and 16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historical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Cash-Settled Awards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Time-Based Cash-Settled Awards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13, 2024, the Company granted 75,117 time-based cash-settled awards to the Chief Executive Officer that vested on December 31, 2024. These awards are classified as liabilities, measured at fair value on the date of grant, and remeasured at each reporting date, based on the Company’s share price. Compensation cost is amortized on a straight-line method over the remaining vesting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Performance-Based Cash-Settled Awards</w:t>
      </w:r>
    </w:p>
    <w:p>
      <w:pPr>
        <w:spacing w:after="0" w:line="75"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7"/>
          <w:szCs w:val="17"/>
          <w:color w:val="auto"/>
        </w:rPr>
        <w:t>On March 13, 2024, the Company granted 14,867 performance condition grants, with market-based conditions, that are cash-settled awards to the Chief Executive Officer. These awards are classified as liabilities, measured at fair value on the date of grant, and remeasured at each reporting date based on a Monte Carlo model. Compensation cost is recognized in proportion to the completed requisite service period through December 31, 2024. The amount of awards earned ranges between 0% and 200% of the target amount depending upon performance achieved over the performance period commencing on the grant date and ending on the last day of the Company’s 2024 fiscal year and settled in cash. The performance conditions of the award 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93" w:name="page94"/>
    <w:bookmarkEnd w:id="93"/>
    <w:p>
      <w:pPr>
        <w:ind w:right="580"/>
        <w:spacing w:after="0" w:line="255" w:lineRule="auto"/>
        <w:rPr>
          <w:sz w:val="20"/>
          <w:szCs w:val="20"/>
          <w:color w:val="auto"/>
        </w:rPr>
      </w:pPr>
      <w:r>
        <w:rPr>
          <w:rFonts w:ascii="Times New Roman" w:cs="Times New Roman" w:eastAsia="Times New Roman" w:hAnsi="Times New Roman"/>
          <w:sz w:val="17"/>
          <w:szCs w:val="17"/>
          <w:color w:val="auto"/>
        </w:rPr>
        <w:t>achieved at a target share price of $17.58. As of December 31, 2024, the target price was not achieved, no awards were earned or paid, and no expense was recorded for these grants.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13, 2024, the Company granted 120,188 performance milestone cash-settled awards to the Chief Executive Officer. These awards are classified as liabilities, measured at fair value on the date of grant, and remeasured at each reporting date, based on the Company’s share price. Compensation cost is recognized based on an estimate of the probability of achieving the performance objective at the associated level of achievement in proportion to the completed requisite service period through December 31, 2024. The amount of awards earned for each milestone is either 0% or 100% of the target amount depending upon performance achieved over the performance period commencing on the grant date and ending on the last day of the Company’s 2024 fiscal year and settled in cash. The performance conditions of the award are achieved based on established milestones. If these milestones are not met or are deemed not probable to be met during the performance period, no compensation cost is recognized, and any previously recognized compensation cost is reversed. As of December 31, 2024, one-third of the performance milestones were achieved, resulting in a payout of $637,000. Compensation expense was adjusted accordingly, and the liability recognized as of the reporting date reflects the fair value of the earned portion of the award. The remaining unearned portion of the award was not recognized as compensation cost.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2023 Stock Incentive Plan, each non-employee director, during the years presented, received all or a portion of his or her annual compensation in stock.</w:t>
      </w:r>
    </w:p>
    <w:p>
      <w:pPr>
        <w:spacing w:after="0" w:line="153"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The following table summarizes stock compensation costs for the Company's 1998 Stock Incentive Plan, or the Employee 1998 Plan, and NDSI Plan for the following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1998 Plan ($ in thousands):</w:t>
            </w:r>
          </w:p>
        </w:tc>
        <w:tc>
          <w:tcPr>
            <w:tcW w:w="18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212"/>
        </w:trPr>
        <w:tc>
          <w:tcPr>
            <w:tcW w:w="55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Expensed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w:t>
            </w:r>
          </w:p>
        </w:tc>
      </w:tr>
      <w:tr>
        <w:trPr>
          <w:trHeight w:val="219"/>
        </w:trPr>
        <w:tc>
          <w:tcPr>
            <w:tcW w:w="5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Capitalized</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12"/>
        </w:trPr>
        <w:tc>
          <w:tcPr>
            <w:tcW w:w="5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1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NDSI Plan</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w:t>
            </w:r>
          </w:p>
        </w:tc>
      </w:tr>
      <w:tr>
        <w:trPr>
          <w:trHeight w:val="23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hanging="417"/>
        <w:spacing w:after="0"/>
        <w:tabs>
          <w:tab w:leader="none" w:pos="42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9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provision (benefit):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7,393</w:t>
            </w:r>
          </w:p>
        </w:tc>
      </w:tr>
      <w:tr>
        <w:trPr>
          <w:trHeight w:val="219"/>
        </w:trPr>
        <w:tc>
          <w:tcPr>
            <w:tcW w:w="5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Federal:</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Current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w:t>
            </w:r>
          </w:p>
        </w:tc>
      </w:tr>
      <w:tr>
        <w:trPr>
          <w:trHeight w:val="219"/>
        </w:trPr>
        <w:tc>
          <w:tcPr>
            <w:tcW w:w="55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Deferred</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w:t>
            </w:r>
          </w:p>
        </w:tc>
      </w:tr>
      <w:tr>
        <w:trPr>
          <w:trHeight w:val="212"/>
        </w:trPr>
        <w:tc>
          <w:tcPr>
            <w:tcW w:w="5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w:t>
            </w:r>
          </w:p>
        </w:tc>
      </w:tr>
      <w:tr>
        <w:trPr>
          <w:trHeight w:val="219"/>
        </w:trPr>
        <w:tc>
          <w:tcPr>
            <w:tcW w:w="5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State:</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Current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19"/>
        </w:trPr>
        <w:tc>
          <w:tcPr>
            <w:tcW w:w="55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Deferred</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2"/>
        </w:trPr>
        <w:tc>
          <w:tcPr>
            <w:tcW w:w="5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w:t>
            </w: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7,393</w:t>
            </w:r>
          </w:p>
        </w:tc>
      </w:tr>
      <w:tr>
        <w:trPr>
          <w:trHeight w:val="20"/>
        </w:trPr>
        <w:tc>
          <w:tcPr>
            <w:tcW w:w="5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In 2024, the Company’s effective tax rate varied from the statutory federal rate primarily due to permanent differences related to Section 162(m) limitations, state taxes and excess stock compensation expense. The Section 162(m) compensation deduction limitations occurred as a result of changes in tax law arising from the 2017 Tax Cuts and Jobs Act, which first impacted the Company in 2020. A reconciliation of the provision for income taxes, with the amount computed by applying the statutory Federal income tax rate of 21% in 2024, 2023 and 2022, is as follows for the years ended December 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at statutory rate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4,869</w:t>
            </w: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40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1,851</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Excess stock compensation expense (benefit)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40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and mineral depletion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Refunds</w:t>
            </w:r>
          </w:p>
        </w:tc>
        <w:tc>
          <w:tcPr>
            <w:tcW w:w="40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differences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7,393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Effective tax rate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31.9 %</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Capitalization of costs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Pension adjustment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grant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State deferred taxes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Book deferred gains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Joint venture allocations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additional capitalized costs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rate swap</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10,301</w:t>
            </w:r>
          </w:p>
        </w:tc>
      </w:tr>
      <w:tr>
        <w:trPr>
          <w:trHeight w:val="19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gains</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 of sales allocations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Joint venture allocations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7,272</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stock compensation</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Straight line rent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State deferred taxes</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rate swap</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19"/>
        </w:trPr>
        <w:tc>
          <w:tcPr>
            <w:tcW w:w="7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18,570</w:t>
            </w: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(8,269)</w:t>
            </w:r>
          </w:p>
        </w:tc>
      </w:tr>
      <w:tr>
        <w:trPr>
          <w:trHeight w:val="21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deferred tax assets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taxes</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Due to the nature of the Company's deferred tax assets, the Company believes they will be used through operations in future years and a valuation allowance is not necessary.</w:t>
      </w:r>
    </w:p>
    <w:p>
      <w:pPr>
        <w:spacing w:after="0" w:line="1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Company made $315,000 in estimated tax payments in 2024 and $2,564,000 in 2023. The Company received tax refunds of $1,000 and $0 in 2024 and 2023, respectively.</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95" w:name="page96"/>
    <w:bookmarkEnd w:id="95"/>
    <w:p>
      <w:pPr>
        <w:ind w:right="80"/>
        <w:spacing w:after="0" w:line="261" w:lineRule="auto"/>
        <w:rPr>
          <w:sz w:val="20"/>
          <w:szCs w:val="20"/>
          <w:color w:val="auto"/>
        </w:rPr>
      </w:pPr>
      <w:r>
        <w:rPr>
          <w:rFonts w:ascii="Times New Roman" w:cs="Times New Roman" w:eastAsia="Times New Roman" w:hAnsi="Times New Roman"/>
          <w:sz w:val="17"/>
          <w:szCs w:val="17"/>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2024 and 2023 within the scope of ASC 740, "Income Taxes." Tax years from 2021 to 2023 and 2020 to 2023 remain available for examination by the Federal and California State taxing authorities, respectively.</w:t>
      </w:r>
    </w:p>
    <w:p>
      <w:pPr>
        <w:spacing w:after="0" w:line="119" w:lineRule="exact"/>
        <w:rPr>
          <w:sz w:val="20"/>
          <w:szCs w:val="20"/>
          <w:color w:val="auto"/>
        </w:rPr>
      </w:pPr>
    </w:p>
    <w:p>
      <w:pPr>
        <w:ind w:left="440" w:hanging="437"/>
        <w:spacing w:after="0"/>
        <w:tabs>
          <w:tab w:leader="none" w:pos="44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0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Company is a lessor of certain property pursuant to various lease agreements having terms ranging up to 30 years. The Company generates rental income from right to use assets. The following is a summary of income from commercial rents included in commercial/industrial real estate revenues as of December 31:</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6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 rent</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6,893</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Pr>
          <w:p>
            <w:pPr>
              <w:spacing w:after="0"/>
              <w:rPr>
                <w:sz w:val="19"/>
                <w:szCs w:val="19"/>
                <w:color w:val="auto"/>
              </w:rPr>
            </w:pP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minimum rental income on commercial, communication and right-of-way non-cancelable leases as of December 31, 2024 ($ in thousands):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2027</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2028</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2029</w:t>
            </w: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Thereafter</w:t>
            </w:r>
          </w:p>
        </w:tc>
      </w:tr>
      <w:tr>
        <w:trPr>
          <w:trHeight w:val="212"/>
        </w:trPr>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5,312</w:t>
            </w:r>
          </w:p>
        </w:tc>
        <w:tc>
          <w:tcPr>
            <w:tcW w:w="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4,985</w:t>
            </w:r>
          </w:p>
        </w:tc>
      </w:tr>
    </w:tbl>
    <w:p>
      <w:pPr>
        <w:spacing w:after="0" w:line="225" w:lineRule="exact"/>
        <w:rPr>
          <w:sz w:val="20"/>
          <w:szCs w:val="20"/>
          <w:color w:val="auto"/>
        </w:rPr>
      </w:pPr>
    </w:p>
    <w:p>
      <w:pPr>
        <w:ind w:right="7520" w:firstLine="3"/>
        <w:spacing w:after="0" w:line="358" w:lineRule="auto"/>
        <w:tabs>
          <w:tab w:leader="none" w:pos="429"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Water Contracts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secured water contracts that are encumbered by the Company's land. These water contracts require minimum annual payments, for which</w:t>
      </w:r>
    </w:p>
    <w:p>
      <w:pPr>
        <w:spacing w:after="0" w:line="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$15,029,000 is expected to be paid in 2025. These water contract payments consist of SWP contracts with WRMWSD, TCWD, Tulare Lake Basin, Dudley-Ridge, and the Nickel water contract. The SWP contracts run through 2035, and the Nickel water contract runs through 2044, with an option to extend an additional 35 years. The Company's contractual obligation for future water payments was $307,473,000 as of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10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December 31, 2024, the Company believes the net savings resulting from exiting the contract during this future time period will more than offset the incentive payment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Community Facilities Districts</w:t>
      </w:r>
    </w:p>
    <w:p>
      <w:pPr>
        <w:spacing w:after="0" w:line="10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spacing w:after="0" w:line="257" w:lineRule="auto"/>
        <w:rPr>
          <w:sz w:val="20"/>
          <w:szCs w:val="20"/>
          <w:color w:val="auto"/>
        </w:rPr>
      </w:pPr>
      <w:r>
        <w:rPr>
          <w:rFonts w:ascii="Times New Roman" w:cs="Times New Roman" w:eastAsia="Times New Roman" w:hAnsi="Times New Roman"/>
          <w:sz w:val="17"/>
          <w:szCs w:val="17"/>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December 31, 2024, there were no additional improvement funds remaining from West CFD bonds. On July 25, 2024, TRPFFA sold bonds that provide approximately $25,000,000 of improvement funds for the reimbursement of public infrastructure costs at TRCC-East. As of December 31, 2024, there are $19,849,000 of additional improvement funds remaining within the East CFD bonds for reimbursement of public infrastructure costs during future years. During fiscal 2024, the Company paid approximately $3,191,000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December 31, 2024.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Centennial</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5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 The hearing on the Motion for Reconsideration originally scheduled for August 13, 2021 was rescheduled to December 1, 2021 and further rescheduled as noted below.</w:t>
      </w:r>
    </w:p>
    <w:p>
      <w:pPr>
        <w:spacing w:after="0" w:line="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its case based on the Court’s conclusions in the Climate Resolve Action, and to evaluate the potential to settle or otherwise address CBD’s objections to the Centennial project. To that end, the Company met and conferred twice 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7" w:name="page98"/>
    <w:bookmarkEnd w:id="97"/>
    <w:p>
      <w:pPr>
        <w:spacing w:after="0" w:line="287" w:lineRule="auto"/>
        <w:rPr>
          <w:sz w:val="20"/>
          <w:szCs w:val="20"/>
          <w:color w:val="auto"/>
        </w:rPr>
      </w:pPr>
      <w:r>
        <w:rPr>
          <w:rFonts w:ascii="Times New Roman" w:cs="Times New Roman" w:eastAsia="Times New Roman" w:hAnsi="Times New Roman"/>
          <w:sz w:val="17"/>
          <w:szCs w:val="17"/>
          <w:color w:val="auto"/>
        </w:rPr>
        <w:t>January 4, 2022 and January 20, 2022. On January 14, 2022, the Court heard CBD/CNPS' Motion for Reconsideration and issued its decision granting CBD/CNPS prevailing party status based on the Court’s conclusions in the Climate Resolve Action.</w:t>
      </w:r>
    </w:p>
    <w:p>
      <w:pPr>
        <w:spacing w:after="0" w:line="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Briefing at the Court of Appeal is complete, and the Court of Appeal has calendared an April 4, 2025 hearing date for this matter; a decision by the Court of Appeal is expected sometime thereafter. During the appeal process the Superior Court’s order of the rescission of project approvals have been placed on hold.</w:t>
      </w:r>
    </w:p>
    <w:p>
      <w:pPr>
        <w:spacing w:after="0" w:line="269" w:lineRule="exact"/>
        <w:rPr>
          <w:sz w:val="20"/>
          <w:szCs w:val="20"/>
          <w:color w:val="auto"/>
        </w:rPr>
      </w:pPr>
    </w:p>
    <w:p>
      <w:pPr>
        <w:ind w:right="160"/>
        <w:spacing w:after="0" w:line="356" w:lineRule="auto"/>
        <w:rPr>
          <w:sz w:val="20"/>
          <w:szCs w:val="20"/>
          <w:color w:val="auto"/>
        </w:rPr>
      </w:pPr>
      <w:r>
        <w:rPr>
          <w:rFonts w:ascii="Times New Roman" w:cs="Times New Roman" w:eastAsia="Times New Roman" w:hAnsi="Times New Roman"/>
          <w:sz w:val="17"/>
          <w:szCs w:val="17"/>
          <w:color w:val="auto"/>
        </w:rPr>
        <w:t xml:space="preserve">As the Company’s options to reinstate the project approvals remain pending, the monetary value of any adverse decision, if any, cannot be estimated at this time. </w:t>
      </w:r>
      <w:r>
        <w:rPr>
          <w:rFonts w:ascii="Times New Roman" w:cs="Times New Roman" w:eastAsia="Times New Roman" w:hAnsi="Times New Roman"/>
          <w:sz w:val="17"/>
          <w:szCs w:val="17"/>
          <w:i w:val="1"/>
          <w:iCs w:val="1"/>
          <w:color w:val="auto"/>
        </w:rPr>
        <w:t>Proceedings Incidental to Business</w:t>
      </w:r>
    </w:p>
    <w:p>
      <w:pPr>
        <w:ind w:right="360"/>
        <w:spacing w:after="0" w:line="287" w:lineRule="auto"/>
        <w:rPr>
          <w:sz w:val="20"/>
          <w:szCs w:val="20"/>
          <w:color w:val="auto"/>
        </w:rPr>
      </w:pPr>
      <w:r>
        <w:rPr>
          <w:rFonts w:ascii="Times New Roman" w:cs="Times New Roman" w:eastAsia="Times New Roman" w:hAnsi="Times New Roman"/>
          <w:sz w:val="17"/>
          <w:szCs w:val="17"/>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1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RETIREMENT PLANS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sponsors a defined benefit retirement plan, or Benefit Plan, that covers eligible employees hired prior to February 1, 2007. The benefits are based on years of service and the employee’s final five-year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59"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Contributions are intended to provide for benefits attributable to service both to date and expected to be provided in the future. The Company funds the plan in accordance with the Employee Retirement Income Security Act of 1974, or ERISA. The Company in April 2017 froze the Benefit Plan as it relates to future benefit accruals for participants.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The following table sets forth changes in the plan's net benefit obligation and accumulated benefit information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9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benefit obligation - Pension</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Benefit obligation at beginning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w:t>
            </w:r>
          </w:p>
        </w:tc>
        <w:tc>
          <w:tcPr>
            <w:tcW w:w="0" w:type="dxa"/>
            <w:vAlign w:val="bottom"/>
          </w:tcPr>
          <w:p>
            <w:pPr>
              <w:spacing w:after="0"/>
              <w:rPr>
                <w:sz w:val="1"/>
                <w:szCs w:val="1"/>
                <w:color w:val="auto"/>
              </w:rPr>
            </w:pPr>
          </w:p>
        </w:tc>
      </w:tr>
      <w:tr>
        <w:trPr>
          <w:trHeight w:val="219"/>
        </w:trPr>
        <w:tc>
          <w:tcPr>
            <w:tcW w:w="7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cost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Actuarial (gain)/loss assumption changes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Benefits paid</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11"/>
        </w:trPr>
        <w:tc>
          <w:tcPr>
            <w:tcW w:w="7420" w:type="dxa"/>
            <w:vAlign w:val="bottom"/>
            <w:tcBorders>
              <w:bottom w:val="single" w:sz="8" w:color="CCEEFF"/>
            </w:tcBorders>
            <w:shd w:val="clear" w:color="auto" w:fill="CCEEFF"/>
          </w:tcPr>
          <w:p>
            <w:pPr>
              <w:ind w:left="320"/>
              <w:spacing w:after="0" w:line="186" w:lineRule="exact"/>
              <w:rPr>
                <w:sz w:val="20"/>
                <w:szCs w:val="20"/>
                <w:color w:val="auto"/>
              </w:rPr>
            </w:pPr>
            <w:r>
              <w:rPr>
                <w:rFonts w:ascii="Times New Roman" w:cs="Times New Roman" w:eastAsia="Times New Roman" w:hAnsi="Times New Roman"/>
                <w:sz w:val="17"/>
                <w:szCs w:val="17"/>
                <w:color w:val="auto"/>
              </w:rPr>
              <w:t>Benefit obligation and accumulated benefit obligation at end of year</w:t>
            </w:r>
          </w:p>
        </w:tc>
        <w:tc>
          <w:tcPr>
            <w:tcW w:w="420" w:type="dxa"/>
            <w:vAlign w:val="bottom"/>
            <w:tcBorders>
              <w:bottom w:val="single" w:sz="8" w:color="auto"/>
            </w:tcBorders>
            <w:shd w:val="clear" w:color="auto" w:fill="CCEEFF"/>
          </w:tcPr>
          <w:p>
            <w:pPr>
              <w:jc w:val="right"/>
              <w:ind w:right="2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8,181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8,768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Fair value of plan assets at beginning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8,449</w:t>
            </w:r>
          </w:p>
        </w:tc>
        <w:tc>
          <w:tcPr>
            <w:tcW w:w="0" w:type="dxa"/>
            <w:vAlign w:val="bottom"/>
          </w:tcPr>
          <w:p>
            <w:pPr>
              <w:spacing w:after="0"/>
              <w:rPr>
                <w:sz w:val="1"/>
                <w:szCs w:val="1"/>
                <w:color w:val="auto"/>
              </w:rPr>
            </w:pPr>
          </w:p>
        </w:tc>
      </w:tr>
      <w:tr>
        <w:trPr>
          <w:trHeight w:val="219"/>
        </w:trPr>
        <w:tc>
          <w:tcPr>
            <w:tcW w:w="7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Actual (loss) return on plan assets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Employer contribution</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19"/>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Benefits/expenses paid</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Fair value of plan assets at end of year</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0" w:type="dxa"/>
            <w:vAlign w:val="bottom"/>
          </w:tcPr>
          <w:p>
            <w:pPr>
              <w:spacing w:after="0"/>
              <w:rPr>
                <w:sz w:val="1"/>
                <w:szCs w:val="1"/>
                <w:color w:val="auto"/>
              </w:rPr>
            </w:pP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 asset</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recorded in equity</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actuarial loss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12"/>
        </w:trPr>
        <w:tc>
          <w:tcPr>
            <w:tcW w:w="7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amount recorded</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Amount recorded, net of taxes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changes in plan assets and benefit obligations recognized in other comprehensive income include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Pr>
          <w:p>
            <w:pPr>
              <w:spacing w:after="0"/>
              <w:rPr>
                <w:sz w:val="19"/>
                <w:szCs w:val="19"/>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40" w:type="dxa"/>
            <w:vAlign w:val="bottom"/>
          </w:tcPr>
          <w:p>
            <w:pPr>
              <w:spacing w:after="0"/>
              <w:rPr>
                <w:sz w:val="18"/>
                <w:szCs w:val="18"/>
                <w:color w:val="auto"/>
              </w:rPr>
            </w:pPr>
          </w:p>
        </w:tc>
      </w:tr>
      <w:tr>
        <w:trPr>
          <w:trHeight w:val="219"/>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Recognition of net actuarial loss</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40" w:type="dxa"/>
            <w:vAlign w:val="bottom"/>
          </w:tcPr>
          <w:p>
            <w:pPr>
              <w:spacing w:after="0"/>
              <w:rPr>
                <w:sz w:val="19"/>
                <w:szCs w:val="19"/>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changes</w:t>
            </w:r>
          </w:p>
        </w:tc>
        <w:tc>
          <w:tcPr>
            <w:tcW w:w="5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40" w:type="dxa"/>
            <w:vAlign w:val="bottom"/>
          </w:tcPr>
          <w:p>
            <w:pPr>
              <w:spacing w:after="0"/>
              <w:rPr>
                <w:sz w:val="18"/>
                <w:szCs w:val="18"/>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net of taxes</w:t>
            </w: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6"/>
        </w:trPr>
        <w:tc>
          <w:tcPr>
            <w:tcW w:w="92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Company expects to recognize the following amounts as a component of net periodic pension costs during the next fiscal year:</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net gain/(loss)</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40" w:type="dxa"/>
            <w:vAlign w:val="bottom"/>
            <w:tcBorders>
              <w:bottom w:val="single" w:sz="8" w:color="auto"/>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pension benefit/(cost)</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At December 31, 2024 and December 31, 2023, the Company had a long-term pension asset. For 2025, the Company is not expected to make contributions to the pension plan.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actuarial estimates, it is expected that annual benefit payments from the pension trust will be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2"/>
        </w:trPr>
        <w:tc>
          <w:tcPr>
            <w:tcW w:w="130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2027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Thereafter</w:t>
            </w:r>
          </w:p>
        </w:tc>
      </w:tr>
      <w:tr>
        <w:trPr>
          <w:trHeight w:val="212"/>
        </w:trPr>
        <w:tc>
          <w:tcPr>
            <w:tcW w:w="6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w:t>
            </w:r>
          </w:p>
        </w:tc>
        <w:tc>
          <w:tcPr>
            <w:tcW w:w="40" w:type="dxa"/>
            <w:vAlign w:val="bottom"/>
          </w:tcPr>
          <w:p>
            <w:pPr>
              <w:spacing w:after="0"/>
              <w:rPr>
                <w:sz w:val="18"/>
                <w:szCs w:val="18"/>
                <w:color w:val="auto"/>
              </w:rPr>
            </w:pPr>
          </w:p>
        </w:tc>
      </w:tr>
      <w:tr>
        <w:trPr>
          <w:trHeight w:val="826"/>
        </w:trPr>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w w:val="93"/>
              </w:rPr>
              <w:t>99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9" w:name="page100"/>
    <w:bookmarkEnd w:id="99"/>
    <w:p>
      <w:pPr>
        <w:ind w:right="20"/>
        <w:spacing w:after="0" w:line="257" w:lineRule="auto"/>
        <w:rPr>
          <w:sz w:val="20"/>
          <w:szCs w:val="20"/>
          <w:color w:val="auto"/>
        </w:rPr>
      </w:pPr>
      <w:r>
        <w:rPr>
          <w:rFonts w:ascii="Times New Roman" w:cs="Times New Roman" w:eastAsia="Times New Roman" w:hAnsi="Times New Roman"/>
          <w:sz w:val="17"/>
          <w:szCs w:val="17"/>
          <w:color w:val="auto"/>
        </w:rPr>
        <w:t>The Benefit Plan’s current investment policy has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 design will de-emphasize the return seeking portion as funded status improves. At December 31, 2024, the investment mix was approximately 99% debt and 1% money market funds. At December 31, 2023, the investment mix was approximately 99%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5.60% in 2024 and 4.85% in 2023. The expected long-term rate of return on plan assets is 5.00% in 2024 and 5.00% in 2023. The long-term rate of return on plan assets is based on the historical returns within the plan and expectations for future returns. See the following table for fair value hierarchy by investment type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Fair Value Hierarchy</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 Assets:</w:t>
            </w: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Level 1</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6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Collective Funds</w:t>
            </w:r>
          </w:p>
        </w:tc>
        <w:tc>
          <w:tcPr>
            <w:tcW w:w="17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Level 2</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8,972</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pension and retirement expense was as follows for each of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components: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cost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19"/>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19"/>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amortization and deferral</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periodic pension (costs)/earnings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The Company in April 2017 froze the SERP plan as it relates to the accrual of additional benefits.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SERP benefit information is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benefit obligation - SERP</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Benefit obligation at beginning of year</w:t>
            </w: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6,186</w:t>
            </w:r>
          </w:p>
        </w:tc>
      </w:tr>
      <w:tr>
        <w:trPr>
          <w:trHeight w:val="219"/>
        </w:trPr>
        <w:tc>
          <w:tcPr>
            <w:tcW w:w="7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cost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19"/>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Actuarial gain/assumption changes</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19"/>
        </w:trPr>
        <w:tc>
          <w:tcPr>
            <w:tcW w:w="7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Benefits paid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19"/>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Benefit obligation and accumulated benefit obligation at end of year</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w:t>
            </w: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Funded status - liability</w:t>
            </w:r>
          </w:p>
        </w:tc>
        <w:tc>
          <w:tcPr>
            <w:tcW w:w="4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(6,124)</w:t>
            </w:r>
          </w:p>
        </w:tc>
      </w:tr>
      <w:tr>
        <w:trPr>
          <w:trHeight w:val="20"/>
        </w:trPr>
        <w:tc>
          <w:tcPr>
            <w:tcW w:w="7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1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recorded in stockholders’ equity</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actuarial loss</w:t>
            </w:r>
          </w:p>
        </w:tc>
        <w:tc>
          <w:tcPr>
            <w:tcW w:w="4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r>
      <w:tr>
        <w:trPr>
          <w:trHeight w:val="212"/>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amount recorded</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w:t>
            </w:r>
          </w:p>
        </w:tc>
      </w:tr>
      <w:tr>
        <w:trPr>
          <w:trHeight w:val="237"/>
        </w:trPr>
        <w:tc>
          <w:tcPr>
            <w:tcW w:w="73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Amount recorded, net of taxes</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changes in benefit obligations recognized in other comprehensive income for 2024 and 2023 included the following components: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 loss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Recognition of net actuarial loss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changes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net of taxes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7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recognize the following amounts as a component of net periodic pension costs during the next fiscal year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19"/>
        </w:trPr>
        <w:tc>
          <w:tcPr>
            <w:tcW w:w="19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Amortization of net gain</w:t>
            </w:r>
          </w:p>
        </w:tc>
        <w:tc>
          <w:tcPr>
            <w:tcW w:w="6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periodic pension (costs)/earnings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14"/>
            <w:vMerge w:val="restart"/>
          </w:tcPr>
          <w:p>
            <w:pPr>
              <w:spacing w:after="0"/>
              <w:rPr>
                <w:sz w:val="20"/>
                <w:szCs w:val="20"/>
                <w:color w:val="auto"/>
              </w:rPr>
            </w:pPr>
            <w:r>
              <w:rPr>
                <w:rFonts w:ascii="Times New Roman" w:cs="Times New Roman" w:eastAsia="Times New Roman" w:hAnsi="Times New Roman"/>
                <w:sz w:val="17"/>
                <w:szCs w:val="17"/>
                <w:color w:val="auto"/>
              </w:rPr>
              <w:t>Based on actuarial estimates, it is expected that annual SERP benefit payments will be as follows ($ in thousands):</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060" w:type="dxa"/>
            <w:vAlign w:val="bottom"/>
            <w:gridSpan w:val="14"/>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99"/>
              </w:rPr>
              <w:t>2026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Thereafter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20" w:type="dxa"/>
            <w:vAlign w:val="bottom"/>
            <w:tcBorders>
              <w:top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The weighted-average discount rate used in determining the actuarial present value of projected benefits obligation was 5.35% for 2024 and 4.70% for 2023. Total pension and retirement expense was as follows for each of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components:</w:t>
            </w:r>
          </w:p>
        </w:tc>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cost</w:t>
            </w:r>
          </w:p>
        </w:tc>
        <w:tc>
          <w:tcPr>
            <w:tcW w:w="264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amortization and other</w:t>
            </w:r>
          </w:p>
        </w:tc>
        <w:tc>
          <w:tcPr>
            <w:tcW w:w="2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pension cost</w:t>
            </w:r>
          </w:p>
        </w:tc>
        <w:tc>
          <w:tcPr>
            <w:tcW w:w="2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101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8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01" w:name="page102"/>
    <w:bookmarkEnd w:id="101"/>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REPORTING SEGMENTS AND RELATED INFORMATION</w:t>
      </w:r>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Company currently operates five reporting segments: commercial/industrial real estate development, resort/residential real estate development, mineral resources, farming, and ranch operations. The financial results of these segments are utilized by the chief operating decision maker, or CODM, who is our Chief Executive Officer, for evaluating segment performance and allocating resources. The CODM uses GAAP operating results predominantly in the annual budgeting and forecasting process. The CODM considers budget-to-actual variances on a monthly basis for GAAP operating results when making decisions about allocating capital and personnel to the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pertaining to operating results of the Company's reporting segments are as follows for each of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line="161" w:lineRule="exact"/>
              <w:rPr>
                <w:sz w:val="20"/>
                <w:szCs w:val="20"/>
                <w:color w:val="auto"/>
              </w:rPr>
            </w:pPr>
            <w:r>
              <w:rPr>
                <w:rFonts w:ascii="Times New Roman" w:cs="Times New Roman" w:eastAsia="Times New Roman" w:hAnsi="Times New Roman"/>
                <w:sz w:val="17"/>
                <w:szCs w:val="17"/>
                <w:b w:val="1"/>
                <w:bCs w:val="1"/>
                <w:color w:val="auto"/>
                <w:w w:val="98"/>
              </w:rPr>
              <w:t>Revenues</w:t>
            </w:r>
          </w:p>
        </w:tc>
        <w:tc>
          <w:tcPr>
            <w:tcW w:w="47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estate—commercial/industrial</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40,515</w:t>
            </w:r>
          </w:p>
        </w:tc>
        <w:tc>
          <w:tcPr>
            <w:tcW w:w="0" w:type="dxa"/>
            <w:vAlign w:val="bottom"/>
          </w:tcPr>
          <w:p>
            <w:pPr>
              <w:spacing w:after="0"/>
              <w:rPr>
                <w:sz w:val="1"/>
                <w:szCs w:val="1"/>
                <w:color w:val="auto"/>
              </w:rPr>
            </w:pPr>
          </w:p>
        </w:tc>
      </w:tr>
      <w:tr>
        <w:trPr>
          <w:trHeight w:val="219"/>
        </w:trPr>
        <w:tc>
          <w:tcPr>
            <w:tcW w:w="54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21,595</w:t>
            </w:r>
          </w:p>
        </w:tc>
        <w:tc>
          <w:tcPr>
            <w:tcW w:w="0" w:type="dxa"/>
            <w:vAlign w:val="bottom"/>
          </w:tcPr>
          <w:p>
            <w:pPr>
              <w:spacing w:after="0"/>
              <w:rPr>
                <w:sz w:val="1"/>
                <w:szCs w:val="1"/>
                <w:color w:val="auto"/>
              </w:rPr>
            </w:pPr>
          </w:p>
        </w:tc>
      </w:tr>
      <w:tr>
        <w:trPr>
          <w:trHeight w:val="219"/>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0" w:type="dxa"/>
            <w:vAlign w:val="bottom"/>
          </w:tcPr>
          <w:p>
            <w:pPr>
              <w:spacing w:after="0"/>
              <w:rPr>
                <w:sz w:val="1"/>
                <w:szCs w:val="1"/>
                <w:color w:val="auto"/>
              </w:rPr>
            </w:pPr>
          </w:p>
        </w:tc>
      </w:tr>
      <w:tr>
        <w:trPr>
          <w:trHeight w:val="219"/>
        </w:trPr>
        <w:tc>
          <w:tcPr>
            <w:tcW w:w="5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0" w:type="dxa"/>
            <w:vAlign w:val="bottom"/>
          </w:tcPr>
          <w:p>
            <w:pPr>
              <w:spacing w:after="0"/>
              <w:rPr>
                <w:sz w:val="1"/>
                <w:szCs w:val="1"/>
                <w:color w:val="auto"/>
              </w:rPr>
            </w:pPr>
          </w:p>
        </w:tc>
      </w:tr>
      <w:tr>
        <w:trPr>
          <w:trHeight w:val="211"/>
        </w:trPr>
        <w:tc>
          <w:tcPr>
            <w:tcW w:w="5480" w:type="dxa"/>
            <w:vAlign w:val="bottom"/>
            <w:tcBorders>
              <w:bottom w:val="single" w:sz="8" w:color="CCEEFF"/>
            </w:tcBorders>
            <w:gridSpan w:val="4"/>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Segment revenues</w:t>
            </w:r>
          </w:p>
        </w:tc>
        <w:tc>
          <w:tcPr>
            <w:tcW w:w="1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41,886</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44,739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79,217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60" w:type="dxa"/>
            <w:vAlign w:val="bottom"/>
            <w:tcBorders>
              <w:top w:val="single" w:sz="8" w:color="CCEEFF"/>
              <w:bottom w:val="single" w:sz="8" w:color="CCEEFF"/>
            </w:tcBorders>
            <w:gridSpan w:val="3"/>
            <w:vMerge w:val="restart"/>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Segment Operating Results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54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estate—commercial/industrial</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31,911</w:t>
            </w:r>
          </w:p>
        </w:tc>
        <w:tc>
          <w:tcPr>
            <w:tcW w:w="0" w:type="dxa"/>
            <w:vAlign w:val="bottom"/>
          </w:tcPr>
          <w:p>
            <w:pPr>
              <w:spacing w:after="0"/>
              <w:rPr>
                <w:sz w:val="1"/>
                <w:szCs w:val="1"/>
                <w:color w:val="auto"/>
              </w:rPr>
            </w:pPr>
          </w:p>
        </w:tc>
      </w:tr>
      <w:tr>
        <w:trPr>
          <w:trHeight w:val="219"/>
        </w:trPr>
        <w:tc>
          <w:tcPr>
            <w:tcW w:w="54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Real estate—resort/residential</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0" w:type="dxa"/>
            <w:vAlign w:val="bottom"/>
          </w:tcPr>
          <w:p>
            <w:pPr>
              <w:spacing w:after="0"/>
              <w:rPr>
                <w:sz w:val="1"/>
                <w:szCs w:val="1"/>
                <w:color w:val="auto"/>
              </w:rPr>
            </w:pPr>
          </w:p>
        </w:tc>
      </w:tr>
      <w:tr>
        <w:trPr>
          <w:trHeight w:val="219"/>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8,626</w:t>
            </w:r>
          </w:p>
        </w:tc>
        <w:tc>
          <w:tcPr>
            <w:tcW w:w="0" w:type="dxa"/>
            <w:vAlign w:val="bottom"/>
          </w:tcPr>
          <w:p>
            <w:pPr>
              <w:spacing w:after="0"/>
              <w:rPr>
                <w:sz w:val="1"/>
                <w:szCs w:val="1"/>
                <w:color w:val="auto"/>
              </w:rPr>
            </w:pPr>
          </w:p>
        </w:tc>
      </w:tr>
      <w:tr>
        <w:trPr>
          <w:trHeight w:val="219"/>
        </w:trPr>
        <w:tc>
          <w:tcPr>
            <w:tcW w:w="54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c>
          <w:tcPr>
            <w:tcW w:w="0" w:type="dxa"/>
            <w:vAlign w:val="bottom"/>
          </w:tcPr>
          <w:p>
            <w:pPr>
              <w:spacing w:after="0"/>
              <w:rPr>
                <w:sz w:val="1"/>
                <w:szCs w:val="1"/>
                <w:color w:val="auto"/>
              </w:rPr>
            </w:pPr>
          </w:p>
        </w:tc>
      </w:tr>
      <w:tr>
        <w:trPr>
          <w:trHeight w:val="219"/>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gridSpan w:val="3"/>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Segment operating results </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31,180</w:t>
            </w:r>
          </w:p>
        </w:tc>
        <w:tc>
          <w:tcPr>
            <w:tcW w:w="0" w:type="dxa"/>
            <w:vAlign w:val="bottom"/>
          </w:tcPr>
          <w:p>
            <w:pPr>
              <w:spacing w:after="0"/>
              <w:rPr>
                <w:sz w:val="1"/>
                <w:szCs w:val="1"/>
                <w:color w:val="auto"/>
              </w:rPr>
            </w:pPr>
          </w:p>
        </w:tc>
      </w:tr>
      <w:tr>
        <w:trPr>
          <w:trHeight w:val="199"/>
        </w:trPr>
        <w:tc>
          <w:tcPr>
            <w:tcW w:w="5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Investment income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(loss) income</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Corporate expenses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 w:right="460"/>
        <w:spacing w:after="0" w:line="200" w:lineRule="auto"/>
        <w:tabs>
          <w:tab w:leader="none" w:pos="87" w:val="left"/>
        </w:tabs>
        <w:numPr>
          <w:ilvl w:val="0"/>
          <w:numId w:val="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Segment operating results are comprised of revenues and equity in earnings of unconsolidated joint ventures, less segment expenses, excluding investment income, other income (loss), corporate expenses, and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 Commercial/Industrial</w:t>
      </w:r>
    </w:p>
    <w:p>
      <w:pPr>
        <w:spacing w:after="0" w:line="7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Commercial revenue consists of land and building leases to tenants at the Company's commercial retail and industrial developments, base and percentage rents from the PEF power plant lease, communication tower rents, land sales, and payments from easement leases.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2024 and 2023, the Company did not have any land sales.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2022, this operating segment had the following land sales:</w:t>
      </w:r>
    </w:p>
    <w:p>
      <w:pPr>
        <w:spacing w:after="0" w:line="153" w:lineRule="exact"/>
        <w:rPr>
          <w:sz w:val="20"/>
          <w:szCs w:val="20"/>
          <w:color w:val="auto"/>
        </w:rPr>
      </w:pPr>
    </w:p>
    <w:p>
      <w:pPr>
        <w:ind w:left="620" w:right="40" w:hanging="307"/>
        <w:spacing w:after="0" w:line="254"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sale comprised of a 27.88-acre land parcel contributed with a fair value of $8,501,000 to TRC-MRC 5, LLC. The Company recognized revenues of $5,489,000 and deferred profit of $3,012,000 after applying the five-step revenue recognition model in accordance with ASC Topic 606 — Revenue From Contracts With Customers and ASC Topic 323, Investments — Equity Method and Joint Ventures.</w:t>
      </w:r>
    </w:p>
    <w:p>
      <w:pPr>
        <w:spacing w:after="0" w:line="12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58.0 acres of industrial land located at TRCC East to Nestlé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 acres of industrial land located at TRCC West to a third party for $4,680,000.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The following table summarizes revenues, expenses and operating income from this segment for each of the years ended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Commercial/industrial revenues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40,515</w:t>
            </w:r>
          </w:p>
        </w:tc>
      </w:tr>
      <w:tr>
        <w:trPr>
          <w:trHeight w:val="219"/>
        </w:trPr>
        <w:tc>
          <w:tcPr>
            <w:tcW w:w="6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Equity in earnings of unconsolidated joint ventures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7,752</w:t>
            </w: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Commercial/industrial revenues and equity in earnings of unconsolidated joint ventures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48,267</w:t>
            </w:r>
          </w:p>
        </w:tc>
      </w:tr>
      <w:tr>
        <w:trPr>
          <w:trHeight w:val="212"/>
        </w:trPr>
        <w:tc>
          <w:tcPr>
            <w:tcW w:w="6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 of land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8,623</w:t>
            </w:r>
          </w:p>
        </w:tc>
      </w:tr>
      <w:tr>
        <w:trPr>
          <w:trHeight w:val="219"/>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19"/>
        </w:trPr>
        <w:tc>
          <w:tcPr>
            <w:tcW w:w="688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r>
      <w:tr>
        <w:trPr>
          <w:trHeight w:val="219"/>
        </w:trPr>
        <w:tc>
          <w:tcPr>
            <w:tcW w:w="68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12"/>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Commercial/industrial expenses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16,356</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results from commercial/industrial and unconsolidated joint ventures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13905" cy="163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13905" cy="163830"/>
                    </a:xfrm>
                    <a:prstGeom prst="rect">
                      <a:avLst/>
                    </a:prstGeom>
                    <a:noFill/>
                  </pic:spPr>
                </pic:pic>
              </a:graphicData>
            </a:graphic>
          </wp:anchor>
        </w:drawing>
      </w:r>
    </w:p>
    <w:p>
      <w:pPr>
        <w:ind w:left="100" w:hanging="80"/>
        <w:spacing w:after="0" w:line="223" w:lineRule="auto"/>
        <w:tabs>
          <w:tab w:leader="none" w:pos="100"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General and administrative expenses included compensation expenses and overheads.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-99695</wp:posOffset>
            </wp:positionV>
            <wp:extent cx="27508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750820" cy="8255"/>
                    </a:xfrm>
                    <a:prstGeom prst="rect">
                      <a:avLst/>
                    </a:prstGeom>
                    <a:noFill/>
                  </pic:spPr>
                </pic:pic>
              </a:graphicData>
            </a:graphic>
          </wp:anchor>
        </w:drawing>
      </w:r>
    </w:p>
    <w:p>
      <w:pPr>
        <w:ind w:left="100" w:hanging="80"/>
        <w:spacing w:after="0" w:line="224" w:lineRule="auto"/>
        <w:tabs>
          <w:tab w:leader="none" w:pos="100" w:val="left"/>
        </w:tabs>
        <w:numPr>
          <w:ilvl w:val="0"/>
          <w:numId w:val="6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main components of the other expenses included tenant recoverable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13905" cy="1225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13905" cy="1225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 Resort/Residential</w:t>
      </w:r>
    </w:p>
    <w:p>
      <w:pPr>
        <w:spacing w:after="0" w:line="9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The resort/residential real estate development segment is actively involved in the land entitlement and development process internally and through joint venture entities. The segment produced losses of $2,615,000, $1,528,000, and $1,629,000 during the years ended December 31, 2024, 2023, and 2022, respectively. The expenses consisted of professional services of $1,352,000, general and administrative expenses of $1,215,000, and other expenses of $48,000 for the twelve months ended December 31, 2024. The main components of the other expenses included travel and entertainment expenses, and depreciation expenses.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Mineral Resources</w:t>
      </w:r>
    </w:p>
    <w:p>
      <w:pPr>
        <w:spacing w:after="0" w:line="16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mineral resources segment receives oil and mineral royalties from the exploration and development companies that extract or mine the natural resources from the Company's land along with revenue from water sales. The following table summarizes revenues, expenses and operating results from this segment for each of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21,595</w:t>
            </w:r>
          </w:p>
        </w:tc>
      </w:tr>
      <w:tr>
        <w:trPr>
          <w:trHeight w:val="212"/>
        </w:trPr>
        <w:tc>
          <w:tcPr>
            <w:tcW w:w="6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 of water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9,549</w:t>
            </w:r>
          </w:p>
        </w:tc>
      </w:tr>
      <w:tr>
        <w:trPr>
          <w:trHeight w:val="219"/>
        </w:trPr>
        <w:tc>
          <w:tcPr>
            <w:tcW w:w="69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r>
      <w:tr>
        <w:trPr>
          <w:trHeight w:val="212"/>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Mineral resources expenses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12,969</w:t>
            </w: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results from mineral resources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5,839</w:t>
            </w:r>
          </w:p>
        </w:tc>
        <w:tc>
          <w:tcPr>
            <w:tcW w:w="12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22160" cy="163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ind w:left="80" w:hanging="60"/>
        <w:spacing w:after="0" w:line="212" w:lineRule="auto"/>
        <w:tabs>
          <w:tab w:leader="none" w:pos="8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-99695</wp:posOffset>
            </wp:positionV>
            <wp:extent cx="27343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Farming</w:t>
      </w:r>
    </w:p>
    <w:p>
      <w:pPr>
        <w:spacing w:after="0" w:line="79"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Farming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r>
      <w:tr>
        <w:trPr>
          <w:trHeight w:val="212"/>
        </w:trPr>
        <w:tc>
          <w:tcPr>
            <w:tcW w:w="7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15,412</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Water holding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3,454</w:t>
            </w:r>
          </w:p>
        </w:tc>
      </w:tr>
      <w:tr>
        <w:trPr>
          <w:trHeight w:val="219"/>
        </w:trPr>
        <w:tc>
          <w:tcPr>
            <w:tcW w:w="7100" w:type="dxa"/>
            <w:vAlign w:val="bottom"/>
            <w:tcBorders>
              <w:bottom w:val="single" w:sz="8" w:color="CCEEFF"/>
            </w:tcBorders>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12"/>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Farming expenses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19,811</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results from farming</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-1905</wp:posOffset>
            </wp:positionV>
            <wp:extent cx="260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ind w:left="80" w:hanging="60"/>
        <w:spacing w:after="0" w:line="236" w:lineRule="auto"/>
        <w:tabs>
          <w:tab w:leader="none" w:pos="8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main components of the other expenses included general and administrative expenses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05650" cy="1225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0565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i w:val="1"/>
          <w:iCs w:val="1"/>
          <w:color w:val="auto"/>
        </w:rPr>
        <w:t>Ranch Operations</w:t>
      </w:r>
    </w:p>
    <w:p>
      <w:pPr>
        <w:spacing w:after="0" w:line="3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 revenues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w:t>
            </w:r>
          </w:p>
        </w:tc>
      </w:tr>
      <w:tr>
        <w:trPr>
          <w:trHeight w:val="212"/>
        </w:trPr>
        <w:tc>
          <w:tcPr>
            <w:tcW w:w="7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Compensation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w:t>
            </w:r>
          </w:p>
        </w:tc>
      </w:tr>
      <w:tr>
        <w:trPr>
          <w:trHeight w:val="219"/>
        </w:trPr>
        <w:tc>
          <w:tcPr>
            <w:tcW w:w="7100" w:type="dxa"/>
            <w:vAlign w:val="bottom"/>
            <w:tcBorders>
              <w:bottom w:val="single" w:sz="8" w:color="CCEEFF"/>
            </w:tcBorders>
          </w:tcPr>
          <w:p>
            <w:pPr>
              <w:ind w:left="220"/>
              <w:spacing w:after="0" w:line="219" w:lineRule="exact"/>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 expenses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results from ranch operations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-1905</wp:posOffset>
            </wp:positionV>
            <wp:extent cx="260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260350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The main components of the other expenses included amortization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05650" cy="1225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05650" cy="1225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86"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Information pertaining to assets of the Company’s reporting segments is as follows for each of the years ended December 31: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Identifiable</w:t>
            </w:r>
          </w:p>
        </w:tc>
        <w:tc>
          <w:tcPr>
            <w:tcW w:w="2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Depreciation and</w:t>
            </w:r>
          </w:p>
        </w:tc>
        <w:tc>
          <w:tcPr>
            <w:tcW w:w="280" w:type="dxa"/>
            <w:vAlign w:val="bottom"/>
          </w:tcPr>
          <w:p>
            <w:pPr>
              <w:spacing w:after="0"/>
              <w:rPr>
                <w:sz w:val="17"/>
                <w:szCs w:val="17"/>
                <w:color w:val="auto"/>
              </w:rPr>
            </w:pPr>
          </w:p>
        </w:tc>
        <w:tc>
          <w:tcPr>
            <w:tcW w:w="152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Capital</w:t>
            </w:r>
          </w:p>
        </w:tc>
        <w:tc>
          <w:tcPr>
            <w:tcW w:w="0" w:type="dxa"/>
            <w:vAlign w:val="bottom"/>
          </w:tcPr>
          <w:p>
            <w:pPr>
              <w:spacing w:after="0"/>
              <w:rPr>
                <w:sz w:val="1"/>
                <w:szCs w:val="1"/>
                <w:color w:val="auto"/>
              </w:rPr>
            </w:pP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in thousands)</w:t>
            </w:r>
          </w:p>
        </w:tc>
        <w:tc>
          <w:tcPr>
            <w:tcW w:w="20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Amortization</w:t>
            </w:r>
          </w:p>
        </w:tc>
        <w:tc>
          <w:tcPr>
            <w:tcW w:w="280" w:type="dxa"/>
            <w:vAlign w:val="bottom"/>
          </w:tcPr>
          <w:p>
            <w:pPr>
              <w:spacing w:after="0"/>
              <w:rPr>
                <w:sz w:val="20"/>
                <w:szCs w:val="20"/>
                <w:color w:val="auto"/>
              </w:rPr>
            </w:pP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Expenditures</w:t>
            </w: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2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43,018</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8,394</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4,891</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21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33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2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7,815</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7,888</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1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577,523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334"/>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 commercial/industrial</w:t>
            </w:r>
          </w:p>
        </w:tc>
        <w:tc>
          <w:tcPr>
            <w:tcW w:w="2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 resort/residential</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7,253</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Mineral resources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Farming</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5,915</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Ranch operations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r>
        <w:trPr>
          <w:trHeight w:val="21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1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tab/>
        <w:t>INVESTMENT IN UNCONSOLIDATED AND CONSOLIDATED JOINT VENTURES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2024 was $28,980,000. The equity in the income of the unconsolidated joint ventures was $10,881,000 for the twelve months ended December 31, 2024. The unconsolidated joint ventures have not been consolidated as of December 31, 2024, because the Company does not control the investments. The Company’s current joint ventures are as follows:</w:t>
      </w:r>
    </w:p>
    <w:p>
      <w:pPr>
        <w:spacing w:after="0" w:line="123" w:lineRule="exact"/>
        <w:rPr>
          <w:sz w:val="20"/>
          <w:szCs w:val="20"/>
          <w:color w:val="auto"/>
        </w:rPr>
      </w:pPr>
    </w:p>
    <w:p>
      <w:pPr>
        <w:ind w:left="420" w:hanging="301"/>
        <w:spacing w:after="0" w:line="260" w:lineRule="auto"/>
        <w:tabs>
          <w:tab w:leader="none" w:pos="41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At December 31, 2024, the Company had an equity investment balance of $19,823,000 in this joint venture.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5" w:name="page106"/>
    <w:bookmarkEnd w:id="105"/>
    <w:p>
      <w:pPr>
        <w:ind w:left="301" w:right="120" w:hanging="301"/>
        <w:spacing w:after="0" w:line="257" w:lineRule="auto"/>
        <w:tabs>
          <w:tab w:leader="none" w:pos="29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Majestic Realty Co. – Majestic Realty Co., or Majestic, is a privately-held developer and owner of master planned business parks in the United States. The Company partnered with Majestic to form five active 50/50 joint ventures to acquire, develop, manage, and operate industrial real estate at TRCC. The partners have equal voting rights and equally share in the profit and loss of the joint venture. All outstanding debt attributed to our joint ventures with Majestic have met their respective debt covenants, and hence were not subject to an effective guarantee at December 31, 2024.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 At December 31, 2024, the Company's investment in these joint ventures was $219,000.</w:t>
      </w:r>
    </w:p>
    <w:p>
      <w:pPr>
        <w:spacing w:after="0" w:line="75" w:lineRule="exact"/>
        <w:rPr>
          <w:rFonts w:ascii="Times New Roman" w:cs="Times New Roman" w:eastAsia="Times New Roman" w:hAnsi="Times New Roman"/>
          <w:sz w:val="17"/>
          <w:szCs w:val="17"/>
          <w:color w:val="auto"/>
        </w:rPr>
      </w:pPr>
    </w:p>
    <w:p>
      <w:pPr>
        <w:ind w:left="801" w:hanging="298"/>
        <w:spacing w:after="0"/>
        <w:tabs>
          <w:tab w:leader="none" w:pos="80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29, 2022, TRC-MRC 5, LLC was formed to pursue the development, construction, lease-up, and management of an approximately</w:t>
      </w:r>
    </w:p>
    <w:p>
      <w:pPr>
        <w:spacing w:after="0" w:line="27" w:lineRule="exact"/>
        <w:rPr>
          <w:rFonts w:ascii="Times New Roman" w:cs="Times New Roman" w:eastAsia="Times New Roman" w:hAnsi="Times New Roman"/>
          <w:sz w:val="17"/>
          <w:szCs w:val="17"/>
          <w:color w:val="auto"/>
        </w:rPr>
      </w:pPr>
    </w:p>
    <w:p>
      <w:pPr>
        <w:ind w:left="821" w:right="4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$52,795,000 as of December 31, 2024. Since its inception, the Company has received excess distributions resulting in a deficit balance in its investment of $1,783,000.</w:t>
      </w:r>
    </w:p>
    <w:p>
      <w:pPr>
        <w:spacing w:after="0" w:line="61" w:lineRule="exact"/>
        <w:rPr>
          <w:rFonts w:ascii="Times New Roman" w:cs="Times New Roman" w:eastAsia="Times New Roman" w:hAnsi="Times New Roman"/>
          <w:sz w:val="17"/>
          <w:szCs w:val="17"/>
          <w:color w:val="auto"/>
        </w:rPr>
      </w:pPr>
    </w:p>
    <w:p>
      <w:pPr>
        <w:ind w:left="821" w:hanging="318"/>
        <w:spacing w:after="0" w:line="261" w:lineRule="auto"/>
        <w:tabs>
          <w:tab w:leader="none" w:pos="8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25, 2021, TRC-MRC 4, LLC was formed to pursue the development, construction, lease-up, and management of a 629,274 square foot industrial building located within TRCC-East. The construction of the building was completed in 2022, and the joint venture has leased 100% of the rentable space. The joint venture refinanced its construction loan in March 2023 with a promissory note. The note matures on March 1, 2033, and had an outstanding balance of $60,906,000 as of December 31, 2024. Since its inception, the Company has received excess distributions resulting in a deficit balance in its investment of $6,317,000.</w:t>
      </w:r>
    </w:p>
    <w:p>
      <w:pPr>
        <w:spacing w:after="0" w:line="71" w:lineRule="exact"/>
        <w:rPr>
          <w:rFonts w:ascii="Times New Roman" w:cs="Times New Roman" w:eastAsia="Times New Roman" w:hAnsi="Times New Roman"/>
          <w:sz w:val="17"/>
          <w:szCs w:val="17"/>
          <w:color w:val="auto"/>
        </w:rPr>
      </w:pPr>
    </w:p>
    <w:p>
      <w:pPr>
        <w:ind w:left="821" w:right="60" w:hanging="318"/>
        <w:spacing w:after="0" w:line="260" w:lineRule="auto"/>
        <w:tabs>
          <w:tab w:leader="none" w:pos="8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$32,722,000 as of December 31, 2024. The Company's investment in this joint venture was $142,000 as of December 31, 2024.</w:t>
      </w:r>
    </w:p>
    <w:p>
      <w:pPr>
        <w:spacing w:after="0" w:line="70" w:lineRule="exact"/>
        <w:rPr>
          <w:rFonts w:ascii="Times New Roman" w:cs="Times New Roman" w:eastAsia="Times New Roman" w:hAnsi="Times New Roman"/>
          <w:sz w:val="17"/>
          <w:szCs w:val="17"/>
          <w:color w:val="auto"/>
        </w:rPr>
      </w:pPr>
    </w:p>
    <w:p>
      <w:pPr>
        <w:ind w:left="821" w:right="160" w:hanging="318"/>
        <w:spacing w:after="0" w:line="261" w:lineRule="auto"/>
        <w:tabs>
          <w:tab w:leader="none" w:pos="8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$21,234,000 as of December 31, 2024. The building was 100% leased as of December 31, 2024. The Company's investment in this joint venture was $77,000 as of December 31, 2024.</w:t>
      </w:r>
    </w:p>
    <w:p>
      <w:pPr>
        <w:spacing w:after="0" w:line="71" w:lineRule="exact"/>
        <w:rPr>
          <w:rFonts w:ascii="Times New Roman" w:cs="Times New Roman" w:eastAsia="Times New Roman" w:hAnsi="Times New Roman"/>
          <w:sz w:val="17"/>
          <w:szCs w:val="17"/>
          <w:color w:val="auto"/>
        </w:rPr>
      </w:pPr>
    </w:p>
    <w:p>
      <w:pPr>
        <w:ind w:left="821" w:right="120" w:hanging="318"/>
        <w:spacing w:after="0" w:line="264" w:lineRule="auto"/>
        <w:tabs>
          <w:tab w:leader="none" w:pos="8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principal balance of the mortgage loan was $25,030,000, of which $21,470,000 was outstanding at December 31, 2024. Since inception of the joint venture, the Company has received excess distributions resulting in a deficit balance of $978,000.</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1"/>
          </w:cols>
          <w:pgMar w:left="439" w:top="1013" w:right="359" w:bottom="1440" w:gutter="0" w:footer="0" w:header="0"/>
        </w:sectPr>
      </w:pPr>
    </w:p>
    <w:bookmarkStart w:id="106" w:name="page107"/>
    <w:bookmarkEnd w:id="106"/>
    <w:p>
      <w:pPr>
        <w:ind w:left="320" w:hanging="317"/>
        <w:spacing w:after="0" w:line="270" w:lineRule="auto"/>
        <w:tabs>
          <w:tab w:leader="none" w:pos="3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TRC-DP 1, LLC - This joint venture was formed on October 4, 2024 with Dedeaux Properties to develop, manage, and operate an approximately 510,385 square foot industrial building at TRCC-East on land to be contributed by the Company in a future period. The Company's investment in this joint venture was $346,000 as of December 31, 2024.</w:t>
      </w:r>
    </w:p>
    <w:p>
      <w:pPr>
        <w:spacing w:after="0" w:line="113" w:lineRule="exact"/>
        <w:rPr>
          <w:rFonts w:ascii="Times New Roman" w:cs="Times New Roman" w:eastAsia="Times New Roman" w:hAnsi="Times New Roman"/>
          <w:sz w:val="17"/>
          <w:szCs w:val="17"/>
          <w:color w:val="auto"/>
        </w:rPr>
      </w:pPr>
    </w:p>
    <w:p>
      <w:pPr>
        <w:ind w:left="320" w:right="40" w:hanging="317"/>
        <w:spacing w:after="0" w:line="256" w:lineRule="auto"/>
        <w:tabs>
          <w:tab w:leader="none" w:pos="3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TRCC/Rock Outlet Center LLC – This joint venture was formed in 2013 with Rockefeller Group Development Corporation, or Rockefeller, to develop, own, and manage a net leasable 326,000 square foot outlet center on land at TRCC-East. At December 31, 2024, the Company’s equity investment balance in this joint venture was $8,592,000.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December 31, 2024, the outstanding balance of the term note was $20,545,000. The Company and Rockefeller guarantee the performance of the debt.</w:t>
      </w:r>
    </w:p>
    <w:p>
      <w:pPr>
        <w:spacing w:after="0" w:line="284" w:lineRule="exact"/>
        <w:rPr>
          <w:rFonts w:ascii="Times New Roman" w:cs="Times New Roman" w:eastAsia="Times New Roman" w:hAnsi="Times New Roman"/>
          <w:sz w:val="17"/>
          <w:szCs w:val="17"/>
          <w:color w:val="auto"/>
        </w:rPr>
      </w:pPr>
    </w:p>
    <w:p>
      <w:pPr>
        <w:ind w:left="320" w:right="80" w:hanging="317"/>
        <w:spacing w:after="0" w:line="287" w:lineRule="auto"/>
        <w:tabs>
          <w:tab w:leader="none" w:pos="31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Centennial Founders, LLC – CFL is a joint venture with TRI Pointe Homes to pursue the entitlement and development of land that the Company owns in Los Angeles County. At December 31, 2024, the Company owned 93.65% of CFL.</w:t>
      </w:r>
    </w:p>
    <w:p>
      <w:pPr>
        <w:spacing w:after="0" w:line="10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Condensed balance sheet information and statement of operations of the Company’s unconsolidated joint ventures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Balance Sheet Information as of December 31:</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35"/>
        </w:trPr>
        <w:tc>
          <w:tcPr>
            <w:tcW w:w="2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Joint Venture</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TRC</w:t>
            </w:r>
          </w:p>
        </w:tc>
        <w:tc>
          <w:tcPr>
            <w:tcW w:w="720" w:type="dxa"/>
            <w:vAlign w:val="bottom"/>
            <w:tcBorders>
              <w:bottom w:val="single" w:sz="8" w:color="auto"/>
            </w:tcBorders>
          </w:tcPr>
          <w:p>
            <w:pPr>
              <w:spacing w:after="0"/>
              <w:rPr>
                <w:sz w:val="24"/>
                <w:szCs w:val="24"/>
                <w:color w:val="auto"/>
              </w:rPr>
            </w:pPr>
          </w:p>
        </w:tc>
      </w:tr>
      <w:tr>
        <w:trPr>
          <w:trHeight w:val="212"/>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Investment In</w:t>
            </w:r>
          </w:p>
        </w:tc>
      </w:tr>
      <w:tr>
        <w:trPr>
          <w:trHeight w:val="212"/>
        </w:trPr>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Petro Travel Plaza Holdings LLC</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19,370</w:t>
            </w: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TRCC/Rock Outlet Center, LLC</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9,943</w:t>
            </w: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TRC-MRC 1, LLC</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TRC-MRC 2, LLC</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TRC-MRC 3, LLC</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TRC-MRC 4, LLC</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TRC-MRC 5, LLC</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w:t>
            </w: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TRC-DP1, LLC</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33,648</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3"/>
          </w:tcPr>
          <w:p>
            <w:pPr>
              <w:spacing w:after="0" w:line="20" w:lineRule="exact"/>
              <w:rPr>
                <w:sz w:val="1"/>
                <w:szCs w:val="1"/>
                <w:color w:val="auto"/>
              </w:rPr>
            </w:pPr>
          </w:p>
        </w:tc>
      </w:tr>
      <w:tr>
        <w:trPr>
          <w:trHeight w:val="204"/>
        </w:trPr>
        <w:tc>
          <w:tcPr>
            <w:tcW w:w="26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Centennial Founders, LLC</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gridSpan w:val="4"/>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Consolidated</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Condensed Statement of Operations Information as of December 31: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89"/>
        </w:trPr>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Joint Venture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TRC</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6"/>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9"/>
              </w:rPr>
              <w:t>Earnings (Loss)</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Equity in Earnings (Loss)</w:t>
            </w:r>
          </w:p>
        </w:tc>
      </w:tr>
      <w:tr>
        <w:trPr>
          <w:trHeight w:val="212"/>
        </w:trPr>
        <w:tc>
          <w:tcPr>
            <w:tcW w:w="2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48"/>
        </w:trPr>
        <w:tc>
          <w:tcPr>
            <w:tcW w:w="20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Petro Travel Plaza Holdings</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3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LLC</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8,526</w:t>
            </w:r>
          </w:p>
        </w:tc>
      </w:tr>
      <w:tr>
        <w:trPr>
          <w:trHeight w:val="219"/>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18-19 West, LLC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168"/>
        </w:trPr>
        <w:tc>
          <w:tcPr>
            <w:tcW w:w="20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TRCC/Rock Outlet Center,</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32"/>
        </w:trPr>
        <w:tc>
          <w:tcPr>
            <w:tcW w:w="202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r>
      <w:tr>
        <w:trPr>
          <w:trHeight w:val="219"/>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TRC-MRC 1, LLC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TRC-MRC 2, LLC</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19"/>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TRC-MRC 3 LLC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TRC-MRC 4, LLC</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9"/>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TRC-MRC 5, LLC</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190,331</w:t>
            </w:r>
          </w:p>
        </w:tc>
        <w:tc>
          <w:tcPr>
            <w:tcW w:w="160" w:type="dxa"/>
            <w:vAlign w:val="bottom"/>
            <w:tcBorders>
              <w:top w:val="single" w:sz="8" w:color="CCEEFF"/>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7,752</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Centennial Founders, LLC</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Consolidated</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0" w:right="280"/>
        <w:spacing w:after="0" w:line="208" w:lineRule="auto"/>
        <w:tabs>
          <w:tab w:leader="none" w:pos="99"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Revenues for TRCC/Rock Outlet Center are presented net of non-cash tenant allowance amortization of $1.3 million, $1.3 million and $1.2 million for the years ended December 31, 2024, 2023 and 2022, respectively.</w:t>
      </w:r>
    </w:p>
    <w:p>
      <w:pPr>
        <w:ind w:left="100" w:hanging="80"/>
        <w:spacing w:after="0" w:line="210" w:lineRule="auto"/>
        <w:tabs>
          <w:tab w:leader="none" w:pos="10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TRC-DP1, LLC did not have any operating activities during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08" w:name="page109"/>
    <w:bookmarkEnd w:id="108"/>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and Chief Accounting Officer, Robert Velasquez, was appointed the treasurer of TCWD in February 2025.</w:t>
      </w:r>
    </w:p>
    <w:p>
      <w:pPr>
        <w:spacing w:after="0" w:line="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5,487 acres of land, or 15,547 acre-feet of water, subject to SWP allocations. The Company's Executive Vice President and Chief Operating Officer, Allen Lyda, is one of nine directors at WRMWSD. As of December 31, 2024 and 2023, the Company paid $5,483,000 and $4,492,000 for these water contracts and related costs, respectively.</w:t>
      </w:r>
    </w:p>
    <w:p>
      <w:pPr>
        <w:spacing w:after="0" w:line="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 2024 the Company entered into a consulting services agreement with Mr. Bielli for the provision of strategic counsel to the Board and the current CEO upon Mr. Bielli’s retirement. The consulting agreement is for a term of one year, commencing April 1, 2025 and ending March 31, 2026. Compensation for Mr. Bielli’s consulting services is $85,000 per month. Mr. Bielli will also be reimbursed for normal and customary expenses incurred in connection with providing the services.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240"/>
          </w:cols>
          <w:pgMar w:left="320" w:top="957" w:right="339" w:bottom="1440" w:gutter="0" w:footer="0" w:header="0"/>
        </w:sectPr>
      </w:pPr>
    </w:p>
    <w:bookmarkStart w:id="109" w:name="page110"/>
    <w:bookmarkEnd w:id="109"/>
    <w:p>
      <w:pPr>
        <w:spacing w:after="0" w:line="205"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1"/>
          <w:szCs w:val="21"/>
          <w:b w:val="1"/>
          <w:bCs w:val="1"/>
          <w:color w:val="auto"/>
        </w:rPr>
        <w:t>TEJON RANCH CO.</w:t>
      </w:r>
    </w:p>
    <w:p>
      <w:pPr>
        <w:spacing w:after="0" w:line="248"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1"/>
          <w:szCs w:val="21"/>
          <w:b w:val="1"/>
          <w:bCs w:val="1"/>
          <w:color w:val="auto"/>
        </w:rPr>
        <w:t>AMENDED AND RESTATED INSIDER TRADING POLICY (amended and restated as of</w:t>
      </w:r>
    </w:p>
    <w:p>
      <w:pPr>
        <w:spacing w:after="0" w:line="16"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1"/>
          <w:szCs w:val="21"/>
          <w:b w:val="1"/>
          <w:bCs w:val="1"/>
          <w:color w:val="auto"/>
        </w:rPr>
        <w:t>March 13, 2012)</w:t>
      </w:r>
      <w:r>
        <w:rPr>
          <w:rFonts w:ascii="Times New Roman" w:cs="Times New Roman" w:eastAsia="Times New Roman" w:hAnsi="Times New Roman"/>
          <w:sz w:val="26"/>
          <w:szCs w:val="26"/>
          <w:b w:val="1"/>
          <w:bCs w:val="1"/>
          <w:color w:val="auto"/>
          <w:vertAlign w:val="superscript"/>
        </w:rPr>
        <w:t>1</w:t>
      </w:r>
    </w:p>
    <w:p>
      <w:pPr>
        <w:spacing w:after="0" w:line="178" w:lineRule="exact"/>
        <w:rPr>
          <w:sz w:val="20"/>
          <w:szCs w:val="20"/>
          <w:color w:val="auto"/>
        </w:rPr>
      </w:pPr>
    </w:p>
    <w:p>
      <w:pPr>
        <w:jc w:val="both"/>
        <w:ind w:left="77" w:right="20" w:firstLine="1238"/>
        <w:spacing w:after="0" w:line="258"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Tejon Ranch Co. (including its subsidiaries, “</w:t>
      </w:r>
      <w:r>
        <w:rPr>
          <w:rFonts w:ascii="Times New Roman" w:cs="Times New Roman" w:eastAsia="Times New Roman" w:hAnsi="Times New Roman"/>
          <w:sz w:val="21"/>
          <w:szCs w:val="21"/>
          <w:b w:val="1"/>
          <w:bCs w:val="1"/>
          <w:color w:val="auto"/>
        </w:rPr>
        <w:t>Tejon</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1"/>
          <w:szCs w:val="21"/>
          <w:color w:val="auto"/>
        </w:rPr>
        <w:t>”) has adopted this Amended and Restated Insider Trading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regarding trading in securities by its directors, officers, employees, and consultants.</w:t>
      </w:r>
    </w:p>
    <w:p>
      <w:pPr>
        <w:spacing w:after="0" w:line="218" w:lineRule="exact"/>
        <w:rPr>
          <w:sz w:val="20"/>
          <w:szCs w:val="20"/>
          <w:color w:val="auto"/>
        </w:rPr>
      </w:pPr>
    </w:p>
    <w:p>
      <w:pPr>
        <w:jc w:val="both"/>
        <w:ind w:left="77" w:firstLine="1238"/>
        <w:spacing w:after="0" w:line="248" w:lineRule="auto"/>
        <w:rPr>
          <w:sz w:val="20"/>
          <w:szCs w:val="20"/>
          <w:color w:val="auto"/>
        </w:rPr>
      </w:pPr>
      <w:r>
        <w:rPr>
          <w:rFonts w:ascii="Times New Roman" w:cs="Times New Roman" w:eastAsia="Times New Roman" w:hAnsi="Times New Roman"/>
          <w:sz w:val="21"/>
          <w:szCs w:val="21"/>
          <w:color w:val="auto"/>
        </w:rPr>
        <w:t>Federal and state insider trading laws prohibit buying, selling or making other transfers of securities by persons who have material information that is not generally known or available to the public. These laws also prohibit persons who are aware of such material nonpublic information from disclosing this information to others who may trade. The Securities and Exchange Commission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the New York Stock Exchange (“</w:t>
      </w:r>
      <w:r>
        <w:rPr>
          <w:rFonts w:ascii="Times New Roman" w:cs="Times New Roman" w:eastAsia="Times New Roman" w:hAnsi="Times New Roman"/>
          <w:sz w:val="21"/>
          <w:szCs w:val="21"/>
          <w:b w:val="1"/>
          <w:bCs w:val="1"/>
          <w:color w:val="auto"/>
        </w:rPr>
        <w:t>NYSE</w:t>
      </w:r>
      <w:r>
        <w:rPr>
          <w:rFonts w:ascii="Times New Roman" w:cs="Times New Roman" w:eastAsia="Times New Roman" w:hAnsi="Times New Roman"/>
          <w:sz w:val="21"/>
          <w:szCs w:val="21"/>
          <w:color w:val="auto"/>
        </w:rPr>
        <w:t>”) and the United States Attorney’s Office have been vigorously pursuing violations of insider trading laws. If you violate the federal insider trading laws, you may have to pay civil fines of up to three times the profit gained or loss avoided by such trading, as well as criminal fines of up to $5,000,000. You may also have to serve a jail sentence of up to twenty years. In addition, Tejon may face civil penalties of up to the greater of $1.425 million, subject to adjustment for inflation, and three times the profit gained or loss avoided as a result of your insider trading violations, as well as criminal fines of up to $25,000,000.</w:t>
      </w:r>
    </w:p>
    <w:p>
      <w:pPr>
        <w:spacing w:after="0" w:line="217" w:lineRule="exact"/>
        <w:rPr>
          <w:sz w:val="20"/>
          <w:szCs w:val="20"/>
          <w:color w:val="auto"/>
        </w:rPr>
      </w:pPr>
    </w:p>
    <w:p>
      <w:pPr>
        <w:jc w:val="both"/>
        <w:ind w:left="77" w:firstLine="1238"/>
        <w:spacing w:after="0" w:line="262" w:lineRule="auto"/>
        <w:rPr>
          <w:sz w:val="20"/>
          <w:szCs w:val="20"/>
          <w:color w:val="auto"/>
        </w:rPr>
      </w:pPr>
      <w:r>
        <w:rPr>
          <w:rFonts w:ascii="Times New Roman" w:cs="Times New Roman" w:eastAsia="Times New Roman" w:hAnsi="Times New Roman"/>
          <w:sz w:val="21"/>
          <w:szCs w:val="21"/>
          <w:color w:val="auto"/>
        </w:rPr>
        <w:t>In addition, if an employee of Tejon violates this Policy, Tejon-imposed sanctions, including dismissal for cause, could result. Of course, any of the above consequences, even an SEC investigation that does not result in prosecution, can tarnish one’s reputation and irreparably damage a career.</w:t>
      </w:r>
    </w:p>
    <w:p>
      <w:pPr>
        <w:spacing w:after="0" w:line="202" w:lineRule="exact"/>
        <w:rPr>
          <w:sz w:val="20"/>
          <w:szCs w:val="20"/>
          <w:color w:val="auto"/>
        </w:rPr>
      </w:pPr>
    </w:p>
    <w:p>
      <w:pPr>
        <w:jc w:val="both"/>
        <w:ind w:left="77" w:firstLine="1238"/>
        <w:spacing w:after="0" w:line="256" w:lineRule="auto"/>
        <w:rPr>
          <w:sz w:val="20"/>
          <w:szCs w:val="20"/>
          <w:color w:val="auto"/>
        </w:rPr>
      </w:pPr>
      <w:r>
        <w:rPr>
          <w:rFonts w:ascii="Times New Roman" w:cs="Times New Roman" w:eastAsia="Times New Roman" w:hAnsi="Times New Roman"/>
          <w:sz w:val="21"/>
          <w:szCs w:val="21"/>
          <w:color w:val="auto"/>
        </w:rPr>
        <w:t>Tejon has adopted this Policy to reduce the risk of violations of the securities laws on the part of directors, officers, employees and consultants of Tejon and to avoid situations, which could damage its reputation for integrity and ethical conduct – an important corporate asset which we have established over the years. You are responsible for seeing that you do not violate federal or state securities laws or this Policy.</w:t>
      </w:r>
    </w:p>
    <w:p>
      <w:pPr>
        <w:spacing w:after="0" w:line="194" w:lineRule="exact"/>
        <w:rPr>
          <w:sz w:val="20"/>
          <w:szCs w:val="20"/>
          <w:color w:val="auto"/>
        </w:rPr>
      </w:pPr>
    </w:p>
    <w:p>
      <w:pPr>
        <w:jc w:val="both"/>
        <w:ind w:left="77" w:firstLine="1238"/>
        <w:spacing w:after="0" w:line="263" w:lineRule="auto"/>
        <w:rPr>
          <w:sz w:val="20"/>
          <w:szCs w:val="20"/>
          <w:color w:val="auto"/>
        </w:rPr>
      </w:pPr>
      <w:r>
        <w:rPr>
          <w:rFonts w:ascii="Times New Roman" w:cs="Times New Roman" w:eastAsia="Times New Roman" w:hAnsi="Times New Roman"/>
          <w:sz w:val="20"/>
          <w:szCs w:val="20"/>
          <w:color w:val="auto"/>
        </w:rPr>
        <w:t>Because the laws in this area are complex, it is important that you understand the breadth of activities that constitute illegal insider trading or may otherwise be prohibited. This Policy is more restrictive than the law in certain areas and should be read carefully and complied with fully. All directors, officers, employees and consultants are subject to the terms of this Policy, as well as</w:t>
      </w:r>
    </w:p>
    <w:p>
      <w:pPr>
        <w:spacing w:after="0" w:line="2" w:lineRule="exact"/>
        <w:rPr>
          <w:sz w:val="20"/>
          <w:szCs w:val="20"/>
          <w:color w:val="auto"/>
        </w:rPr>
      </w:pPr>
    </w:p>
    <w:p>
      <w:pPr>
        <w:jc w:val="both"/>
        <w:ind w:left="77" w:firstLine="9"/>
        <w:spacing w:after="0" w:line="251" w:lineRule="auto"/>
        <w:tabs>
          <w:tab w:leader="none" w:pos="38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their family members and others living in their household (other than household employees) (“</w:t>
      </w:r>
      <w:r>
        <w:rPr>
          <w:rFonts w:ascii="Times New Roman" w:cs="Times New Roman" w:eastAsia="Times New Roman" w:hAnsi="Times New Roman"/>
          <w:sz w:val="21"/>
          <w:szCs w:val="21"/>
          <w:b w:val="1"/>
          <w:bCs w:val="1"/>
          <w:color w:val="auto"/>
        </w:rPr>
        <w:t>Family Members</w:t>
      </w:r>
      <w:r>
        <w:rPr>
          <w:rFonts w:ascii="Times New Roman" w:cs="Times New Roman" w:eastAsia="Times New Roman" w:hAnsi="Times New Roman"/>
          <w:sz w:val="21"/>
          <w:szCs w:val="21"/>
          <w:color w:val="auto"/>
        </w:rPr>
        <w:t>”), and (2) any corporations or other business entities controlled or managed by such persons, and any trusts for which such persons are the trustee or have a beneficial pecuniary interest (such entities being referred to herein as “</w:t>
      </w:r>
      <w:r>
        <w:rPr>
          <w:rFonts w:ascii="Times New Roman" w:cs="Times New Roman" w:eastAsia="Times New Roman" w:hAnsi="Times New Roman"/>
          <w:sz w:val="21"/>
          <w:szCs w:val="21"/>
          <w:b w:val="1"/>
          <w:bCs w:val="1"/>
          <w:color w:val="auto"/>
        </w:rPr>
        <w:t>Controlled Entities</w:t>
      </w:r>
      <w:r>
        <w:rPr>
          <w:rFonts w:ascii="Times New Roman" w:cs="Times New Roman" w:eastAsia="Times New Roman" w:hAnsi="Times New Roman"/>
          <w:sz w:val="21"/>
          <w:szCs w:val="21"/>
          <w:color w:val="auto"/>
        </w:rPr>
        <w:t>”),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5716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 w:right="580" w:firstLine="3"/>
        <w:spacing w:after="0" w:line="207" w:lineRule="auto"/>
        <w:tabs>
          <w:tab w:leader="none" w:pos="91" w:val="left"/>
        </w:tabs>
        <w:numPr>
          <w:ilvl w:val="0"/>
          <w:numId w:val="70"/>
        </w:numPr>
        <w:rPr>
          <w:rFonts w:ascii="Calibri" w:cs="Calibri" w:eastAsia="Calibri" w:hAnsi="Calibri"/>
          <w:sz w:val="22"/>
          <w:szCs w:val="22"/>
          <w:color w:val="auto"/>
          <w:vertAlign w:val="superscript"/>
        </w:rPr>
      </w:pPr>
      <w:r>
        <w:rPr>
          <w:rFonts w:ascii="Calibri" w:cs="Calibri" w:eastAsia="Calibri" w:hAnsi="Calibri"/>
          <w:sz w:val="17"/>
          <w:szCs w:val="17"/>
          <w:color w:val="auto"/>
        </w:rPr>
        <w:t>Contact informaton for the General Counsel has subsequently been updated; the contact informaton for the Chief Financial Ofcer has subsequently been updated.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6"/>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197"/>
          </w:cols>
          <w:pgMar w:left="323" w:top="1440" w:right="379" w:bottom="1440" w:gutter="0" w:footer="0" w:header="0"/>
        </w:sectPr>
      </w:pPr>
    </w:p>
    <w:bookmarkStart w:id="110" w:name="page111"/>
    <w:bookmarkEnd w:id="110"/>
    <w:p>
      <w:pPr>
        <w:spacing w:after="0" w:line="140" w:lineRule="exact"/>
        <w:rPr>
          <w:sz w:val="20"/>
          <w:szCs w:val="20"/>
          <w:color w:val="auto"/>
        </w:rPr>
      </w:pPr>
    </w:p>
    <w:p>
      <w:pPr>
        <w:jc w:val="both"/>
        <w:ind w:right="20" w:firstLine="1238"/>
        <w:spacing w:after="0" w:line="264" w:lineRule="auto"/>
        <w:rPr>
          <w:sz w:val="20"/>
          <w:szCs w:val="20"/>
          <w:color w:val="auto"/>
        </w:rPr>
      </w:pPr>
      <w:r>
        <w:rPr>
          <w:rFonts w:ascii="Times New Roman" w:cs="Times New Roman" w:eastAsia="Times New Roman" w:hAnsi="Times New Roman"/>
          <w:sz w:val="21"/>
          <w:szCs w:val="21"/>
          <w:b w:val="1"/>
          <w:bCs w:val="1"/>
          <w:color w:val="auto"/>
        </w:rPr>
        <w:t>If you have any questions about whether or not you are permitted to trade under this Policy, contact Tejon’s General Counsel at (661) 663-4230 or mhouston@tejonranch.com, or Tejon’s Senior Vice President, Chief Financial Officer (referred herein as the “Chief Financial Officer” at (661) 663-4220 or rvelasquez@tejonranch.com</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340" w:hanging="331"/>
        <w:spacing w:after="0"/>
        <w:tabs>
          <w:tab w:leader="none" w:pos="34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TRADING</w:t>
      </w:r>
    </w:p>
    <w:p>
      <w:pPr>
        <w:spacing w:after="0" w:line="261"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  Company Policy.</w:t>
      </w:r>
    </w:p>
    <w:p>
      <w:pPr>
        <w:spacing w:after="0" w:line="252" w:lineRule="exact"/>
        <w:rPr>
          <w:rFonts w:ascii="Times New Roman" w:cs="Times New Roman" w:eastAsia="Times New Roman" w:hAnsi="Times New Roman"/>
          <w:sz w:val="21"/>
          <w:szCs w:val="21"/>
          <w:b w:val="1"/>
          <w:bCs w:val="1"/>
          <w:color w:val="auto"/>
        </w:rPr>
      </w:pPr>
    </w:p>
    <w:p>
      <w:pPr>
        <w:jc w:val="both"/>
        <w:ind w:firstLine="1247"/>
        <w:spacing w:after="0" w:line="256" w:lineRule="auto"/>
        <w:tabs>
          <w:tab w:leader="none" w:pos="1458"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trade in the stock or other securities of Tejon or any other company while you are aware of material nonpublic information about that company. This policy against “insider trading” applies to trading in Tejon securities, as well as to trading in the securities of other companies, such as our customers or suppliers or firms with which the Company may be negotiating a major transaction.</w:t>
      </w:r>
    </w:p>
    <w:p>
      <w:pPr>
        <w:spacing w:after="0" w:line="207" w:lineRule="exact"/>
        <w:rPr>
          <w:rFonts w:ascii="Times New Roman" w:cs="Times New Roman" w:eastAsia="Times New Roman" w:hAnsi="Times New Roman"/>
          <w:sz w:val="21"/>
          <w:szCs w:val="21"/>
          <w:color w:val="auto"/>
        </w:rPr>
      </w:pPr>
    </w:p>
    <w:p>
      <w:pPr>
        <w:jc w:val="both"/>
        <w:ind w:firstLine="1247"/>
        <w:spacing w:after="0" w:line="262" w:lineRule="auto"/>
        <w:tabs>
          <w:tab w:leader="none" w:pos="1458"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convey material nonpublic information about Tejon or any other company to others or suggest that another person purchase or sell any company’s securities while you are aware of material nonpublic information about that company. These practices are known as “tipping,” and also violate the securities laws and can result in the same civil and criminal penalties that apply if you engage in insider trading directly, whether or not you receive any money or derive any benefit from another’s actions. This policy against “tipping” applies to information about Tejon and its securities, as well as to information about other companies. Persons with whom you have a history, pattern or practice of sharing confidences—such as family members, close friends and financial and personal counselors—may be presumed to act on the basis of information known to you; therefore, special care should be taken so that material nonpublic information is not disclosed to such persons. This policy does not restrict legitimate business communications to Company personnel who require the information in order to perform their business duties. Material nonpublic information, however, should not be disclosed to persons outside the Company unless you are specifically authorized to disclose such information and the person receiving the information has agreed, in writing, if appropriate, to keep the information confidential.</w:t>
      </w:r>
    </w:p>
    <w:p>
      <w:pPr>
        <w:spacing w:after="0" w:line="203" w:lineRule="exact"/>
        <w:rPr>
          <w:rFonts w:ascii="Times New Roman" w:cs="Times New Roman" w:eastAsia="Times New Roman" w:hAnsi="Times New Roman"/>
          <w:sz w:val="20"/>
          <w:szCs w:val="20"/>
          <w:color w:val="auto"/>
        </w:rPr>
      </w:pPr>
    </w:p>
    <w:p>
      <w:pPr>
        <w:jc w:val="both"/>
        <w:ind w:firstLine="1247"/>
        <w:spacing w:after="0" w:line="249" w:lineRule="auto"/>
        <w:tabs>
          <w:tab w:leader="none" w:pos="1473"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directors, officers, employees and consultants must maintain the confidentiality of Company information for competitive, security and other business reasons, as well as to comply with securities laws. All information you learn about Tejon or its business plans is potentially nonpublic information until we publicly disclose it. You should treat this information as confidential and proprietary to the Company. Accordingly, you may not disclose it to others, such as family members, other relatives, or business or social acquaintances, and you are expressly prohibited from disclosing any information concerning the Company to, or participating in, so-called “expert networks” (i.e., organizations that provide specialized information and research services to the outsiders, such as hedge funds and mutual funds). 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w:t>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120"/>
          </w:cols>
          <w:pgMar w:left="400" w:top="1440" w:right="379" w:bottom="1440" w:gutter="0" w:footer="0" w:header="0"/>
        </w:sectPr>
      </w:pPr>
    </w:p>
    <w:bookmarkStart w:id="111" w:name="page112"/>
    <w:bookmarkEnd w:id="111"/>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accordance with the Company’s Regulation FD Policy, which is titled “Guidelines for Public Disclosures and Communications with the Investment Community.” If you receive inquiries of this nature, refer them to the Chief Financial Officer.</w:t>
      </w:r>
    </w:p>
    <w:p>
      <w:pPr>
        <w:spacing w:after="0" w:line="19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The foregoing restrictions apply to all directors, officers, employees and consultants, and to their Family Members and Controlled Entities. There is no exception for small transactions that may seem necessary or justifiable for independent reasons, such as the need to raise money for an emergency expenditure.</w:t>
      </w:r>
    </w:p>
    <w:p>
      <w:pPr>
        <w:spacing w:after="0" w:line="194" w:lineRule="exact"/>
        <w:rPr>
          <w:sz w:val="20"/>
          <w:szCs w:val="20"/>
          <w:color w:val="auto"/>
        </w:rPr>
      </w:pPr>
    </w:p>
    <w:p>
      <w:pPr>
        <w:ind w:right="3320" w:firstLine="620"/>
        <w:spacing w:after="0" w:line="256" w:lineRule="auto"/>
        <w:rPr>
          <w:sz w:val="20"/>
          <w:szCs w:val="20"/>
          <w:color w:val="auto"/>
        </w:rPr>
      </w:pPr>
      <w:r>
        <w:rPr>
          <w:rFonts w:ascii="Times New Roman" w:cs="Times New Roman" w:eastAsia="Times New Roman" w:hAnsi="Times New Roman"/>
          <w:sz w:val="21"/>
          <w:szCs w:val="21"/>
          <w:color w:val="auto"/>
        </w:rPr>
        <w:t>For purposes of this Policy, references to “trading” and “transactions” includes, among other things:</w:t>
      </w:r>
    </w:p>
    <w:p>
      <w:pPr>
        <w:spacing w:after="0" w:line="78" w:lineRule="exact"/>
        <w:rPr>
          <w:sz w:val="20"/>
          <w:szCs w:val="20"/>
          <w:color w:val="auto"/>
        </w:rPr>
      </w:pPr>
    </w:p>
    <w:p>
      <w:pPr>
        <w:ind w:left="1160" w:hanging="309"/>
        <w:spacing w:after="0"/>
        <w:tabs>
          <w:tab w:leader="none" w:pos="1160" w:val="left"/>
        </w:tabs>
        <w:numPr>
          <w:ilvl w:val="0"/>
          <w:numId w:val="72"/>
        </w:numPr>
        <w:rPr>
          <w:rFonts w:ascii="Calibri" w:cs="Calibri" w:eastAsia="Calibri" w:hAnsi="Calibri"/>
          <w:sz w:val="21"/>
          <w:szCs w:val="21"/>
          <w:color w:val="auto"/>
        </w:rPr>
      </w:pPr>
      <w:r>
        <w:rPr>
          <w:rFonts w:ascii="Times New Roman" w:cs="Times New Roman" w:eastAsia="Times New Roman" w:hAnsi="Times New Roman"/>
          <w:sz w:val="21"/>
          <w:szCs w:val="21"/>
          <w:color w:val="auto"/>
        </w:rPr>
        <w:t>purchases and sales of Tejon securities in public markets;</w:t>
      </w:r>
    </w:p>
    <w:p>
      <w:pPr>
        <w:spacing w:after="0" w:line="117" w:lineRule="exact"/>
        <w:rPr>
          <w:rFonts w:ascii="Calibri" w:cs="Calibri" w:eastAsia="Calibri" w:hAnsi="Calibri"/>
          <w:sz w:val="21"/>
          <w:szCs w:val="21"/>
          <w:color w:val="auto"/>
        </w:rPr>
      </w:pPr>
    </w:p>
    <w:p>
      <w:pPr>
        <w:ind w:left="1160" w:hanging="309"/>
        <w:spacing w:after="0"/>
        <w:tabs>
          <w:tab w:leader="none" w:pos="1160" w:val="left"/>
        </w:tabs>
        <w:numPr>
          <w:ilvl w:val="0"/>
          <w:numId w:val="72"/>
        </w:numPr>
        <w:rPr>
          <w:rFonts w:ascii="Calibri" w:cs="Calibri" w:eastAsia="Calibri" w:hAnsi="Calibri"/>
          <w:sz w:val="19"/>
          <w:szCs w:val="19"/>
          <w:color w:val="auto"/>
        </w:rPr>
      </w:pPr>
      <w:r>
        <w:rPr>
          <w:rFonts w:ascii="Times New Roman" w:cs="Times New Roman" w:eastAsia="Times New Roman" w:hAnsi="Times New Roman"/>
          <w:sz w:val="21"/>
          <w:szCs w:val="21"/>
          <w:color w:val="auto"/>
        </w:rPr>
        <w:t>sales of Tejon securities obtained through the exercise of employee stock options granted by the Company;</w:t>
      </w:r>
    </w:p>
    <w:p>
      <w:pPr>
        <w:spacing w:after="0" w:line="113" w:lineRule="exact"/>
        <w:rPr>
          <w:rFonts w:ascii="Calibri" w:cs="Calibri" w:eastAsia="Calibri" w:hAnsi="Calibri"/>
          <w:sz w:val="19"/>
          <w:szCs w:val="19"/>
          <w:color w:val="auto"/>
        </w:rPr>
      </w:pPr>
    </w:p>
    <w:p>
      <w:pPr>
        <w:ind w:left="1160" w:hanging="309"/>
        <w:spacing w:after="0"/>
        <w:tabs>
          <w:tab w:leader="none" w:pos="1160" w:val="left"/>
        </w:tabs>
        <w:numPr>
          <w:ilvl w:val="0"/>
          <w:numId w:val="72"/>
        </w:numPr>
        <w:rPr>
          <w:rFonts w:ascii="Calibri" w:cs="Calibri" w:eastAsia="Calibri" w:hAnsi="Calibri"/>
          <w:sz w:val="21"/>
          <w:szCs w:val="21"/>
          <w:color w:val="auto"/>
        </w:rPr>
      </w:pPr>
      <w:r>
        <w:rPr>
          <w:rFonts w:ascii="Times New Roman" w:cs="Times New Roman" w:eastAsia="Times New Roman" w:hAnsi="Times New Roman"/>
          <w:sz w:val="21"/>
          <w:szCs w:val="21"/>
          <w:color w:val="auto"/>
        </w:rPr>
        <w:t>making gifts of Company securities (including charitable donations); or</w:t>
      </w:r>
    </w:p>
    <w:p>
      <w:pPr>
        <w:spacing w:after="0" w:line="130" w:lineRule="exact"/>
        <w:rPr>
          <w:rFonts w:ascii="Calibri" w:cs="Calibri" w:eastAsia="Calibri" w:hAnsi="Calibri"/>
          <w:sz w:val="21"/>
          <w:szCs w:val="21"/>
          <w:color w:val="auto"/>
        </w:rPr>
      </w:pPr>
    </w:p>
    <w:p>
      <w:pPr>
        <w:ind w:left="1160" w:hanging="309"/>
        <w:spacing w:after="0"/>
        <w:tabs>
          <w:tab w:leader="none" w:pos="1160" w:val="left"/>
        </w:tabs>
        <w:numPr>
          <w:ilvl w:val="0"/>
          <w:numId w:val="72"/>
        </w:numPr>
        <w:rPr>
          <w:rFonts w:ascii="Calibri" w:cs="Calibri" w:eastAsia="Calibri" w:hAnsi="Calibri"/>
          <w:sz w:val="19"/>
          <w:szCs w:val="19"/>
          <w:color w:val="auto"/>
        </w:rPr>
      </w:pPr>
      <w:r>
        <w:rPr>
          <w:rFonts w:ascii="Times New Roman" w:cs="Times New Roman" w:eastAsia="Times New Roman" w:hAnsi="Times New Roman"/>
          <w:sz w:val="21"/>
          <w:szCs w:val="21"/>
          <w:color w:val="auto"/>
        </w:rPr>
        <w:t>using Company securities to secure a loan.</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Conversely, references to “trading” and “transactions” do not include:</w:t>
      </w:r>
    </w:p>
    <w:p>
      <w:pPr>
        <w:spacing w:after="0" w:line="119" w:lineRule="exact"/>
        <w:rPr>
          <w:sz w:val="20"/>
          <w:szCs w:val="20"/>
          <w:color w:val="auto"/>
        </w:rPr>
      </w:pPr>
    </w:p>
    <w:p>
      <w:pPr>
        <w:ind w:left="1160" w:hanging="309"/>
        <w:spacing w:after="0"/>
        <w:tabs>
          <w:tab w:leader="none" w:pos="1160" w:val="left"/>
        </w:tabs>
        <w:numPr>
          <w:ilvl w:val="0"/>
          <w:numId w:val="73"/>
        </w:numPr>
        <w:rPr>
          <w:rFonts w:ascii="Calibri" w:cs="Calibri" w:eastAsia="Calibri" w:hAnsi="Calibri"/>
          <w:sz w:val="19"/>
          <w:szCs w:val="19"/>
          <w:color w:val="auto"/>
        </w:rPr>
      </w:pPr>
      <w:r>
        <w:rPr>
          <w:rFonts w:ascii="Times New Roman" w:cs="Times New Roman" w:eastAsia="Times New Roman" w:hAnsi="Times New Roman"/>
          <w:sz w:val="21"/>
          <w:szCs w:val="21"/>
          <w:color w:val="auto"/>
        </w:rPr>
        <w:t>the exercise of Company stock options if no shares are to be sold or if there is a “net exercise” (as defined below);</w:t>
      </w:r>
    </w:p>
    <w:p>
      <w:pPr>
        <w:spacing w:after="0" w:line="113" w:lineRule="exact"/>
        <w:rPr>
          <w:rFonts w:ascii="Calibri" w:cs="Calibri" w:eastAsia="Calibri" w:hAnsi="Calibri"/>
          <w:sz w:val="19"/>
          <w:szCs w:val="19"/>
          <w:color w:val="auto"/>
        </w:rPr>
      </w:pPr>
    </w:p>
    <w:p>
      <w:pPr>
        <w:ind w:left="1160" w:hanging="309"/>
        <w:spacing w:after="0"/>
        <w:tabs>
          <w:tab w:leader="none" w:pos="1160" w:val="left"/>
        </w:tabs>
        <w:numPr>
          <w:ilvl w:val="0"/>
          <w:numId w:val="73"/>
        </w:numPr>
        <w:rPr>
          <w:rFonts w:ascii="Calibri" w:cs="Calibri" w:eastAsia="Calibri" w:hAnsi="Calibri"/>
          <w:sz w:val="21"/>
          <w:szCs w:val="21"/>
          <w:color w:val="auto"/>
        </w:rPr>
      </w:pPr>
      <w:r>
        <w:rPr>
          <w:rFonts w:ascii="Times New Roman" w:cs="Times New Roman" w:eastAsia="Times New Roman" w:hAnsi="Times New Roman"/>
          <w:sz w:val="21"/>
          <w:szCs w:val="21"/>
          <w:color w:val="auto"/>
        </w:rPr>
        <w:t>the vesting of Company stock options, restricted stock or restricted stock units; or</w:t>
      </w:r>
    </w:p>
    <w:p>
      <w:pPr>
        <w:spacing w:after="0" w:line="117" w:lineRule="exact"/>
        <w:rPr>
          <w:rFonts w:ascii="Calibri" w:cs="Calibri" w:eastAsia="Calibri" w:hAnsi="Calibri"/>
          <w:sz w:val="21"/>
          <w:szCs w:val="21"/>
          <w:color w:val="auto"/>
        </w:rPr>
      </w:pPr>
    </w:p>
    <w:p>
      <w:pPr>
        <w:ind w:left="1160" w:right="220" w:hanging="309"/>
        <w:spacing w:after="0" w:line="281" w:lineRule="auto"/>
        <w:tabs>
          <w:tab w:leader="none" w:pos="1153" w:val="left"/>
        </w:tabs>
        <w:numPr>
          <w:ilvl w:val="0"/>
          <w:numId w:val="73"/>
        </w:numPr>
        <w:rPr>
          <w:rFonts w:ascii="Calibri" w:cs="Calibri" w:eastAsia="Calibri" w:hAnsi="Calibri"/>
          <w:sz w:val="22"/>
          <w:szCs w:val="22"/>
          <w:color w:val="auto"/>
        </w:rPr>
      </w:pPr>
      <w:r>
        <w:rPr>
          <w:rFonts w:ascii="Times New Roman" w:cs="Times New Roman" w:eastAsia="Times New Roman" w:hAnsi="Times New Roman"/>
          <w:sz w:val="21"/>
          <w:szCs w:val="21"/>
          <w:color w:val="auto"/>
        </w:rPr>
        <w:t>the withholding of shares to satisfy a tax withholding obligation upon the vesting of restricted stock or restricted stock units.</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Therefore, you may freely exercise your stock options, engage in “net exercises” and have the Company withhold shares to satisfy you tax obligations without violating this Policy. Note that a “net exercise” (which is permitted) is the use of the underlying shares to pay the exercise price and/or tax withholding obligations, whereas a broker-assisted cashless exercise (which is not permitted) involves the broker selling some or all of the shares underlying the option on the open market.</w:t>
      </w:r>
    </w:p>
    <w:p>
      <w:pPr>
        <w:spacing w:after="0" w:line="217" w:lineRule="exact"/>
        <w:rPr>
          <w:sz w:val="20"/>
          <w:szCs w:val="20"/>
          <w:color w:val="auto"/>
        </w:rPr>
      </w:pPr>
    </w:p>
    <w:p>
      <w:pPr>
        <w:ind w:left="1020" w:hanging="391"/>
        <w:spacing w:after="0"/>
        <w:tabs>
          <w:tab w:leader="none" w:pos="102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Material Nonpublic Information.</w:t>
      </w:r>
    </w:p>
    <w:p>
      <w:pPr>
        <w:spacing w:after="0" w:line="239" w:lineRule="exact"/>
        <w:rPr>
          <w:rFonts w:ascii="Times New Roman" w:cs="Times New Roman" w:eastAsia="Times New Roman" w:hAnsi="Times New Roman"/>
          <w:sz w:val="21"/>
          <w:szCs w:val="21"/>
          <w:b w:val="1"/>
          <w:bCs w:val="1"/>
          <w:color w:val="auto"/>
        </w:rPr>
      </w:pPr>
    </w:p>
    <w:p>
      <w:pPr>
        <w:jc w:val="both"/>
        <w:ind w:right="20" w:firstLine="1247"/>
        <w:spacing w:after="0" w:line="242" w:lineRule="auto"/>
        <w:tabs>
          <w:tab w:leader="none" w:pos="144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Nonpublic information is information that is not generally known or available to the public. We consider information to be available to the public only when (i) it has been released to the public through appropriate channels (e.g., by means of a press release or a widely disseminated statement from a senior officer); and (ii) enough time has elapsed to permit the investment market to absorb and evaluate the information. As a general rule, you should consider information nonpublic until two full trading days have elapsed following public disclosure. For example, if the Company discloses material nonpublic information before the market opens on November 5, 2012, you may not trade until November 7,</w:t>
      </w:r>
    </w:p>
    <w:p>
      <w:pPr>
        <w:spacing w:after="0" w:line="4" w:lineRule="exact"/>
        <w:rPr>
          <w:rFonts w:ascii="Times New Roman" w:cs="Times New Roman" w:eastAsia="Times New Roman" w:hAnsi="Times New Roman"/>
          <w:sz w:val="21"/>
          <w:szCs w:val="21"/>
          <w:color w:val="auto"/>
        </w:rPr>
      </w:pPr>
    </w:p>
    <w:p>
      <w:pPr>
        <w:jc w:val="both"/>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2012 (two full trading days after the Company’s release), so long as you do not have any additional material nonpublic information after such release. If, however, the Company discloses material nonpublic information after the market opens on November 5, 2012, you may</w:t>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120"/>
          </w:cols>
          <w:pgMar w:left="400" w:top="1440" w:right="379" w:bottom="1440" w:gutter="0" w:footer="0" w:header="0"/>
        </w:sectPr>
      </w:pPr>
    </w:p>
    <w:bookmarkStart w:id="112" w:name="page113"/>
    <w:bookmarkEnd w:id="112"/>
    <w:p>
      <w:pPr>
        <w:spacing w:after="0" w:line="1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1"/>
          <w:szCs w:val="21"/>
          <w:color w:val="auto"/>
        </w:rPr>
        <w:t>not trade until November 8, 2012 (two full trading days after the Company’s release), so long as you do not have any additional material nonpublic information after such release.</w:t>
      </w:r>
    </w:p>
    <w:p>
      <w:pPr>
        <w:spacing w:after="0" w:line="206" w:lineRule="exact"/>
        <w:rPr>
          <w:sz w:val="20"/>
          <w:szCs w:val="20"/>
          <w:color w:val="auto"/>
        </w:rPr>
      </w:pPr>
    </w:p>
    <w:p>
      <w:pPr>
        <w:jc w:val="both"/>
        <w:ind w:firstLine="1247"/>
        <w:spacing w:after="0" w:line="256" w:lineRule="auto"/>
        <w:tabs>
          <w:tab w:leader="none" w:pos="1445"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 Material information is any information that a reasonable investor would consider important in a decision to buy, hold or sell securities. Either positive or negative information may be material. Examples of information frequently regarded as material include:</w:t>
      </w:r>
    </w:p>
    <w:p>
      <w:pPr>
        <w:spacing w:after="0" w:line="65" w:lineRule="exact"/>
        <w:rPr>
          <w:rFonts w:ascii="Times New Roman" w:cs="Times New Roman" w:eastAsia="Times New Roman" w:hAnsi="Times New Roman"/>
          <w:sz w:val="21"/>
          <w:szCs w:val="21"/>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projections of future earnings or losses;</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21"/>
          <w:szCs w:val="21"/>
          <w:color w:val="auto"/>
        </w:rPr>
      </w:pPr>
      <w:r>
        <w:rPr>
          <w:rFonts w:ascii="Times New Roman" w:cs="Times New Roman" w:eastAsia="Times New Roman" w:hAnsi="Times New Roman"/>
          <w:sz w:val="21"/>
          <w:szCs w:val="21"/>
          <w:color w:val="auto"/>
        </w:rPr>
        <w:t>earnings, revenue or similar financial information;</w:t>
      </w:r>
    </w:p>
    <w:p>
      <w:pPr>
        <w:spacing w:after="0" w:line="117" w:lineRule="exact"/>
        <w:rPr>
          <w:rFonts w:ascii="Calibri" w:cs="Calibri" w:eastAsia="Calibri" w:hAnsi="Calibri"/>
          <w:sz w:val="21"/>
          <w:szCs w:val="21"/>
          <w:color w:val="auto"/>
        </w:rPr>
      </w:pPr>
    </w:p>
    <w:p>
      <w:pPr>
        <w:ind w:left="540" w:right="340" w:hanging="307"/>
        <w:spacing w:after="0" w:line="281" w:lineRule="auto"/>
        <w:tabs>
          <w:tab w:leader="none" w:pos="533" w:val="left"/>
        </w:tabs>
        <w:numPr>
          <w:ilvl w:val="0"/>
          <w:numId w:val="75"/>
        </w:numPr>
        <w:rPr>
          <w:rFonts w:ascii="Calibri" w:cs="Calibri" w:eastAsia="Calibri" w:hAnsi="Calibri"/>
          <w:sz w:val="22"/>
          <w:szCs w:val="22"/>
          <w:color w:val="auto"/>
        </w:rPr>
      </w:pPr>
      <w:r>
        <w:rPr>
          <w:rFonts w:ascii="Times New Roman" w:cs="Times New Roman" w:eastAsia="Times New Roman" w:hAnsi="Times New Roman"/>
          <w:sz w:val="21"/>
          <w:szCs w:val="21"/>
          <w:color w:val="auto"/>
        </w:rPr>
        <w:t>information about current, proposed or contemplated transactions (including, a merger, acquisition or tender offer), business plans, financial restructurings, or significant expansions or contractions of operations;</w:t>
      </w:r>
    </w:p>
    <w:p>
      <w:pPr>
        <w:spacing w:after="0" w:line="34" w:lineRule="exact"/>
        <w:rPr>
          <w:rFonts w:ascii="Calibri" w:cs="Calibri" w:eastAsia="Calibri" w:hAnsi="Calibri"/>
          <w:sz w:val="22"/>
          <w:szCs w:val="22"/>
          <w:color w:val="auto"/>
        </w:rPr>
      </w:pPr>
    </w:p>
    <w:p>
      <w:pPr>
        <w:ind w:left="540" w:hanging="307"/>
        <w:spacing w:after="0"/>
        <w:tabs>
          <w:tab w:leader="none" w:pos="5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sale of assets or the disposition of a subsidiary;</w:t>
      </w:r>
    </w:p>
    <w:p>
      <w:pPr>
        <w:spacing w:after="0" w:line="106" w:lineRule="exact"/>
        <w:rPr>
          <w:rFonts w:ascii="Times New Roman" w:cs="Times New Roman" w:eastAsia="Times New Roman" w:hAnsi="Times New Roman"/>
          <w:sz w:val="21"/>
          <w:szCs w:val="21"/>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any change in dividend policy or the declaration of a stock split or stock dividend;</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any offering of additional securities;</w:t>
      </w:r>
    </w:p>
    <w:p>
      <w:pPr>
        <w:spacing w:after="0" w:line="113"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extraordinary borrowings or liquidity problems;</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material defaults under agreements or actions by creditors relating to a company’s credit rating;</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21"/>
          <w:szCs w:val="21"/>
          <w:color w:val="auto"/>
        </w:rPr>
      </w:pPr>
      <w:r>
        <w:rPr>
          <w:rFonts w:ascii="Times New Roman" w:cs="Times New Roman" w:eastAsia="Times New Roman" w:hAnsi="Times New Roman"/>
          <w:sz w:val="21"/>
          <w:szCs w:val="21"/>
          <w:color w:val="auto"/>
        </w:rPr>
        <w:t>changes in management, directors or auditors;</w:t>
      </w:r>
    </w:p>
    <w:p>
      <w:pPr>
        <w:spacing w:after="0" w:line="117" w:lineRule="exact"/>
        <w:rPr>
          <w:rFonts w:ascii="Calibri" w:cs="Calibri" w:eastAsia="Calibri" w:hAnsi="Calibri"/>
          <w:sz w:val="21"/>
          <w:szCs w:val="21"/>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significant decisions regarding the development, leasing or licensing of land;</w:t>
      </w:r>
    </w:p>
    <w:p>
      <w:pPr>
        <w:spacing w:after="0" w:line="113"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major environmental incidents;</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19"/>
          <w:szCs w:val="19"/>
          <w:color w:val="auto"/>
        </w:rPr>
      </w:pPr>
      <w:r>
        <w:rPr>
          <w:rFonts w:ascii="Times New Roman" w:cs="Times New Roman" w:eastAsia="Times New Roman" w:hAnsi="Times New Roman"/>
          <w:sz w:val="21"/>
          <w:szCs w:val="21"/>
          <w:color w:val="auto"/>
        </w:rPr>
        <w:t>significant new discoveries of minerals;</w:t>
      </w:r>
    </w:p>
    <w:p>
      <w:pPr>
        <w:spacing w:after="0" w:line="126" w:lineRule="exact"/>
        <w:rPr>
          <w:rFonts w:ascii="Calibri" w:cs="Calibri" w:eastAsia="Calibri" w:hAnsi="Calibri"/>
          <w:sz w:val="19"/>
          <w:szCs w:val="19"/>
          <w:color w:val="auto"/>
        </w:rPr>
      </w:pPr>
    </w:p>
    <w:p>
      <w:pPr>
        <w:ind w:left="540" w:hanging="307"/>
        <w:spacing w:after="0"/>
        <w:tabs>
          <w:tab w:leader="none" w:pos="540" w:val="left"/>
        </w:tabs>
        <w:numPr>
          <w:ilvl w:val="0"/>
          <w:numId w:val="75"/>
        </w:numPr>
        <w:rPr>
          <w:rFonts w:ascii="Calibri" w:cs="Calibri" w:eastAsia="Calibri" w:hAnsi="Calibri"/>
          <w:sz w:val="22"/>
          <w:szCs w:val="22"/>
          <w:color w:val="auto"/>
        </w:rPr>
      </w:pPr>
      <w:r>
        <w:rPr>
          <w:rFonts w:ascii="Times New Roman" w:cs="Times New Roman" w:eastAsia="Times New Roman" w:hAnsi="Times New Roman"/>
          <w:sz w:val="21"/>
          <w:szCs w:val="21"/>
          <w:color w:val="auto"/>
        </w:rPr>
        <w:t>institution of, or developments in, major litigation, major investigations, or major regulatory actions or proceedings; and</w:t>
      </w:r>
    </w:p>
    <w:p>
      <w:pPr>
        <w:spacing w:after="0" w:line="106" w:lineRule="exact"/>
        <w:rPr>
          <w:rFonts w:ascii="Calibri" w:cs="Calibri" w:eastAsia="Calibri" w:hAnsi="Calibri"/>
          <w:sz w:val="22"/>
          <w:szCs w:val="22"/>
          <w:color w:val="auto"/>
        </w:rPr>
      </w:pPr>
    </w:p>
    <w:p>
      <w:pPr>
        <w:ind w:left="540" w:hanging="307"/>
        <w:spacing w:after="0"/>
        <w:tabs>
          <w:tab w:leader="none" w:pos="540" w:val="left"/>
        </w:tabs>
        <w:numPr>
          <w:ilvl w:val="0"/>
          <w:numId w:val="75"/>
        </w:numPr>
        <w:rPr>
          <w:rFonts w:ascii="Calibri" w:cs="Calibri" w:eastAsia="Calibri" w:hAnsi="Calibri"/>
          <w:sz w:val="21"/>
          <w:szCs w:val="21"/>
          <w:color w:val="auto"/>
        </w:rPr>
      </w:pPr>
      <w:r>
        <w:rPr>
          <w:rFonts w:ascii="Times New Roman" w:cs="Times New Roman" w:eastAsia="Times New Roman" w:hAnsi="Times New Roman"/>
          <w:sz w:val="21"/>
          <w:szCs w:val="21"/>
          <w:color w:val="auto"/>
        </w:rPr>
        <w:t>the gain or loss of a substantial customer or supplier.</w:t>
      </w:r>
    </w:p>
    <w:p>
      <w:pPr>
        <w:spacing w:after="0" w:line="259" w:lineRule="exact"/>
        <w:rPr>
          <w:sz w:val="20"/>
          <w:szCs w:val="20"/>
          <w:color w:val="auto"/>
        </w:rPr>
      </w:pPr>
    </w:p>
    <w:p>
      <w:pPr>
        <w:ind w:right="300" w:firstLine="1238"/>
        <w:spacing w:after="0" w:line="259" w:lineRule="auto"/>
        <w:rPr>
          <w:sz w:val="20"/>
          <w:szCs w:val="20"/>
          <w:color w:val="auto"/>
        </w:rPr>
      </w:pPr>
      <w:r>
        <w:rPr>
          <w:rFonts w:ascii="Times New Roman" w:cs="Times New Roman" w:eastAsia="Times New Roman" w:hAnsi="Times New Roman"/>
          <w:sz w:val="20"/>
          <w:szCs w:val="20"/>
          <w:color w:val="auto"/>
        </w:rPr>
        <w:t>The foregoing, of course, is not an exhaustive list, and any information that could reasonably affect the price of a security should be considered material. Federal and NYSE investigators will scrutinize a questionable trade after the fact with the benefit of hindsight, so you should always err on the conservative side when determining if the pertinent information is material. If you have questions regarding specific transactions, please contact the Company’s General Counsel or Chief Financial Officer.</w:t>
      </w:r>
    </w:p>
    <w:p>
      <w:pPr>
        <w:spacing w:after="0" w:line="202" w:lineRule="exact"/>
        <w:rPr>
          <w:sz w:val="20"/>
          <w:szCs w:val="20"/>
          <w:color w:val="auto"/>
        </w:rPr>
      </w:pPr>
    </w:p>
    <w:p>
      <w:pPr>
        <w:ind w:left="1240" w:right="4020" w:hanging="611"/>
        <w:spacing w:after="0" w:line="273" w:lineRule="auto"/>
        <w:tabs>
          <w:tab w:leader="none" w:pos="1024"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When a Director, Officer or Designated Employee Can Trade Tejon’s Securities.</w:t>
      </w:r>
    </w:p>
    <w:p>
      <w:pPr>
        <w:spacing w:after="0" w:line="8" w:lineRule="exact"/>
        <w:rPr>
          <w:rFonts w:ascii="Times New Roman" w:cs="Times New Roman" w:eastAsia="Times New Roman" w:hAnsi="Times New Roman"/>
          <w:sz w:val="21"/>
          <w:szCs w:val="21"/>
          <w:b w:val="1"/>
          <w:bCs w:val="1"/>
          <w:color w:val="auto"/>
        </w:rPr>
      </w:pPr>
    </w:p>
    <w:p>
      <w:pPr>
        <w:jc w:val="both"/>
        <w:ind w:firstLine="1247"/>
        <w:spacing w:after="0" w:line="252" w:lineRule="auto"/>
        <w:tabs>
          <w:tab w:leader="none" w:pos="1483"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Directors, officers and certain other employees who are so designated from time to time (such persons, “</w:t>
      </w:r>
      <w:r>
        <w:rPr>
          <w:rFonts w:ascii="Times New Roman" w:cs="Times New Roman" w:eastAsia="Times New Roman" w:hAnsi="Times New Roman"/>
          <w:sz w:val="21"/>
          <w:szCs w:val="21"/>
          <w:b w:val="1"/>
          <w:bCs w:val="1"/>
          <w:color w:val="auto"/>
        </w:rPr>
        <w:t>Restricted Persons</w:t>
      </w:r>
      <w:r>
        <w:rPr>
          <w:rFonts w:ascii="Times New Roman" w:cs="Times New Roman" w:eastAsia="Times New Roman" w:hAnsi="Times New Roman"/>
          <w:sz w:val="21"/>
          <w:szCs w:val="21"/>
          <w:color w:val="auto"/>
        </w:rPr>
        <w:t>”), as well as their Family Members and Controlled Entities are required to comply with the restrictions covered below when trading Tejon securities. Even if you are not a Restricted Person, however, following the procedures listed below may assist you in complying with this Policy.</w:t>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120"/>
          </w:cols>
          <w:pgMar w:left="400" w:top="1440" w:right="379" w:bottom="1440" w:gutter="0" w:footer="0" w:header="0"/>
        </w:sectPr>
      </w:pPr>
    </w:p>
    <w:bookmarkStart w:id="113" w:name="page114"/>
    <w:bookmarkEnd w:id="113"/>
    <w:p>
      <w:pPr>
        <w:spacing w:after="0" w:line="144" w:lineRule="exact"/>
        <w:rPr>
          <w:sz w:val="20"/>
          <w:szCs w:val="20"/>
          <w:color w:val="auto"/>
        </w:rPr>
      </w:pPr>
    </w:p>
    <w:p>
      <w:pPr>
        <w:ind w:left="1600" w:hanging="353"/>
        <w:spacing w:after="0"/>
        <w:tabs>
          <w:tab w:leader="none" w:pos="16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Window Periods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firstLine="1238"/>
        <w:spacing w:after="0" w:line="250" w:lineRule="auto"/>
        <w:rPr>
          <w:sz w:val="20"/>
          <w:szCs w:val="20"/>
          <w:color w:val="auto"/>
        </w:rPr>
      </w:pPr>
      <w:r>
        <w:rPr>
          <w:rFonts w:ascii="Times New Roman" w:cs="Times New Roman" w:eastAsia="Times New Roman" w:hAnsi="Times New Roman"/>
          <w:sz w:val="21"/>
          <w:szCs w:val="21"/>
          <w:color w:val="auto"/>
        </w:rPr>
        <w:t>Restricted Persons, including their Family Members and Controlled Ent ities, may only trade in Tejon securities from the date that is two full trading days after an earnings release to the end of business on the date that is one week before the end of each quarter (such period, the “</w:t>
      </w:r>
      <w:r>
        <w:rPr>
          <w:rFonts w:ascii="Times New Roman" w:cs="Times New Roman" w:eastAsia="Times New Roman" w:hAnsi="Times New Roman"/>
          <w:sz w:val="21"/>
          <w:szCs w:val="21"/>
          <w:b w:val="1"/>
          <w:bCs w:val="1"/>
          <w:color w:val="auto"/>
        </w:rPr>
        <w:t>Window Period</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jc w:val="both"/>
        <w:ind w:firstLine="1238"/>
        <w:spacing w:after="0" w:line="252" w:lineRule="auto"/>
        <w:rPr>
          <w:sz w:val="20"/>
          <w:szCs w:val="20"/>
          <w:color w:val="auto"/>
        </w:rPr>
      </w:pPr>
      <w:r>
        <w:rPr>
          <w:rFonts w:ascii="Times New Roman" w:cs="Times New Roman" w:eastAsia="Times New Roman" w:hAnsi="Times New Roman"/>
          <w:sz w:val="21"/>
          <w:szCs w:val="21"/>
          <w:b w:val="1"/>
          <w:bCs w:val="1"/>
          <w:color w:val="auto"/>
        </w:rPr>
        <w:t>However, even if the Window Period is open, you may not trade in Tejon securities if you are aware of material nonpublic information about Tejon. In addition, if you are subject to Tejon’s pre-clearance policy (described below), you must pre-clear transactions even if you initiate them when the Window Period is open.</w:t>
      </w:r>
    </w:p>
    <w:p>
      <w:pPr>
        <w:spacing w:after="0" w:line="210" w:lineRule="exact"/>
        <w:rPr>
          <w:sz w:val="20"/>
          <w:szCs w:val="20"/>
          <w:color w:val="auto"/>
        </w:rPr>
      </w:pPr>
    </w:p>
    <w:p>
      <w:pPr>
        <w:jc w:val="both"/>
        <w:ind w:firstLine="1238"/>
        <w:spacing w:after="0" w:line="243" w:lineRule="auto"/>
        <w:rPr>
          <w:sz w:val="20"/>
          <w:szCs w:val="20"/>
          <w:color w:val="auto"/>
        </w:rPr>
      </w:pPr>
      <w:r>
        <w:rPr>
          <w:rFonts w:ascii="Times New Roman" w:cs="Times New Roman" w:eastAsia="Times New Roman" w:hAnsi="Times New Roman"/>
          <w:sz w:val="21"/>
          <w:szCs w:val="21"/>
          <w:color w:val="auto"/>
        </w:rPr>
        <w:t>From time to time during the Window Period, Tejon may close trading due to developments (such as a significant event or transaction) that involve material nonpublic information. In such cases, the General Counsel or the Chief Financial Officer may notify particular individuals that they should not engage in any transactions involving the purchase or sale of Tejon securities, and should not disclose to others the fact that trading has been prohibited.</w:t>
      </w:r>
    </w:p>
    <w:p>
      <w:pPr>
        <w:spacing w:after="0" w:line="221"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Even if the Window Period is closed, you may exercise Tejon stock options if no shares are to be sold (or exercise a tax withholding right pursuant to which you elect to have Tejon withhold shares subject to an option to satisfy tax withholding obligations) – you may not, however, effect sales of securities issued upon the exercise of stock options (including same-day sales and cashless exercises). Generally, all pending purchase and sale orders regarding Tejon securities that may be executed while the Window Period is open must be executed or cancelled before it closes to avoid a prohibited trade.</w:t>
      </w:r>
    </w:p>
    <w:p>
      <w:pPr>
        <w:spacing w:after="0" w:line="210" w:lineRule="exact"/>
        <w:rPr>
          <w:sz w:val="20"/>
          <w:szCs w:val="20"/>
          <w:color w:val="auto"/>
        </w:rPr>
      </w:pPr>
    </w:p>
    <w:p>
      <w:pPr>
        <w:jc w:val="both"/>
        <w:ind w:right="20" w:firstLine="1238"/>
        <w:spacing w:after="0" w:line="269" w:lineRule="auto"/>
        <w:rPr>
          <w:sz w:val="20"/>
          <w:szCs w:val="20"/>
          <w:color w:val="auto"/>
        </w:rPr>
      </w:pPr>
      <w:r>
        <w:rPr>
          <w:rFonts w:ascii="Times New Roman" w:cs="Times New Roman" w:eastAsia="Times New Roman" w:hAnsi="Times New Roman"/>
          <w:sz w:val="21"/>
          <w:szCs w:val="21"/>
          <w:color w:val="auto"/>
        </w:rPr>
        <w:t>In light of these restrictions, if you expect a need to sell Tejon securities at a specific time in the future, you may wish to consider entering into a prearranged Rule 10b5-1 trading plan, as discussed below.</w:t>
      </w:r>
    </w:p>
    <w:p>
      <w:pPr>
        <w:spacing w:after="0" w:line="194" w:lineRule="exact"/>
        <w:rPr>
          <w:sz w:val="20"/>
          <w:szCs w:val="20"/>
          <w:color w:val="auto"/>
        </w:rPr>
      </w:pPr>
    </w:p>
    <w:p>
      <w:pPr>
        <w:ind w:left="1460" w:hanging="213"/>
        <w:spacing w:after="0"/>
        <w:tabs>
          <w:tab w:leader="none" w:pos="14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w:t>
      </w:r>
      <w:r>
        <w:rPr>
          <w:rFonts w:ascii="Times New Roman" w:cs="Times New Roman" w:eastAsia="Times New Roman" w:hAnsi="Times New Roman"/>
          <w:sz w:val="21"/>
          <w:szCs w:val="21"/>
          <w:color w:val="auto"/>
        </w:rPr>
        <w:t>.</w:t>
      </w:r>
    </w:p>
    <w:p>
      <w:pPr>
        <w:spacing w:after="0" w:line="248"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 xml:space="preserve">Tejon requires all Restricted Persons to contact the General Counsel or Chief Financial Officer in advance of effecting any purchase, sale or other trading of Tejon securities and to obtain prior approval of the transaction. All requests must be submitted to the General Counsel or Chief Financial Officer (or, in the case of the General Counsel, to the Chief Financial Officer, and in the case of the Chief Financial Officer to the General Counsel) at least two business days in advance of the proposed transaction. The General Counsel or Chief Financial Officer, as applicable, will then determine whether the transaction may proceed. </w:t>
      </w:r>
      <w:r>
        <w:rPr>
          <w:rFonts w:ascii="Times New Roman" w:cs="Times New Roman" w:eastAsia="Times New Roman" w:hAnsi="Times New Roman"/>
          <w:sz w:val="21"/>
          <w:szCs w:val="21"/>
          <w:b w:val="1"/>
          <w:bCs w:val="1"/>
          <w:color w:val="auto"/>
        </w:rPr>
        <w:t xml:space="preserve">This pre-clearance policy applies even if you are initiating a transaction while the Window Period is open. </w:t>
      </w:r>
      <w:r>
        <w:rPr>
          <w:rFonts w:ascii="Times New Roman" w:cs="Times New Roman" w:eastAsia="Times New Roman" w:hAnsi="Times New Roman"/>
          <w:sz w:val="21"/>
          <w:szCs w:val="21"/>
          <w:color w:val="auto"/>
        </w:rPr>
        <w:t>For purposes of clarity,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pre-clearance policy also applies to Family Members and Controlled Entities of Restricted Persons.</w:t>
      </w:r>
    </w:p>
    <w:p>
      <w:pPr>
        <w:spacing w:after="0" w:line="219" w:lineRule="exact"/>
        <w:rPr>
          <w:sz w:val="20"/>
          <w:szCs w:val="20"/>
          <w:color w:val="auto"/>
        </w:rPr>
      </w:pPr>
    </w:p>
    <w:p>
      <w:pPr>
        <w:jc w:val="both"/>
        <w:ind w:right="20" w:firstLine="1238"/>
        <w:spacing w:after="0" w:line="262" w:lineRule="auto"/>
        <w:rPr>
          <w:sz w:val="20"/>
          <w:szCs w:val="20"/>
          <w:color w:val="auto"/>
        </w:rPr>
      </w:pPr>
      <w:r>
        <w:rPr>
          <w:rFonts w:ascii="Times New Roman" w:cs="Times New Roman" w:eastAsia="Times New Roman" w:hAnsi="Times New Roman"/>
          <w:sz w:val="21"/>
          <w:szCs w:val="21"/>
          <w:color w:val="auto"/>
        </w:rPr>
        <w:t>If a transaction is approved under the pre-clearance policy, the transaction must be executed by the end of the second full trading day after the approval is obtained. Notwithstanding the foregoing, no transactions may be executed if you acquire material nonpublic</w:t>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120"/>
          </w:cols>
          <w:pgMar w:left="400" w:top="1440" w:right="379" w:bottom="1440" w:gutter="0" w:footer="0" w:header="0"/>
        </w:sectPr>
      </w:pPr>
    </w:p>
    <w:bookmarkStart w:id="114" w:name="page115"/>
    <w:bookmarkEnd w:id="114"/>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1"/>
          <w:szCs w:val="21"/>
          <w:color w:val="auto"/>
        </w:rPr>
        <w:t>information concerning Tejon during that time. If a transaction is not completed within the period described above, the transaction must be approved again before it may be executed.</w:t>
      </w:r>
    </w:p>
    <w:p>
      <w:pPr>
        <w:spacing w:after="0" w:line="206"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If a proposed transaction is not approved under the pre-clearance policy, you should refrain from initiating any transaction in Tejon securities, and you should not inform anyone within or outside of Tejon of the restriction. Any transaction under a Rule 10b5-1 trading plan (discussed below) will not require additional pre-clearance at the time of the transaction.</w:t>
      </w:r>
    </w:p>
    <w:p>
      <w:pPr>
        <w:spacing w:after="0" w:line="194" w:lineRule="exact"/>
        <w:rPr>
          <w:sz w:val="20"/>
          <w:szCs w:val="20"/>
          <w:color w:val="auto"/>
        </w:rPr>
      </w:pPr>
    </w:p>
    <w:p>
      <w:pPr>
        <w:ind w:left="1460" w:hanging="213"/>
        <w:spacing w:after="0"/>
        <w:tabs>
          <w:tab w:leader="none" w:pos="14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Rule 10b5-1 Trading Plans</w:t>
      </w:r>
      <w:r>
        <w:rPr>
          <w:rFonts w:ascii="Times New Roman" w:cs="Times New Roman" w:eastAsia="Times New Roman" w:hAnsi="Times New Roman"/>
          <w:sz w:val="21"/>
          <w:szCs w:val="21"/>
          <w:color w:val="auto"/>
        </w:rPr>
        <w:t>.</w:t>
      </w:r>
    </w:p>
    <w:p>
      <w:pPr>
        <w:spacing w:after="0" w:line="257"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Rule 10b5-1(c) under the Securities Exchange Act of 1934, as amended (the “</w:t>
      </w:r>
      <w:r>
        <w:rPr>
          <w:rFonts w:ascii="Times New Roman" w:cs="Times New Roman" w:eastAsia="Times New Roman" w:hAnsi="Times New Roman"/>
          <w:sz w:val="21"/>
          <w:szCs w:val="21"/>
          <w:b w:val="1"/>
          <w:bCs w:val="1"/>
          <w:color w:val="auto"/>
        </w:rPr>
        <w:t>1934 Act</w:t>
      </w:r>
      <w:r>
        <w:rPr>
          <w:rFonts w:ascii="Times New Roman" w:cs="Times New Roman" w:eastAsia="Times New Roman" w:hAnsi="Times New Roman"/>
          <w:sz w:val="21"/>
          <w:szCs w:val="21"/>
          <w:color w:val="auto"/>
        </w:rPr>
        <w:t>”) provides a defense from insider trading liability if trades occur pursuant to a pre- arranged trading plan that meets specified conditions. Because of the trading restrictions imposed on Restricted Persons under this Policy, the Company will allow you, if you are a Restricted Person only, to enter into a Rule 10b5-1 trading plan, provided that the plan complies with the requirements set forth below.</w:t>
      </w:r>
    </w:p>
    <w:p>
      <w:pPr>
        <w:spacing w:after="0" w:line="223"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Under Rule 10b5-1(c), if you enter into a binding contract, an instruction or a written plan that specifies the amount, price and date on which securities are to be purchased or sold, and these arrangements are established at a time when you do not possess material nonpublic information, you may claim a defense to insider trading liability if the transactions under the trading plan occur at a time when you have subsequently learned material nonpublic information. Arrangements under the rule may specify amount, price and date through a formula or may specify trading parameters which another person has discretion to administer, but you must not exercise any subsequent discretion affecting the transactions, and if your broker or any other person exercises discretion in implementing the trades, you must not influence his or her actions and he or she must not possess any material nonpublic information at the time of the trades. Trading plans can be established for a single trade or a series of trades.</w:t>
      </w:r>
    </w:p>
    <w:p>
      <w:pPr>
        <w:spacing w:after="0" w:line="200"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It is important that you properly document the details of a trading plan. Note that, in addition to the requirements of a trading plan described above, there are a number of additional procedural conditions to Rule 10b5-1(c) that must be satisfied before you can rely on a trading plan as an affirmative defense against an insider trading charge. These requirements include that you act in good faith, that you do not modify your trading instructions while you possess material nonpublic information and that you not enter into or alter a corresponding or hedg ing transaction or position. Because this rule is complex, we recommend that you work with a broker and be sure you fully understand the limitations and conditions of the rule before you establish a trading plan.</w:t>
      </w:r>
    </w:p>
    <w:p>
      <w:pPr>
        <w:spacing w:after="0" w:line="225"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Tejon requires all Rule 10b5-1 trading plans to be reviewed and approved in writing in advance by the General Counsel or the Chief Financial Officer. In addition, all amendments, modifications and terminations of an existing Rule 10b5-1 trading plan must be reviewed and approved in writing in advance by the General Counsel or the Chief Financial Officer. Rule trading 10b5-1 plans may only be adopted during an open Window Period and may not be adopted, amended or terminated when the person adopting the plan is aware of material nonpublic information.</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120"/>
          </w:cols>
          <w:pgMar w:left="400" w:top="1440" w:right="379" w:bottom="1440" w:gutter="0" w:footer="0" w:header="0"/>
        </w:sectPr>
      </w:pPr>
    </w:p>
    <w:bookmarkStart w:id="115" w:name="page116"/>
    <w:bookmarkEnd w:id="115"/>
    <w:p>
      <w:pPr>
        <w:spacing w:after="0" w:line="385" w:lineRule="exact"/>
        <w:rPr>
          <w:sz w:val="20"/>
          <w:szCs w:val="20"/>
          <w:color w:val="auto"/>
        </w:rPr>
      </w:pPr>
    </w:p>
    <w:p>
      <w:pPr>
        <w:ind w:left="1040" w:hanging="411"/>
        <w:spacing w:after="0"/>
        <w:tabs>
          <w:tab w:leader="none" w:pos="104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Special and Prohibited Transactions.</w:t>
      </w:r>
    </w:p>
    <w:p>
      <w:pPr>
        <w:spacing w:after="0" w:line="252" w:lineRule="exact"/>
        <w:rPr>
          <w:sz w:val="20"/>
          <w:szCs w:val="20"/>
          <w:color w:val="auto"/>
        </w:rPr>
      </w:pPr>
    </w:p>
    <w:p>
      <w:pPr>
        <w:jc w:val="both"/>
        <w:ind w:firstLine="1238"/>
        <w:spacing w:after="0" w:line="253" w:lineRule="auto"/>
        <w:rPr>
          <w:sz w:val="20"/>
          <w:szCs w:val="20"/>
          <w:color w:val="auto"/>
        </w:rPr>
      </w:pPr>
      <w:r>
        <w:rPr>
          <w:rFonts w:ascii="Times New Roman" w:cs="Times New Roman" w:eastAsia="Times New Roman" w:hAnsi="Times New Roman"/>
          <w:sz w:val="21"/>
          <w:szCs w:val="21"/>
          <w:color w:val="auto"/>
        </w:rPr>
        <w:t>Tejon has determined that there is a heightened legal risk and/or the appearance of improper or inappropriate conduct if persons subject to this Policy engage in certain types of transactions. Tejon therefore has adopted the following policies with respect to short term trading, short sales, publicly-traded options, hedging transactions, and pledging and trading Company securities on margin. All directors, officers, emplo yees and consultants (as well as their Family Members and Controlled Entities) must comply with the restrictions set forth below to the extent applicable:</w:t>
      </w:r>
    </w:p>
    <w:p>
      <w:pPr>
        <w:spacing w:after="0" w:line="197" w:lineRule="exact"/>
        <w:rPr>
          <w:sz w:val="20"/>
          <w:szCs w:val="20"/>
          <w:color w:val="auto"/>
        </w:rPr>
      </w:pPr>
    </w:p>
    <w:p>
      <w:pPr>
        <w:ind w:left="1600" w:hanging="353"/>
        <w:spacing w:after="0"/>
        <w:tabs>
          <w:tab w:leader="none" w:pos="16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Short-Term and Short-Swing Trading</w:t>
      </w:r>
      <w:r>
        <w:rPr>
          <w:rFonts w:ascii="Times New Roman" w:cs="Times New Roman" w:eastAsia="Times New Roman" w:hAnsi="Times New Roman"/>
          <w:sz w:val="21"/>
          <w:szCs w:val="21"/>
          <w:color w:val="auto"/>
        </w:rPr>
        <w:t>.</w:t>
      </w:r>
    </w:p>
    <w:p>
      <w:pPr>
        <w:spacing w:after="0" w:line="248"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Any director’s or officer’s short-term trading of Tejon’s securities may be distracting to that director or officer and may unduly focus him or her on Tejon’s short-term stock market performance instead of Tejon’s long-term business objectives. For these reasons, this Policy prohibits directors and officers from purchasing Tejon securities in the open market and then selling Tejon securities of the same class during the six months following the purchase (and vice versa).</w:t>
      </w:r>
    </w:p>
    <w:p>
      <w:pPr>
        <w:spacing w:after="0" w:line="203"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Further, directors, officers and greater than 10% beneficial owners of Tejon’s common stock (each, a “</w:t>
      </w:r>
      <w:r>
        <w:rPr>
          <w:rFonts w:ascii="Times New Roman" w:cs="Times New Roman" w:eastAsia="Times New Roman" w:hAnsi="Times New Roman"/>
          <w:sz w:val="21"/>
          <w:szCs w:val="21"/>
          <w:b w:val="1"/>
          <w:bCs w:val="1"/>
          <w:color w:val="auto"/>
        </w:rPr>
        <w:t>Section 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Insider</w:t>
      </w:r>
      <w:r>
        <w:rPr>
          <w:rFonts w:ascii="Times New Roman" w:cs="Times New Roman" w:eastAsia="Times New Roman" w:hAnsi="Times New Roman"/>
          <w:sz w:val="21"/>
          <w:szCs w:val="21"/>
          <w:color w:val="auto"/>
        </w:rPr>
        <w:t>”) will also be required to comply with the reporting obligations and limitations on short-swing transactions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16 of the Securities Exchange Act of 1934, as amended (the “</w:t>
      </w:r>
      <w:r>
        <w:rPr>
          <w:rFonts w:ascii="Times New Roman" w:cs="Times New Roman" w:eastAsia="Times New Roman" w:hAnsi="Times New Roman"/>
          <w:sz w:val="21"/>
          <w:szCs w:val="21"/>
          <w:b w:val="1"/>
          <w:bCs w:val="1"/>
          <w:color w:val="auto"/>
        </w:rPr>
        <w:t>1934 Act</w:t>
      </w:r>
      <w:r>
        <w:rPr>
          <w:rFonts w:ascii="Times New Roman" w:cs="Times New Roman" w:eastAsia="Times New Roman" w:hAnsi="Times New Roman"/>
          <w:sz w:val="21"/>
          <w:szCs w:val="21"/>
          <w:color w:val="auto"/>
        </w:rPr>
        <w:t>”). The practical effect of these provisions is that (a) Section 16 Insiders will be required to report transactions in Tejon securities (usually within two business days of the date of the transaction) and (b) Section 16 Insiders who purchase and sell Company securities within a six-month period will be required to disgorge all profits derived from such purchases or sales to Tejon, whether or not they had knowledge of any material nonpublic information. The Company provides separate materials to officers and directors regarding compliance with Section 16 and its related rules (see Memorandum re Overview of Section 16 Reporting Requirements, Deadlines and Liabilities).</w:t>
      </w:r>
    </w:p>
    <w:p>
      <w:pPr>
        <w:spacing w:after="0" w:line="204" w:lineRule="exact"/>
        <w:rPr>
          <w:sz w:val="20"/>
          <w:szCs w:val="20"/>
          <w:color w:val="auto"/>
        </w:rPr>
      </w:pPr>
    </w:p>
    <w:p>
      <w:pPr>
        <w:jc w:val="both"/>
        <w:ind w:right="20" w:firstLine="1247"/>
        <w:spacing w:after="0"/>
        <w:tabs>
          <w:tab w:leader="none" w:pos="145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 Sales</w:t>
      </w:r>
      <w:r>
        <w:rPr>
          <w:rFonts w:ascii="Times New Roman" w:cs="Times New Roman" w:eastAsia="Times New Roman" w:hAnsi="Times New Roman"/>
          <w:sz w:val="21"/>
          <w:szCs w:val="21"/>
          <w:color w:val="auto"/>
        </w:rPr>
        <w:t>. The federal securities laws prohibit officers and directors of public companies from engaging in short sales of those companies’ securities (i.e., the sale of a security that the seller does not own). Short sales of Tejon’s securities evidence an expectation on the part of the seller that the securities will decline in value, and therefore signal to the market that the seller has little or no confidence in Tejon or its short-term prospects. In addition, short sales may reduce the seller’s incentive to improve Tejon’s performance. For these reasons, all directors, officers, employees and consultants are prohibited from engaging in short sales of Tejon’s securities.</w:t>
      </w:r>
    </w:p>
    <w:p>
      <w:pPr>
        <w:spacing w:after="0" w:line="4" w:lineRule="exact"/>
        <w:rPr>
          <w:rFonts w:ascii="Times New Roman" w:cs="Times New Roman" w:eastAsia="Times New Roman" w:hAnsi="Times New Roman"/>
          <w:sz w:val="21"/>
          <w:szCs w:val="21"/>
          <w:color w:val="auto"/>
        </w:rPr>
      </w:pPr>
    </w:p>
    <w:p>
      <w:pPr>
        <w:jc w:val="both"/>
        <w:ind w:firstLine="1247"/>
        <w:spacing w:after="0" w:line="238" w:lineRule="auto"/>
        <w:tabs>
          <w:tab w:leader="none" w:pos="145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Publicly-Traded Options</w:t>
      </w:r>
      <w:r>
        <w:rPr>
          <w:rFonts w:ascii="Times New Roman" w:cs="Times New Roman" w:eastAsia="Times New Roman" w:hAnsi="Times New Roman"/>
          <w:sz w:val="21"/>
          <w:szCs w:val="21"/>
          <w:color w:val="auto"/>
        </w:rPr>
        <w:t>. Given the relatively short term of publicly- traded options, transactions in options may create the appearance that a director, officer, employee or consultant is trading based on material nonpublic information and focus a director’s, officer’s, employee’s or consultant’s attention on short-term performance at the expense of the Company’s long term-objectives. While currently there is no public market for Tejon options, if one does arise in the future, we would strongly discourage you from transacting in these types of options, including puts, calls and other derivate securities, on an exchange or in any other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1120"/>
          </w:cols>
          <w:pgMar w:left="400" w:top="1440" w:right="379" w:bottom="1440" w:gutter="0" w:footer="0" w:header="0"/>
        </w:sectPr>
      </w:pPr>
    </w:p>
    <w:bookmarkStart w:id="116" w:name="page117"/>
    <w:bookmarkEnd w:id="11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organized market. Option positions arising from certain types of hedging transactions are governed by the paragraph below.</w:t>
      </w:r>
    </w:p>
    <w:p>
      <w:pPr>
        <w:spacing w:after="0" w:line="236" w:lineRule="exact"/>
        <w:rPr>
          <w:sz w:val="20"/>
          <w:szCs w:val="20"/>
          <w:color w:val="auto"/>
        </w:rPr>
      </w:pPr>
    </w:p>
    <w:p>
      <w:pPr>
        <w:jc w:val="both"/>
        <w:ind w:firstLine="1247"/>
        <w:spacing w:after="0"/>
        <w:tabs>
          <w:tab w:leader="none" w:pos="1445"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 Certain forms of hedging or monetization transactions, such as zero-cost collars and forward sale contracts, allow a person to lock in much of the value of his or her shareholdings, often in exchange for all or part of the potential for upside appreciation in the securities. These transactions allow a person to continue to own the covered securities, but without the full risks and rewards of ownership. When that occurs, the person engaged in such a transaction may no longer have the same objectives as Tejon’s other shareholders, which is of course problematic in the case of a director, officer, employee or consultant of Tejon. Therefore, Tejon strongly discourages all direct ors, officers, employees and consultants from engaging in such transactions. Any person wishing to enter into such an arrangement must first pre-clear the proposed transaction with the General Counsel or the Chief Financial Officer. Any request for pre-clearance of a hedging or similar arrangement must be submitted to the General Counsel or Chief Financial Officer at least two weeks prior to the proposed execution of documents evidencing the proposed transaction and must set forth a justification for the proposed transaction.</w:t>
      </w:r>
    </w:p>
    <w:p>
      <w:pPr>
        <w:spacing w:after="0" w:line="228" w:lineRule="exact"/>
        <w:rPr>
          <w:rFonts w:ascii="Times New Roman" w:cs="Times New Roman" w:eastAsia="Times New Roman" w:hAnsi="Times New Roman"/>
          <w:sz w:val="21"/>
          <w:szCs w:val="21"/>
          <w:color w:val="auto"/>
        </w:rPr>
      </w:pPr>
    </w:p>
    <w:p>
      <w:pPr>
        <w:jc w:val="both"/>
        <w:ind w:firstLine="1247"/>
        <w:spacing w:after="0" w:line="263" w:lineRule="auto"/>
        <w:tabs>
          <w:tab w:leader="none" w:pos="144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Pledges</w:t>
      </w:r>
      <w:r>
        <w:rPr>
          <w:rFonts w:ascii="Times New Roman" w:cs="Times New Roman" w:eastAsia="Times New Roman" w:hAnsi="Times New Roman"/>
          <w:sz w:val="20"/>
          <w:szCs w:val="20"/>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Tejon securities, directors, officers, employees and consultants are prohibited from holding Tejon securities in a margin account or pledging Tejon securities as collateral for a loan. An exception to this prohibition may be granted where a person wishes to pledge Tejon securities as collateral for a loan (not including margin debt) and clearly demonstrates the financial capacity to repay the loan without resort to the pledged securities. Any person who wishes to pledge Tejon securities as collateral for a loan must submit a request for approval to the General Counsel or Chief Financial Officer at least two weeks prior to the proposed execution of documents evidencing the proposed pledge.</w:t>
      </w:r>
    </w:p>
    <w:p>
      <w:pPr>
        <w:spacing w:after="0" w:line="293" w:lineRule="exact"/>
        <w:rPr>
          <w:rFonts w:ascii="Times New Roman" w:cs="Times New Roman" w:eastAsia="Times New Roman" w:hAnsi="Times New Roman"/>
          <w:sz w:val="20"/>
          <w:szCs w:val="20"/>
          <w:color w:val="auto"/>
        </w:rPr>
      </w:pPr>
    </w:p>
    <w:p>
      <w:pPr>
        <w:ind w:left="420" w:hanging="411"/>
        <w:spacing w:after="0"/>
        <w:tabs>
          <w:tab w:leader="none" w:pos="42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COMPLIANCE MATTERS A.  Certification.</w:t>
      </w:r>
    </w:p>
    <w:p>
      <w:pPr>
        <w:spacing w:after="0" w:line="111" w:lineRule="exact"/>
        <w:rPr>
          <w:sz w:val="20"/>
          <w:szCs w:val="20"/>
          <w:color w:val="auto"/>
        </w:rPr>
      </w:pPr>
    </w:p>
    <w:p>
      <w:pPr>
        <w:ind w:right="200" w:firstLine="620"/>
        <w:spacing w:after="0" w:line="256" w:lineRule="auto"/>
        <w:rPr>
          <w:sz w:val="20"/>
          <w:szCs w:val="20"/>
          <w:color w:val="auto"/>
        </w:rPr>
      </w:pPr>
      <w:r>
        <w:rPr>
          <w:rFonts w:ascii="Times New Roman" w:cs="Times New Roman" w:eastAsia="Times New Roman" w:hAnsi="Times New Roman"/>
          <w:sz w:val="21"/>
          <w:szCs w:val="21"/>
          <w:color w:val="auto"/>
        </w:rPr>
        <w:t xml:space="preserve">All directors, officers, employees and consultants </w:t>
      </w:r>
      <w:r>
        <w:rPr>
          <w:rFonts w:ascii="Times New Roman" w:cs="Times New Roman" w:eastAsia="Times New Roman" w:hAnsi="Times New Roman"/>
          <w:sz w:val="21"/>
          <w:szCs w:val="21"/>
          <w:u w:val="single" w:color="auto"/>
          <w:color w:val="auto"/>
        </w:rPr>
        <w:t>will be required</w:t>
      </w:r>
      <w:r>
        <w:rPr>
          <w:rFonts w:ascii="Times New Roman" w:cs="Times New Roman" w:eastAsia="Times New Roman" w:hAnsi="Times New Roman"/>
          <w:sz w:val="21"/>
          <w:szCs w:val="21"/>
          <w:color w:val="auto"/>
        </w:rPr>
        <w:t xml:space="preserve"> to certify their understanding of and intent to comply with this Policy periodically.</w:t>
      </w:r>
    </w:p>
    <w:p>
      <w:pPr>
        <w:spacing w:after="0" w:line="203"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21"/>
          <w:szCs w:val="21"/>
          <w:b w:val="1"/>
          <w:bCs w:val="1"/>
          <w:color w:val="auto"/>
        </w:rPr>
        <w:t>B.</w:t>
      </w:r>
      <w:r>
        <w:rPr>
          <w:sz w:val="20"/>
          <w:szCs w:val="20"/>
          <w:color w:val="auto"/>
        </w:rPr>
        <w:tab/>
      </w:r>
      <w:r>
        <w:rPr>
          <w:rFonts w:ascii="Times New Roman" w:cs="Times New Roman" w:eastAsia="Times New Roman" w:hAnsi="Times New Roman"/>
          <w:sz w:val="20"/>
          <w:szCs w:val="20"/>
          <w:b w:val="1"/>
          <w:bCs w:val="1"/>
          <w:color w:val="auto"/>
        </w:rPr>
        <w:t>Noncompliance.</w:t>
      </w:r>
    </w:p>
    <w:p>
      <w:pPr>
        <w:spacing w:after="0" w:line="72" w:lineRule="exact"/>
        <w:rPr>
          <w:sz w:val="20"/>
          <w:szCs w:val="20"/>
          <w:color w:val="auto"/>
        </w:rPr>
      </w:pPr>
    </w:p>
    <w:p>
      <w:pPr>
        <w:ind w:firstLine="620"/>
        <w:spacing w:after="0" w:line="269" w:lineRule="auto"/>
        <w:rPr>
          <w:sz w:val="20"/>
          <w:szCs w:val="20"/>
          <w:color w:val="auto"/>
        </w:rPr>
      </w:pPr>
      <w:r>
        <w:rPr>
          <w:rFonts w:ascii="Times New Roman" w:cs="Times New Roman" w:eastAsia="Times New Roman" w:hAnsi="Times New Roman"/>
          <w:sz w:val="21"/>
          <w:szCs w:val="21"/>
          <w:color w:val="auto"/>
        </w:rPr>
        <w:t>Each director, officer, employee or consultant who fails to comply with this Policy or who refuses to certify that he or she has complied with it will be subject to disciplinary action which could include termination of employment.</w:t>
      </w:r>
    </w:p>
    <w:p>
      <w:pPr>
        <w:spacing w:after="0" w:line="177" w:lineRule="exact"/>
        <w:rPr>
          <w:sz w:val="20"/>
          <w:szCs w:val="20"/>
          <w:color w:val="auto"/>
        </w:rPr>
      </w:pPr>
    </w:p>
    <w:p>
      <w:pPr>
        <w:ind w:left="1040" w:hanging="411"/>
        <w:spacing w:after="0"/>
        <w:tabs>
          <w:tab w:leader="none" w:pos="104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Post-Termination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8</w:t>
      </w:r>
    </w:p>
    <w:p>
      <w:pPr>
        <w:sectPr>
          <w:pgSz w:w="11900" w:h="16838" w:orient="portrait"/>
          <w:cols w:equalWidth="0" w:num="1">
            <w:col w:w="11120"/>
          </w:cols>
          <w:pgMar w:left="400" w:top="1440" w:right="379" w:bottom="1440" w:gutter="0" w:footer="0" w:header="0"/>
        </w:sectPr>
      </w:pPr>
    </w:p>
    <w:bookmarkStart w:id="117" w:name="page118"/>
    <w:bookmarkEnd w:id="117"/>
    <w:p>
      <w:pPr>
        <w:spacing w:after="0" w:line="131"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This Policy will continue to apply to your transactions in Company securities after your employment or service has terminated with the Company until such time as you are no longer aware of material nonpublic information or until that information has been publicly disclosed or is no longer material.</w:t>
      </w:r>
    </w:p>
    <w:p>
      <w:pPr>
        <w:spacing w:after="0" w:line="208" w:lineRule="exact"/>
        <w:rPr>
          <w:sz w:val="20"/>
          <w:szCs w:val="20"/>
          <w:color w:val="auto"/>
        </w:rPr>
      </w:pPr>
    </w:p>
    <w:p>
      <w:pPr>
        <w:ind w:left="500" w:hanging="491"/>
        <w:spacing w:after="0"/>
        <w:tabs>
          <w:tab w:leader="none" w:pos="50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LAW MATTERS</w:t>
      </w:r>
    </w:p>
    <w:p>
      <w:pPr>
        <w:spacing w:after="0" w:line="252"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If you are a director or officer of Tejon, in addition to being subject to the reporting obligations and short-swing profit rules under Section 16 of the 1934 Act, you may be deemed to be an “affiliate” of Tejon. Consequently, shares of Tejon common stock held by you may be considered to be “restricted securities” or “control securities”, the sale of which are subject to compliance with Rule 144 under the Securities Act of 1933, as amended (or any other applicable exemption under the federal securities laws). If this is the case, note that Rule 144 places limits on the number of shares you may be able to sell and provides that certain procedures must be followed before you can sell shares of Company common stock. Contact the General Counsel or the Chief Financial Officer for more information on Rule 144.</w:t>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9</w:t>
      </w:r>
    </w:p>
    <w:p>
      <w:pPr>
        <w:sectPr>
          <w:pgSz w:w="11900" w:h="16838" w:orient="portrait"/>
          <w:cols w:equalWidth="0" w:num="1">
            <w:col w:w="11120"/>
          </w:cols>
          <w:pgMar w:left="400" w:top="1440" w:right="379" w:bottom="1440" w:gutter="0" w:footer="0" w:header="0"/>
        </w:sectPr>
      </w:pPr>
    </w:p>
    <w:bookmarkStart w:id="118" w:name="page119"/>
    <w:bookmarkEnd w:id="118"/>
    <w:p>
      <w:pPr>
        <w:spacing w:after="0" w:line="1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b w:val="1"/>
          <w:bCs w:val="1"/>
          <w:color w:val="auto"/>
        </w:rPr>
        <w:t>ACKNOWLEDGMENT AND AGREEMENT</w:t>
      </w:r>
    </w:p>
    <w:p>
      <w:pPr>
        <w:spacing w:after="0" w:line="25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21"/>
          <w:szCs w:val="21"/>
          <w:color w:val="auto"/>
        </w:rPr>
        <w:t>The undersigned hereby acknowledges receipt of the Tejon Ranch Co. Amended and Restated. Insider Trading Policy, amended as of March 13, 2012, and that the undersigned has read and understands such policy and agrees to abide by the terms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(Please Print)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color w:val="auto"/>
        </w:rPr>
        <w:t>10</w:t>
      </w:r>
    </w:p>
    <w:p>
      <w:pPr>
        <w:sectPr>
          <w:pgSz w:w="11900" w:h="16838" w:orient="portrait"/>
          <w:cols w:equalWidth="0" w:num="1">
            <w:col w:w="11120"/>
          </w:cols>
          <w:pgMar w:left="400" w:top="1440" w:right="379" w:bottom="1440" w:gutter="0" w:footer="0" w:header="0"/>
        </w:sectPr>
      </w:pPr>
    </w:p>
    <w:bookmarkStart w:id="119" w:name="page120"/>
    <w:bookmarkEnd w:id="119"/>
    <w:p>
      <w:pPr>
        <w:jc w:val="center"/>
        <w:ind w:right="-39"/>
        <w:spacing w:after="0"/>
        <w:rPr>
          <w:sz w:val="20"/>
          <w:szCs w:val="20"/>
          <w:color w:val="auto"/>
        </w:rPr>
      </w:pPr>
      <w:r>
        <w:rPr>
          <w:rFonts w:ascii="Times New Roman" w:cs="Times New Roman" w:eastAsia="Times New Roman" w:hAnsi="Times New Roman"/>
          <w:sz w:val="21"/>
          <w:szCs w:val="21"/>
          <w:color w:val="auto"/>
        </w:rPr>
        <w:t>LIST OF SUBSIDIARIES OF REGISTRANT</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3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(21)</w:t>
        <w:tab/>
        <w:t>Subsidiaries of Registrant</w:t>
      </w:r>
    </w:p>
    <w:p>
      <w:pPr>
        <w:spacing w:after="0" w:line="28" w:lineRule="exact"/>
        <w:rPr>
          <w:sz w:val="20"/>
          <w:szCs w:val="20"/>
          <w:color w:val="auto"/>
        </w:rPr>
      </w:pPr>
    </w:p>
    <w:p>
      <w:pPr>
        <w:ind w:left="340" w:hanging="337"/>
        <w:spacing w:after="0"/>
        <w:tabs>
          <w:tab w:leader="none" w:pos="3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Registrant: Tejon Ranch Co.</w:t>
      </w:r>
    </w:p>
    <w:p>
      <w:pPr>
        <w:spacing w:after="0" w:line="10"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 of Registrant</w:t>
      </w:r>
    </w:p>
    <w:p>
      <w:pPr>
        <w:spacing w:after="0" w:line="161" w:lineRule="exact"/>
        <w:rPr>
          <w:rFonts w:ascii="Times New Roman" w:cs="Times New Roman" w:eastAsia="Times New Roman" w:hAnsi="Times New Roman"/>
          <w:sz w:val="17"/>
          <w:szCs w:val="17"/>
          <w:color w:val="auto"/>
        </w:rPr>
      </w:pPr>
    </w:p>
    <w:p>
      <w:pPr>
        <w:ind w:left="400" w:hanging="15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Ranchcorp, 100% owned by Registrant.</w:t>
      </w:r>
    </w:p>
    <w:p>
      <w:pPr>
        <w:spacing w:after="0" w:line="178" w:lineRule="exact"/>
        <w:rPr>
          <w:rFonts w:ascii="Times New Roman" w:cs="Times New Roman" w:eastAsia="Times New Roman" w:hAnsi="Times New Roman"/>
          <w:sz w:val="17"/>
          <w:szCs w:val="17"/>
          <w:color w:val="auto"/>
        </w:rPr>
      </w:pPr>
    </w:p>
    <w:p>
      <w:pPr>
        <w:ind w:left="400" w:hanging="16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Laval Agricultural Company, formerly Tejon Farming Company.</w:t>
      </w:r>
    </w:p>
    <w:p>
      <w:pPr>
        <w:spacing w:after="0" w:line="165" w:lineRule="exact"/>
        <w:rPr>
          <w:rFonts w:ascii="Times New Roman" w:cs="Times New Roman" w:eastAsia="Times New Roman" w:hAnsi="Times New Roman"/>
          <w:sz w:val="17"/>
          <w:szCs w:val="17"/>
          <w:color w:val="auto"/>
        </w:rPr>
      </w:pPr>
    </w:p>
    <w:p>
      <w:pPr>
        <w:ind w:left="400" w:hanging="15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Ranch Feedlot, Inc.</w:t>
      </w:r>
    </w:p>
    <w:p>
      <w:pPr>
        <w:spacing w:after="0" w:line="178" w:lineRule="exact"/>
        <w:rPr>
          <w:rFonts w:ascii="Times New Roman" w:cs="Times New Roman" w:eastAsia="Times New Roman" w:hAnsi="Times New Roman"/>
          <w:sz w:val="17"/>
          <w:szCs w:val="17"/>
          <w:color w:val="auto"/>
        </w:rPr>
      </w:pPr>
    </w:p>
    <w:p>
      <w:pPr>
        <w:ind w:left="400" w:hanging="16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Wolf Corporation.</w:t>
      </w:r>
    </w:p>
    <w:p>
      <w:pPr>
        <w:spacing w:after="0" w:line="165" w:lineRule="exact"/>
        <w:rPr>
          <w:rFonts w:ascii="Times New Roman" w:cs="Times New Roman" w:eastAsia="Times New Roman" w:hAnsi="Times New Roman"/>
          <w:sz w:val="17"/>
          <w:szCs w:val="17"/>
          <w:color w:val="auto"/>
        </w:rPr>
      </w:pPr>
    </w:p>
    <w:p>
      <w:pPr>
        <w:ind w:left="400" w:hanging="15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Development Corporation.</w:t>
      </w:r>
    </w:p>
    <w:p>
      <w:pPr>
        <w:spacing w:after="0" w:line="178" w:lineRule="exact"/>
        <w:rPr>
          <w:rFonts w:ascii="Times New Roman" w:cs="Times New Roman" w:eastAsia="Times New Roman" w:hAnsi="Times New Roman"/>
          <w:sz w:val="17"/>
          <w:szCs w:val="17"/>
          <w:color w:val="auto"/>
        </w:rPr>
      </w:pPr>
    </w:p>
    <w:p>
      <w:pPr>
        <w:ind w:left="400" w:hanging="140"/>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Industrial Corp.</w:t>
      </w:r>
    </w:p>
    <w:p>
      <w:pPr>
        <w:spacing w:after="0" w:line="178" w:lineRule="exact"/>
        <w:rPr>
          <w:rFonts w:ascii="Times New Roman" w:cs="Times New Roman" w:eastAsia="Times New Roman" w:hAnsi="Times New Roman"/>
          <w:sz w:val="17"/>
          <w:szCs w:val="17"/>
          <w:color w:val="auto"/>
        </w:rPr>
      </w:pPr>
    </w:p>
    <w:p>
      <w:pPr>
        <w:ind w:left="400" w:hanging="16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Energy LLC.</w:t>
      </w:r>
    </w:p>
    <w:p>
      <w:pPr>
        <w:spacing w:after="0" w:line="165" w:lineRule="exact"/>
        <w:rPr>
          <w:rFonts w:ascii="Times New Roman" w:cs="Times New Roman" w:eastAsia="Times New Roman" w:hAnsi="Times New Roman"/>
          <w:sz w:val="17"/>
          <w:szCs w:val="17"/>
          <w:color w:val="auto"/>
        </w:rPr>
      </w:pPr>
    </w:p>
    <w:p>
      <w:pPr>
        <w:ind w:left="400" w:hanging="16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Centennial Founders LLC, Delaware limited liability company, 93.65% owned by Tejon Ranchcorp.</w:t>
      </w:r>
    </w:p>
    <w:p>
      <w:pPr>
        <w:spacing w:after="0" w:line="178" w:lineRule="exact"/>
        <w:rPr>
          <w:rFonts w:ascii="Times New Roman" w:cs="Times New Roman" w:eastAsia="Times New Roman" w:hAnsi="Times New Roman"/>
          <w:sz w:val="17"/>
          <w:szCs w:val="17"/>
          <w:color w:val="auto"/>
        </w:rPr>
      </w:pPr>
    </w:p>
    <w:p>
      <w:pPr>
        <w:ind w:left="400" w:hanging="131"/>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Mountain Village, LLC., Delaware limited liability company.</w:t>
      </w:r>
    </w:p>
    <w:p>
      <w:pPr>
        <w:spacing w:after="0" w:line="178" w:lineRule="exact"/>
        <w:rPr>
          <w:rFonts w:ascii="Times New Roman" w:cs="Times New Roman" w:eastAsia="Times New Roman" w:hAnsi="Times New Roman"/>
          <w:sz w:val="17"/>
          <w:szCs w:val="17"/>
          <w:color w:val="auto"/>
        </w:rPr>
      </w:pPr>
    </w:p>
    <w:p>
      <w:pPr>
        <w:ind w:left="400" w:hanging="131"/>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Tejon Ranch Wine Company, LLC.</w:t>
      </w:r>
    </w:p>
    <w:p>
      <w:pPr>
        <w:spacing w:after="0" w:line="165" w:lineRule="exact"/>
        <w:rPr>
          <w:rFonts w:ascii="Times New Roman" w:cs="Times New Roman" w:eastAsia="Times New Roman" w:hAnsi="Times New Roman"/>
          <w:sz w:val="17"/>
          <w:szCs w:val="17"/>
          <w:color w:val="auto"/>
        </w:rPr>
      </w:pPr>
    </w:p>
    <w:p>
      <w:pPr>
        <w:ind w:left="400" w:hanging="169"/>
        <w:spacing w:after="0"/>
        <w:tabs>
          <w:tab w:leader="none" w:pos="40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TRCC - West One, LLC.</w:t>
      </w:r>
    </w:p>
    <w:p>
      <w:pPr>
        <w:spacing w:after="0" w:line="333"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aforesaid subsidiaries is included in Registrant's Consolidated Financial Statements, set forth in answer to Item 15(a)(1) hereof.</w:t>
      </w:r>
    </w:p>
    <w:p>
      <w:pPr>
        <w:spacing w:after="0" w:line="27" w:lineRule="exact"/>
        <w:rPr>
          <w:rFonts w:ascii="Times New Roman" w:cs="Times New Roman" w:eastAsia="Times New Roman" w:hAnsi="Times New Roman"/>
          <w:sz w:val="17"/>
          <w:szCs w:val="17"/>
          <w:color w:val="auto"/>
        </w:rPr>
      </w:pPr>
    </w:p>
    <w:p>
      <w:pPr>
        <w:ind w:right="20" w:firstLine="3"/>
        <w:spacing w:after="0" w:line="253" w:lineRule="auto"/>
        <w:tabs>
          <w:tab w:leader="none" w:pos="33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ind w:firstLine="3"/>
        <w:spacing w:after="0" w:line="257" w:lineRule="auto"/>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220"/>
          </w:cols>
          <w:pgMar w:left="320" w:top="862" w:right="359" w:bottom="1440" w:gutter="0" w:footer="0" w:header="0"/>
        </w:sectPr>
      </w:pPr>
    </w:p>
    <w:bookmarkStart w:id="120" w:name="page121"/>
    <w:bookmarkEnd w:id="120"/>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1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333-264642 on Form S-3 and Registration Statement Nos. 333-113887 and 333-272263 on Form S-8 of our report dated March 6, 2025, relating to the financial statements of Tejon Ranch Co. appearing in this Annual Report on Form 10-K for the year ended December 31, 2024.</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2025</w:t>
      </w:r>
    </w:p>
    <w:p>
      <w:pPr>
        <w:sectPr>
          <w:pgSz w:w="11900" w:h="16838" w:orient="portrait"/>
          <w:cols w:equalWidth="0" w:num="1">
            <w:col w:w="11160"/>
          </w:cols>
          <w:pgMar w:left="320" w:top="1137" w:right="41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Gregory S. Bielli, certify that:</w:t>
      </w:r>
    </w:p>
    <w:p>
      <w:pPr>
        <w:spacing w:after="0" w:line="165" w:lineRule="exact"/>
        <w:rPr>
          <w:sz w:val="20"/>
          <w:szCs w:val="20"/>
          <w:color w:val="auto"/>
        </w:rPr>
      </w:pPr>
    </w:p>
    <w:p>
      <w:pPr>
        <w:ind w:left="320" w:hanging="317"/>
        <w:spacing w:after="0"/>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Tejon Ranch Co.;</w:t>
      </w:r>
    </w:p>
    <w:p>
      <w:pPr>
        <w:spacing w:after="0" w:line="165" w:lineRule="exact"/>
        <w:rPr>
          <w:rFonts w:ascii="Times New Roman" w:cs="Times New Roman" w:eastAsia="Times New Roman" w:hAnsi="Times New Roman"/>
          <w:sz w:val="17"/>
          <w:szCs w:val="17"/>
          <w:color w:val="auto"/>
        </w:rPr>
      </w:pPr>
    </w:p>
    <w:p>
      <w:pPr>
        <w:ind w:left="320" w:right="140" w:hanging="317"/>
        <w:spacing w:after="0" w:line="287"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20" w:right="240" w:hanging="317"/>
        <w:spacing w:after="0" w:line="287"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320" w:right="80" w:hanging="317"/>
        <w:spacing w:after="0" w:line="270"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620" w:right="60" w:hanging="307"/>
        <w:spacing w:after="0" w:line="270" w:lineRule="auto"/>
        <w:tabs>
          <w:tab w:leader="none" w:pos="61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620" w:right="180" w:hanging="307"/>
        <w:spacing w:after="0" w:line="270"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620" w:right="260" w:hanging="307"/>
        <w:spacing w:after="0" w:line="270"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5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Gregory S. Bielli</w:t>
            </w:r>
          </w:p>
        </w:tc>
      </w:tr>
      <w:tr>
        <w:trPr>
          <w:trHeight w:val="209"/>
        </w:trPr>
        <w:tc>
          <w:tcPr>
            <w:tcW w:w="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2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Gregory S. Bielli</w:t>
            </w:r>
          </w:p>
        </w:tc>
      </w:tr>
      <w:tr>
        <w:trPr>
          <w:trHeight w:val="223"/>
        </w:trPr>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2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20"/>
          </w:cols>
          <w:pgMar w:left="320" w:top="854" w:right="3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Brett A. Brown, certify that:</w:t>
      </w:r>
    </w:p>
    <w:p>
      <w:pPr>
        <w:spacing w:after="0" w:line="165" w:lineRule="exact"/>
        <w:rPr>
          <w:sz w:val="20"/>
          <w:szCs w:val="20"/>
          <w:color w:val="auto"/>
        </w:rPr>
      </w:pPr>
    </w:p>
    <w:p>
      <w:pPr>
        <w:ind w:left="320" w:hanging="317"/>
        <w:spacing w:after="0"/>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Tejon Ranch Co.;</w:t>
      </w:r>
    </w:p>
    <w:p>
      <w:pPr>
        <w:spacing w:after="0" w:line="165" w:lineRule="exact"/>
        <w:rPr>
          <w:rFonts w:ascii="Times New Roman" w:cs="Times New Roman" w:eastAsia="Times New Roman" w:hAnsi="Times New Roman"/>
          <w:sz w:val="17"/>
          <w:szCs w:val="17"/>
          <w:color w:val="auto"/>
        </w:rPr>
      </w:pPr>
    </w:p>
    <w:p>
      <w:pPr>
        <w:ind w:left="320" w:right="140" w:hanging="317"/>
        <w:spacing w:after="0" w:line="287" w:lineRule="auto"/>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20" w:right="240" w:hanging="317"/>
        <w:spacing w:after="0" w:line="287" w:lineRule="auto"/>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320" w:right="200" w:hanging="317"/>
        <w:spacing w:after="0" w:line="270" w:lineRule="auto"/>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620" w:right="60" w:hanging="307"/>
        <w:spacing w:after="0" w:line="270" w:lineRule="auto"/>
        <w:tabs>
          <w:tab w:leader="none" w:pos="61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620" w:right="180" w:hanging="307"/>
        <w:spacing w:after="0" w:line="270" w:lineRule="auto"/>
        <w:tabs>
          <w:tab w:leader="none" w:pos="62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620" w:right="260" w:hanging="307"/>
        <w:spacing w:after="0" w:line="270" w:lineRule="auto"/>
        <w:tabs>
          <w:tab w:leader="none" w:pos="62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320" w:right="620" w:hanging="317"/>
        <w:spacing w:after="0" w:line="287" w:lineRule="auto"/>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Dated:   March 6, 2025</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Brett A. Brown</w:t>
            </w:r>
          </w:p>
        </w:tc>
      </w:tr>
      <w:tr>
        <w:trPr>
          <w:trHeight w:val="209"/>
        </w:trPr>
        <w:tc>
          <w:tcPr>
            <w:tcW w:w="5940" w:type="dxa"/>
            <w:vAlign w:val="bottom"/>
          </w:tcPr>
          <w:p>
            <w:pPr>
              <w:spacing w:after="0"/>
              <w:rPr>
                <w:sz w:val="18"/>
                <w:szCs w:val="18"/>
                <w:color w:val="auto"/>
              </w:rPr>
            </w:pPr>
          </w:p>
        </w:tc>
        <w:tc>
          <w:tcPr>
            <w:tcW w:w="52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Brett A. Brown</w:t>
            </w:r>
          </w:p>
        </w:tc>
      </w:tr>
      <w:tr>
        <w:trPr>
          <w:trHeight w:val="223"/>
        </w:trPr>
        <w:tc>
          <w:tcPr>
            <w:tcW w:w="5940" w:type="dxa"/>
            <w:vAlign w:val="bottom"/>
          </w:tcPr>
          <w:p>
            <w:pPr>
              <w:spacing w:after="0"/>
              <w:rPr>
                <w:sz w:val="19"/>
                <w:szCs w:val="19"/>
                <w:color w:val="auto"/>
              </w:rPr>
            </w:pPr>
          </w:p>
        </w:tc>
        <w:tc>
          <w:tcPr>
            <w:tcW w:w="52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20"/>
          </w:cols>
          <w:pgMar w:left="320" w:top="854" w:right="359" w:bottom="1440" w:gutter="0" w:footer="0" w:header="0"/>
        </w:sectPr>
      </w:pPr>
    </w:p>
    <w:bookmarkStart w:id="123" w:name="page124"/>
    <w:bookmarkEnd w:id="123"/>
    <w:p>
      <w:pPr>
        <w:ind w:left="5140"/>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16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4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77" w:lineRule="exact"/>
        <w:rPr>
          <w:sz w:val="20"/>
          <w:szCs w:val="20"/>
          <w:color w:val="auto"/>
        </w:rPr>
      </w:pPr>
    </w:p>
    <w:p>
      <w:pPr>
        <w:ind w:left="620" w:hanging="307"/>
        <w:spacing w:after="0" w:line="263" w:lineRule="auto"/>
        <w:tabs>
          <w:tab w:leader="none" w:pos="61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of the Company on Form 10-K for the period ended December 31, 2024 fully complies with the requirements of Section 13(a) of the Securities Exchange Act of 1934; and</w:t>
      </w:r>
    </w:p>
    <w:p>
      <w:pPr>
        <w:ind w:left="620" w:hanging="307"/>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such report fairly presents, in all material respects, the financial condition and results of operation of the Company.</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5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Dated:</w:t>
        <w:tab/>
        <w:t>March 6, 2025</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9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31597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Gregory S. Bielli</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97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31597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Brett A. Brown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97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315976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Robert D. Velasquez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Accounting Officer</w:t>
      </w:r>
    </w:p>
    <w:p>
      <w:pPr>
        <w:sectPr>
          <w:pgSz w:w="11900" w:h="16838" w:orient="portrait"/>
          <w:cols w:equalWidth="0" w:num="1">
            <w:col w:w="11100"/>
          </w:cols>
          <w:pgMar w:left="320" w:top="854" w:right="47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Petro Travel Plaza Holdings LLC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line="330" w:lineRule="auto"/>
        <w:rPr>
          <w:sz w:val="20"/>
          <w:szCs w:val="20"/>
          <w:color w:val="auto"/>
        </w:rPr>
      </w:pPr>
      <w:r>
        <w:rPr>
          <w:rFonts w:ascii="Times New Roman" w:cs="Times New Roman" w:eastAsia="Times New Roman" w:hAnsi="Times New Roman"/>
          <w:sz w:val="31"/>
          <w:szCs w:val="31"/>
          <w:b w:val="1"/>
          <w:bCs w:val="1"/>
          <w:color w:val="auto"/>
        </w:rPr>
        <w:t>As of December 31, 2024 and 2023 and for the years ended December 31, 2024, 2023 and 2022</w:t>
      </w:r>
    </w:p>
    <w:p>
      <w:pPr>
        <w:sectPr>
          <w:pgSz w:w="11900" w:h="16838" w:orient="portrait"/>
          <w:cols w:equalWidth="0" w:num="1">
            <w:col w:w="11060"/>
          </w:cols>
          <w:pgMar w:left="420" w:top="1440" w:right="419" w:bottom="1440" w:gutter="0" w:footer="0" w:header="0"/>
        </w:sectPr>
      </w:pPr>
    </w:p>
    <w:bookmarkStart w:id="125" w:name="page126"/>
    <w:bookmarkEnd w:id="125"/>
    <w:p>
      <w:pPr>
        <w:spacing w:after="0" w:line="2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Members of Petro Travel Plaza Holdings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w:t>
      </w:r>
    </w:p>
    <w:p>
      <w:pPr>
        <w:spacing w:after="0" w:line="260"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7"/>
          <w:szCs w:val="17"/>
          <w:color w:val="auto"/>
        </w:rPr>
        <w:t>We have audited the consolidated financial statements of Petro Travel Plaza Holdings LLC and subsidiaries (the “Company”), which comprise the consolidated balance sheets as of December 31, 2024 and 2023, and the related consolidated statements of income, cash flows, and changes in members’ capital for each of the three years in the period ended December 31, 2024, and the related notes to the consolidated financial statements (collectively referred to as the "financial statements").</w:t>
      </w:r>
    </w:p>
    <w:p>
      <w:pPr>
        <w:spacing w:after="0" w:line="202"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7"/>
          <w:szCs w:val="17"/>
          <w:color w:val="auto"/>
        </w:rPr>
        <w:t>In our opinion, the accompanying financial statements present fairly, in all material respects, the financial position of the Company as of December 31, 2024 and 2023, and the results of its operations and its cash flows for each of the three years in the period ended December 31, 2024, in accordance with accounting principles generally accepted in the United States of America.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73" w:lineRule="exact"/>
        <w:rPr>
          <w:sz w:val="20"/>
          <w:szCs w:val="20"/>
          <w:color w:val="auto"/>
        </w:rPr>
      </w:pPr>
    </w:p>
    <w:p>
      <w:pPr>
        <w:ind w:right="100"/>
        <w:spacing w:after="0" w:line="306" w:lineRule="auto"/>
        <w:rPr>
          <w:sz w:val="20"/>
          <w:szCs w:val="20"/>
          <w:color w:val="auto"/>
        </w:rPr>
      </w:pPr>
      <w:r>
        <w:rPr>
          <w:rFonts w:ascii="Times New Roman" w:cs="Times New Roman" w:eastAsia="Times New Roman" w:hAnsi="Times New Roman"/>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Responsibilities of Management for the Financial Statements</w:t>
      </w:r>
    </w:p>
    <w:p>
      <w:pPr>
        <w:spacing w:after="0" w:line="286"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99"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Auditor’s Responsibilities for the Audit of the Financial Statements</w:t>
      </w:r>
    </w:p>
    <w:p>
      <w:pPr>
        <w:spacing w:after="0" w:line="273"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performing an audit in accordance with GAAS, we:</w:t>
      </w:r>
    </w:p>
    <w:p>
      <w:pPr>
        <w:spacing w:after="0" w:line="44" w:lineRule="exact"/>
        <w:rPr>
          <w:sz w:val="20"/>
          <w:szCs w:val="20"/>
          <w:color w:val="auto"/>
        </w:rPr>
      </w:pPr>
    </w:p>
    <w:p>
      <w:pPr>
        <w:ind w:left="620" w:hanging="307"/>
        <w:spacing w:after="0"/>
        <w:tabs>
          <w:tab w:leader="none" w:pos="620" w:val="left"/>
        </w:tabs>
        <w:numPr>
          <w:ilvl w:val="0"/>
          <w:numId w:val="91"/>
        </w:numPr>
        <w:rPr>
          <w:rFonts w:ascii="Arial" w:cs="Arial" w:eastAsia="Arial" w:hAnsi="Arial"/>
          <w:sz w:val="21"/>
          <w:szCs w:val="21"/>
          <w:color w:val="auto"/>
        </w:rPr>
      </w:pPr>
      <w:r>
        <w:rPr>
          <w:rFonts w:ascii="Times New Roman" w:cs="Times New Roman" w:eastAsia="Times New Roman" w:hAnsi="Times New Roman"/>
          <w:sz w:val="17"/>
          <w:szCs w:val="17"/>
          <w:color w:val="auto"/>
        </w:rPr>
        <w:t>Exercise professional judgment and maintain professional skepticism throughout the audit.</w:t>
      </w:r>
    </w:p>
    <w:p>
      <w:pPr>
        <w:spacing w:after="0" w:line="21" w:lineRule="exact"/>
        <w:rPr>
          <w:rFonts w:ascii="Arial" w:cs="Arial" w:eastAsia="Arial" w:hAnsi="Arial"/>
          <w:sz w:val="21"/>
          <w:szCs w:val="21"/>
          <w:color w:val="auto"/>
        </w:rPr>
      </w:pPr>
    </w:p>
    <w:p>
      <w:pPr>
        <w:ind w:left="620" w:right="60" w:hanging="307"/>
        <w:spacing w:after="0" w:line="257" w:lineRule="auto"/>
        <w:tabs>
          <w:tab w:leader="none" w:pos="615" w:val="left"/>
        </w:tabs>
        <w:numPr>
          <w:ilvl w:val="0"/>
          <w:numId w:val="91"/>
        </w:numPr>
        <w:rPr>
          <w:rFonts w:ascii="Arial" w:cs="Arial" w:eastAsia="Arial" w:hAnsi="Arial"/>
          <w:sz w:val="21"/>
          <w:szCs w:val="21"/>
          <w:color w:val="auto"/>
        </w:rPr>
      </w:pPr>
      <w:r>
        <w:rPr>
          <w:rFonts w:ascii="Times New Roman" w:cs="Times New Roman" w:eastAsia="Times New Roman" w:hAnsi="Times New Roman"/>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34" w:lineRule="exact"/>
        <w:rPr>
          <w:rFonts w:ascii="Arial" w:cs="Arial" w:eastAsia="Arial" w:hAnsi="Arial"/>
          <w:sz w:val="21"/>
          <w:szCs w:val="21"/>
          <w:color w:val="auto"/>
        </w:rPr>
      </w:pPr>
    </w:p>
    <w:p>
      <w:pPr>
        <w:ind w:left="620" w:right="140" w:hanging="307"/>
        <w:spacing w:after="0" w:line="249" w:lineRule="auto"/>
        <w:tabs>
          <w:tab w:leader="none" w:pos="615" w:val="left"/>
        </w:tabs>
        <w:numPr>
          <w:ilvl w:val="0"/>
          <w:numId w:val="91"/>
        </w:numPr>
        <w:rPr>
          <w:rFonts w:ascii="Arial" w:cs="Arial" w:eastAsia="Arial" w:hAnsi="Arial"/>
          <w:sz w:val="21"/>
          <w:szCs w:val="21"/>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36" w:lineRule="exact"/>
        <w:rPr>
          <w:rFonts w:ascii="Arial" w:cs="Arial" w:eastAsia="Arial" w:hAnsi="Arial"/>
          <w:sz w:val="21"/>
          <w:szCs w:val="21"/>
          <w:color w:val="auto"/>
        </w:rPr>
      </w:pPr>
    </w:p>
    <w:p>
      <w:pPr>
        <w:ind w:left="620" w:right="360" w:hanging="307"/>
        <w:spacing w:after="0" w:line="257" w:lineRule="auto"/>
        <w:tabs>
          <w:tab w:leader="none" w:pos="615" w:val="left"/>
        </w:tabs>
        <w:numPr>
          <w:ilvl w:val="0"/>
          <w:numId w:val="91"/>
        </w:numPr>
        <w:rPr>
          <w:rFonts w:ascii="Arial" w:cs="Arial" w:eastAsia="Arial" w:hAnsi="Arial"/>
          <w:sz w:val="21"/>
          <w:szCs w:val="21"/>
          <w:color w:val="auto"/>
        </w:rPr>
      </w:pPr>
      <w:r>
        <w:rPr>
          <w:rFonts w:ascii="Times New Roman" w:cs="Times New Roman" w:eastAsia="Times New Roman" w:hAnsi="Times New Roman"/>
          <w:sz w:val="17"/>
          <w:szCs w:val="17"/>
          <w:color w:val="auto"/>
        </w:rPr>
        <w:t>Evaluate the appropriateness of accounting policies used and the reasonableness of significant accounting estimates made by management, as well as evaluate the overall presentation of the financial statements.</w:t>
      </w:r>
    </w:p>
    <w:p>
      <w:pPr>
        <w:spacing w:after="0" w:line="21" w:lineRule="exact"/>
        <w:rPr>
          <w:rFonts w:ascii="Arial" w:cs="Arial" w:eastAsia="Arial" w:hAnsi="Arial"/>
          <w:sz w:val="21"/>
          <w:szCs w:val="21"/>
          <w:color w:val="auto"/>
        </w:rPr>
      </w:pPr>
    </w:p>
    <w:p>
      <w:pPr>
        <w:ind w:left="620" w:hanging="307"/>
        <w:spacing w:after="0" w:line="278" w:lineRule="auto"/>
        <w:tabs>
          <w:tab w:leader="none" w:pos="61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Conclude whether, in our judgment, there are conditions or events, considered in the aggregate, that raise substantial doubt about the Company’s ability to continue as a going concern for a reasonable period of time.</w:t>
      </w:r>
    </w:p>
    <w:p>
      <w:pPr>
        <w:spacing w:after="0" w:line="216"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7"/>
          <w:szCs w:val="17"/>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/s/Deloitte &amp; Touche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5, 2025</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Cash</w:t>
      </w:r>
    </w:p>
    <w:p>
      <w:pPr>
        <w:spacing w:after="0" w:line="24" w:lineRule="exact"/>
        <w:rPr>
          <w:sz w:val="20"/>
          <w:szCs w:val="20"/>
          <w:color w:val="auto"/>
        </w:rPr>
      </w:pPr>
    </w:p>
    <w:p>
      <w:pPr>
        <w:ind w:left="140" w:right="300"/>
        <w:spacing w:after="0" w:line="269" w:lineRule="auto"/>
        <w:rPr>
          <w:sz w:val="20"/>
          <w:szCs w:val="20"/>
          <w:color w:val="auto"/>
        </w:rPr>
      </w:pPr>
      <w:r>
        <w:rPr>
          <w:rFonts w:ascii="Times New Roman" w:cs="Times New Roman" w:eastAsia="Times New Roman" w:hAnsi="Times New Roman"/>
          <w:sz w:val="17"/>
          <w:szCs w:val="17"/>
          <w:color w:val="auto"/>
        </w:rPr>
        <w:t>Due from affiliate, net Inventory</w:t>
      </w:r>
    </w:p>
    <w:p>
      <w:pPr>
        <w:jc w:val="right"/>
        <w:ind w:left="140" w:right="420"/>
        <w:spacing w:after="0" w:line="313" w:lineRule="auto"/>
        <w:rPr>
          <w:sz w:val="20"/>
          <w:szCs w:val="20"/>
          <w:color w:val="auto"/>
        </w:rPr>
      </w:pPr>
      <w:r>
        <w:rPr>
          <w:rFonts w:ascii="Times New Roman" w:cs="Times New Roman" w:eastAsia="Times New Roman" w:hAnsi="Times New Roman"/>
          <w:sz w:val="17"/>
          <w:szCs w:val="17"/>
          <w:color w:val="auto"/>
        </w:rPr>
        <w:t>Other current assets Total current assets</w:t>
      </w:r>
    </w:p>
    <w:p>
      <w:pPr>
        <w:spacing w:after="0" w:line="195" w:lineRule="exact"/>
        <w:rPr>
          <w:sz w:val="20"/>
          <w:szCs w:val="20"/>
          <w:color w:val="auto"/>
        </w:rPr>
      </w:pPr>
    </w:p>
    <w:p>
      <w:pPr>
        <w:ind w:left="20"/>
        <w:spacing w:after="0" w:line="303" w:lineRule="auto"/>
        <w:rPr>
          <w:sz w:val="20"/>
          <w:szCs w:val="20"/>
          <w:color w:val="auto"/>
        </w:rPr>
      </w:pPr>
      <w:r>
        <w:rPr>
          <w:rFonts w:ascii="Times New Roman" w:cs="Times New Roman" w:eastAsia="Times New Roman" w:hAnsi="Times New Roman"/>
          <w:sz w:val="17"/>
          <w:szCs w:val="17"/>
          <w:color w:val="auto"/>
        </w:rPr>
        <w:t>Property and equipment, net Other noncurrent assets</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48" w:lineRule="exact"/>
        <w:rPr>
          <w:sz w:val="20"/>
          <w:szCs w:val="20"/>
          <w:color w:val="auto"/>
        </w:rPr>
      </w:pPr>
    </w:p>
    <w:tbl>
      <w:tblPr>
        <w:tblLayout w:type="fixed"/>
        <w:tblInd w:w="98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4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4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34"/>
        </w:trPr>
        <w:tc>
          <w:tcPr>
            <w:tcW w:w="4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100" w:type="dxa"/>
            <w:vAlign w:val="bottom"/>
          </w:tcPr>
          <w:p>
            <w:pPr>
              <w:spacing w:after="0"/>
              <w:rPr>
                <w:sz w:val="24"/>
                <w:szCs w:val="24"/>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6,465</w:t>
            </w:r>
          </w:p>
        </w:tc>
      </w:tr>
      <w:tr>
        <w:trPr>
          <w:trHeight w:val="219"/>
        </w:trPr>
        <w:tc>
          <w:tcPr>
            <w:tcW w:w="4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r>
      <w:tr>
        <w:trPr>
          <w:trHeight w:val="219"/>
        </w:trPr>
        <w:tc>
          <w:tcPr>
            <w:tcW w:w="4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r>
      <w:tr>
        <w:trPr>
          <w:trHeight w:val="223"/>
        </w:trPr>
        <w:tc>
          <w:tcPr>
            <w:tcW w:w="4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6"/>
        </w:trPr>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11,678</w:t>
            </w:r>
          </w:p>
        </w:tc>
      </w:tr>
      <w:tr>
        <w:trPr>
          <w:trHeight w:val="470"/>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60,090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60,434</w:t>
            </w:r>
          </w:p>
        </w:tc>
      </w:tr>
      <w:tr>
        <w:trPr>
          <w:trHeight w:val="223"/>
        </w:trPr>
        <w:tc>
          <w:tcPr>
            <w:tcW w:w="4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w:t>
            </w:r>
          </w:p>
        </w:tc>
      </w:tr>
      <w:tr>
        <w:trPr>
          <w:trHeight w:val="509"/>
        </w:trPr>
        <w:tc>
          <w:tcPr>
            <w:tcW w:w="4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73,558</w:t>
            </w:r>
          </w:p>
        </w:tc>
        <w:tc>
          <w:tcPr>
            <w:tcW w:w="100" w:type="dxa"/>
            <w:vAlign w:val="bottom"/>
          </w:tcPr>
          <w:p>
            <w:pPr>
              <w:spacing w:after="0"/>
              <w:rPr>
                <w:sz w:val="24"/>
                <w:szCs w:val="24"/>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72,633</w:t>
            </w:r>
          </w:p>
        </w:tc>
      </w:tr>
      <w:tr>
        <w:trPr>
          <w:trHeight w:val="51"/>
        </w:trPr>
        <w:tc>
          <w:tcPr>
            <w:tcW w:w="4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-1833245</wp:posOffset>
            </wp:positionV>
            <wp:extent cx="7138670" cy="147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-1546860</wp:posOffset>
            </wp:positionV>
            <wp:extent cx="7138670" cy="139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-1268095</wp:posOffset>
            </wp:positionV>
            <wp:extent cx="7138670" cy="139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-989965</wp:posOffset>
            </wp:positionV>
            <wp:extent cx="7138670" cy="147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-678815</wp:posOffset>
            </wp:positionV>
            <wp:extent cx="7138670" cy="139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-400685</wp:posOffset>
            </wp:positionV>
            <wp:extent cx="7138670" cy="163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-15875</wp:posOffset>
            </wp:positionV>
            <wp:extent cx="7138670" cy="163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Liabilities and Members' Capital</w:t>
      </w:r>
    </w:p>
    <w:p>
      <w:pPr>
        <w:spacing w:after="0" w:line="51" w:lineRule="exact"/>
        <w:rPr>
          <w:sz w:val="20"/>
          <w:szCs w:val="20"/>
          <w:color w:val="auto"/>
        </w:rPr>
      </w:pPr>
    </w:p>
    <w:p>
      <w:pPr>
        <w:sectPr>
          <w:pgSz w:w="11900" w:h="16838" w:orient="portrait"/>
          <w:cols w:equalWidth="0" w:num="2">
            <w:col w:w="1960" w:space="720"/>
            <w:col w:w="8560"/>
          </w:cols>
          <w:pgMar w:left="320" w:top="828" w:right="339" w:bottom="1440" w:gutter="0" w:footer="0" w:header="0"/>
        </w:sectPr>
      </w:pPr>
    </w:p>
    <w:tbl>
      <w:tblPr>
        <w:tblLayout w:type="fixed"/>
        <w:tblInd w:w="0" w:type="dxa"/>
        <w:tblCellMar>
          <w:top w:w="0" w:type="dxa"/>
          <w:left w:w="0" w:type="dxa"/>
          <w:bottom w:w="0" w:type="dxa"/>
          <w:right w:w="0" w:type="dxa"/>
        </w:tblCellMar>
      </w:tblP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1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58"/>
        </w:trPr>
        <w:tc>
          <w:tcPr>
            <w:tcW w:w="7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 term debt,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4,226</w:t>
            </w:r>
          </w:p>
        </w:tc>
      </w:tr>
      <w:tr>
        <w:trPr>
          <w:trHeight w:val="238"/>
        </w:trPr>
        <w:tc>
          <w:tcPr>
            <w:tcW w:w="7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9"/>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19,683</w:t>
            </w:r>
          </w:p>
        </w:tc>
      </w:tr>
      <w:tr>
        <w:trPr>
          <w:trHeight w:val="238"/>
        </w:trPr>
        <w:tc>
          <w:tcPr>
            <w:tcW w:w="7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Members' capital</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53,571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52,950</w:t>
            </w:r>
          </w:p>
        </w:tc>
      </w:tr>
      <w:tr>
        <w:trPr>
          <w:trHeight w:val="238"/>
        </w:trPr>
        <w:tc>
          <w:tcPr>
            <w:tcW w:w="7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97"/>
        </w:trPr>
        <w:tc>
          <w:tcPr>
            <w:tcW w:w="7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 and members' capital</w:t>
            </w: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73,558</w:t>
            </w:r>
          </w:p>
        </w:tc>
        <w:tc>
          <w:tcPr>
            <w:tcW w:w="100" w:type="dxa"/>
            <w:vAlign w:val="bottom"/>
          </w:tcPr>
          <w:p>
            <w:pPr>
              <w:spacing w:after="0"/>
              <w:rPr>
                <w:sz w:val="24"/>
                <w:szCs w:val="24"/>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72,633</w:t>
            </w:r>
          </w:p>
        </w:tc>
      </w:tr>
      <w:tr>
        <w:trPr>
          <w:trHeight w:val="25"/>
        </w:trPr>
        <w:tc>
          <w:tcPr>
            <w:tcW w:w="7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28"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Fuel</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108,578</w:t>
            </w: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117,597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138,293</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Nonfuel</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44,042</w:t>
            </w:r>
          </w:p>
        </w:tc>
      </w:tr>
      <w:tr>
        <w:trPr>
          <w:trHeight w:val="212"/>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153,547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182,335</w:t>
            </w:r>
          </w:p>
        </w:tc>
      </w:tr>
      <w:tr>
        <w:trPr>
          <w:trHeight w:val="238"/>
        </w:trPr>
        <w:tc>
          <w:tcPr>
            <w:tcW w:w="6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Fuel product cost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120,307</w:t>
            </w: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Nonfuel product cost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16,876</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Site level operating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w:t>
            </w: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assets,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6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139,127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167,563</w:t>
            </w:r>
          </w:p>
        </w:tc>
      </w:tr>
      <w:tr>
        <w:trPr>
          <w:trHeight w:val="238"/>
        </w:trPr>
        <w:tc>
          <w:tcPr>
            <w:tcW w:w="6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14,772</w:t>
            </w:r>
          </w:p>
        </w:tc>
      </w:tr>
      <w:tr>
        <w:trPr>
          <w:trHeight w:val="258"/>
        </w:trPr>
        <w:tc>
          <w:tcPr>
            <w:tcW w:w="6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r>
      <w:tr>
        <w:trPr>
          <w:trHeight w:val="238"/>
        </w:trPr>
        <w:tc>
          <w:tcPr>
            <w:tcW w:w="6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828" w:right="339" w:bottom="1440" w:gutter="0" w:footer="0" w:header="0"/>
        </w:sectPr>
      </w:pPr>
    </w:p>
    <w:bookmarkStart w:id="129" w:name="page130"/>
    <w:bookmarkEnd w:id="129"/>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13,621</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14,210</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assets,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6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Increase (decrease) from changes in: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23"/>
        </w:trPr>
        <w:tc>
          <w:tcPr>
            <w:tcW w:w="61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102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125"/>
        </w:trPr>
        <w:tc>
          <w:tcPr>
            <w:tcW w:w="6120" w:type="dxa"/>
            <w:vAlign w:val="bottom"/>
            <w:vMerge w:val="continue"/>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Due from affiliate,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19"/>
        </w:trPr>
        <w:tc>
          <w:tcPr>
            <w:tcW w:w="6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Noncurrent liabilities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0" w:type="dxa"/>
            <w:vAlign w:val="bottom"/>
          </w:tcPr>
          <w:p>
            <w:pPr>
              <w:spacing w:after="0"/>
              <w:rPr>
                <w:sz w:val="1"/>
                <w:szCs w:val="1"/>
                <w:color w:val="auto"/>
              </w:rPr>
            </w:pPr>
          </w:p>
        </w:tc>
      </w:tr>
      <w:tr>
        <w:trPr>
          <w:trHeight w:val="3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10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18,403</w:t>
            </w: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to members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on term loan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(13,797)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0" w:type="dxa"/>
            <w:vAlign w:val="bottom"/>
          </w:tcPr>
          <w:p>
            <w:pPr>
              <w:spacing w:after="0"/>
              <w:rPr>
                <w:sz w:val="1"/>
                <w:szCs w:val="1"/>
                <w:color w:val="auto"/>
              </w:rPr>
            </w:pPr>
          </w:p>
        </w:tc>
      </w:tr>
      <w:tr>
        <w:trPr>
          <w:trHeight w:val="21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beginning of period</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13,530</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end of period</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paid during the period</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non-cash investing transactions: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828" w:right="33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December 31, 2021</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income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Distributions to members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December 31, 2022</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income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Distributions to members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December 31, 2023</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income</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Distributions to members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MEMBERS’ CAPITAL</w:t>
      </w:r>
    </w:p>
    <w:p>
      <w:pPr>
        <w:spacing w:after="0" w:line="4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98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136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Members'</w:t>
            </w:r>
          </w:p>
        </w:tc>
      </w:tr>
      <w:tr>
        <w:trPr>
          <w:trHeight w:val="227"/>
        </w:trPr>
        <w:tc>
          <w:tcPr>
            <w:tcW w:w="280" w:type="dxa"/>
            <w:vAlign w:val="bottom"/>
          </w:tcPr>
          <w:p>
            <w:pPr>
              <w:spacing w:after="0"/>
              <w:rPr>
                <w:sz w:val="19"/>
                <w:szCs w:val="19"/>
                <w:color w:val="auto"/>
              </w:rPr>
            </w:pPr>
          </w:p>
        </w:tc>
        <w:tc>
          <w:tcPr>
            <w:tcW w:w="136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Capital</w:t>
            </w:r>
          </w:p>
        </w:tc>
      </w:tr>
      <w:tr>
        <w:trPr>
          <w:trHeight w:val="51"/>
        </w:trPr>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09"/>
        </w:trPr>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58,859</w:t>
            </w:r>
          </w:p>
        </w:tc>
      </w:tr>
      <w:tr>
        <w:trPr>
          <w:trHeight w:val="219"/>
        </w:trPr>
        <w:tc>
          <w:tcPr>
            <w:tcW w:w="280" w:type="dxa"/>
            <w:vAlign w:val="bottom"/>
          </w:tcPr>
          <w:p>
            <w:pPr>
              <w:spacing w:after="0"/>
              <w:rPr>
                <w:sz w:val="19"/>
                <w:szCs w:val="19"/>
                <w:color w:val="auto"/>
              </w:rPr>
            </w:pP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14,210</w:t>
            </w:r>
          </w:p>
        </w:tc>
      </w:tr>
      <w:tr>
        <w:trPr>
          <w:trHeight w:val="223"/>
        </w:trPr>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9"/>
              </w:rPr>
              <w:t>(10,000)</w:t>
            </w:r>
          </w:p>
        </w:tc>
      </w:tr>
      <w:tr>
        <w:trPr>
          <w:trHeight w:val="209"/>
        </w:trPr>
        <w:tc>
          <w:tcPr>
            <w:tcW w:w="280" w:type="dxa"/>
            <w:vAlign w:val="bottom"/>
          </w:tcPr>
          <w:p>
            <w:pPr>
              <w:spacing w:after="0"/>
              <w:rPr>
                <w:sz w:val="18"/>
                <w:szCs w:val="18"/>
                <w:color w:val="auto"/>
              </w:rPr>
            </w:pP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63,069</w:t>
            </w:r>
          </w:p>
        </w:tc>
      </w:tr>
      <w:tr>
        <w:trPr>
          <w:trHeight w:val="219"/>
        </w:trPr>
        <w:tc>
          <w:tcPr>
            <w:tcW w:w="280" w:type="dxa"/>
            <w:vAlign w:val="bottom"/>
          </w:tcPr>
          <w:p>
            <w:pPr>
              <w:spacing w:after="0"/>
              <w:rPr>
                <w:sz w:val="19"/>
                <w:szCs w:val="19"/>
                <w:color w:val="auto"/>
              </w:rPr>
            </w:pP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10,481</w:t>
            </w:r>
          </w:p>
        </w:tc>
      </w:tr>
      <w:tr>
        <w:trPr>
          <w:trHeight w:val="223"/>
        </w:trPr>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9"/>
              </w:rPr>
              <w:t>(20,600)</w:t>
            </w:r>
          </w:p>
        </w:tc>
      </w:tr>
      <w:tr>
        <w:trPr>
          <w:trHeight w:val="209"/>
        </w:trPr>
        <w:tc>
          <w:tcPr>
            <w:tcW w:w="280" w:type="dxa"/>
            <w:vAlign w:val="bottom"/>
          </w:tcPr>
          <w:p>
            <w:pPr>
              <w:spacing w:after="0"/>
              <w:rPr>
                <w:sz w:val="18"/>
                <w:szCs w:val="18"/>
                <w:color w:val="auto"/>
              </w:rPr>
            </w:pP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52,950</w:t>
            </w:r>
          </w:p>
        </w:tc>
      </w:tr>
      <w:tr>
        <w:trPr>
          <w:trHeight w:val="219"/>
        </w:trPr>
        <w:tc>
          <w:tcPr>
            <w:tcW w:w="280" w:type="dxa"/>
            <w:vAlign w:val="bottom"/>
          </w:tcPr>
          <w:p>
            <w:pPr>
              <w:spacing w:after="0"/>
              <w:rPr>
                <w:sz w:val="19"/>
                <w:szCs w:val="19"/>
                <w:color w:val="auto"/>
              </w:rPr>
            </w:pPr>
          </w:p>
        </w:tc>
        <w:tc>
          <w:tcPr>
            <w:tcW w:w="1360" w:type="dxa"/>
            <w:vAlign w:val="bottom"/>
          </w:tcPr>
          <w:p>
            <w:pPr>
              <w:jc w:val="center"/>
              <w:ind w:left="654"/>
              <w:spacing w:after="0"/>
              <w:rPr>
                <w:sz w:val="20"/>
                <w:szCs w:val="20"/>
                <w:color w:val="auto"/>
              </w:rPr>
            </w:pPr>
            <w:r>
              <w:rPr>
                <w:rFonts w:ascii="Times New Roman" w:cs="Times New Roman" w:eastAsia="Times New Roman" w:hAnsi="Times New Roman"/>
                <w:sz w:val="17"/>
                <w:szCs w:val="17"/>
                <w:color w:val="auto"/>
                <w:w w:val="98"/>
              </w:rPr>
              <w:t>13,621</w:t>
            </w:r>
          </w:p>
        </w:tc>
      </w:tr>
      <w:tr>
        <w:trPr>
          <w:trHeight w:val="223"/>
        </w:trPr>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9"/>
              </w:rPr>
              <w:t>(13,000)</w:t>
            </w:r>
          </w:p>
        </w:tc>
      </w:tr>
      <w:tr>
        <w:trPr>
          <w:trHeight w:val="212"/>
        </w:trPr>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7"/>
                <w:szCs w:val="17"/>
                <w:color w:val="auto"/>
                <w:w w:val="98"/>
              </w:rPr>
              <w:t>53,571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-1456690</wp:posOffset>
            </wp:positionV>
            <wp:extent cx="7138670" cy="147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-1170305</wp:posOffset>
            </wp:positionV>
            <wp:extent cx="7138670" cy="139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-883285</wp:posOffset>
            </wp:positionV>
            <wp:extent cx="7138670" cy="1390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-605155</wp:posOffset>
            </wp:positionV>
            <wp:extent cx="7138670" cy="147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-318770</wp:posOffset>
            </wp:positionV>
            <wp:extent cx="7138670" cy="139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2">
            <w:col w:w="2060" w:space="540"/>
            <w:col w:w="8620"/>
          </w:cols>
          <w:pgMar w:left="340" w:top="828" w:right="339" w:bottom="1440" w:gutter="0" w:footer="0" w:header="0"/>
        </w:sectPr>
      </w:pPr>
    </w:p>
    <w:bookmarkStart w:id="131" w:name="page132"/>
    <w:bookmarkEnd w:id="131"/>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Information and Basis of Presentation</w:t>
      </w:r>
    </w:p>
    <w:p>
      <w:pPr>
        <w:spacing w:after="0" w:line="210" w:lineRule="exact"/>
        <w:rPr>
          <w:sz w:val="20"/>
          <w:szCs w:val="20"/>
          <w:color w:val="auto"/>
        </w:rPr>
      </w:pPr>
    </w:p>
    <w:p>
      <w:pPr>
        <w:ind w:right="40" w:firstLine="309"/>
        <w:spacing w:after="0" w:line="306" w:lineRule="auto"/>
        <w:rPr>
          <w:sz w:val="20"/>
          <w:szCs w:val="20"/>
          <w:color w:val="auto"/>
        </w:rPr>
      </w:pPr>
      <w:r>
        <w:rPr>
          <w:rFonts w:ascii="Times New Roman" w:cs="Times New Roman" w:eastAsia="Times New Roman" w:hAnsi="Times New Roman"/>
          <w:sz w:val="17"/>
          <w:szCs w:val="17"/>
          <w:color w:val="auto"/>
        </w:rPr>
        <w:t>Petro Travel Plaza Holdings LLC (the "Company"), a Delaware limited liability company, was formed on October 8, 2008, by Tejon Development Corporation., a California corporation ("Tejon") and wholly-owned subsidiary of Tejon Ranch Co., and TA Operating LLC, a Delaware limited liability company ("TA") and wholly-owned subsidiary of BP p.l.c. (“BP”). On May 15, 2023, TravelCenters of America, Inc. (“TA Inc.”), the parent company of TA, merged with a wholly-owned subsidiary of BP.</w:t>
      </w:r>
    </w:p>
    <w:p>
      <w:pPr>
        <w:spacing w:after="0" w:line="112" w:lineRule="exact"/>
        <w:rPr>
          <w:sz w:val="20"/>
          <w:szCs w:val="20"/>
          <w:color w:val="auto"/>
        </w:rPr>
      </w:pPr>
    </w:p>
    <w:p>
      <w:pPr>
        <w:ind w:right="80" w:firstLine="309"/>
        <w:spacing w:after="0" w:line="306" w:lineRule="auto"/>
        <w:rPr>
          <w:sz w:val="20"/>
          <w:szCs w:val="20"/>
          <w:color w:val="auto"/>
        </w:rPr>
      </w:pPr>
      <w:r>
        <w:rPr>
          <w:rFonts w:ascii="Times New Roman" w:cs="Times New Roman" w:eastAsia="Times New Roman" w:hAnsi="Times New Roman"/>
          <w:sz w:val="17"/>
          <w:szCs w:val="17"/>
          <w:color w:val="auto"/>
        </w:rPr>
        <w:t>The Company has two wholly-owned subsidiaries: Petro Travel Plaza LLC ("PTP") and East Travel Plaza LLC ("ETP"), each of which is a California limited liability company. The Company's Limited Liability Company Operating Agreement, as amended, ("the Operating Agreement") limits each members' liability to the fullest extent permitted by law. Pursuant to the terms of the Operating Agreement, TA manages the Company's operations and is responsible for the administrative, accounting and tax functions of the Company.</w:t>
      </w:r>
    </w:p>
    <w:p>
      <w:pPr>
        <w:spacing w:after="0" w:line="112" w:lineRule="exact"/>
        <w:rPr>
          <w:sz w:val="20"/>
          <w:szCs w:val="20"/>
          <w:color w:val="auto"/>
        </w:rPr>
      </w:pPr>
    </w:p>
    <w:p>
      <w:pPr>
        <w:ind w:right="160" w:firstLine="309"/>
        <w:spacing w:after="0" w:line="298" w:lineRule="auto"/>
        <w:rPr>
          <w:sz w:val="20"/>
          <w:szCs w:val="20"/>
          <w:color w:val="auto"/>
        </w:rPr>
      </w:pPr>
      <w:r>
        <w:rPr>
          <w:rFonts w:ascii="Times New Roman" w:cs="Times New Roman" w:eastAsia="Times New Roman" w:hAnsi="Times New Roman"/>
          <w:sz w:val="17"/>
          <w:szCs w:val="17"/>
          <w:color w:val="auto"/>
        </w:rPr>
        <w:t>As of December 31, 2024 and 2023, the Company has two travel centers, three convenience stores with retail gasoline stations and one standalone restaurant in Southern California, which are referred to collectively as the locations. One travel center and two convenience stores, owned by PTP, operate under the Petro brand and Goasis brand, respectively, and one travel center and one convenience store owned by ETP, operate under the TravelCenters of America brand and Goasis brand, respectively. The one standalone restaurant, owned by ETP, operates under the Black Bear Diner brand. The travel centers offer a broad range of products and services, including diesel fuel and gasoline, as well as nonfuel products and services such as truck repair and maintenance services, full service restaurants, quick service restaurants ("QSRs") and various customer amenities, such as showers, weigh scales, a truck wash and laundry facilities. The convenience stores offer gasoline as well as a variety of nonfuel products and services, including coffee, groceries, fresh foods, and, in one store, a QSR.</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members and their interests in the Company are as follows: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Members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Tejon</w:t>
            </w:r>
          </w:p>
        </w:tc>
        <w:tc>
          <w:tcPr>
            <w:tcW w:w="5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60.0 %</w:t>
            </w:r>
          </w:p>
        </w:tc>
      </w:tr>
      <w:tr>
        <w:trPr>
          <w:trHeight w:val="34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w:t>
            </w:r>
          </w:p>
        </w:tc>
        <w:tc>
          <w:tcPr>
            <w:tcW w:w="5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40.0 %</w:t>
            </w:r>
          </w:p>
        </w:tc>
      </w:tr>
    </w:tbl>
    <w:p>
      <w:pPr>
        <w:spacing w:after="0" w:line="293" w:lineRule="exact"/>
        <w:rPr>
          <w:sz w:val="20"/>
          <w:szCs w:val="20"/>
          <w:color w:val="auto"/>
        </w:rPr>
      </w:pPr>
    </w:p>
    <w:p>
      <w:pPr>
        <w:ind w:right="340" w:firstLine="309"/>
        <w:spacing w:after="0" w:line="334" w:lineRule="auto"/>
        <w:rPr>
          <w:sz w:val="20"/>
          <w:szCs w:val="20"/>
          <w:color w:val="auto"/>
        </w:rPr>
      </w:pPr>
      <w:r>
        <w:rPr>
          <w:rFonts w:ascii="Times New Roman" w:cs="Times New Roman" w:eastAsia="Times New Roman" w:hAnsi="Times New Roman"/>
          <w:sz w:val="17"/>
          <w:szCs w:val="17"/>
          <w:color w:val="auto"/>
        </w:rPr>
        <w:t>In any fiscal year, the Company's profits or losses and distributions, if any, shall be allocated 60.0% to Tejon and 40.0% to TA pursuant to the terms of the Operating Agreement.</w:t>
      </w:r>
    </w:p>
    <w:p>
      <w:pPr>
        <w:spacing w:after="0" w:line="88" w:lineRule="exact"/>
        <w:rPr>
          <w:sz w:val="20"/>
          <w:szCs w:val="20"/>
          <w:color w:val="auto"/>
        </w:rPr>
      </w:pPr>
    </w:p>
    <w:p>
      <w:pPr>
        <w:ind w:right="160" w:firstLine="309"/>
        <w:spacing w:after="0" w:line="306"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 owned subsidiaries, PTP and ETP, after eliminating intercompany transactions, profits and balances. 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9" w:lineRule="exact"/>
        <w:rPr>
          <w:sz w:val="20"/>
          <w:szCs w:val="20"/>
          <w:color w:val="auto"/>
        </w:rPr>
      </w:pPr>
    </w:p>
    <w:p>
      <w:pPr>
        <w:ind w:right="60" w:firstLine="309"/>
        <w:spacing w:after="0" w:line="302" w:lineRule="auto"/>
        <w:rPr>
          <w:sz w:val="20"/>
          <w:szCs w:val="20"/>
          <w:color w:val="auto"/>
        </w:rPr>
      </w:pPr>
      <w:r>
        <w:rPr>
          <w:rFonts w:ascii="Times New Roman" w:cs="Times New Roman" w:eastAsia="Times New Roman" w:hAnsi="Times New Roman"/>
          <w:sz w:val="17"/>
          <w:szCs w:val="17"/>
          <w:color w:val="auto"/>
        </w:rPr>
        <w:t>The Company has evaluated subsequent events through March 5, 2025, which represents the date the financial statements were available to be issued. Based on this evaluation, the Company has concluded that no events or transactions occurred that would require adjustment to or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828" w:right="339" w:bottom="1440" w:gutter="0" w:footer="0" w:header="0"/>
        </w:sectPr>
      </w:pPr>
    </w:p>
    <w:bookmarkStart w:id="132" w:name="page133"/>
    <w:bookmarkEnd w:id="132"/>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w:t>
      </w:r>
    </w:p>
    <w:p>
      <w:pPr>
        <w:spacing w:after="0" w:line="208" w:lineRule="exact"/>
        <w:rPr>
          <w:sz w:val="20"/>
          <w:szCs w:val="20"/>
          <w:color w:val="auto"/>
        </w:rPr>
      </w:pPr>
    </w:p>
    <w:p>
      <w:pPr>
        <w:jc w:val="both"/>
        <w:ind w:right="60" w:firstLine="309"/>
        <w:spacing w:after="0" w:line="306" w:lineRule="auto"/>
        <w:rPr>
          <w:sz w:val="20"/>
          <w:szCs w:val="20"/>
          <w:color w:val="auto"/>
        </w:rPr>
      </w:pPr>
      <w:r>
        <w:rPr>
          <w:rFonts w:ascii="Times New Roman" w:cs="Times New Roman" w:eastAsia="Times New Roman" w:hAnsi="Times New Roman"/>
          <w:sz w:val="17"/>
          <w:szCs w:val="17"/>
          <w:color w:val="auto"/>
        </w:rPr>
        <w:t>Inventory is stated at the lower of cost or net realizable value. The Company determines cost principally on the weighted average cost method. The Company maintains reserves for the estimated amounts of obsolete and excess inventory. These estimates are based on unit sales histories and on hand inventory quantities, known market trends for inventory items and assumptions regarding factors such as future inventory needs, their ability and the related cost to return items to their suppliers and ability to sell inventory at a discount when necessary.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Equipment</w:t>
      </w:r>
    </w:p>
    <w:p>
      <w:pPr>
        <w:spacing w:after="0" w:line="208" w:lineRule="exact"/>
        <w:rPr>
          <w:sz w:val="20"/>
          <w:szCs w:val="20"/>
          <w:color w:val="auto"/>
        </w:rPr>
      </w:pPr>
    </w:p>
    <w:p>
      <w:pPr>
        <w:ind w:right="120" w:firstLine="309"/>
        <w:spacing w:after="0" w:line="301" w:lineRule="auto"/>
        <w:rPr>
          <w:sz w:val="20"/>
          <w:szCs w:val="20"/>
          <w:color w:val="auto"/>
        </w:rPr>
      </w:pPr>
      <w:r>
        <w:rPr>
          <w:rFonts w:ascii="Times New Roman" w:cs="Times New Roman" w:eastAsia="Times New Roman" w:hAnsi="Times New Roman"/>
          <w:sz w:val="17"/>
          <w:szCs w:val="17"/>
          <w:color w:val="auto"/>
        </w:rPr>
        <w:t>Property and equipment are recorded at historical cost. Depreciation and amortization expense are provided using the straight-line method over the estimated useful lives of the respective assets. Repairs and maintenance are charged to expense as incurred and amounted to $1,792, $1,430 and $1,245 for the years ended December 31, 2024, 2023 and 2022, respectively. Renewals and betterments are capitalized. The cost and related accumulated depreciation of property and equipment sold, replaced or otherwise disposed is removed from the related accounts.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195" w:lineRule="exact"/>
        <w:rPr>
          <w:sz w:val="20"/>
          <w:szCs w:val="20"/>
          <w:color w:val="auto"/>
        </w:rPr>
      </w:pPr>
    </w:p>
    <w:p>
      <w:pPr>
        <w:ind w:firstLine="309"/>
        <w:spacing w:after="0" w:line="297" w:lineRule="auto"/>
        <w:rPr>
          <w:sz w:val="20"/>
          <w:szCs w:val="20"/>
          <w:color w:val="auto"/>
        </w:rPr>
      </w:pPr>
      <w:r>
        <w:rPr>
          <w:rFonts w:ascii="Times New Roman" w:cs="Times New Roman" w:eastAsia="Times New Roman" w:hAnsi="Times New Roman"/>
          <w:sz w:val="17"/>
          <w:szCs w:val="17"/>
          <w:color w:val="auto"/>
        </w:rPr>
        <w:t>The Company reviews definite lived assets for potential indicators of impairment during each reporting period. The Company recognizes impairment charges when (a) the carrying value of a long-lived asset or asset group to be held and used in the business is not recoverable and exceeds its fair value and (b) when the carrying value of a long-lived asset or asset group to be disposed of exceeds the estimated fair value of the asset less the estimated cost to sell the asset. The Company's estimates of fair value are based on its estimates of likely market participant assumptions, including projected operating results and the discount rate used to measure the present value of projected future cash flows. The Company uses a number of assumptions and methods in preparing valuations underlying impairment tests including estimates of future cash flows and discount rate, and in some instances may obtain third party appraisals. The Company recognizes such impairment charges in the period during which the circumstances surrounding an asset or asset group to be held and used have changed such that the carrying value is no longer recoverable, or during which a commitment to a plan to dispose of the asset or asset group is made. The Company performs an impairment analysis for substantially all of its property and equipment at the individual site level because that is the lowest level of asset and liability groupings for which the cash flows are largely independent of the cash flows of other assets and liabilities. During 2024, 2023, and 2022 the Company did not record any impairment charges related to its long-lived assets.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828" w:right="339" w:bottom="1440" w:gutter="0" w:footer="0" w:header="0"/>
        </w:sectPr>
      </w:pPr>
    </w:p>
    <w:bookmarkStart w:id="133" w:name="page134"/>
    <w:bookmarkEnd w:id="133"/>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195" w:lineRule="exact"/>
        <w:rPr>
          <w:sz w:val="20"/>
          <w:szCs w:val="20"/>
          <w:color w:val="auto"/>
        </w:rPr>
      </w:pPr>
    </w:p>
    <w:p>
      <w:pPr>
        <w:ind w:right="40" w:firstLine="309"/>
        <w:spacing w:after="0" w:line="299" w:lineRule="auto"/>
        <w:rPr>
          <w:sz w:val="20"/>
          <w:szCs w:val="20"/>
          <w:color w:val="auto"/>
        </w:rPr>
      </w:pPr>
      <w:r>
        <w:rPr>
          <w:rFonts w:ascii="Times New Roman" w:cs="Times New Roman" w:eastAsia="Times New Roman" w:hAnsi="Times New Roman"/>
          <w:sz w:val="17"/>
          <w:szCs w:val="17"/>
          <w:color w:val="auto"/>
        </w:rPr>
        <w:t>The Company records environmental remediation charges and penalties when the obligation to remediate is probable and the amount of associated costs is reasonably determinable. The Company estimates liabilities for other loss contingencies when it is probable that a liability has been incurred and the amount of loss is reasonably estimable. The Company includes remediation expenses within site level operating expense in the consolidated statements of income. Generally, the timing of remediation expense recognized coincides with the completion of a feasibility study or the commitment to a formal plan of action. Accrued liabilities related to environmental matters are recorded on an undiscounted basis because of the uncertainty associated with the timing of the related future payments. In the Company's consolidated balance sheets, the accrual for environmental matters is recorded in other noncurrent liabilities, with the amount estimated to be expended within the subsequent 12 months recorded in accrued expenses and other current liabilities. The Company recognizes a receivable for estimated future environmental costs that it may be reimbursed for once receipt of the recovery is probable and the Company is able to reasonably estimate the amount of the recovery, which is recorded within other noncurrent assets in the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Retirement Obligations</w:t>
      </w:r>
    </w:p>
    <w:p>
      <w:pPr>
        <w:spacing w:after="0" w:line="208" w:lineRule="exact"/>
        <w:rPr>
          <w:sz w:val="20"/>
          <w:szCs w:val="20"/>
          <w:color w:val="auto"/>
        </w:rPr>
      </w:pPr>
    </w:p>
    <w:p>
      <w:pPr>
        <w:ind w:firstLine="309"/>
        <w:spacing w:after="0" w:line="301" w:lineRule="auto"/>
        <w:rPr>
          <w:sz w:val="20"/>
          <w:szCs w:val="20"/>
          <w:color w:val="auto"/>
        </w:rPr>
      </w:pPr>
      <w:r>
        <w:rPr>
          <w:rFonts w:ascii="Times New Roman" w:cs="Times New Roman" w:eastAsia="Times New Roman" w:hAnsi="Times New Roman"/>
          <w:sz w:val="17"/>
          <w:szCs w:val="17"/>
          <w:color w:val="auto"/>
        </w:rPr>
        <w:t>The Company recognizes the future costs for the obligations related to the removal of underground storage tanks over the estimated useful lives of each asset requiring removal. The Company records a liability for the fair value of an asset retirement obligation with a corresponding increase to the carrying value of the related long-lived asset at the time such an asset is installed. The Company bases the estimated liability on its historical experiences in removing these assets, their estimated useful lives, external estimates as to the cost to remove the assets in the future and regulatory or contractual requirements. Asset retirement obligations as of December 31, 2024 and 2023 were $309 and $282, respectively and are presented in other noncurrent liabilities in the Company's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Self-Insurance Accruals</w:t>
      </w:r>
    </w:p>
    <w:p>
      <w:pPr>
        <w:spacing w:after="0" w:line="208" w:lineRule="exact"/>
        <w:rPr>
          <w:sz w:val="20"/>
          <w:szCs w:val="20"/>
          <w:color w:val="auto"/>
        </w:rPr>
      </w:pPr>
    </w:p>
    <w:p>
      <w:pPr>
        <w:ind w:right="60" w:firstLine="309"/>
        <w:spacing w:after="0" w:line="282" w:lineRule="auto"/>
        <w:rPr>
          <w:sz w:val="20"/>
          <w:szCs w:val="20"/>
          <w:color w:val="auto"/>
        </w:rPr>
      </w:pPr>
      <w:r>
        <w:rPr>
          <w:rFonts w:ascii="Times New Roman" w:cs="Times New Roman" w:eastAsia="Times New Roman" w:hAnsi="Times New Roman"/>
          <w:sz w:val="17"/>
          <w:szCs w:val="17"/>
          <w:color w:val="auto"/>
        </w:rPr>
        <w:t>The Company has insurance programs for which it pays deductibles and for which the Company is partially self-insured up to certain stop loss amounts, including claims under its general liability, workers’ compensation, motor vehicle and group health benefits policies and programs. Accruals are established under these insurance programs for both estimated losses on known claims and potential claims incurred but not asserted, based in part on claims histories and actuarial methods. In the Company's consolidated balance sheets, as of December 31, 2024 and 2023, the accrual for self-insurance costs was $1,060 and $1,039, respectively, of which $862 and $870 are recorded in other noncurrent liabilities and $198 and $169 are presented in accrued expenses and other current liabilities,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revenues consist of fuel and nonfuel revenues. See Note 2 for more information about the Company's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Fuel Product Cost and Nonfuel Product Cost.</w:t>
      </w:r>
    </w:p>
    <w:p>
      <w:pPr>
        <w:spacing w:after="0" w:line="195" w:lineRule="exact"/>
        <w:rPr>
          <w:sz w:val="20"/>
          <w:szCs w:val="20"/>
          <w:color w:val="auto"/>
        </w:rPr>
      </w:pPr>
    </w:p>
    <w:p>
      <w:pPr>
        <w:ind w:right="240" w:firstLine="309"/>
        <w:spacing w:after="0" w:line="306" w:lineRule="auto"/>
        <w:rPr>
          <w:sz w:val="20"/>
          <w:szCs w:val="20"/>
          <w:color w:val="auto"/>
        </w:rPr>
      </w:pPr>
      <w:r>
        <w:rPr>
          <w:rFonts w:ascii="Times New Roman" w:cs="Times New Roman" w:eastAsia="Times New Roman" w:hAnsi="Times New Roman"/>
          <w:sz w:val="17"/>
          <w:szCs w:val="17"/>
          <w:color w:val="auto"/>
        </w:rPr>
        <w:t>Fuel product cost on the consolidated statements of income primarily consists of the commodity fuel cost and related inbound transportation costs. Nonfuel product cost on the consolidated statements of income primarily consists of direct costs from suppliers. All site level labor expense is presented in site level operating expense in the consolidated statements of income. Depreciation and amortization expense is presented separately in depreciation and amortization expense in the consolidated statements of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828" w:right="339" w:bottom="1440" w:gutter="0" w:footer="0" w:header="0"/>
        </w:sectPr>
      </w:pPr>
    </w:p>
    <w:bookmarkStart w:id="134" w:name="page135"/>
    <w:bookmarkEnd w:id="134"/>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26" w:lineRule="exact"/>
        <w:rPr>
          <w:sz w:val="20"/>
          <w:szCs w:val="20"/>
          <w:color w:val="auto"/>
        </w:rPr>
      </w:pPr>
    </w:p>
    <w:p>
      <w:pPr>
        <w:ind w:right="120" w:firstLine="309"/>
        <w:spacing w:after="0" w:line="298" w:lineRule="auto"/>
        <w:rPr>
          <w:sz w:val="20"/>
          <w:szCs w:val="20"/>
          <w:color w:val="auto"/>
        </w:rPr>
      </w:pPr>
      <w:r>
        <w:rPr>
          <w:rFonts w:ascii="Times New Roman" w:cs="Times New Roman" w:eastAsia="Times New Roman" w:hAnsi="Times New Roman"/>
          <w:sz w:val="17"/>
          <w:szCs w:val="17"/>
          <w:color w:val="auto"/>
        </w:rPr>
        <w:t>In 2021, the Company executed separate branding agreements with two national retail gasoline suppliers to re-image certain sites to sell those brands of fuel. In 2022, these conversions were completed by the Company and the suppliers paid the Company up-front cash incentives and the reimbursement of certain expenses incurred to convert the sites. The Company has the right to terminate the branding agreements but would be obligated to return all or a portion of the incentives and reimbursements according to certain long-term milestone in the respective agreements. During the years ended December 31, 2024 and 2023, the Company did not amortize any portions of the deferred consideration related to the up-front incentives in the consolidated statements of income and expects to recognize them in the future as reductions to fuel product cost in periods beyond 2025 as the retention milestones of the respective agreements are met. The Company has $2,945 and $2,945 of deferred consideration relating to these arrangements as of December 31, 2024 and 2023, respectively. These amounts are recorded within other noncurrent liabilities in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Advertising and Promotion Expense</w:t>
      </w:r>
    </w:p>
    <w:p>
      <w:pPr>
        <w:spacing w:after="0" w:line="208" w:lineRule="exact"/>
        <w:rPr>
          <w:sz w:val="20"/>
          <w:szCs w:val="20"/>
          <w:color w:val="auto"/>
        </w:rPr>
      </w:pPr>
    </w:p>
    <w:p>
      <w:pPr>
        <w:ind w:right="80" w:firstLine="309"/>
        <w:spacing w:after="0" w:line="318" w:lineRule="auto"/>
        <w:rPr>
          <w:sz w:val="20"/>
          <w:szCs w:val="20"/>
          <w:color w:val="auto"/>
        </w:rPr>
      </w:pPr>
      <w:r>
        <w:rPr>
          <w:rFonts w:ascii="Times New Roman" w:cs="Times New Roman" w:eastAsia="Times New Roman" w:hAnsi="Times New Roman"/>
          <w:sz w:val="17"/>
          <w:szCs w:val="17"/>
          <w:color w:val="auto"/>
        </w:rPr>
        <w:t>Costs incurred in connection with advertising and promotions are expensed as incurred. Advertising and promotion expenses, which are recorded in site level operating expense in the consolidated statements of income, were $637, $641 and $504 for the years ended December 31, 2024, 2023 and 2022,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95" w:lineRule="exact"/>
        <w:rPr>
          <w:sz w:val="20"/>
          <w:szCs w:val="20"/>
          <w:color w:val="auto"/>
        </w:rPr>
      </w:pPr>
    </w:p>
    <w:p>
      <w:pPr>
        <w:ind w:right="440" w:firstLine="309"/>
        <w:spacing w:after="0" w:line="334" w:lineRule="auto"/>
        <w:rPr>
          <w:sz w:val="20"/>
          <w:szCs w:val="20"/>
          <w:color w:val="auto"/>
        </w:rPr>
      </w:pPr>
      <w:r>
        <w:rPr>
          <w:rFonts w:ascii="Times New Roman" w:cs="Times New Roman" w:eastAsia="Times New Roman" w:hAnsi="Times New Roman"/>
          <w:sz w:val="17"/>
          <w:szCs w:val="17"/>
          <w:color w:val="auto"/>
        </w:rPr>
        <w:t>The Company is not subject to federal or state income taxes. Results of operations are allocated to the members in accordance with the provisions of the Operating Agreement and any taxes thereon are the responsibility of each member.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Comprehensive Income</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 Company had no comprehensive income, other than the net income disclosed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10" w:lineRule="exact"/>
        <w:rPr>
          <w:sz w:val="20"/>
          <w:szCs w:val="20"/>
          <w:color w:val="auto"/>
        </w:rPr>
      </w:pPr>
    </w:p>
    <w:p>
      <w:pPr>
        <w:ind w:right="100" w:firstLine="309"/>
        <w:spacing w:after="0" w:line="318" w:lineRule="auto"/>
        <w:rPr>
          <w:sz w:val="20"/>
          <w:szCs w:val="20"/>
          <w:color w:val="auto"/>
        </w:rPr>
      </w:pPr>
      <w:r>
        <w:rPr>
          <w:rFonts w:ascii="Times New Roman" w:cs="Times New Roman" w:eastAsia="Times New Roman" w:hAnsi="Times New Roman"/>
          <w:sz w:val="17"/>
          <w:szCs w:val="17"/>
          <w:color w:val="auto"/>
        </w:rPr>
        <w:t>The following table summarizes recent accounting standard updates, or ASU, issued by the Financial Accounting Standards Board, or FASB, that could have an impact on the consolidated financial statements.</w:t>
      </w:r>
    </w:p>
    <w:p>
      <w:pPr>
        <w:sectPr>
          <w:pgSz w:w="11900" w:h="16838" w:orient="portrait"/>
          <w:cols w:equalWidth="0" w:num="1">
            <w:col w:w="11220"/>
          </w:cols>
          <w:pgMar w:left="320" w:top="828" w:right="359" w:bottom="1440" w:gutter="0" w:footer="0" w:header="0"/>
        </w:sect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Standard</w:t>
            </w:r>
          </w:p>
        </w:tc>
        <w:tc>
          <w:tcPr>
            <w:tcW w:w="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1420" w:type="dxa"/>
            <w:vAlign w:val="bottom"/>
          </w:tcPr>
          <w:p>
            <w:pPr>
              <w:spacing w:after="0"/>
              <w:rPr>
                <w:sz w:val="16"/>
                <w:szCs w:val="16"/>
                <w:color w:val="auto"/>
              </w:rPr>
            </w:pPr>
          </w:p>
        </w:tc>
      </w:tr>
      <w:tr>
        <w:trPr>
          <w:trHeight w:val="289"/>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Recently Issued Standards</w:t>
            </w:r>
          </w:p>
        </w:tc>
        <w:tc>
          <w:tcPr>
            <w:tcW w:w="94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6"/>
        </w:trPr>
        <w:tc>
          <w:tcPr>
            <w:tcW w:w="2760" w:type="dxa"/>
            <w:vAlign w:val="bottom"/>
            <w:gridSpan w:val="4"/>
          </w:tcPr>
          <w:p>
            <w:pPr>
              <w:ind w:left="40"/>
              <w:spacing w:after="0" w:line="186" w:lineRule="exact"/>
              <w:rPr>
                <w:sz w:val="20"/>
                <w:szCs w:val="20"/>
                <w:color w:val="auto"/>
              </w:rPr>
            </w:pPr>
            <w:r>
              <w:rPr>
                <w:rFonts w:ascii="Times New Roman" w:cs="Times New Roman" w:eastAsia="Times New Roman" w:hAnsi="Times New Roman"/>
                <w:sz w:val="17"/>
                <w:szCs w:val="17"/>
                <w:color w:val="auto"/>
              </w:rPr>
              <w:t>ASU 2024-03 – Income Statement –</w:t>
            </w:r>
          </w:p>
        </w:tc>
        <w:tc>
          <w:tcPr>
            <w:tcW w:w="3920" w:type="dxa"/>
            <w:vAlign w:val="bottom"/>
            <w:gridSpan w:val="3"/>
          </w:tcPr>
          <w:p>
            <w:pPr>
              <w:ind w:left="220"/>
              <w:spacing w:after="0" w:line="186" w:lineRule="exact"/>
              <w:rPr>
                <w:sz w:val="20"/>
                <w:szCs w:val="20"/>
                <w:color w:val="auto"/>
              </w:rPr>
            </w:pPr>
            <w:r>
              <w:rPr>
                <w:rFonts w:ascii="Times New Roman" w:cs="Times New Roman" w:eastAsia="Times New Roman" w:hAnsi="Times New Roman"/>
                <w:sz w:val="17"/>
                <w:szCs w:val="17"/>
                <w:color w:val="auto"/>
              </w:rPr>
              <w:t>This update requires disaggregated disclosure of</w:t>
            </w:r>
          </w:p>
        </w:tc>
      </w:tr>
      <w:tr>
        <w:trPr>
          <w:trHeight w:val="177"/>
        </w:trPr>
        <w:tc>
          <w:tcPr>
            <w:tcW w:w="276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auto"/>
              </w:rPr>
              <w:t>Reporting Comprehensive Income –</w:t>
            </w:r>
          </w:p>
        </w:tc>
        <w:tc>
          <w:tcPr>
            <w:tcW w:w="3920" w:type="dxa"/>
            <w:vAlign w:val="bottom"/>
            <w:gridSpan w:val="3"/>
          </w:tcPr>
          <w:p>
            <w:pPr>
              <w:ind w:left="220"/>
              <w:spacing w:after="0" w:line="177" w:lineRule="exact"/>
              <w:rPr>
                <w:sz w:val="20"/>
                <w:szCs w:val="20"/>
                <w:color w:val="auto"/>
              </w:rPr>
            </w:pPr>
            <w:r>
              <w:rPr>
                <w:rFonts w:ascii="Times New Roman" w:cs="Times New Roman" w:eastAsia="Times New Roman" w:hAnsi="Times New Roman"/>
                <w:sz w:val="17"/>
                <w:szCs w:val="17"/>
                <w:color w:val="auto"/>
              </w:rPr>
              <w:t>certain income statement expenses for public</w:t>
            </w:r>
          </w:p>
        </w:tc>
      </w:tr>
      <w:tr>
        <w:trPr>
          <w:trHeight w:val="171"/>
        </w:trPr>
        <w:tc>
          <w:tcPr>
            <w:tcW w:w="2760" w:type="dxa"/>
            <w:vAlign w:val="bottom"/>
            <w:gridSpan w:val="4"/>
          </w:tcPr>
          <w:p>
            <w:pPr>
              <w:spacing w:after="0" w:line="172" w:lineRule="exact"/>
              <w:rPr>
                <w:sz w:val="20"/>
                <w:szCs w:val="20"/>
                <w:color w:val="auto"/>
              </w:rPr>
            </w:pPr>
            <w:r>
              <w:rPr>
                <w:rFonts w:ascii="Times New Roman" w:cs="Times New Roman" w:eastAsia="Times New Roman" w:hAnsi="Times New Roman"/>
                <w:sz w:val="17"/>
                <w:szCs w:val="17"/>
                <w:color w:val="auto"/>
              </w:rPr>
              <w:t>Expense Disaggregation Disclosures</w:t>
            </w:r>
          </w:p>
        </w:tc>
        <w:tc>
          <w:tcPr>
            <w:tcW w:w="3920" w:type="dxa"/>
            <w:vAlign w:val="bottom"/>
            <w:gridSpan w:val="3"/>
          </w:tcPr>
          <w:p>
            <w:pPr>
              <w:ind w:left="220"/>
              <w:spacing w:after="0" w:line="172" w:lineRule="exact"/>
              <w:rPr>
                <w:sz w:val="20"/>
                <w:szCs w:val="20"/>
                <w:color w:val="auto"/>
              </w:rPr>
            </w:pPr>
            <w:r>
              <w:rPr>
                <w:rFonts w:ascii="Times New Roman" w:cs="Times New Roman" w:eastAsia="Times New Roman" w:hAnsi="Times New Roman"/>
                <w:sz w:val="17"/>
                <w:szCs w:val="17"/>
                <w:color w:val="auto"/>
              </w:rPr>
              <w:t>business entities within disclosures in the footnotes to</w:t>
            </w:r>
          </w:p>
        </w:tc>
      </w:tr>
      <w:tr>
        <w:trPr>
          <w:trHeight w:val="223"/>
        </w:trPr>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(Subtopic 220-40)</w:t>
            </w: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the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-607695</wp:posOffset>
            </wp:positionV>
            <wp:extent cx="7138670" cy="139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Effective Date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January 1, 2027</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left="20"/>
        <w:spacing w:after="0" w:line="244" w:lineRule="auto"/>
        <w:rPr>
          <w:sz w:val="20"/>
          <w:szCs w:val="20"/>
          <w:color w:val="auto"/>
        </w:rPr>
      </w:pPr>
      <w:r>
        <w:rPr>
          <w:rFonts w:ascii="Times New Roman" w:cs="Times New Roman" w:eastAsia="Times New Roman" w:hAnsi="Times New Roman"/>
          <w:sz w:val="17"/>
          <w:szCs w:val="17"/>
          <w:b w:val="1"/>
          <w:bCs w:val="1"/>
          <w:u w:val="single" w:color="auto"/>
          <w:color w:val="auto"/>
        </w:rPr>
        <w:t>Effect on the Consolidated Financial Statements</w:t>
      </w:r>
    </w:p>
    <w:p>
      <w:pPr>
        <w:spacing w:after="0" w:line="30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The Company is currently assessing the impacts of this standard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financial statements.</w:t>
      </w:r>
    </w:p>
    <w:p>
      <w:pPr>
        <w:spacing w:after="0" w:line="303" w:lineRule="exact"/>
        <w:rPr>
          <w:sz w:val="20"/>
          <w:szCs w:val="20"/>
          <w:color w:val="auto"/>
        </w:rPr>
      </w:pPr>
    </w:p>
    <w:p>
      <w:pPr>
        <w:sectPr>
          <w:pgSz w:w="11900" w:h="16838" w:orient="portrait"/>
          <w:cols w:equalWidth="0" w:num="3">
            <w:col w:w="6700" w:space="360"/>
            <w:col w:w="1080" w:space="360"/>
            <w:col w:w="2720"/>
          </w:cols>
          <w:pgMar w:left="320" w:top="82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20"/>
          </w:cols>
          <w:pgMar w:left="320" w:top="828" w:right="359" w:bottom="1440" w:gutter="0" w:footer="0" w:header="0"/>
          <w:type w:val="continuous"/>
        </w:sectPr>
      </w:pPr>
    </w:p>
    <w:bookmarkStart w:id="135" w:name="page136"/>
    <w:bookmarkEnd w:id="135"/>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Revenues</w:t>
      </w:r>
    </w:p>
    <w:p>
      <w:pPr>
        <w:spacing w:after="0" w:line="195" w:lineRule="exact"/>
        <w:rPr>
          <w:sz w:val="20"/>
          <w:szCs w:val="20"/>
          <w:color w:val="auto"/>
        </w:rPr>
      </w:pPr>
    </w:p>
    <w:p>
      <w:pPr>
        <w:ind w:right="120" w:firstLine="309"/>
        <w:spacing w:after="0" w:line="309" w:lineRule="auto"/>
        <w:rPr>
          <w:sz w:val="20"/>
          <w:szCs w:val="20"/>
          <w:color w:val="auto"/>
        </w:rPr>
      </w:pPr>
      <w:r>
        <w:rPr>
          <w:rFonts w:ascii="Times New Roman" w:cs="Times New Roman" w:eastAsia="Times New Roman" w:hAnsi="Times New Roman"/>
          <w:sz w:val="17"/>
          <w:szCs w:val="17"/>
          <w:color w:val="auto"/>
        </w:rPr>
        <w:t>The Company recognizes revenues based on the consideration specified in the contract with the customer, excluding any sales incentives (such as customer loyalty programs and customer rebates) and amounts collected on behalf of third parties (such as sales and excise taxes). The majority of the Company's revenues are generated at the point of sale at its retail locations.</w:t>
      </w:r>
    </w:p>
    <w:p>
      <w:pPr>
        <w:spacing w:after="0" w:line="118" w:lineRule="exact"/>
        <w:rPr>
          <w:sz w:val="20"/>
          <w:szCs w:val="20"/>
          <w:color w:val="auto"/>
        </w:rPr>
      </w:pPr>
    </w:p>
    <w:p>
      <w:pPr>
        <w:ind w:firstLine="309"/>
        <w:spacing w:after="0" w:line="312" w:lineRule="auto"/>
        <w:rPr>
          <w:sz w:val="20"/>
          <w:szCs w:val="20"/>
          <w:color w:val="auto"/>
        </w:rPr>
      </w:pPr>
      <w:r>
        <w:rPr>
          <w:rFonts w:ascii="Times New Roman" w:cs="Times New Roman" w:eastAsia="Times New Roman" w:hAnsi="Times New Roman"/>
          <w:sz w:val="17"/>
          <w:szCs w:val="17"/>
          <w:i w:val="1"/>
          <w:iCs w:val="1"/>
          <w:color w:val="auto"/>
        </w:rPr>
        <w:t xml:space="preserve">Fuel Revenues. </w:t>
      </w:r>
      <w:r>
        <w:rPr>
          <w:rFonts w:ascii="Times New Roman" w:cs="Times New Roman" w:eastAsia="Times New Roman" w:hAnsi="Times New Roman"/>
          <w:sz w:val="17"/>
          <w:szCs w:val="17"/>
          <w:color w:val="auto"/>
        </w:rPr>
        <w:t>The Company recognizes fuel revenues and the related costs at the time of sale to customers at its locations. The Company sells diesel fuel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gasoline to its customers at prices that it establishes daily, indexed to market prices. The Company sells diesel fuel under pricing arrangements with certain customers.</w:t>
      </w:r>
    </w:p>
    <w:p>
      <w:pPr>
        <w:spacing w:after="0" w:line="1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i w:val="1"/>
          <w:iCs w:val="1"/>
          <w:color w:val="auto"/>
        </w:rPr>
        <w:t xml:space="preserve">Nonfuel Revenues. </w:t>
      </w:r>
      <w:r>
        <w:rPr>
          <w:rFonts w:ascii="Times New Roman" w:cs="Times New Roman" w:eastAsia="Times New Roman" w:hAnsi="Times New Roman"/>
          <w:sz w:val="17"/>
          <w:szCs w:val="17"/>
          <w:color w:val="auto"/>
        </w:rPr>
        <w:t>The Company recognizes nonfuel revenues and the related costs at the time of sale to customers at its locations. The Company sells a</w:t>
      </w:r>
    </w:p>
    <w:p>
      <w:pPr>
        <w:spacing w:after="0" w:line="41"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7"/>
          <w:szCs w:val="17"/>
          <w:color w:val="auto"/>
        </w:rPr>
        <w:t>variety of nonfuel products and services at stated retail prices in its travel centers, standalone convenience stores and standalone restaurant, as well as through the TA Truck Service® Emergency Roadside Assistance program. Truck repair and maintenance goods or services may be sold at discounted pricing under pricing and rebate arrangements with certain customers.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Sales incentives and other promotional activities that the Company recognizes as a reduction to revenue include, but are not limited to, the following:</w:t>
      </w:r>
    </w:p>
    <w:p>
      <w:pPr>
        <w:spacing w:after="0" w:line="136" w:lineRule="exact"/>
        <w:rPr>
          <w:sz w:val="20"/>
          <w:szCs w:val="20"/>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Loyalty Program. </w:t>
      </w:r>
      <w:r>
        <w:rPr>
          <w:rFonts w:ascii="Times New Roman" w:cs="Times New Roman" w:eastAsia="Times New Roman" w:hAnsi="Times New Roman"/>
          <w:sz w:val="17"/>
          <w:szCs w:val="17"/>
          <w:color w:val="auto"/>
        </w:rPr>
        <w:t>The Company offers travel center trucking customers the option to participate in TA's customer loyalty program. The</w:t>
      </w:r>
    </w:p>
    <w:p>
      <w:pPr>
        <w:spacing w:after="0" w:line="53" w:lineRule="exact"/>
        <w:rPr>
          <w:rFonts w:ascii="Times New Roman" w:cs="Times New Roman" w:eastAsia="Times New Roman" w:hAnsi="Times New Roman"/>
          <w:sz w:val="17"/>
          <w:szCs w:val="17"/>
          <w:color w:val="auto"/>
        </w:rPr>
      </w:pPr>
    </w:p>
    <w:p>
      <w:pPr>
        <w:ind w:left="6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loyalty program provides customers with the right to earn loyalty awards on qualifying purchases that can be used for discounts on future purchases of goods or services. The Company is charged by TA for a portion of each sale attributable to the loyalty awards earned by customers. Upon the</w:t>
      </w:r>
    </w:p>
    <w:p>
      <w:pPr>
        <w:spacing w:after="0" w:line="1" w:lineRule="exact"/>
        <w:rPr>
          <w:rFonts w:ascii="Times New Roman" w:cs="Times New Roman" w:eastAsia="Times New Roman" w:hAnsi="Times New Roman"/>
          <w:sz w:val="17"/>
          <w:szCs w:val="17"/>
          <w:color w:val="auto"/>
        </w:rPr>
      </w:pPr>
    </w:p>
    <w:p>
      <w:pPr>
        <w:ind w:left="620" w:right="18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or expiration of the loyalty awards at Company sites, the Company is credited by TA and recognizes revenue in the category in which the loyalty awards are redeemed. Significant judgment is used by TA to determine the standalone selling price used to account for and track loyalty awards.</w:t>
      </w:r>
    </w:p>
    <w:p>
      <w:pPr>
        <w:spacing w:after="0" w:line="1" w:lineRule="exact"/>
        <w:rPr>
          <w:rFonts w:ascii="Times New Roman" w:cs="Times New Roman" w:eastAsia="Times New Roman" w:hAnsi="Times New Roman"/>
          <w:sz w:val="17"/>
          <w:szCs w:val="17"/>
          <w:color w:val="auto"/>
        </w:rPr>
      </w:pPr>
    </w:p>
    <w:p>
      <w:pPr>
        <w:ind w:left="620" w:right="10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used in determining the standalone selling price include the historic redemption rate and the use of a weighted average selling price for fuel to calculate the revenues attributable to the loyalty awards.</w:t>
      </w:r>
    </w:p>
    <w:p>
      <w:pPr>
        <w:spacing w:after="0" w:line="5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Discounts and Rebates. </w:t>
      </w:r>
      <w:r>
        <w:rPr>
          <w:rFonts w:ascii="Times New Roman" w:cs="Times New Roman" w:eastAsia="Times New Roman" w:hAnsi="Times New Roman"/>
          <w:sz w:val="17"/>
          <w:szCs w:val="17"/>
          <w:color w:val="auto"/>
        </w:rPr>
        <w:t>TA enters into agreements with certain customers on behalf of the Company in which it agrees to provide discounts and</w:t>
      </w:r>
    </w:p>
    <w:p>
      <w:pPr>
        <w:spacing w:after="0" w:line="53" w:lineRule="exact"/>
        <w:rPr>
          <w:rFonts w:ascii="Times New Roman" w:cs="Times New Roman" w:eastAsia="Times New Roman" w:hAnsi="Times New Roman"/>
          <w:sz w:val="17"/>
          <w:szCs w:val="17"/>
          <w:color w:val="auto"/>
        </w:rPr>
      </w:pPr>
    </w:p>
    <w:p>
      <w:pPr>
        <w:ind w:left="620" w:right="58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rebates on fuel and/or truck service purchases. The Company recognizes the cost of discounts against, and in the same period as, the revenues that generated the discounts earned.</w:t>
      </w:r>
    </w:p>
    <w:p>
      <w:pPr>
        <w:spacing w:after="0" w:line="109"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Gift Cards. </w:t>
      </w:r>
      <w:r>
        <w:rPr>
          <w:rFonts w:ascii="Times New Roman" w:cs="Times New Roman" w:eastAsia="Times New Roman" w:hAnsi="Times New Roman"/>
          <w:sz w:val="17"/>
          <w:szCs w:val="17"/>
          <w:color w:val="auto"/>
        </w:rPr>
        <w:t>The Company sells TA and Petro branded gift cards. Proceeds from sale are recognized as liabilities to TA. When these gift cards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redeemed for a sale, the Company establishes receivables from TA. These liabilities and receivables are settled with TA through the normal settlement process.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97" w:lineRule="exact"/>
        <w:rPr>
          <w:sz w:val="20"/>
          <w:szCs w:val="20"/>
          <w:color w:val="auto"/>
        </w:rPr>
      </w:pPr>
    </w:p>
    <w:p>
      <w:pPr>
        <w:ind w:right="480" w:firstLine="309"/>
        <w:spacing w:after="0" w:line="334" w:lineRule="auto"/>
        <w:rPr>
          <w:sz w:val="20"/>
          <w:szCs w:val="20"/>
          <w:color w:val="auto"/>
        </w:rPr>
      </w:pPr>
      <w:r>
        <w:rPr>
          <w:rFonts w:ascii="Times New Roman" w:cs="Times New Roman" w:eastAsia="Times New Roman" w:hAnsi="Times New Roman"/>
          <w:sz w:val="17"/>
          <w:szCs w:val="17"/>
          <w:color w:val="auto"/>
        </w:rPr>
        <w:t>The Company disaggregates its revenues based on the type of good or service provided to the customer, or by fuel revenues and nonfuel revenues, in its consolidated statements of income. The Company's locations use similar processes to sell similar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828" w:right="339" w:bottom="1440" w:gutter="0" w:footer="0" w:header="0"/>
        </w:sectPr>
      </w:pPr>
    </w:p>
    <w:bookmarkStart w:id="136" w:name="page137"/>
    <w:bookmarkEnd w:id="136"/>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 Inventory</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Inventory as of December 31, 2024 and 2023, consisted of the following:</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Nonfuel products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2,101</w:t>
            </w: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Fuel products</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715</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inventory</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2,682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2,816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0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88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Property and equipment, net, as of December 31, 2024 and 2023, consisted of the following:</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80" w:type="dxa"/>
            <w:vAlign w:val="bottom"/>
          </w:tcPr>
          <w:p>
            <w:pPr>
              <w:spacing w:after="0"/>
              <w:rPr>
                <w:sz w:val="24"/>
                <w:szCs w:val="24"/>
                <w:color w:val="auto"/>
              </w:rPr>
            </w:pPr>
          </w:p>
        </w:tc>
        <w:tc>
          <w:tcPr>
            <w:tcW w:w="2800" w:type="dxa"/>
            <w:vAlign w:val="bottom"/>
            <w:gridSpan w:val="4"/>
          </w:tcPr>
          <w:p>
            <w:pPr>
              <w:jc w:val="center"/>
              <w:ind w:right="1054"/>
              <w:spacing w:after="0"/>
              <w:rPr>
                <w:sz w:val="20"/>
                <w:szCs w:val="20"/>
                <w:color w:val="auto"/>
              </w:rPr>
            </w:pPr>
            <w:r>
              <w:rPr>
                <w:rFonts w:ascii="Times New Roman" w:cs="Times New Roman" w:eastAsia="Times New Roman" w:hAnsi="Times New Roman"/>
                <w:sz w:val="17"/>
                <w:szCs w:val="17"/>
                <w:b w:val="1"/>
                <w:bCs w:val="1"/>
                <w:color w:val="auto"/>
              </w:rPr>
              <w:t>Estimated Useful</w:t>
            </w:r>
          </w:p>
        </w:tc>
        <w:tc>
          <w:tcPr>
            <w:tcW w:w="1260" w:type="dxa"/>
            <w:vAlign w:val="bottom"/>
            <w:gridSpan w:val="5"/>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80" w:type="dxa"/>
            <w:vAlign w:val="bottom"/>
          </w:tcPr>
          <w:p>
            <w:pPr>
              <w:spacing w:after="0"/>
              <w:rPr>
                <w:sz w:val="16"/>
                <w:szCs w:val="16"/>
                <w:color w:val="auto"/>
              </w:rPr>
            </w:pPr>
          </w:p>
        </w:tc>
        <w:tc>
          <w:tcPr>
            <w:tcW w:w="17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b w:val="1"/>
                <w:bCs w:val="1"/>
                <w:color w:val="auto"/>
              </w:rPr>
              <w:t>Lives (years)</w:t>
            </w:r>
          </w:p>
        </w:tc>
        <w:tc>
          <w:tcPr>
            <w:tcW w:w="1060" w:type="dxa"/>
            <w:vAlign w:val="bottom"/>
            <w:tcBorders>
              <w:bottom w:val="single" w:sz="8" w:color="auto"/>
            </w:tcBorders>
            <w:gridSpan w:val="2"/>
          </w:tcPr>
          <w:p>
            <w:pPr>
              <w:spacing w:after="0"/>
              <w:rPr>
                <w:sz w:val="16"/>
                <w:szCs w:val="16"/>
                <w:color w:val="auto"/>
              </w:rPr>
            </w:pPr>
          </w:p>
        </w:tc>
        <w:tc>
          <w:tcPr>
            <w:tcW w:w="1260" w:type="dxa"/>
            <w:vAlign w:val="bottom"/>
            <w:tcBorders>
              <w:bottom w:val="single" w:sz="8" w:color="auto"/>
            </w:tcBorders>
            <w:gridSpan w:val="5"/>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10-40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equipment and furniture</w:t>
            </w:r>
          </w:p>
        </w:tc>
        <w:tc>
          <w:tcPr>
            <w:tcW w:w="16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100,981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40,891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expense for the years ended December 31, 2024, 2023 and 2022 was $3,101, $2,922 and $2,903,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Accrued Expenses and Other Current Liabilities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 as of December 31, 2024 and 2023,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7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payable, other than income taxes</w:t>
            </w:r>
          </w:p>
        </w:tc>
        <w:tc>
          <w:tcPr>
            <w:tcW w:w="112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 term debt, current portion</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Self-insurance accrual, current portion</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vacation wages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utilities</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76"/>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828" w:right="339" w:bottom="1440" w:gutter="0" w:footer="0" w:header="0"/>
        </w:sectPr>
      </w:pPr>
    </w:p>
    <w:bookmarkStart w:id="137" w:name="page138"/>
    <w:bookmarkEnd w:id="137"/>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Long Term Debt, net</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87"/>
        </w:trPr>
        <w:tc>
          <w:tcPr>
            <w:tcW w:w="89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Long term debt, net of deferred financing costs as of December 31, 2024 and 2023, consisted of the following:</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786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bottom w:val="single" w:sz="8" w:color="auto"/>
            </w:tcBorders>
          </w:tcPr>
          <w:p>
            <w:pPr>
              <w:spacing w:after="0"/>
              <w:rPr>
                <w:sz w:val="23"/>
                <w:szCs w:val="23"/>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payable</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13,323</w:t>
            </w:r>
          </w:p>
        </w:tc>
      </w:tr>
      <w:tr>
        <w:trPr>
          <w:trHeight w:val="21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 of long term debt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37"/>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long term debt, net</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80" w:firstLine="309"/>
        <w:spacing w:after="0" w:line="298" w:lineRule="auto"/>
        <w:rPr>
          <w:sz w:val="20"/>
          <w:szCs w:val="20"/>
          <w:color w:val="auto"/>
        </w:rPr>
      </w:pPr>
      <w:r>
        <w:rPr>
          <w:rFonts w:ascii="Times New Roman" w:cs="Times New Roman" w:eastAsia="Times New Roman" w:hAnsi="Times New Roman"/>
          <w:sz w:val="17"/>
          <w:szCs w:val="17"/>
          <w:color w:val="auto"/>
        </w:rPr>
        <w:t>The Company has a credit agreement with a bank that was last amended in June 2023 to, among other things, update financial covenants, lower liquidity requirements and adjust interest rates. Future minimum principal payments on the note payable of $767 are due in each of the years 2025, 2026, 2027, 2028 and 2029 and $8,752 thereafter. The credit agreement includes certain financial covenants that the Company was in compliance with as of December 31, 2024 and 2023. The interest rate on the debt is equal to the monthly secured overnight financing rate (“SOFR”) plus 2.05%, payable monthly. As of December 31, 2024, the interest rate was 6.45%. The Company's weighted average interest rates for the years ended December 31, 2024, 2023 and 2022 were 7.22%, 7.07% and 3.84%, respectively. The debt is secured by the Company's real property.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Issuance Costs</w:t>
      </w:r>
    </w:p>
    <w:p>
      <w:pPr>
        <w:spacing w:after="0" w:line="197" w:lineRule="exact"/>
        <w:rPr>
          <w:sz w:val="20"/>
          <w:szCs w:val="20"/>
          <w:color w:val="auto"/>
        </w:rPr>
      </w:pPr>
    </w:p>
    <w:p>
      <w:pPr>
        <w:ind w:right="160" w:firstLine="309"/>
        <w:spacing w:after="0" w:line="309" w:lineRule="auto"/>
        <w:rPr>
          <w:sz w:val="20"/>
          <w:szCs w:val="20"/>
          <w:color w:val="auto"/>
        </w:rPr>
      </w:pPr>
      <w:r>
        <w:rPr>
          <w:rFonts w:ascii="Times New Roman" w:cs="Times New Roman" w:eastAsia="Times New Roman" w:hAnsi="Times New Roman"/>
          <w:sz w:val="17"/>
          <w:szCs w:val="17"/>
          <w:color w:val="auto"/>
        </w:rPr>
        <w:t>Debt issuance costs are presented on the consolidated balance sheets as a reduction of long term debt, net. As of December 31, 2024 and 2023, debt issuance costs were $25 and $29, net of accumulated amortization of $33 and $29, respectively. The Company estimates it will recognize future amortization of debt issuance costs of $4 in each of the years 2025, 2026, 2027, 2028 and 2029.</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 Operating LLC</w:t>
      </w:r>
    </w:p>
    <w:p>
      <w:pPr>
        <w:spacing w:after="0" w:line="210" w:lineRule="exact"/>
        <w:rPr>
          <w:sz w:val="20"/>
          <w:szCs w:val="20"/>
          <w:color w:val="auto"/>
        </w:rPr>
      </w:pPr>
    </w:p>
    <w:p>
      <w:pPr>
        <w:ind w:right="100" w:firstLine="309"/>
        <w:spacing w:after="0" w:line="295" w:lineRule="auto"/>
        <w:rPr>
          <w:sz w:val="20"/>
          <w:szCs w:val="20"/>
          <w:color w:val="auto"/>
        </w:rPr>
      </w:pPr>
      <w:r>
        <w:rPr>
          <w:rFonts w:ascii="Times New Roman" w:cs="Times New Roman" w:eastAsia="Times New Roman" w:hAnsi="Times New Roman"/>
          <w:sz w:val="17"/>
          <w:szCs w:val="17"/>
          <w:color w:val="auto"/>
        </w:rPr>
        <w:t>Pursuant to the terms of the Operating Agreement, TA provides cash management services to PTP, including the collection of accounts receivable. Accounts receivable are periodically transferred to TA for collection and any amounts for which PTP has not received payment from TA are reflected as due from affiliate, net in the consolidated balance sheets. Amounts due from affiliate, net as of December 31, 2024 and 2023, were $872 and $2,337, respectively. Pursuant to the terms of the Operating Agreement, TA manages the locations, including purchasing fuel and nonfuel products on the Company's behalf, and is responsible for the administrative, accounting and tax functions of the Company. TA receives a management fee for providing these services, which may not be commensurate with the cost of these services were the Company to perform these internally or obtain them from an unrelated third party. In November 2016, the Company further amended the Operating Agreement to, among other things, (a) increase the annual management fee to $1,300 effective January 1, 2017, with annual increases equal to the lesser of (i) the increase in the Customer Price Index, or (ii) 2.5% and (b) include any additional new builds or significant renovation projects in the construction management fee. In November 2019, the Company further amended the Operating Agreement to, among other things, increase the annual management fee by $100. In addition to management services and staffing provided by TA, the Operating Agreement grants the Company the right to use all of TA's names, trade names, trademarks and logos to the extent required in the operation of the Company's travel centers and convenience stores. The Company paid management fees to TA in the amount of $1,677, $1,636 and $1,596 for the years ended December 31, 2024, 2023 and 2022, respectively, which are recorded in site level operating expense in the consolidated statements of income.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828" w:right="339" w:bottom="1440" w:gutter="0" w:footer="0" w:header="0"/>
        </w:sectPr>
      </w:pPr>
    </w:p>
    <w:bookmarkStart w:id="138" w:name="page139"/>
    <w:bookmarkEnd w:id="138"/>
    <w:p>
      <w:pPr>
        <w:ind w:left="3960"/>
        <w:spacing w:after="0"/>
        <w:rPr>
          <w:sz w:val="20"/>
          <w:szCs w:val="20"/>
          <w:color w:val="auto"/>
        </w:rPr>
      </w:pPr>
      <w:r>
        <w:rPr>
          <w:rFonts w:ascii="Times New Roman" w:cs="Times New Roman" w:eastAsia="Times New Roman" w:hAnsi="Times New Roman"/>
          <w:sz w:val="17"/>
          <w:szCs w:val="17"/>
          <w:b w:val="1"/>
          <w:bCs w:val="1"/>
          <w:color w:val="auto"/>
        </w:rPr>
        <w:t>PETRO TRAVEL PLAZA HOLDINGS LLC</w:t>
      </w:r>
    </w:p>
    <w:p>
      <w:pPr>
        <w:spacing w:after="0" w:line="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326" w:lineRule="exact"/>
        <w:rPr>
          <w:sz w:val="20"/>
          <w:szCs w:val="20"/>
          <w:color w:val="auto"/>
        </w:rPr>
      </w:pPr>
    </w:p>
    <w:p>
      <w:pPr>
        <w:ind w:right="200" w:firstLine="309"/>
        <w:spacing w:after="0" w:line="309" w:lineRule="auto"/>
        <w:rPr>
          <w:sz w:val="20"/>
          <w:szCs w:val="20"/>
          <w:color w:val="auto"/>
        </w:rPr>
      </w:pPr>
      <w:r>
        <w:rPr>
          <w:rFonts w:ascii="Times New Roman" w:cs="Times New Roman" w:eastAsia="Times New Roman" w:hAnsi="Times New Roman"/>
          <w:sz w:val="17"/>
          <w:szCs w:val="17"/>
          <w:color w:val="auto"/>
        </w:rPr>
        <w:t>The employees operating the Company's travel centers, convenience stores and standalone restaurant are TA employees. In addition to the management fees described above, the Company reimbursed TA for wages and benefits related to these employees that totaled $14,167, $14,289 and $13,913 for the years ended December 31, 2024, 2023 and 2022, respectively. These reimbursements were recorded in site level operating expense in the consolidated statements of income.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Contingencies</w:t>
      </w:r>
    </w:p>
    <w:p>
      <w:pPr>
        <w:spacing w:after="0" w:line="208" w:lineRule="exact"/>
        <w:rPr>
          <w:sz w:val="20"/>
          <w:szCs w:val="20"/>
          <w:color w:val="auto"/>
        </w:rPr>
      </w:pPr>
    </w:p>
    <w:p>
      <w:pPr>
        <w:ind w:right="300" w:firstLine="309"/>
        <w:spacing w:after="0" w:line="309" w:lineRule="auto"/>
        <w:rPr>
          <w:sz w:val="20"/>
          <w:szCs w:val="20"/>
          <w:color w:val="auto"/>
        </w:rPr>
      </w:pPr>
      <w:r>
        <w:rPr>
          <w:rFonts w:ascii="Times New Roman" w:cs="Times New Roman" w:eastAsia="Times New Roman" w:hAnsi="Times New Roman"/>
          <w:sz w:val="17"/>
          <w:szCs w:val="17"/>
          <w:color w:val="auto"/>
        </w:rPr>
        <w:t>The Company is involved from time to time in various legal and administrative proceedings, including sales and use tax audits, and threatened legal and administrative proceedings incidental to the ordinary course of business, none of which is expected, individually or in the aggregate, to have a material adverse effect on the Company's business, financial condition, results of operations or cash flows.</w:t>
      </w:r>
    </w:p>
    <w:p>
      <w:pPr>
        <w:spacing w:after="0" w:line="122" w:lineRule="exact"/>
        <w:rPr>
          <w:sz w:val="20"/>
          <w:szCs w:val="20"/>
          <w:color w:val="auto"/>
        </w:rPr>
      </w:pPr>
    </w:p>
    <w:p>
      <w:pPr>
        <w:ind w:firstLine="309"/>
        <w:spacing w:after="0" w:line="301" w:lineRule="auto"/>
        <w:rPr>
          <w:sz w:val="20"/>
          <w:szCs w:val="20"/>
          <w:color w:val="auto"/>
        </w:rPr>
      </w:pPr>
      <w:r>
        <w:rPr>
          <w:rFonts w:ascii="Times New Roman" w:cs="Times New Roman" w:eastAsia="Times New Roman" w:hAnsi="Times New Roman"/>
          <w:sz w:val="17"/>
          <w:szCs w:val="17"/>
          <w:color w:val="auto"/>
        </w:rPr>
        <w:t>The Company's operations and properties are subject to extensive federal and state legislation, regulations, and requirements relating to environmental matters. The Company uses underground storage tanks ("USTs") to store petroleum products and motor oil. Statutory and regulatory requirements for UST systems include requirements for tank construction, integrity testing, leak detection and monitoring, overfill and spill control and mandate corrective action in case of a release from a UST into the environment. The Company is also subject to regulation relating to vapor recovery and discharges into the water. Management believes that the Company's USTs are currently in compliance in all material respects with applicable environmental legislation, regulations and requirements.</w:t>
      </w:r>
    </w:p>
    <w:p>
      <w:pPr>
        <w:spacing w:after="0" w:line="115" w:lineRule="exact"/>
        <w:rPr>
          <w:sz w:val="20"/>
          <w:szCs w:val="20"/>
          <w:color w:val="auto"/>
        </w:rPr>
      </w:pPr>
    </w:p>
    <w:p>
      <w:pPr>
        <w:ind w:firstLine="309"/>
        <w:spacing w:after="0" w:line="297" w:lineRule="auto"/>
        <w:rPr>
          <w:sz w:val="20"/>
          <w:szCs w:val="20"/>
          <w:color w:val="auto"/>
        </w:rPr>
      </w:pPr>
      <w:r>
        <w:rPr>
          <w:rFonts w:ascii="Times New Roman" w:cs="Times New Roman" w:eastAsia="Times New Roman" w:hAnsi="Times New Roman"/>
          <w:sz w:val="17"/>
          <w:szCs w:val="17"/>
          <w:color w:val="auto"/>
        </w:rPr>
        <w:t>Accruals for environmental matters are recorded in site level operating expense in the consolidated statements of income when it is probable that a liability has been incurred and the amount of the liability can be reasonably estimated. From time to time the Company has received, and in the future likely will receive, notices of alleged violations of environmental laws or otherwise has become or will become aware of the need to undertake corrective actions to comply with environmental laws at its properties. Investigatory and remedial actions were, and regularly are, undertaken with respect to releases of hazardous substances. The Company had accruals for environmental matters in the consolidated balance sheets of $0 and $23 as of December 31, 2024 and 2023, respectively, which were primarily presented in accrued expenses and other current liabilities, with the amount estimated to be expended beyond the subsequent 12 months in other noncurrent liabilities. Accruals are periodically evaluated and updated as information regarding the nature of the clean up work is obtained. In light of the Company's business and the quantity of petroleum products that it handles, there can be no assurance that currently unidentified hazardous substance contamination does not exist or that liability will not be imposed in the future in materially different amounts than those the Company has recorded. See Note 1 for a discussion of the Company's accounting policies relating to contingencies.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lvl w:ilvl="1">
      <w:lvlJc w:val="left"/>
      <w:lvlText w:val="☒"/>
      <w:numFmt w:val="bullet"/>
      <w:start w:val="1"/>
    </w:lvl>
  </w:abstractNum>
  <w:abstractNum w:abstractNumId="1">
    <w:nsid w:val="6DE91B18"/>
    <w:multiLevelType w:val="hybridMultilevel"/>
    <w:lvl w:ilvl="0">
      <w:lvlJc w:val="left"/>
      <w:lvlText w:val="1"/>
      <w:numFmt w:val="bullet"/>
      <w:start w:val="1"/>
    </w:lvl>
  </w:abstractNum>
  <w:abstractNum w:abstractNumId="2">
    <w:nsid w:val="38437FDB"/>
    <w:multiLevelType w:val="hybridMultilevel"/>
    <w:lvl w:ilvl="0">
      <w:lvlJc w:val="left"/>
      <w:lvlText w:val="1"/>
      <w:numFmt w:val="bullet"/>
      <w:start w:val="1"/>
    </w:lvl>
  </w:abstractNum>
  <w:abstractNum w:abstractNumId="3">
    <w:nsid w:val="7644A45C"/>
    <w:multiLevelType w:val="hybridMultilevel"/>
    <w:lvl w:ilvl="0">
      <w:lvlJc w:val="left"/>
      <w:lvlText w:val="1"/>
      <w:numFmt w:val="bullet"/>
      <w:start w:val="1"/>
    </w:lvl>
  </w:abstractNum>
  <w:abstractNum w:abstractNumId="4">
    <w:nsid w:val="32FFF902"/>
    <w:multiLevelType w:val="hybridMultilevel"/>
    <w:lvl w:ilvl="0">
      <w:lvlJc w:val="left"/>
      <w:lvlText w:val="2"/>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1)"/>
      <w:numFmt w:val="decimal"/>
      <w:start w:val="2"/>
    </w:lvl>
  </w:abstractNum>
  <w:abstractNum w:abstractNumId="13">
    <w:nsid w:val="70C6A529"/>
    <w:multiLevelType w:val="hybridMultilevel"/>
    <w:lvl w:ilvl="0">
      <w:lvlJc w:val="left"/>
      <w:lvlText w:val="1"/>
      <w:numFmt w:val="bullet"/>
      <w:start w:val="1"/>
    </w:lvl>
  </w:abstractNum>
  <w:abstractNum w:abstractNumId="14">
    <w:nsid w:val="520EEDD1"/>
    <w:multiLevelType w:val="hybridMultilevel"/>
    <w:lvl w:ilvl="0">
      <w:lvlJc w:val="left"/>
      <w:lvlText w:val="2"/>
      <w:numFmt w:val="bullet"/>
      <w:start w:val="1"/>
    </w:lvl>
  </w:abstractNum>
  <w:abstractNum w:abstractNumId="15">
    <w:nsid w:val="374A3FE6"/>
    <w:multiLevelType w:val="hybridMultilevel"/>
    <w:lvl w:ilvl="0">
      <w:lvlJc w:val="left"/>
      <w:lvlText w:val="1"/>
      <w:numFmt w:val="bullet"/>
      <w:start w:val="1"/>
    </w:lvl>
  </w:abstractNum>
  <w:abstractNum w:abstractNumId="16">
    <w:nsid w:val="4F4EF005"/>
    <w:multiLevelType w:val="hybridMultilevel"/>
    <w:lvl w:ilvl="0">
      <w:lvlJc w:val="left"/>
      <w:lvlText w:val="2"/>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bullet"/>
      <w:start w:val="1"/>
    </w:lvl>
  </w:abstractNum>
  <w:abstractNum w:abstractNumId="29">
    <w:nsid w:val="10233C99"/>
    <w:multiLevelType w:val="hybridMultilevel"/>
    <w:lvl w:ilvl="0">
      <w:lvlJc w:val="left"/>
      <w:lvlText w:val="•"/>
      <w:numFmt w:val="bullet"/>
      <w:start w:val="1"/>
    </w:lvl>
    <w:lvl w:ilvl="1">
      <w:lvlJc w:val="left"/>
      <w:lvlText w:val="◦"/>
      <w:numFmt w:val="bullet"/>
      <w:start w:val="1"/>
    </w:lvl>
  </w:abstractNum>
  <w:abstractNum w:abstractNumId="30">
    <w:nsid w:val="3F6AB60F"/>
    <w:multiLevelType w:val="hybridMultilevel"/>
    <w:lvl w:ilvl="0">
      <w:lvlJc w:val="left"/>
      <w:lvlText w:val="1"/>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1"/>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decimal"/>
      <w:start w:val="3"/>
    </w:lvl>
  </w:abstractNum>
  <w:abstractNum w:abstractNumId="37">
    <w:nsid w:val="2F305DEF"/>
    <w:multiLevelType w:val="hybridMultilevel"/>
    <w:lvl w:ilvl="0">
      <w:lvlJc w:val="left"/>
      <w:lvlText w:val="1"/>
      <w:numFmt w:val="bullet"/>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lowerLetter"/>
      <w:start w:val="2"/>
    </w:lvl>
  </w:abstractNum>
  <w:abstractNum w:abstractNumId="40">
    <w:nsid w:val="4AD084E9"/>
    <w:multiLevelType w:val="hybridMultilevel"/>
    <w:lvl w:ilvl="0">
      <w:lvlJc w:val="left"/>
      <w:lvlText w:val="1"/>
      <w:numFmt w:val="bullet"/>
      <w:start w:val="1"/>
    </w:lvl>
  </w:abstractNum>
  <w:abstractNum w:abstractNumId="41">
    <w:nsid w:val="1F48EAA1"/>
    <w:multiLevelType w:val="hybridMultilevel"/>
    <w:lvl w:ilvl="0">
      <w:lvlJc w:val="left"/>
      <w:lvlText w:val="1"/>
      <w:numFmt w:val="bullet"/>
      <w:start w:val="1"/>
    </w:lvl>
  </w:abstractNum>
  <w:abstractNum w:abstractNumId="42">
    <w:nsid w:val="1381823A"/>
    <w:multiLevelType w:val="hybridMultilevel"/>
    <w:lvl w:ilvl="0">
      <w:lvlJc w:val="left"/>
      <w:lvlText w:val="2"/>
      <w:numFmt w:val="bullet"/>
      <w:start w:val="1"/>
    </w:lvl>
  </w:abstractNum>
  <w:abstractNum w:abstractNumId="43">
    <w:nsid w:val="5DB70AE5"/>
    <w:multiLevelType w:val="hybridMultilevel"/>
    <w:lvl w:ilvl="0">
      <w:lvlJc w:val="left"/>
      <w:lvlText w:val="%1"/>
      <w:numFmt w:val="decimal"/>
      <w:start w:val="104"/>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
      <w:numFmt w:val="bullet"/>
      <w:start w:val="1"/>
    </w:lvl>
    <w:lvl w:ilvl="1">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1."/>
      <w:numFmt w:val="decimal"/>
      <w:start w:val="3"/>
    </w:lvl>
  </w:abstractNum>
  <w:abstractNum w:abstractNumId="49">
    <w:nsid w:val="799D0247"/>
    <w:multiLevelType w:val="hybridMultilevel"/>
    <w:lvl w:ilvl="0">
      <w:lvlJc w:val="left"/>
      <w:lvlText w:val="%1."/>
      <w:numFmt w:val="decimal"/>
      <w:start w:val="5"/>
    </w:lvl>
  </w:abstractNum>
  <w:abstractNum w:abstractNumId="50">
    <w:nsid w:val="6B94764"/>
    <w:multiLevelType w:val="hybridMultilevel"/>
    <w:lvl w:ilvl="0">
      <w:lvlJc w:val="left"/>
      <w:lvlText w:val="1"/>
      <w:numFmt w:val="bullet"/>
      <w:start w:val="1"/>
    </w:lvl>
  </w:abstractNum>
  <w:abstractNum w:abstractNumId="51">
    <w:nsid w:val="42C296BD"/>
    <w:multiLevelType w:val="hybridMultilevel"/>
    <w:lvl w:ilvl="0">
      <w:lvlJc w:val="left"/>
      <w:lvlText w:val="%1."/>
      <w:numFmt w:val="decimal"/>
      <w:start w:val="8"/>
    </w:lvl>
  </w:abstractNum>
  <w:abstractNum w:abstractNumId="52">
    <w:nsid w:val="168E121F"/>
    <w:multiLevelType w:val="hybridMultilevel"/>
    <w:lvl w:ilvl="0">
      <w:lvlJc w:val="left"/>
      <w:lvlText w:val="%1."/>
      <w:numFmt w:val="decimal"/>
      <w:start w:val="9"/>
    </w:lvl>
  </w:abstractNum>
  <w:abstractNum w:abstractNumId="53">
    <w:nsid w:val="1EBA5D23"/>
    <w:multiLevelType w:val="hybridMultilevel"/>
    <w:lvl w:ilvl="0">
      <w:lvlJc w:val="left"/>
      <w:lvlText w:val="%1."/>
      <w:numFmt w:val="decimal"/>
      <w:start w:val="10"/>
    </w:lvl>
  </w:abstractNum>
  <w:abstractNum w:abstractNumId="54">
    <w:nsid w:val="661E3F1E"/>
    <w:multiLevelType w:val="hybridMultilevel"/>
    <w:lvl w:ilvl="0">
      <w:lvlJc w:val="left"/>
      <w:lvlText w:val="%1."/>
      <w:numFmt w:val="decimal"/>
      <w:start w:val="11"/>
    </w:lvl>
  </w:abstractNum>
  <w:abstractNum w:abstractNumId="55">
    <w:nsid w:val="5DC79EA8"/>
    <w:multiLevelType w:val="hybridMultilevel"/>
    <w:lvl w:ilvl="0">
      <w:lvlJc w:val="left"/>
      <w:lvlText w:val="%1."/>
      <w:numFmt w:val="decimal"/>
      <w:start w:val="12"/>
    </w:lvl>
  </w:abstractNum>
  <w:abstractNum w:abstractNumId="56">
    <w:nsid w:val="540A471C"/>
    <w:multiLevelType w:val="hybridMultilevel"/>
    <w:lvl w:ilvl="0">
      <w:lvlJc w:val="left"/>
      <w:lvlText w:val="%1."/>
      <w:numFmt w:val="decimal"/>
      <w:start w:val="13"/>
    </w:lvl>
  </w:abstractNum>
  <w:abstractNum w:abstractNumId="57">
    <w:nsid w:val="7BD3EE7B"/>
    <w:multiLevelType w:val="hybridMultilevel"/>
    <w:lvl w:ilvl="0">
      <w:lvlJc w:val="left"/>
      <w:lvlText w:val="1"/>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bullet"/>
      <w:start w:val="1"/>
    </w:lvl>
  </w:abstractNum>
  <w:abstractNum w:abstractNumId="60">
    <w:nsid w:val="BF72B14"/>
    <w:multiLevelType w:val="hybridMultilevel"/>
    <w:lvl w:ilvl="0">
      <w:lvlJc w:val="left"/>
      <w:lvlText w:val="2"/>
      <w:numFmt w:val="bullet"/>
      <w:start w:val="1"/>
    </w:lvl>
  </w:abstractNum>
  <w:abstractNum w:abstractNumId="61">
    <w:nsid w:val="11447B73"/>
    <w:multiLevelType w:val="hybridMultilevel"/>
    <w:lvl w:ilvl="0">
      <w:lvlJc w:val="left"/>
      <w:lvlText w:val="1"/>
      <w:numFmt w:val="bullet"/>
      <w:start w:val="1"/>
    </w:lvl>
  </w:abstractNum>
  <w:abstractNum w:abstractNumId="62">
    <w:nsid w:val="42963E5A"/>
    <w:multiLevelType w:val="hybridMultilevel"/>
    <w:lvl w:ilvl="0">
      <w:lvlJc w:val="left"/>
      <w:lvlText w:val="1"/>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lvl w:ilvl="1">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bullet"/>
      <w:start w:val="1"/>
    </w:lvl>
  </w:abstractNum>
  <w:abstractNum w:abstractNumId="67">
    <w:nsid w:val="68EB2F63"/>
    <w:multiLevelType w:val="hybridMultilevel"/>
    <w:lvl w:ilvl="0">
      <w:lvlJc w:val="left"/>
      <w:lvlText w:val="2"/>
      <w:numFmt w:val="bullet"/>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bullet"/>
      <w:start w:val="1"/>
    </w:lvl>
  </w:abstractNum>
  <w:abstractNum w:abstractNumId="70">
    <w:nsid w:val="6A5EE64"/>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upperLetter"/>
      <w:start w:val="2"/>
    </w:lvl>
    <w:lvl w:ilvl="1">
      <w:lvlJc w:val="left"/>
      <w:lvlText w:val="%2."/>
      <w:numFmt w:val="decimal"/>
      <w:start w:val="1"/>
    </w:lvl>
  </w:abstractNum>
  <w:abstractNum w:abstractNumId="74">
    <w:nsid w:val="71EA1109"/>
    <w:multiLevelType w:val="hybridMultilevel"/>
    <w:lvl w:ilvl="0">
      <w:lvlJc w:val="left"/>
      <w:lvlText w:val="•"/>
      <w:numFmt w:val="bullet"/>
      <w:start w:val="1"/>
    </w:lvl>
    <w:lvl w:ilvl="1">
      <w:lvlJc w:val="left"/>
      <w:lvlText w:val="%2."/>
      <w:numFmt w:val="decimal"/>
      <w:start w:val="2"/>
    </w:lvl>
  </w:abstractNum>
  <w:abstractNum w:abstractNumId="75">
    <w:nsid w:val="100F59DC"/>
    <w:multiLevelType w:val="hybridMultilevel"/>
    <w:lvl w:ilvl="0">
      <w:lvlJc w:val="left"/>
      <w:lvlText w:val="%1."/>
      <w:numFmt w:val="upperLetter"/>
      <w:start w:val="3"/>
    </w:lvl>
    <w:lvl w:ilvl="1">
      <w:lvlJc w:val="left"/>
      <w:lvlText w:val="%2."/>
      <w:numFmt w:val="decimal"/>
      <w:start w:val="1"/>
    </w:lvl>
  </w:abstractNum>
  <w:abstractNum w:abstractNumId="76">
    <w:nsid w:val="7FB7E0AA"/>
    <w:multiLevelType w:val="hybridMultilevel"/>
    <w:lvl w:ilvl="0">
      <w:lvlJc w:val="left"/>
      <w:lvlText w:val="%1."/>
      <w:numFmt w:val="decimal"/>
      <w:start w:val="2"/>
    </w:lvl>
  </w:abstractNum>
  <w:abstractNum w:abstractNumId="77">
    <w:nsid w:val="6EB5BD4"/>
    <w:multiLevelType w:val="hybridMultilevel"/>
    <w:lvl w:ilvl="0">
      <w:lvlJc w:val="left"/>
      <w:lvlText w:val="%1."/>
      <w:numFmt w:val="decimal"/>
      <w:start w:val="3"/>
    </w:lvl>
  </w:abstractNum>
  <w:abstractNum w:abstractNumId="78">
    <w:nsid w:val="6F6DD9AC"/>
    <w:multiLevelType w:val="hybridMultilevel"/>
    <w:lvl w:ilvl="0">
      <w:lvlJc w:val="left"/>
      <w:lvlText w:val="%1."/>
      <w:numFmt w:val="decimal"/>
      <w:start w:val="4"/>
    </w:lvl>
  </w:abstractNum>
  <w:abstractNum w:abstractNumId="79">
    <w:nsid w:val="94211F2"/>
    <w:multiLevelType w:val="hybridMultilevel"/>
    <w:lvl w:ilvl="0">
      <w:lvlJc w:val="left"/>
      <w:lvlText w:val="%1."/>
      <w:numFmt w:val="upperLetter"/>
      <w:start w:val="4"/>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2"/>
    </w:lvl>
  </w:abstractNum>
  <w:abstractNum w:abstractNumId="82">
    <w:nsid w:val="4C04A8AF"/>
    <w:multiLevelType w:val="hybridMultilevel"/>
    <w:lvl w:ilvl="0">
      <w:lvlJc w:val="left"/>
      <w:lvlText w:val="%1"/>
      <w:numFmt w:val="upperLetter"/>
      <w:start w:val="1"/>
    </w:lvl>
    <w:lvl w:ilvl="1">
      <w:lvlJc w:val="left"/>
      <w:lvlText w:val="%2."/>
      <w:numFmt w:val="decimal"/>
      <w:start w:val="4"/>
    </w:lvl>
  </w:abstractNum>
  <w:abstractNum w:abstractNumId="83">
    <w:nsid w:val="1716703B"/>
    <w:multiLevelType w:val="hybridMultilevel"/>
    <w:lvl w:ilvl="0">
      <w:lvlJc w:val="left"/>
      <w:lvlText w:val="%1."/>
      <w:numFmt w:val="upperLetter"/>
      <w:start w:val="35"/>
    </w:lvl>
    <w:lvl w:ilvl="1">
      <w:lvlJc w:val="left"/>
      <w:lvlText w:val="%2"/>
      <w:numFmt w:val="decimal"/>
      <w:start w:val="1"/>
    </w:lvl>
  </w:abstractNum>
  <w:abstractNum w:abstractNumId="84">
    <w:nsid w:val="14E17E33"/>
    <w:multiLevelType w:val="hybridMultilevel"/>
    <w:lvl w:ilvl="0">
      <w:lvlJc w:val="left"/>
      <w:lvlText w:val="%1."/>
      <w:numFmt w:val="upperLetter"/>
      <w:start w:val="3"/>
    </w:lvl>
  </w:abstractNum>
  <w:abstractNum w:abstractNumId="85">
    <w:nsid w:val="3222E7CD"/>
    <w:multiLevelType w:val="hybridMultilevel"/>
    <w:lvl w:ilvl="0">
      <w:lvlJc w:val="left"/>
      <w:lvlText w:val="%1."/>
      <w:numFmt w:val="upperLetter"/>
      <w:start w:val="61"/>
    </w:lvl>
  </w:abstractNum>
  <w:abstractNum w:abstractNumId="86">
    <w:nsid w:val="74DE0EE3"/>
    <w:multiLevelType w:val="hybridMultilevel"/>
    <w:lvl w:ilvl="0">
      <w:lvlJc w:val="left"/>
      <w:lvlText w:val="%1."/>
      <w:numFmt w:val="upperLetter"/>
      <w:start w:val="1"/>
    </w:lvl>
    <w:lvl w:ilvl="1">
      <w:lvlJc w:val="left"/>
      <w:lvlText w:val="%2."/>
      <w:numFmt w:val="lowerLetter"/>
      <w:start w:val="1"/>
    </w:lvl>
  </w:abstractNum>
  <w:abstractNum w:abstractNumId="87">
    <w:nsid w:val="68EBC550"/>
    <w:multiLevelType w:val="hybridMultilevel"/>
    <w:lvl w:ilvl="0">
      <w:lvlJc w:val="left"/>
      <w:lvlText w:val="%1."/>
      <w:numFmt w:val="decimal"/>
      <w:start w:val="1"/>
    </w:lvl>
    <w:lvl w:ilvl="1">
      <w:lvlJc w:val="left"/>
      <w:lvlText w:val="%2."/>
      <w:numFmt w:val="lowerLetter"/>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100" Type="http://schemas.openxmlformats.org/officeDocument/2006/relationships/hyperlink" Target="https://www.sec.gov/Archives/edgar/data/96869/000009686921000016/ex31restatedcertificateo.htm" TargetMode="External"/><Relationship Id="rId101" Type="http://schemas.openxmlformats.org/officeDocument/2006/relationships/hyperlink" Target="https://www.sec.gov/Archives/edgar/data/96869/000119312523079260/d487105dex31.htm" TargetMode="External"/><Relationship Id="rId102" Type="http://schemas.openxmlformats.org/officeDocument/2006/relationships/hyperlink" Target="https://www.sec.gov/Archives/edgar/data/96869/000119312505245123/dex41.htm" TargetMode="External"/><Relationship Id="rId103" Type="http://schemas.openxmlformats.org/officeDocument/2006/relationships/hyperlink" Target="https://www.sec.gov/Archives/edgar/data/96869/000009686923000006/exhibit44descriptionofsecu.htm" TargetMode="External"/><Relationship Id="rId104" Type="http://schemas.openxmlformats.org/officeDocument/2006/relationships/hyperlink" Target="https://www.sec.gov/Archives/edgar/data/96869/000119312519119877/d718363dex46.htm" TargetMode="External"/><Relationship Id="rId105" Type="http://schemas.openxmlformats.org/officeDocument/2006/relationships/hyperlink" Target="https://www.sec.gov/Archives/edgar/data/96869/0000096869-98-000002.txt" TargetMode="External"/><Relationship Id="rId106" Type="http://schemas.openxmlformats.org/officeDocument/2006/relationships/hyperlink" Target="https://www.sec.gov/Archives/edgar/data/96869/000119312509042772/dex109.htm" TargetMode="External"/><Relationship Id="rId107" Type="http://schemas.openxmlformats.org/officeDocument/2006/relationships/hyperlink" Target="https://www.sec.gov/Archives/edgar/data/96869/000119312509042772/dex1010.htm" TargetMode="External"/><Relationship Id="rId108" Type="http://schemas.openxmlformats.org/officeDocument/2006/relationships/hyperlink" Target="https://www.sec.gov/Archives/edgar/data/96869/000102140802004535/dex1016.txt" TargetMode="External"/><Relationship Id="rId109" Type="http://schemas.openxmlformats.org/officeDocument/2006/relationships/hyperlink" Target="https://www.sec.gov/Archives/edgar/data/96869/000119312504082310/dex41.htm" TargetMode="External"/><Relationship Id="rId110" Type="http://schemas.openxmlformats.org/officeDocument/2006/relationships/hyperlink" Target="https://www.sec.gov/Archives/edgar/data/96869/000119312504082310/dex42.htm" TargetMode="External"/><Relationship Id="rId111" Type="http://schemas.openxmlformats.org/officeDocument/2006/relationships/hyperlink" Target="https://www.sec.gov/Archives/edgar/data/96869/000119312505051499/dex1021.htm" TargetMode="External"/><Relationship Id="rId112" Type="http://schemas.openxmlformats.org/officeDocument/2006/relationships/hyperlink" Target="https://www.sec.gov/Archives/edgar/data/96869/000119312505051499/dex1023.htm" TargetMode="External"/><Relationship Id="rId113" Type="http://schemas.openxmlformats.org/officeDocument/2006/relationships/hyperlink" Target="https://www.sec.gov/Archives/edgar/data/96869/000119312505051499/dex1022.htm" TargetMode="External"/><Relationship Id="rId114" Type="http://schemas.openxmlformats.org/officeDocument/2006/relationships/hyperlink" Target="https://www.sec.gov/Archives/edgar/data/96869/000119312506118520/dex1024.htm" TargetMode="External"/><Relationship Id="rId115" Type="http://schemas.openxmlformats.org/officeDocument/2006/relationships/hyperlink" Target="https://www.sec.gov/Archives/edgar/data/96869/000119312508138009/dex1028.htm" TargetMode="External"/><Relationship Id="rId116" Type="http://schemas.openxmlformats.org/officeDocument/2006/relationships/hyperlink" Target="https://www.sec.gov/Archives/edgar/data/96869/000119312509170594/dex1025.htm" TargetMode="External"/><Relationship Id="rId117" Type="http://schemas.openxmlformats.org/officeDocument/2006/relationships/hyperlink" Target="https://www.sec.gov/Archives/edgar/data/96869/000144530513001209/exhibit1026-execagreementa.htm" TargetMode="External"/><Relationship Id="rId118" Type="http://schemas.openxmlformats.org/officeDocument/2006/relationships/hyperlink" Target="https://www.sec.gov/Archives/edgar/data/96869/000119312513246605/d549609dex1027.htm" TargetMode="External"/><Relationship Id="rId119" Type="http://schemas.openxmlformats.org/officeDocument/2006/relationships/hyperlink" Target="https://www.sec.gov/Archives/edgar/data/96869/000119312513326495/d581835dex101.htm" TargetMode="External"/><Relationship Id="rId120" Type="http://schemas.openxmlformats.org/officeDocument/2006/relationships/hyperlink" Target="https://www.sec.gov/Archives/edgar/data/96869/000009686914000009/exhibit1029tmvamendments20.htm" TargetMode="External"/><Relationship Id="rId121" Type="http://schemas.openxmlformats.org/officeDocument/2006/relationships/hyperlink" Target="https://www.sec.gov/Archives/edgar/data/96869/000119312514270067/d758856dex1030.htm" TargetMode="External"/><Relationship Id="rId124" Type="http://schemas.openxmlformats.org/officeDocument/2006/relationships/hyperlink" Target="https://www.sec.gov/Archives/edgar/data/96869/000009686915000003/exhibit1034calpineagreemen.htm" TargetMode="External"/><Relationship Id="rId125" Type="http://schemas.openxmlformats.org/officeDocument/2006/relationships/hyperlink" Target="https://www.sec.gov/Archives/edgar/data/96869/000009686915000010/ex1035q32015.htm" TargetMode="External"/><Relationship Id="rId126" Type="http://schemas.openxmlformats.org/officeDocument/2006/relationships/hyperlink" Target="https://www.sec.gov/Archives/edgar/data/96869/000009686916000017/ex1037limitedliabilityagre.htm" TargetMode="External"/><Relationship Id="rId127" Type="http://schemas.openxmlformats.org/officeDocument/2006/relationships/hyperlink" Target="https://www.sec.gov/Archives/edgar/data/96869/000009686916000019/ex1038llagreementoftrc-mrc1.htm" TargetMode="External"/><Relationship Id="rId128" Type="http://schemas.openxmlformats.org/officeDocument/2006/relationships/hyperlink" Target="https://www.sec.gov/Archives/edgar/data/96869/000009686917000002/exhibit1039centennialredem.htm" TargetMode="External"/><Relationship Id="rId129" Type="http://schemas.openxmlformats.org/officeDocument/2006/relationships/hyperlink" Target="https://www.sec.gov/Archives/edgar/data/96869/000009686917000002/exhibit1040firstamendmentt.htm" TargetMode="External"/><Relationship Id="rId130" Type="http://schemas.openxmlformats.org/officeDocument/2006/relationships/hyperlink" Target="https://www.sec.gov/Archives/edgar/data/96869/000009686917000002/exhibit1041secondamendment.htm" TargetMode="External"/><Relationship Id="rId131" Type="http://schemas.openxmlformats.org/officeDocument/2006/relationships/hyperlink" Target="https://www.sec.gov/Archives/edgar/data/96869/000009686918000015/ex1042trcmrc3llc.htm" TargetMode="External"/><Relationship Id="rId132" Type="http://schemas.openxmlformats.org/officeDocument/2006/relationships/hyperlink" Target="https://www.sec.gov/Archives/edgar/data/96869/000009686919000004/exhibit1043201810k.htm" TargetMode="External"/><Relationship Id="rId133" Type="http://schemas.openxmlformats.org/officeDocument/2006/relationships/hyperlink" Target="https://www.sec.gov/Archives/edgar/data/96869/000009686919000004/exhibit1044201810k.htm" TargetMode="External"/><Relationship Id="rId134" Type="http://schemas.openxmlformats.org/officeDocument/2006/relationships/hyperlink" Target="https://www.sec.gov/Archives/edgar/data/96869/000009686920000007/exhibit1047-gregbseverance.htm" TargetMode="External"/><Relationship Id="rId135" Type="http://schemas.openxmlformats.org/officeDocument/2006/relationships/hyperlink" Target="https://www.sec.gov/Archives/edgar/data/0000096869/000009686921000011/ex1048mrc4llc.htm" TargetMode="External"/><Relationship Id="rId136" Type="http://schemas.openxmlformats.org/officeDocument/2006/relationships/hyperlink" Target="https://www.sec.gov/Archives/edgar/data/96869/000009686922000005/exhibit1048centennialcrf.htm" TargetMode="External"/><Relationship Id="rId137" Type="http://schemas.openxmlformats.org/officeDocument/2006/relationships/hyperlink" Target="https://www.sec.gov/Archives/edgar/data/96869/000009686922000005/exhibit1050trc-mrcmultii.htm" TargetMode="External"/><Relationship Id="rId138" Type="http://schemas.openxmlformats.org/officeDocument/2006/relationships/hyperlink" Target="https://www.sec.gov/Archives/edgar/data/96869/000009686922000009/ex1051mrc5.htm" TargetMode="External"/><Relationship Id="rId139" Type="http://schemas.openxmlformats.org/officeDocument/2006/relationships/hyperlink" Target="https://www.sec.gov/Archives/edgar/data/96869/000009686922000012/ex1052creditagreementbof.htm" TargetMode="External"/><Relationship Id="rId140" Type="http://schemas.openxmlformats.org/officeDocument/2006/relationships/hyperlink" Target="https://www.sec.gov/Archives/edgar/data/96869/000009686923000014/ex1053mhsevag.htm" TargetMode="External"/><Relationship Id="rId141" Type="http://schemas.openxmlformats.org/officeDocument/2006/relationships/hyperlink" Target="https://www.sec.gov/Archives/edgar/data/96869/000119312523280777/d518195dex1001.htm" TargetMode="External"/><Relationship Id="rId142" Type="http://schemas.openxmlformats.org/officeDocument/2006/relationships/hyperlink" Target="https://www.sec.gov/Archives/edgar/data/96869/000119312524076651/d796643dex1001.htm" TargetMode="External"/><Relationship Id="rId143" Type="http://schemas.openxmlformats.org/officeDocument/2006/relationships/hyperlink" Target="https://www.sec.gov/Archives/edgar/data/96869/000009686924000014/trcdpllc.htm" TargetMode="External"/><Relationship Id="rId144" Type="http://schemas.openxmlformats.org/officeDocument/2006/relationships/hyperlink" Target="https://www.sec.gov/Archives/edgar/data/96869/000119312525024064/d930665dex1001.htm" TargetMode="External"/><Relationship Id="rId145" Type="http://schemas.openxmlformats.org/officeDocument/2006/relationships/hyperlink" Target="https://www.sec.gov/Archives/edgar/data/96869/000119312524253871/d901734dex1001.htm" TargetMode="External"/><Relationship Id="rId146" Type="http://schemas.openxmlformats.org/officeDocument/2006/relationships/hyperlink" Target="https://www.sec.gov/Archives/edgar/data/96869/000009686924000005/exh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2025-03-06T13:15:31Z</dcterms:created>
  <dcterms:modified xsi:type="dcterms:W3CDTF">2025-03-06T13:15:31Z</dcterms:modified>
</cp:coreProperties>
</file>