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260" w:lineRule="exact"/>
        <w:rPr>
          <w:sz w:val="24"/>
          <w:szCs w:val="24"/>
          <w:color w:val="auto"/>
        </w:rPr>
      </w:pPr>
    </w:p>
    <w:p>
      <w:pPr>
        <w:jc w:val="center"/>
        <w:ind w:left="4060" w:right="1300" w:hanging="2650"/>
        <w:spacing w:after="0" w:line="299" w:lineRule="auto"/>
        <w:tabs>
          <w:tab w:leader="none" w:pos="160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1600" w:hanging="196"/>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111760</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TEJON RANCH CO.</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77-0196136</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4436 Lebec Road, P.O. Box 1000, Lebec, California 93243</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(661) 248-3000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$0.50 par value</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55" w:lineRule="exact"/>
        <w:rPr>
          <w:sz w:val="24"/>
          <w:szCs w:val="24"/>
          <w:color w:val="auto"/>
        </w:rPr>
      </w:pPr>
    </w:p>
    <w:p>
      <w:pPr>
        <w:ind w:left="20" w:right="260"/>
        <w:spacing w:after="0" w:line="18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96" w:lineRule="exact"/>
        <w:rPr>
          <w:sz w:val="24"/>
          <w:szCs w:val="24"/>
          <w:color w:val="auto"/>
        </w:rPr>
      </w:pPr>
    </w:p>
    <w:p>
      <w:pPr>
        <w:ind w:left="20" w:right="280"/>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23" w:lineRule="exact"/>
        <w:rPr>
          <w:sz w:val="24"/>
          <w:szCs w:val="24"/>
          <w:color w:val="auto"/>
        </w:rPr>
      </w:pPr>
    </w:p>
    <w:p>
      <w:pPr>
        <w:ind w:left="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954" w:right="439" w:bottom="1440" w:gutter="0" w:footer="0" w:header="0"/>
        </w:sectPr>
      </w:pPr>
    </w:p>
    <w:p>
      <w:pPr>
        <w:spacing w:after="0" w:line="119" w:lineRule="exact"/>
        <w:rPr>
          <w:sz w:val="24"/>
          <w:szCs w:val="24"/>
          <w:color w:val="auto"/>
        </w:rPr>
      </w:pPr>
    </w:p>
    <w:p>
      <w:pPr>
        <w:ind w:left="20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99" w:lineRule="exact"/>
        <w:rPr>
          <w:sz w:val="24"/>
          <w:szCs w:val="24"/>
          <w:color w:val="auto"/>
        </w:rPr>
      </w:pPr>
    </w:p>
    <w:p>
      <w:pPr>
        <w:sectPr>
          <w:pgSz w:w="11900" w:h="16838" w:orient="portrait"/>
          <w:cols w:equalWidth="0" w:num="2">
            <w:col w:w="4540" w:space="720"/>
            <w:col w:w="5880"/>
          </w:cols>
          <w:pgMar w:left="320" w:top="954" w:right="439" w:bottom="1440" w:gutter="0" w:footer="0" w:header="0"/>
          <w:type w:val="continuous"/>
        </w:sectPr>
      </w:pPr>
    </w:p>
    <w:p>
      <w:pPr>
        <w:spacing w:after="0" w:line="34"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5" w:lineRule="exact"/>
        <w:rPr>
          <w:sz w:val="24"/>
          <w:szCs w:val="24"/>
          <w:color w:val="auto"/>
        </w:rPr>
      </w:pPr>
    </w:p>
    <w:p>
      <w:pPr>
        <w:sectPr>
          <w:pgSz w:w="11900" w:h="16838" w:orient="portrait"/>
          <w:cols w:equalWidth="0" w:num="2">
            <w:col w:w="3840" w:space="720"/>
            <w:col w:w="6580"/>
          </w:cols>
          <w:pgMar w:left="320" w:top="954" w:right="439" w:bottom="1440" w:gutter="0" w:footer="0" w:header="0"/>
          <w:type w:val="continuous"/>
        </w:sectPr>
      </w:pPr>
    </w:p>
    <w:p>
      <w:pPr>
        <w:jc w:val="center"/>
        <w:ind w:righ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140"/>
          </w:cols>
          <w:pgMar w:left="320" w:top="954" w:right="439" w:bottom="1440" w:gutter="0" w:footer="0" w:header="0"/>
          <w:type w:val="continuous"/>
        </w:sectPr>
      </w:pPr>
    </w:p>
    <w:p>
      <w:pPr>
        <w:spacing w:after="0" w:line="201" w:lineRule="exact"/>
        <w:rPr>
          <w:sz w:val="24"/>
          <w:szCs w:val="24"/>
          <w:color w:val="auto"/>
        </w:rPr>
      </w:pPr>
    </w:p>
    <w:p>
      <w:pPr>
        <w:ind w:left="20" w:right="46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ind w:left="20"/>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the Company’s outstanding shares of Common Stock on July 31, 2024 was 26,814,680.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820" w:type="dxa"/>
            <w:vAlign w:val="bottom"/>
            <w:vMerge w:val="continue"/>
          </w:tcPr>
          <w:p>
            <w:pPr>
              <w:spacing w:after="0"/>
              <w:rPr>
                <w:sz w:val="18"/>
                <w:szCs w:val="18"/>
                <w:color w:val="auto"/>
              </w:rPr>
            </w:pPr>
          </w:p>
        </w:tc>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Balance Sheets as of June 30, 2024 (unaudited) and December 31,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and Six Months Ended June 30,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Comprehensive Income for the Three and Six Months Ended June 30,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Six Months Ended June 30,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Changes in Equity for the Three and Six Months Ended June 30,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9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9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391"/>
        </w:trPr>
        <w:tc>
          <w:tcPr>
            <w:tcW w:w="10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864"/>
        </w:trPr>
        <w:tc>
          <w:tcPr>
            <w:tcW w:w="820" w:type="dxa"/>
            <w:vAlign w:val="bottom"/>
          </w:tcPr>
          <w:p>
            <w:pPr>
              <w:spacing w:after="0"/>
              <w:rPr>
                <w:sz w:val="24"/>
                <w:szCs w:val="24"/>
                <w:color w:val="auto"/>
              </w:rPr>
            </w:pPr>
          </w:p>
        </w:tc>
        <w:tc>
          <w:tcPr>
            <w:tcW w:w="948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8"/>
          <w:szCs w:val="18"/>
          <w:b w:val="1"/>
          <w:bCs w:val="1"/>
          <w:color w:val="006EBF"/>
        </w:rPr>
        <w:t>Glossary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initialisms or acronyms may be used in this document and shall be defined as set forth below:</w:t>
      </w:r>
    </w:p>
    <w:p>
      <w:pPr>
        <w:sectPr>
          <w:pgSz w:w="11900" w:h="16838" w:orient="portrait"/>
          <w:cols w:equalWidth="0" w:num="1">
            <w:col w:w="10119"/>
          </w:cols>
          <w:pgMar w:left="340" w:top="887" w:right="1440" w:bottom="1440" w:gutter="0" w:footer="0" w:header="0"/>
        </w:sect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CEQA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PEF</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Kern Incentive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Codification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Update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Antelope Valley East Kern Water Agency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Centennial Founders,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 for Biological Diversity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Environmental Quality 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Community Facilities District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Native Plant Society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Impact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Trade Zone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Accepted Accounting Principles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Greenhouse Gas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Village at Tejon Ranch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Pastoria Energy Facility, LLC</w:t>
      </w:r>
    </w:p>
    <w:p>
      <w:pPr>
        <w:spacing w:after="0" w:line="23" w:lineRule="exact"/>
        <w:rPr>
          <w:sz w:val="20"/>
          <w:szCs w:val="20"/>
          <w:color w:val="auto"/>
        </w:rPr>
      </w:pPr>
    </w:p>
    <w:p>
      <w:pPr>
        <w:sectPr>
          <w:pgSz w:w="11900" w:h="16838" w:orient="portrait"/>
          <w:cols w:equalWidth="0" w:num="2">
            <w:col w:w="1600" w:space="720"/>
            <w:col w:w="7799"/>
          </w:cols>
          <w:pgMar w:left="340" w:top="88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RCL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TCWD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TRCC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TRPFFA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WRMWSD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Revolving Credit 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Conservation and Land Use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Water Project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Tejon-Castac Water District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Commerce Center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Public Facilities Financing Authority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Wheeler Ridge Maricopa Water Storage District</w:t>
      </w:r>
    </w:p>
    <w:p>
      <w:pPr>
        <w:spacing w:after="0" w:line="200" w:lineRule="exact"/>
        <w:rPr>
          <w:sz w:val="20"/>
          <w:szCs w:val="20"/>
          <w:color w:val="auto"/>
        </w:rPr>
      </w:pPr>
    </w:p>
    <w:p>
      <w:pPr>
        <w:sectPr>
          <w:pgSz w:w="11900" w:h="16838" w:orient="portrait"/>
          <w:cols w:equalWidth="0" w:num="2">
            <w:col w:w="1600" w:space="720"/>
            <w:col w:w="7799"/>
          </w:cols>
          <w:pgMar w:left="340" w:top="8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87"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Pr>
          <w:p>
            <w:pPr>
              <w:spacing w:after="0"/>
              <w:rPr>
                <w:sz w:val="19"/>
                <w:szCs w:val="19"/>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4"/>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26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0" w:type="dxa"/>
            <w:vAlign w:val="bottom"/>
          </w:tcPr>
          <w:p>
            <w:pPr>
              <w:spacing w:after="0"/>
              <w:rPr>
                <w:sz w:val="1"/>
                <w:szCs w:val="1"/>
                <w:color w:val="auto"/>
              </w:rPr>
            </w:pPr>
          </w:p>
        </w:tc>
      </w:tr>
      <w:tr>
        <w:trPr>
          <w:trHeight w:val="229"/>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Marketable securities - available-for-sale</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0" w:type="dxa"/>
            <w:vAlign w:val="bottom"/>
          </w:tcPr>
          <w:p>
            <w:pPr>
              <w:spacing w:after="0"/>
              <w:rPr>
                <w:sz w:val="1"/>
                <w:szCs w:val="1"/>
                <w:color w:val="auto"/>
              </w:rPr>
            </w:pPr>
          </w:p>
        </w:tc>
      </w:tr>
      <w:tr>
        <w:trPr>
          <w:trHeight w:val="229"/>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0" w:type="dxa"/>
            <w:vAlign w:val="bottom"/>
          </w:tcPr>
          <w:p>
            <w:pPr>
              <w:spacing w:after="0"/>
              <w:rPr>
                <w:sz w:val="1"/>
                <w:szCs w:val="1"/>
                <w:color w:val="auto"/>
              </w:rPr>
            </w:pPr>
          </w:p>
        </w:tc>
      </w:tr>
      <w:tr>
        <w:trPr>
          <w:trHeight w:val="184"/>
        </w:trPr>
        <w:tc>
          <w:tcPr>
            <w:tcW w:w="7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Real estate development (includes $122,329 at June 30, 2024 and $119,788 at December 31, 2023,</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CFL (Note 14))</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337,257</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53,985</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33,648</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water 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577,523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gains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94,427</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Tejon Ranch Co. Stockholders’ Equity</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Common stock, $0.50 par value per share: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Authorized shares - 50,000,000</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shares - 26,806,409 at June 30, 2024 and 26,770,545 at December 31, 2023</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345,609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108,908</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Tejon Ranch Co. 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467,732</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483,096</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577,523</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20"/>
                <w:szCs w:val="20"/>
                <w:color w:val="auto"/>
              </w:rPr>
            </w:pPr>
          </w:p>
        </w:tc>
        <w:tc>
          <w:tcPr>
            <w:tcW w:w="27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2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Mineral resources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Farming</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Ranch operations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Mineral resources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Farming</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Ranch operations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Corporate expenses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(loss)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operations before equity in earnings of</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ventures and income tax</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540" w:type="dxa"/>
            <w:vAlign w:val="bottom"/>
            <w:vMerge w:val="continue"/>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0"/>
                <w:szCs w:val="10"/>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share attributable to common stockholders,</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130" w:right="619" w:bottom="1440" w:gutter="0" w:footer="0" w:header="0"/>
        </w:sectPr>
      </w:pPr>
    </w:p>
    <w:bookmarkStart w:id="5" w:name="page6"/>
    <w:bookmarkEnd w:id="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TEJON RANCH CO. AND SUBSIDIARIES UNAUDITED CONSOLIDATED STATEMENTS OF COMPREHENSIVE INCOME </w:t>
      </w: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5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2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interest rate swap</w:t>
            </w:r>
          </w:p>
        </w:tc>
        <w:tc>
          <w:tcPr>
            <w:tcW w:w="10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0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175"/>
        </w:trPr>
        <w:tc>
          <w:tcPr>
            <w:tcW w:w="452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Income tax (provision) benefit related to other</w:t>
            </w: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comprehensive income items</w:t>
            </w:r>
          </w:p>
        </w:tc>
        <w:tc>
          <w:tcPr>
            <w:tcW w:w="10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175"/>
        </w:trPr>
        <w:tc>
          <w:tcPr>
            <w:tcW w:w="4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Comprehensive (loss) income attributable to non-controlling</w:t>
            </w: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w:t>
            </w:r>
          </w:p>
        </w:tc>
        <w:tc>
          <w:tcPr>
            <w:tcW w:w="10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1"/>
        </w:trPr>
        <w:tc>
          <w:tcPr>
            <w:tcW w:w="4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87"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discount of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retirement plan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Profit from water sales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loss on sale of property plant and equipment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of earnings from unconsolidated joint ventures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Receivables, inventories, prepaids and other assets, net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Funds invested in marketable securities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(60,500)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(58,930)</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and equipment expenditures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(22,077)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proceeds from Community Facilities District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of equity from unconsolidated joint ventures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Proceeds from water sales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Investments in water assets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on vested stock grants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39,619</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7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on consolidated balance sheets: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27,842</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capital expenditures included in current liabilities</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2"/>
        </w:trPr>
        <w:tc>
          <w:tcPr>
            <w:tcW w:w="772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Accrued long-term water assets included in current liabilities</w:t>
            </w: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0" w:right="120"/>
        <w:spacing w:after="0" w:line="21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In determining the classification of cash inflows and outflows related to water asset activity, the Company’s practices are supported by ASC Topic 230-10-45-22, which provides that “Certain cash receipts and payments have aspects of more than one class of cash flows…. If so, the appropriate classification shall depend on the activity that</w:t>
      </w:r>
    </w:p>
    <w:p>
      <w:pPr>
        <w:spacing w:after="0" w:line="1" w:lineRule="exact"/>
        <w:rPr>
          <w:sz w:val="20"/>
          <w:szCs w:val="20"/>
          <w:color w:val="auto"/>
        </w:rPr>
      </w:pPr>
    </w:p>
    <w:p>
      <w:pPr>
        <w:ind w:left="20" w:right="100"/>
        <w:spacing w:after="0" w:line="238" w:lineRule="auto"/>
        <w:rPr>
          <w:sz w:val="20"/>
          <w:szCs w:val="20"/>
          <w:color w:val="auto"/>
        </w:rPr>
      </w:pPr>
      <w:r>
        <w:rPr>
          <w:rFonts w:ascii="Times New Roman" w:cs="Times New Roman" w:eastAsia="Times New Roman" w:hAnsi="Times New Roman"/>
          <w:sz w:val="16"/>
          <w:szCs w:val="16"/>
          <w:color w:val="auto"/>
        </w:rPr>
        <w:t>is likely to be the predominant source of cash flows for the item.” Also, at the 2006 American Institute of Certified Public Accountants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24" w:lineRule="exact"/>
        <w:rPr>
          <w:sz w:val="20"/>
          <w:szCs w:val="20"/>
          <w:color w:val="auto"/>
        </w:rPr>
      </w:pPr>
    </w:p>
    <w:p>
      <w:pPr>
        <w:ind w:left="20" w:right="20"/>
        <w:spacing w:after="0" w:line="252" w:lineRule="auto"/>
        <w:rPr>
          <w:sz w:val="20"/>
          <w:szCs w:val="20"/>
          <w:color w:val="auto"/>
        </w:rPr>
      </w:pPr>
      <w:r>
        <w:rPr>
          <w:rFonts w:ascii="Times New Roman" w:cs="Times New Roman" w:eastAsia="Times New Roman" w:hAnsi="Times New Roman"/>
          <w:sz w:val="16"/>
          <w:szCs w:val="16"/>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$1.3 million in 2023, this cash inflow is appropriately classified in the Company’s investing activities. The profit of $0.5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TEJON RANCH CO. AND SUBSIDIARIES UNAUDITED CONSOLIDATED STATEMENTS OF CHANGES IN EQUITY </w:t>
      </w:r>
      <w:r>
        <w:rPr>
          <w:rFonts w:ascii="Times New Roman" w:cs="Times New Roman" w:eastAsia="Times New Roman" w:hAnsi="Times New Roman"/>
          <w:sz w:val="18"/>
          <w:szCs w:val="18"/>
          <w:color w:val="auto"/>
        </w:rPr>
        <w:t>(In thousands, except shares outstanding)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Additional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spacing w:after="0"/>
              <w:rPr>
                <w:sz w:val="17"/>
                <w:szCs w:val="17"/>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Non-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Stock Shares</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Paid-In</w:t>
            </w:r>
          </w:p>
        </w:tc>
        <w:tc>
          <w:tcPr>
            <w:tcW w:w="130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900" w:type="dxa"/>
            <w:vAlign w:val="bottom"/>
            <w:gridSpan w:val="2"/>
            <w:vMerge w:val="continue"/>
          </w:tcPr>
          <w:p>
            <w:pPr>
              <w:spacing w:after="0"/>
              <w:rPr>
                <w:sz w:val="15"/>
                <w:szCs w:val="15"/>
                <w:color w:val="auto"/>
              </w:rPr>
            </w:pPr>
          </w:p>
        </w:tc>
        <w:tc>
          <w:tcPr>
            <w:tcW w:w="112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controlling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Outstanding</w:t>
            </w:r>
          </w:p>
        </w:tc>
        <w:tc>
          <w:tcPr>
            <w:tcW w:w="140" w:type="dxa"/>
            <w:vAlign w:val="bottom"/>
          </w:tcPr>
          <w:p>
            <w:pPr>
              <w:spacing w:after="0"/>
              <w:rPr>
                <w:sz w:val="21"/>
                <w:szCs w:val="21"/>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1"/>
                <w:szCs w:val="2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(Loss) Income</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14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Interest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Total Equity</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26,797,440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$ 107,994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482,722</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26,806,409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347,040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$ 108,951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469,220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484,583</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26,710,432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343,438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$ 107,417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461,682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477,052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26,718,773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$ 107,684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479,077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Additional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spacing w:after="0"/>
              <w:rPr>
                <w:sz w:val="17"/>
                <w:szCs w:val="17"/>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Non-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Stock Shares</w:t>
            </w:r>
          </w:p>
        </w:tc>
        <w:tc>
          <w:tcPr>
            <w:tcW w:w="8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6"/>
                <w:szCs w:val="16"/>
                <w:color w:val="auto"/>
              </w:rPr>
            </w:pPr>
          </w:p>
        </w:tc>
        <w:tc>
          <w:tcPr>
            <w:tcW w:w="8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Paid-In</w:t>
            </w:r>
          </w:p>
        </w:tc>
        <w:tc>
          <w:tcPr>
            <w:tcW w:w="130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90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12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Pr>
          <w:p>
            <w:pPr>
              <w:spacing w:after="0"/>
              <w:rPr>
                <w:sz w:val="16"/>
                <w:szCs w:val="16"/>
                <w:color w:val="auto"/>
              </w:rPr>
            </w:pPr>
          </w:p>
        </w:tc>
        <w:tc>
          <w:tcPr>
            <w:tcW w:w="11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controlling</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Total Equity</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Outstanding</w:t>
            </w:r>
          </w:p>
        </w:tc>
        <w:tc>
          <w:tcPr>
            <w:tcW w:w="14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(Loss) Income</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14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Interest</w:t>
            </w: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26,770,545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$ 108,908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483,096</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26,806,409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$ 108,951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484,583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26,541,553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$ 105,643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477,594</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176"/>
        </w:trPr>
        <w:tc>
          <w:tcPr>
            <w:tcW w:w="2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26,718,773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$ 107,684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479,077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5"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periods ended June 30, 2024 and 2023 include the consolidation of CFL’s statements of operations within the resort/residential real estate development segment, statements of changes in equity, and statements of cash flows. The Company’s June 30, 2024 and December 31, 2023 balance sheets are presented on a consolidated basis, including the consolidation of CFL.</w:t>
      </w:r>
    </w:p>
    <w:p>
      <w:pPr>
        <w:spacing w:after="0" w:line="54"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The Company has identified five reportable segments: commercial/industrial real estate development,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w:t>
      </w:r>
    </w:p>
    <w:p>
      <w:pPr>
        <w:spacing w:after="0" w:line="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information and a summary of significant accounting policies, refer to the Consolidated Financial Statements and notes thereto included in the Company’s Annual Report on Form 10-K for the year ended December 31,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financial instruments are carried on the consolidated balance sheets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revolving line of credit also approximates its carrying value, as the interest rate is variable and approximates prevailing market interest rates for similar debt arrangements.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0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Restricted cash is included in Prepaid expenses and other current assets within the Consolidated Balance Sheets and primarily relates to funds held in escrow. The Company had $500,000 of restricted cash as of June 30, 2024 and December 31, 2023.</w:t>
      </w:r>
    </w:p>
    <w:p>
      <w:pPr>
        <w:spacing w:after="0" w:line="104" w:lineRule="exact"/>
        <w:rPr>
          <w:sz w:val="20"/>
          <w:szCs w:val="20"/>
          <w:color w:val="auto"/>
        </w:rPr>
      </w:pPr>
    </w:p>
    <w:p>
      <w:pPr>
        <w:ind w:right="302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New Accounting Pronouncements and Climate Change Related Update by SEC Effective in Future Periods </w:t>
      </w:r>
      <w:r>
        <w:rPr>
          <w:rFonts w:ascii="Times New Roman" w:cs="Times New Roman" w:eastAsia="Times New Roman" w:hAnsi="Times New Roman"/>
          <w:sz w:val="18"/>
          <w:szCs w:val="18"/>
          <w:i w:val="1"/>
          <w:iCs w:val="1"/>
          <w:color w:val="auto"/>
        </w:rPr>
        <w:t>Business Combinations - Joint Venture Formations</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August 2023, the Financial Accounting Standards Board, or FASB, issued Accounting Standards Update, or ASU, No. 2023-05, "Business Combinations - Joint Venture Formations." This ASU addresses the accounting for contributions made to a joint venture, upon formation, in a joint venture's separate financial statements. The pronouncement requires a joint venture to initially measure contributions at fair value upon formation, which is more relevant than the carrying amounts of the contributed net assets and would reduce equity method basis differences. The ASU is effective prospectively for all joint venture formations with a formation date on or after January 1, 2025. This pronouncement is not expected to have a material effect on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 Improvements to Reportable Segment Disclosures". This ASU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This ASU will be effective for the Company's annual report on Form 10-K beginning with the year ending December 31, 2024, and for subsequent quarterly and annual reports. The Company is currently in the process of evaluating the impact of this ASU on the Company's consolidated financial statements and footnote disclosures.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(Topic740) - Improvements to Income Tax Disclosures". This ASU requires public business entities to disclose a tabular rate reconciliation of both percentages and reporting currency amounts on an annual basis. The ASU also requires disclosure of information on the amount of income taxes paid disaggregated by federal, state and foreign taxes. This ASU is effective for annual periods beginning after December 15, 2024. The pronouncement is not expected to have a material effect on our consolidated financial statements.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Rules to Enhance and Standardize Climate-related Disclosures for Investors</w:t>
      </w:r>
    </w:p>
    <w:p>
      <w:pPr>
        <w:spacing w:after="0" w:line="10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March 6, 2024, the SEC adopted final rules to require registrants to disclose certain climate-related information in registration statements and annual reports.</w:t>
      </w:r>
    </w:p>
    <w:p>
      <w:pPr>
        <w:spacing w:after="0" w:line="4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On April 4, 2024, the SEC issued an order staying the final rules pending completion of judicial review of the petitions challenging the final rules. The order does not amend the compliance dates contemplated by the final rules, which are applicable to the Company for fiscal years beginning with the Company’s annual report on Form 10-K for the fiscal year ended December 31, 2027. We are currently evaluating the impact of our pending adoption of these requirements on our financial statement disclosures.</w:t>
      </w:r>
    </w:p>
    <w:p>
      <w:pPr>
        <w:spacing w:after="0" w:line="1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(EPS)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net income per share attributable to common stockholders is based upon the weighted-average number of shares of common stock outstanding during the year. Diluted net income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26,800,594</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26,713,090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26,794,469</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26,680,508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3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48,746</w:t>
            </w:r>
          </w:p>
        </w:tc>
        <w:tc>
          <w:tcPr>
            <w:tcW w:w="2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87,146</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83,702</w:t>
            </w:r>
          </w:p>
        </w:tc>
        <w:tc>
          <w:tcPr>
            <w:tcW w:w="2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26,849,340</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26,800,236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26,878,171</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26,745,702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2" w:name="page13"/>
    <w:bookmarkEnd w:id="12"/>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86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Fair Value</w:t>
            </w:r>
          </w:p>
        </w:tc>
        <w:tc>
          <w:tcPr>
            <w:tcW w:w="260" w:type="dxa"/>
            <w:vAlign w:val="bottom"/>
          </w:tcPr>
          <w:p>
            <w:pPr>
              <w:spacing w:after="0"/>
              <w:rPr>
                <w:sz w:val="20"/>
                <w:szCs w:val="20"/>
                <w:color w:val="auto"/>
              </w:rPr>
            </w:pP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Pr>
          <w:p>
            <w:pPr>
              <w:spacing w:after="0"/>
              <w:rPr>
                <w:sz w:val="20"/>
                <w:szCs w:val="20"/>
                <w:color w:val="auto"/>
              </w:rPr>
            </w:pPr>
          </w:p>
        </w:tc>
        <w:tc>
          <w:tcPr>
            <w:tcW w:w="2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1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Hierarchy</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1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1860" w:type="dxa"/>
            <w:vAlign w:val="bottom"/>
            <w:tcBorders>
              <w:top w:val="single" w:sz="8" w:color="CCEEFF"/>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Treasury and agency notes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U.S. Treasury and agency notes</w:t>
            </w:r>
          </w:p>
        </w:tc>
        <w:tc>
          <w:tcPr>
            <w:tcW w:w="1860" w:type="dxa"/>
            <w:vAlign w:val="bottom"/>
            <w:tcBorders>
              <w:top w:val="single" w:sz="8" w:color="CCEEFF"/>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notes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losses for more than 12 months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Corporate notes</w:t>
            </w:r>
          </w:p>
        </w:tc>
        <w:tc>
          <w:tcPr>
            <w:tcW w:w="1860" w:type="dxa"/>
            <w:vAlign w:val="bottom"/>
            <w:tcBorders>
              <w:bottom w:val="single" w:sz="8" w:color="CCEEFF"/>
            </w:tcBorders>
          </w:tcPr>
          <w:p>
            <w:pPr>
              <w:jc w:val="center"/>
              <w:ind w:left="61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June 30, 2024, the Company has not recorded any credit losses.</w:t>
      </w:r>
    </w:p>
    <w:p>
      <w:pPr>
        <w:spacing w:after="0" w:line="5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As of June 30, 2024, the fair market value of investment securities was $27,000 below their cost basis. The Company’s gross unrealized holding gains equaled $0 and gross unrealized holding losses equaled $27,000. For the three months ended June 30, 2024, the adjustment to accumulated other comprehensive loss reflected an increase in market value of $2,000, including estimated taxes of $1,000. For the six months ended June 30, 2024, the adjustment to accumulated other comprehensive loss reflected a decline in market value of $6,000, including estimated taxes of $2,000.</w:t>
      </w:r>
    </w:p>
    <w:p>
      <w:pPr>
        <w:spacing w:after="0" w:line="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elected to exclude applicable accrued interest from both the fair value and the amortized cost basis of the available-for-sale debt securities, and separately present the accrued interest receivable balance. The accrued interest receivables balance totaled $101,000 as of June 30, 2024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Treasury and agency notes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unrealized losses on the Company's investments in U.S. Treasury and agency notes at June 30, 2024 and December 31, 2023 were caused by relative changes in interest rates since the time of purchase and not changes in credit quality. The contractual cash flows for these securities are guaranteed by U.S. government agencies. As of June 30, 2024 and December 31, 2023, the Company did not intend to sell these securities and it is not more-likely-than-not that the Company would be required to sell these securities before recovery of their cost basis. Therefore, these investments did not require an ACL as of June 30, 2024 and December 31, 2023.</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Corporate notes</w:t>
      </w:r>
    </w:p>
    <w:p>
      <w:pPr>
        <w:spacing w:after="0" w:line="9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unrealized losses on corporate notes are a function of changes in investment spreads and interest rate movements and not changes in credit quality. The Company expects to recover the entire amortized cost basis of these securities. As of June 30, 2024 and December 31, 2023, the Company did not intend to sell these securities and it is not more-likely-than-not the Company would be required to sell these securities before recovery of their cost basis. Therefore, these investments did not require an ACL as of June 30, 2024 and December 31, 2023.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summarize the maturities, at par, of marketable securities as of:</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48"/>
        </w:trPr>
        <w:tc>
          <w:tcPr>
            <w:tcW w:w="79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22"/>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r>
      <w:tr>
        <w:trPr>
          <w:trHeight w:val="223"/>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32,652</w:t>
            </w:r>
          </w:p>
        </w:tc>
      </w:tr>
      <w:tr>
        <w:trPr>
          <w:trHeight w:val="21"/>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in corporate notes are with companies that have an investment grade rating from Standard &amp; Poor’s as of June 30, 2024.</w:t>
      </w:r>
    </w:p>
    <w:p>
      <w:pPr>
        <w:spacing w:after="0" w:line="10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accumulated real estate development costs by project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Mountain Village</w:t>
            </w:r>
          </w:p>
        </w:tc>
        <w:tc>
          <w:tcPr>
            <w:tcW w:w="2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155,168</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Centennial</w:t>
            </w: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119,788</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Grapevine</w:t>
            </w:r>
          </w:p>
        </w:tc>
        <w:tc>
          <w:tcPr>
            <w:tcW w:w="2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0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w:t>
            </w:r>
          </w:p>
        </w:tc>
        <w:tc>
          <w:tcPr>
            <w:tcW w:w="2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20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4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WATER ASSETS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County Water Banks.</w:t>
      </w:r>
    </w:p>
    <w:p>
      <w:pPr>
        <w:spacing w:after="0" w:line="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secured SWP entitlements under long-term SWP water contracts within the Tulare Lake Basin Water Storage District and the Dudley-Ridge Water District, totaling 3,444 acre-feet of SWP entitlement annually, subject to SWP allocations. These contracts extend through 2035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initial term of the water purchase agreement with Nickel runs to 2044 and includes a Company option to extend the contract for an additional 35 years. The purchase cost of water in 2024 is $957 per acre-foot. The purchase cost is subject to annual cost increases based on the greater of the Consumer Price Index or 3%.</w:t>
      </w:r>
    </w:p>
    <w:p>
      <w:pPr>
        <w:spacing w:after="0" w:line="41"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3"/>
          </w:tcPr>
          <w:p>
            <w:pPr>
              <w:jc w:val="right"/>
              <w:ind w:right="1510"/>
              <w:spacing w:after="0"/>
              <w:rPr>
                <w:sz w:val="20"/>
                <w:szCs w:val="20"/>
                <w:color w:val="auto"/>
              </w:rPr>
            </w:pPr>
            <w:r>
              <w:rPr>
                <w:rFonts w:ascii="Times New Roman" w:cs="Times New Roman" w:eastAsia="Times New Roman" w:hAnsi="Times New Roman"/>
                <w:sz w:val="18"/>
                <w:szCs w:val="18"/>
                <w:color w:val="auto"/>
                <w:w w:val="99"/>
              </w:rPr>
              <w:t>Water revenues and cost of sales were as follows for the six months ended ($ 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June 30, 2023</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Acre-Feet Sold</w:t>
            </w:r>
          </w:p>
        </w:tc>
        <w:tc>
          <w:tcPr>
            <w:tcW w:w="1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64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w:t>
            </w:r>
          </w:p>
        </w:tc>
        <w:tc>
          <w:tcPr>
            <w:tcW w:w="1700" w:type="dxa"/>
            <w:vAlign w:val="bottom"/>
            <w:tcBorders>
              <w:bottom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Costs assigned to water assets held for future use were as follows ($ in thousands):</w:t>
            </w: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50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646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Banked water and water for future delivery</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Transferable water</w:t>
            </w:r>
          </w:p>
        </w:tc>
        <w:tc>
          <w:tcPr>
            <w:tcW w:w="1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water held for future use at cost</w:t>
            </w:r>
          </w:p>
        </w:tc>
        <w:tc>
          <w:tcPr>
            <w:tcW w:w="1700" w:type="dxa"/>
            <w:vAlign w:val="bottom"/>
            <w:tcBorders>
              <w:bottom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Water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carrying amounts of its purchased water contracts were as follows ($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5"/>
          </w:tcPr>
          <w:p>
            <w:pPr>
              <w:ind w:left="940"/>
              <w:spacing w:after="0"/>
              <w:rPr>
                <w:sz w:val="20"/>
                <w:szCs w:val="20"/>
                <w:color w:val="auto"/>
              </w:rPr>
            </w:pPr>
            <w:r>
              <w:rPr>
                <w:rFonts w:ascii="Times New Roman" w:cs="Times New Roman" w:eastAsia="Times New Roman" w:hAnsi="Times New Roman"/>
                <w:sz w:val="18"/>
                <w:szCs w:val="18"/>
                <w:color w:val="auto"/>
              </w:rPr>
              <w:t>June 30, 2024</w:t>
            </w:r>
          </w:p>
        </w:tc>
        <w:tc>
          <w:tcPr>
            <w:tcW w:w="360" w:type="dxa"/>
            <w:vAlign w:val="bottom"/>
          </w:tcPr>
          <w:p>
            <w:pPr>
              <w:spacing w:after="0"/>
              <w:rPr>
                <w:sz w:val="20"/>
                <w:szCs w:val="20"/>
                <w:color w:val="auto"/>
              </w:rPr>
            </w:pPr>
          </w:p>
        </w:tc>
        <w:tc>
          <w:tcPr>
            <w:tcW w:w="30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69"/>
        </w:trPr>
        <w:tc>
          <w:tcPr>
            <w:tcW w:w="4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ind w:left="20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Accumulated</w:t>
            </w:r>
          </w:p>
        </w:tc>
      </w:tr>
      <w:tr>
        <w:trPr>
          <w:trHeight w:val="243"/>
        </w:trPr>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Depreciation</w:t>
            </w: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Dudley-Ridge water rights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Nickel water rights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Tulare Lake Basin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23"/>
        </w:trPr>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(16,428)</w:t>
            </w:r>
          </w:p>
        </w:tc>
      </w:tr>
      <w:tr>
        <w:trPr>
          <w:trHeight w:val="223"/>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cost of purchased water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water held for future use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investments in water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5" w:name="page16"/>
    <w:bookmarkEnd w:id="15"/>
    <w:p>
      <w:pPr>
        <w:ind w:right="60"/>
        <w:spacing w:after="0" w:line="245" w:lineRule="auto"/>
        <w:rPr>
          <w:sz w:val="20"/>
          <w:szCs w:val="20"/>
          <w:color w:val="auto"/>
        </w:rPr>
      </w:pPr>
      <w:r>
        <w:rPr>
          <w:rFonts w:ascii="Times New Roman" w:cs="Times New Roman" w:eastAsia="Times New Roman" w:hAnsi="Times New Roman"/>
          <w:sz w:val="18"/>
          <w:szCs w:val="18"/>
          <w:color w:val="auto"/>
        </w:rPr>
        <w:t>Water contracts with the Wheeler Ridge Maricopa Water Storage District, or WRMWSD, and the Tejon-Castac Water District, or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acre-feet, unaudited)</w:t>
            </w:r>
          </w:p>
        </w:tc>
        <w:tc>
          <w:tcPr>
            <w:tcW w:w="26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June 30, 2024</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held for future use</w:t>
            </w:r>
          </w:p>
        </w:tc>
        <w:tc>
          <w:tcPr>
            <w:tcW w:w="2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65,644</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65,005</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water bank</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54,728</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Transferable water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Recharged project water</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w:t>
            </w:r>
          </w:p>
        </w:tc>
      </w:tr>
      <w:tr>
        <w:trPr>
          <w:trHeight w:val="223"/>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water held for future use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134,818</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127,323</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water contracts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Contracts (Dudley-Ridge, Nickel and Tulare)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WRMWSD - Contracts with the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TCWD - Contracts with the Company</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w:t>
            </w:r>
          </w:p>
        </w:tc>
      </w:tr>
      <w:tr>
        <w:trPr>
          <w:trHeight w:val="22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purchased water contracts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31,433</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water held for future use and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166,251</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Tejon Ranchcorp, or Ranchcorp, a wholly-owned subsidiary of Tejon Ranch Co., entered into a Water Supply Agreement with PEF in 2015. PEF is the current lessee under the power plant lease. Pursuant to the Water Supply Agreement, PEF may purchase from Ranchcorp up to 3,500 acre-feet of water per year from January 1, 2017 through July 31, 2030, with an option to extend the term by three additional five-year periods. PEF is under no obligation to purchase water from Ranchcorp in any year, but is required to pay Ranchcorp an annual option payment equal to 30% of the maximum annual payment. The price of the water under the Water Supply Agreement for 2024 is $1,298 per acre-foot of annual water,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LIABILITIES AND OTHER</w:t>
            </w: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2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and other consisted of the following:</w:t>
            </w: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Pr>
          <w:p>
            <w:pPr>
              <w:spacing w:after="0"/>
              <w:rPr>
                <w:sz w:val="24"/>
                <w:szCs w:val="24"/>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Accrued paid personal leave</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30"/>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Accrued stock compensation expense</w:t>
            </w: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4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0"/>
        </w:trPr>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7240" w:firstLine="8"/>
        <w:spacing w:after="0" w:line="378" w:lineRule="auto"/>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LINE OF CREDIT AND LONG-TERM DEBT </w:t>
      </w:r>
      <w:r>
        <w:rPr>
          <w:rFonts w:ascii="Times New Roman" w:cs="Times New Roman" w:eastAsia="Times New Roman" w:hAnsi="Times New Roman"/>
          <w:sz w:val="18"/>
          <w:szCs w:val="18"/>
          <w:color w:val="auto"/>
        </w:rPr>
        <w:t>Debt consisted of the following:</w:t>
      </w:r>
    </w:p>
    <w:tbl>
      <w:tblPr>
        <w:tblLayout w:type="fixed"/>
        <w:tblInd w:w="4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Pr>
          <w:p>
            <w:pPr>
              <w:spacing w:after="0"/>
              <w:rPr>
                <w:sz w:val="20"/>
                <w:szCs w:val="20"/>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June 30, 2024</w:t>
            </w:r>
          </w:p>
        </w:tc>
        <w:tc>
          <w:tcPr>
            <w:tcW w:w="280" w:type="dxa"/>
            <w:vAlign w:val="bottom"/>
          </w:tcPr>
          <w:p>
            <w:pPr>
              <w:spacing w:after="0"/>
              <w:rPr>
                <w:sz w:val="20"/>
                <w:szCs w:val="20"/>
                <w:color w:val="auto"/>
              </w:rPr>
            </w:pP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644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Revolving line-of-credit</w:t>
            </w:r>
            <w:r>
              <w:rPr>
                <w:rFonts w:ascii="Times New Roman" w:cs="Times New Roman" w:eastAsia="Times New Roman" w:hAnsi="Times New Roman"/>
                <w:sz w:val="23"/>
                <w:szCs w:val="23"/>
                <w:color w:val="auto"/>
                <w:vertAlign w:val="superscript"/>
              </w:rPr>
              <w:t>1</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r>
    </w:tbl>
    <w:p>
      <w:pPr>
        <w:spacing w:after="0" w:line="32" w:lineRule="exact"/>
        <w:rPr>
          <w:sz w:val="20"/>
          <w:szCs w:val="20"/>
          <w:color w:val="auto"/>
        </w:rPr>
      </w:pPr>
    </w:p>
    <w:p>
      <w:pPr>
        <w:ind w:left="40" w:right="580"/>
        <w:spacing w:after="0" w:line="21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The deferred loan costs for revolving line-of-credit as of June 30, 2024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December 31, 2023 were recorded under the caption Other Assets on the Consolidated Balance Sheets.</w:t>
      </w:r>
    </w:p>
    <w:p>
      <w:pPr>
        <w:spacing w:after="0" w:line="2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On November 17, 2023, the Company entered into a Credit Agreement with AgWest Farm Credit, PCA and certain other lenders. The Revolving Credit Facility provides TRC a RCL in the amount of $160,000,000. The RCL requires interest only payments and has a maturity date of January 1, 2029. As of June 30, 2024, the outstanding balance under the RCL was $51,942,000, and the interest rate was one-month term SOFR plus a margin of 2.25% for an effective rate of 7.58% at June 30,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right="260"/>
        <w:spacing w:after="0" w:line="266" w:lineRule="auto"/>
        <w:rPr>
          <w:sz w:val="20"/>
          <w:szCs w:val="20"/>
          <w:color w:val="auto"/>
        </w:rPr>
      </w:pPr>
      <w:r>
        <w:rPr>
          <w:rFonts w:ascii="Times New Roman" w:cs="Times New Roman" w:eastAsia="Times New Roman" w:hAnsi="Times New Roman"/>
          <w:sz w:val="18"/>
          <w:szCs w:val="18"/>
          <w:color w:val="auto"/>
        </w:rPr>
        <w:t>Funds from the RCL in November 2023 were used to pay off and close out the existing Bank of America, N.A. Term Note and Revolving Line of Credit Note. The amount of this pay off was $47,078,564 plus accrued interest and fees on the Bank of America Term Note. The Company evaluated the debt exchange under ASC Topic 470 and determined that the exchange should be treated as a debt extinguishment.</w:t>
      </w:r>
    </w:p>
    <w:p>
      <w:pPr>
        <w:spacing w:after="0" w:line="36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Pr>
          <w:p>
            <w:pPr>
              <w:spacing w:after="0"/>
              <w:rPr>
                <w:sz w:val="20"/>
                <w:szCs w:val="20"/>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executive retirement plan liability (See Note 12)</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r>
      <w:tr>
        <w:trPr>
          <w:trHeight w:val="23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Excess joint venture distributions and other (See Note 14)</w:t>
            </w: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w:t>
            </w:r>
          </w:p>
        </w:tc>
      </w:tr>
      <w:tr>
        <w:trPr>
          <w:trHeight w:val="248"/>
        </w:trPr>
        <w:tc>
          <w:tcPr>
            <w:tcW w:w="6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 RESTRICTED STOCK AND PERFORMANCE SHARE GRANTS</w:t>
      </w:r>
    </w:p>
    <w:p>
      <w:pPr>
        <w:spacing w:after="0" w:line="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 w:cs="Times New Roman" w:eastAsia="Times New Roman" w:hAnsi="Times New Roman"/>
          <w:sz w:val="18"/>
          <w:szCs w:val="18"/>
          <w:i w:val="1"/>
          <w:iCs w:val="1"/>
          <w:color w:val="auto"/>
        </w:rPr>
        <w:t>Monte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Carlo </w:t>
      </w:r>
      <w:r>
        <w:rPr>
          <w:rFonts w:ascii="Times New Roman" w:cs="Times New Roman" w:eastAsia="Times New Roman" w:hAnsi="Times New Roman"/>
          <w:sz w:val="18"/>
          <w:szCs w:val="18"/>
          <w:color w:val="auto"/>
        </w:rPr>
        <w:t>simulation. Failure to achieve the target share price will result in the forfeiture of shares. Forfeiture of share awards with service conditions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Performance Condition Grants outstanding as of June 30, 2024:</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tcPr>
          <w:p>
            <w:pPr>
              <w:jc w:val="right"/>
              <w:ind w:right="4410"/>
              <w:spacing w:after="0"/>
              <w:rPr>
                <w:sz w:val="20"/>
                <w:szCs w:val="20"/>
                <w:color w:val="auto"/>
              </w:rPr>
            </w:pPr>
            <w:r>
              <w:rPr>
                <w:rFonts w:ascii="Times New Roman" w:cs="Times New Roman" w:eastAsia="Times New Roman" w:hAnsi="Times New Roman"/>
                <w:sz w:val="18"/>
                <w:szCs w:val="18"/>
                <w:color w:val="auto"/>
              </w:rPr>
              <w:t>Performance Condition Grants</w:t>
            </w:r>
          </w:p>
        </w:tc>
      </w:tr>
      <w:tr>
        <w:trPr>
          <w:trHeight w:val="22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performance</w:t>
            </w:r>
          </w:p>
        </w:tc>
        <w:tc>
          <w:tcPr>
            <w:tcW w:w="8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429,418</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Maximum performance</w:t>
            </w:r>
          </w:p>
        </w:tc>
        <w:tc>
          <w:tcPr>
            <w:tcW w:w="8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543,023</w:t>
            </w:r>
          </w:p>
        </w:tc>
      </w:tr>
    </w:tbl>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stock grant activity, both time and performance unit grants, assuming target achievement for outstanding performance grants for the six months ended June 30,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June 30,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beginning of period at target achievement</w:t>
            </w:r>
          </w:p>
        </w:tc>
        <w:tc>
          <w:tcPr>
            <w:tcW w:w="34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248,768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stock grants/additional shares due to achievement in excess of target</w:t>
            </w:r>
          </w:p>
        </w:tc>
        <w:tc>
          <w:tcPr>
            <w:tcW w:w="5780" w:type="dxa"/>
            <w:vAlign w:val="bottom"/>
            <w:gridSpan w:val="2"/>
          </w:tcPr>
          <w:p>
            <w:pPr>
              <w:ind w:left="5120"/>
              <w:spacing w:after="0"/>
              <w:rPr>
                <w:sz w:val="20"/>
                <w:szCs w:val="20"/>
                <w:color w:val="auto"/>
              </w:rPr>
            </w:pPr>
            <w:r>
              <w:rPr>
                <w:rFonts w:ascii="Times New Roman" w:cs="Times New Roman" w:eastAsia="Times New Roman" w:hAnsi="Times New Roman"/>
                <w:sz w:val="18"/>
                <w:szCs w:val="18"/>
                <w:color w:val="auto"/>
              </w:rPr>
              <w:t>386,956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grants</w:t>
            </w:r>
          </w:p>
        </w:tc>
        <w:tc>
          <w:tcPr>
            <w:tcW w:w="5780" w:type="dxa"/>
            <w:vAlign w:val="bottom"/>
            <w:gridSpan w:val="2"/>
            <w:shd w:val="clear" w:color="auto" w:fill="CCEEFF"/>
          </w:tcPr>
          <w:p>
            <w:pPr>
              <w:ind w:left="5140"/>
              <w:spacing w:after="0"/>
              <w:rPr>
                <w:sz w:val="20"/>
                <w:szCs w:val="20"/>
                <w:color w:val="auto"/>
              </w:rPr>
            </w:pPr>
            <w:r>
              <w:rPr>
                <w:rFonts w:ascii="Times New Roman" w:cs="Times New Roman" w:eastAsia="Times New Roman" w:hAnsi="Times New Roman"/>
                <w:sz w:val="18"/>
                <w:szCs w:val="18"/>
                <w:color w:val="auto"/>
              </w:rPr>
              <w:t>(22,025)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Expired/forfeited grants</w:t>
            </w:r>
          </w:p>
        </w:tc>
        <w:tc>
          <w:tcPr>
            <w:tcW w:w="578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rPr>
              <w:t>(10,905)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end of period at target achievement</w:t>
            </w:r>
          </w:p>
        </w:tc>
        <w:tc>
          <w:tcPr>
            <w:tcW w:w="34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602,794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17</w:t>
            </w: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ind w:right="48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assumptions used to determine the fair value for the Company’s outstanding market-based Performance Condition Grants as of June 30,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 except for share prices)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03/17/2022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12/14/2022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06/16/2023</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end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03/17/2025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12/14/2025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 share price to achieve award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$21.99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$20.72</w:t>
            </w:r>
          </w:p>
        </w:tc>
      </w:tr>
      <w:tr>
        <w:trPr>
          <w:trHeight w:val="270"/>
        </w:trPr>
        <w:tc>
          <w:tcPr>
            <w:tcW w:w="5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26.58%</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w:t>
            </w:r>
          </w:p>
        </w:tc>
      </w:tr>
      <w:tr>
        <w:trPr>
          <w:trHeight w:val="270"/>
        </w:trPr>
        <w:tc>
          <w:tcPr>
            <w:tcW w:w="55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Simulated Monte Carlo share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$21.75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$26.00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$20.24</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3,536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13,338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4,613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9,515</w:t>
            </w: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award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w:t>
            </w:r>
          </w:p>
        </w:tc>
      </w:tr>
      <w:tr>
        <w:trPr>
          <w:trHeight w:val="58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 except for share prices)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08/21/2023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03/13/2024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03/13/2024</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end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03/22/2027</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target achievement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$18.93</w:t>
            </w:r>
          </w:p>
        </w:tc>
      </w:tr>
      <w:tr>
        <w:trPr>
          <w:trHeight w:val="270"/>
        </w:trPr>
        <w:tc>
          <w:tcPr>
            <w:tcW w:w="5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25.56%</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4.31%</w:t>
            </w:r>
          </w:p>
        </w:tc>
      </w:tr>
      <w:tr>
        <w:trPr>
          <w:trHeight w:val="270"/>
        </w:trPr>
        <w:tc>
          <w:tcPr>
            <w:tcW w:w="55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Simulated Monte Carlo share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$19.74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$15.28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$18.36</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1,650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4,828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18,626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15,225</w:t>
            </w: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award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$280</w:t>
            </w:r>
          </w:p>
        </w:tc>
      </w:tr>
    </w:tbl>
    <w:p>
      <w:pPr>
        <w:spacing w:after="0" w:line="28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The unamortized cost associated with unvested stock grants and the weighted average period over which it is expected to be recognized as of June 30, 2024 were $5,866,000 and 14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Cash-Settled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Time-Based Cash-Settled Awards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March 13, 2024, the Company granted 75,117 time-based cash-settled awards to the Chief Executive Officer that vest on December 31, 2024. These awards are classified as liabilities, measured at fair value on the date of grant, and remeasured at each reporting date, based on the Company’s share price. Compensation cost is amortized on a straight-line method over the remaining vesting period. As of June 30, 2024, $0.7 million of total unrecognized compensation cost is expected to be recognized on outstanding cash-settled awards over the remaining vesting period based on fair value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Performance-Based Cash-Settled Awards</w:t>
      </w:r>
    </w:p>
    <w:p>
      <w:pPr>
        <w:spacing w:after="0" w:line="90"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On March 13, 2024, the Company granted 14,867 performance condition grants, with market-based conditions, that are cash-settled awards to the Chief Executive Officer. These awards are classified as liabilities, measured at fair value on the date of grant, and remeasured at each reporting date based on a Monte Carlo model. Compensation cost is recognized in proportion to the completed requisite service period through December 31, 2024. The amount of awards earned ranges between 0% and 200% of the target amount depending upon performance achieved over the performance period commencing on the grant date and ending on the last day of the Company’s 2024 fiscal year, and settled in cash. The performance conditions of the award are achieved at a target share price of $17.58. As of June 30, 2024, $0.1 million of total unrecognized compensation cost is expected to be recognized on outstanding performance-based cash-settled awards over the remaining performance period based on the fair value as of June 30, 2024.</w:t>
      </w:r>
    </w:p>
    <w:p>
      <w:pPr>
        <w:spacing w:after="0" w:line="55"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On March 13, 2024, the Company granted 120,188 performance milestone cash-settled awards to the Chief Executive Officer. These awards are classified as liabilities, measured at fair value on the date of grant, and remeasured at each reporting date, based on the Company’s share price. Compensation cost is recognized based on an estimate of the probability of achieving the performance objective at the associated level of achievement in proportion to the completed requisite service period through December 31, 2024. The amount of awards earned for each milestone is either 0% or 100% of the target amount depending upon performance achieved over the performance period commencing on the grant date and ending on the last day of the Company’s 2024 fiscal year, and settled in cash. The performance conditions of the award are achieved based on established milestones. If such milestones are not met or become not probable of being met during the performance period, no compensation cost is recognized and any previously recognized compensation cost is reversed. As of June 30, 2024, $1.1 million of total unrecognized compensation cost is expected to be recognized on outstanding performance-based cash-settled awards over the remaining performance period based on the fair value and the estimated probability of achievement as of June 30, 2024.</w:t>
      </w:r>
    </w:p>
    <w:p>
      <w:pPr>
        <w:spacing w:after="0" w:line="1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2023 Stock Incentive Plan, each non-employee director, during the years presented, received all or a portion of his or her annual compensation in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compensation costs for the Company's 2023 Stock Incentive Plan, 1998 Stock Incentive Plan, and the prior Non-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 Stock Incentive Plan for the following periods: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Expensed</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0"/>
        </w:trPr>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Capitalized</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7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Costs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as of June 30, 2024 has been calculated by applying an estimate of the annual effective tax rate for the full year to “ordinary” income or loss (pre-tax income or loss excluding unusual or infrequently occurring discrete items). For the six months ended June 30, 2024, the Company’s income tax benefit was $2,118,000 compared to income tax expense of $1,404,000 for the six months ended June 30, 2023. Effective tax rates were 102% and 41% for the six months ended June 30, 2024 and 2023, respectively. As of June 30, 2024, the Company had income taxes receivable of $3,646,000. The Company classifies interest and penalties incurred on tax payments as income tax expense.</w:t>
      </w:r>
    </w:p>
    <w:p>
      <w:pPr>
        <w:spacing w:after="0" w:line="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the Company’s effective tax rate was above statutory tax rates as a result of permanent differences related to Section 162(m) limitations. Section 162(m) compensation deduction limitations occurred as a result of changes in tax law arising from the 2017 Tax Cuts and Jobs Act.</w:t>
      </w:r>
    </w:p>
    <w:p>
      <w:pPr>
        <w:spacing w:after="0" w:line="118" w:lineRule="exact"/>
        <w:rPr>
          <w:sz w:val="20"/>
          <w:szCs w:val="20"/>
          <w:color w:val="auto"/>
        </w:rPr>
      </w:pPr>
    </w:p>
    <w:p>
      <w:pPr>
        <w:ind w:right="7320" w:firstLine="8"/>
        <w:spacing w:after="0" w:line="354" w:lineRule="auto"/>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Water Contracts</w:t>
      </w:r>
    </w:p>
    <w:p>
      <w:pPr>
        <w:spacing w:after="0" w:line="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has secured water contracts that are encumbered by the Company's land. These water contracts require minimum annual payments, for which $13,824,000 is expected to be paid in 2024. In the first six months of 2024, the Company paid $10,126,000 for this water.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$289,010,000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Contracts</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determined until the future payment dates. As of June 30, 2024, the Company believes the net savings resulting from exiting the contract during this future time period will more than offset the incentive payment costs.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Facilities Districts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$72,055,000 of outstanding bond debt sold by TRPFFA for TRCC-East. At TRCC-West, the West CFD has no additional bond debt approved for issuance. At TRCC-East, the East CFD has approximately $44,035,000 of additional bond debt authorized by TRPFFA that can be sold in the future as of June 30, 2024.</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bonds, there is a standby letter of credit for $3,358,000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the letter of credit will never be drawn upon. The letter of credit is for two years and will be renewed in two-year intervals as necessary. The annual cost related to the letter of credit is approximately $67,000.</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landowner in each CFD, the Company is obligated to pay its share of the special taxes assessed each year. The secured lands include both the TRCC-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and TRCC-East developments. Proceeds from the sale of West CFD bonds went to reimburse the Company for public infrastructure costs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TRCC-West development. As of June 30, 2024, there were no additional improvement funds remaining from the West CFD bonds. There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$7,284,000 of additional improvement funds remaining within the East CFD bonds for reimbursement of public infrastructure costs during future years.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 TRPFFA sold bonds which will provide approximately $25,000,000 of improvement funds for the reimbursement of public infrastructure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at TRCC-East. During fiscal 2024, the Company expects to pay approximately $2,803,000 in special taxes. As development continues to occur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TRCC, new owners of land and new lease tenants, through triple net leases, will bear an increasing portion of the assessed special tax. This amount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the future, based on the amount of bonds outstanding and the amount of taxes paid by others. The assessment of each individual property sold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 is not determinable at this time, because it is based on the current tax rate and assessed value of the property at the time of sale or on its assessed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at the time it is leased to a third-party. Accordingly, the Company was not required to recognize an obligation on June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Centennial</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are named as real parties-in-interest in both the Climate Resolve Action and the CBD/CNPS Action.</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while not consolidated under court rules or the rules of civil procedure, the Los Angeles Superior Court judge (or Court) trying both cases determined during early trial management conferences to hold one set of hearings and issue one ruling on the matters as part of the adjudication. The Climate Resolve Action and CBD/CNPS Action seek to invalidate the Centennial Approvals and require LA County to revise the environmental documentation related to the Centennial project. The Court held three hearings for the CBD/CNPS Action and Climate Resolve Action on September 30, 2020, November 13, 2020, and January 8, 2021.</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0" w:name="page21"/>
    <w:bookmarkEnd w:id="20"/>
    <w:p>
      <w:pPr>
        <w:ind w:right="20"/>
        <w:spacing w:after="0" w:line="254" w:lineRule="auto"/>
        <w:rPr>
          <w:sz w:val="20"/>
          <w:szCs w:val="20"/>
          <w:color w:val="auto"/>
        </w:rPr>
      </w:pPr>
      <w:r>
        <w:rPr>
          <w:rFonts w:ascii="Times New Roman" w:cs="Times New Roman" w:eastAsia="Times New Roman" w:hAnsi="Times New Roman"/>
          <w:sz w:val="18"/>
          <w:szCs w:val="18"/>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its case based on the Court's conclusions in the Climate Resolve Action (“Motion for Reconsideration”). The hearing on the Motion for Reconsideration originally scheduled for August 13, 2021 was rescheduled to December 1, 2021 and further rescheduled as noted below.</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November 30, 2021, the Company, together with Ranchcorp and CFL, entered into a Settlement Agreement with Climate Resolve. Pursuant to the Settlement Agreement, the Company has agreed as stated and obligated in the Settlement Agreement: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December 3, 2021, the Court granted and entered Climate Resolve’s dismissal with prejudice concluding the Climate Resolve Action. On December 1, 2021, the Court continued CBD/CNPS Motion for Reconsideration to January 14, 2022, directing CBD/CNPS to evaluate the Settlement Agreement reached in the Climate Resolve Action to address issues surrounding remedies should CBD be granted prevailing party status in its case based on the Court’s conclusions in the Climate Resolve Action, and to evaluate the potential to settle or otherwise address CBD’s objections to the Centennial project. To that end, the Company met and conferred twice on January 4, 2022 and January 20, 2022. On January 14, 2022, the Court heard CBD/CNPS' Motion for Reconsideration and issued its decision granting CBD/CNPS prevailing party status based on the Court’s conclusions in the Climate Resolve Action.</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Court set a tentative hearing date of February 25, 2022 concerning the entry of final judgment and awarding of appropriate remedies, which was continued several times in 2022 either on the Court's own motion or at the request of the parties and was ultimately set for hearing on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w:t>
      </w:r>
    </w:p>
    <w:p>
      <w:pPr>
        <w:spacing w:after="0" w:line="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On March 22, 2023, the Court decided in favor of CBD/CNPS when the Judge signed CBD/CNPS’s proposed form of judgment, which included a full rescission of the Centennial project approvals previously issued by Los Angeles County. On May 26, 2023, the Company filed a Notice of Appeal with the Superior Court, thereby appealing the Superior Court’s decision to the Second District of the California Court of Appeal. On June 27, 2023, CBD/CNPS cross-appealed the Superior Court’s ruling. During the appeal process the Superior Court’s order of the rescission of project approvals have been placed on hold.</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the Company’s options to reinstate the project approvals remain pending, the monetary value of any adverse decision, if any, cannot be estimated at this time.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Incidental to Business</w:t>
      </w:r>
    </w:p>
    <w:p>
      <w:pPr>
        <w:spacing w:after="0" w:line="10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2024.</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ind w:right="60"/>
        <w:spacing w:after="0" w:line="254" w:lineRule="auto"/>
        <w:rPr>
          <w:sz w:val="20"/>
          <w:szCs w:val="20"/>
          <w:color w:val="auto"/>
        </w:rPr>
      </w:pPr>
      <w:r>
        <w:rPr>
          <w:rFonts w:ascii="Times New Roman" w:cs="Times New Roman" w:eastAsia="Times New Roman" w:hAnsi="Times New Roman"/>
          <w:sz w:val="18"/>
          <w:szCs w:val="18"/>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June 30, 2024, the investment mixes were approximately at 99% debt and 1% money market funds. At December 31, 2023, the investment mixes were approximately 99% debt, and 1% money market funds. The weighted-average discount rate used in determining the periodic pension cost is 4.85% in both 2024 and 2023. The expected long-term rate of return on plan assets is 5.00% for both fiscal 2024 and 2023. The long-term rate of return on Benefit Plan assets is based on the historical returns within the plan and expectations for future returns.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pension and retirement earnings for the Benefit Plan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(Cost)/earnings components: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In April 2017, the Company froze the SERP plan as it relates to the accrual of additional benefits.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pension and retirement expense for the SERP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components:</w:t>
            </w: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amortization and other</w:t>
            </w:r>
          </w:p>
        </w:tc>
        <w:tc>
          <w:tcPr>
            <w:tcW w:w="34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3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REPORTING SEGMENTS AND RELATED INFORMATION</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currently operates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Commercial/Industrial Development</w:t>
      </w:r>
    </w:p>
    <w:p>
      <w:pPr>
        <w:spacing w:after="0" w:line="10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Commercial/Industrial real estate development segment revenues consist of leases of land and/or building space to tenants at the Company's commercial retail and industrial developments, base and percentage rents from the PEF power plant lease, communication tower rents, land sales, and payments from easement leases. Refer to Note 14 (Investment in Unconsolidated and Consolidated Joint Ventures) for discussion of unconsolidated joint ventures.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expenses and operating income from this segment for the periods ended: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 w:type="dxa"/>
            <w:vAlign w:val="bottom"/>
          </w:tcPr>
          <w:p>
            <w:pPr>
              <w:spacing w:after="0"/>
              <w:rPr>
                <w:sz w:val="20"/>
                <w:szCs w:val="20"/>
                <w:color w:val="auto"/>
              </w:rPr>
            </w:pPr>
          </w:p>
        </w:tc>
        <w:tc>
          <w:tcPr>
            <w:tcW w:w="29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Commercial/industrial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164"/>
        </w:trPr>
        <w:tc>
          <w:tcPr>
            <w:tcW w:w="45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Commercial/industrial revenues and equity in earnings of</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Commercial/industrial expenses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164"/>
        </w:trPr>
        <w:tc>
          <w:tcPr>
            <w:tcW w:w="45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Operating results from commercial/industrial and</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0" w:type="dxa"/>
            <w:vAlign w:val="bottom"/>
          </w:tcPr>
          <w:p>
            <w:pPr>
              <w:spacing w:after="0"/>
              <w:rPr>
                <w:sz w:val="1"/>
                <w:szCs w:val="1"/>
                <w:color w:val="auto"/>
              </w:rPr>
            </w:pPr>
          </w:p>
        </w:tc>
      </w:tr>
      <w:tr>
        <w:trPr>
          <w:trHeight w:val="22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Resort/Residential Development</w:t>
      </w:r>
    </w:p>
    <w:p>
      <w:pPr>
        <w:spacing w:after="0" w:line="9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$427,000 and $324,000 for the three months ended June 30, 2024 and 2023, respectively. The segment generated losses of $1,988,000 and $712,000 for the six months ended June 30, 2024 and 2023,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Mineral Resources</w:t>
      </w:r>
    </w:p>
    <w:p>
      <w:pPr>
        <w:spacing w:after="0" w:line="1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80" w:type="dxa"/>
            <w:vAlign w:val="bottom"/>
          </w:tcPr>
          <w:p>
            <w:pPr>
              <w:spacing w:after="0"/>
              <w:rPr>
                <w:sz w:val="20"/>
                <w:szCs w:val="20"/>
                <w:color w:val="auto"/>
              </w:rPr>
            </w:pPr>
          </w:p>
        </w:tc>
        <w:tc>
          <w:tcPr>
            <w:tcW w:w="338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r>
      <w:tr>
        <w:trPr>
          <w:trHeight w:val="230"/>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Mineral resources expenses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mineral resources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Farming</w:t>
      </w:r>
    </w:p>
    <w:p>
      <w:pPr>
        <w:spacing w:after="0" w:line="1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Farming segment revenues include the sale of almonds, pistachios, wine grapes, and hay. The following table summarizes revenues, expenses and operating results from this segment for the periods ended: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20"/>
                <w:szCs w:val="20"/>
                <w:color w:val="auto"/>
              </w:rPr>
            </w:pPr>
          </w:p>
        </w:tc>
        <w:tc>
          <w:tcPr>
            <w:tcW w:w="30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Farming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1,007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2,210</w:t>
            </w:r>
          </w:p>
        </w:tc>
      </w:tr>
      <w:tr>
        <w:trPr>
          <w:trHeight w:val="230"/>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Farming expenses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8"/>
              </w:rPr>
              <w:t>3,154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3,487</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farming</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(1,277)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Ranch Operations</w:t>
      </w:r>
    </w:p>
    <w:p>
      <w:pPr>
        <w:spacing w:after="0" w:line="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98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1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29"/>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Ranch operations expenses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ranch operations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INVESTMENT IN UNCONSOLIDATED AND CONSOLIDATED JOINT VENTURES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June 30, 2024 was $32,134,000. The equity in the income of unconsolidated joint ventures was $4,282,000 for the six months ended June 30, 2024. The unconsolidated joint ventures have not been consolidated as of June 30, 2024, because the Company does not control the investments. The Company’s current joint ventures are as follows:</w:t>
      </w:r>
    </w:p>
    <w:p>
      <w:pPr>
        <w:spacing w:after="0" w:line="129" w:lineRule="exact"/>
        <w:rPr>
          <w:sz w:val="20"/>
          <w:szCs w:val="20"/>
          <w:color w:val="auto"/>
        </w:rPr>
      </w:pPr>
    </w:p>
    <w:p>
      <w:pPr>
        <w:ind w:left="460" w:right="40" w:hanging="331"/>
        <w:spacing w:after="0" w:line="256"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The Company's investment in this joint venture was $22,589,000 as of June 30, 2024.</w:t>
      </w:r>
    </w:p>
    <w:p>
      <w:pPr>
        <w:spacing w:after="0" w:line="133" w:lineRule="exact"/>
        <w:rPr>
          <w:rFonts w:ascii="Times New Roman" w:cs="Times New Roman" w:eastAsia="Times New Roman" w:hAnsi="Times New Roman"/>
          <w:sz w:val="18"/>
          <w:szCs w:val="18"/>
          <w:color w:val="auto"/>
        </w:rPr>
      </w:pPr>
    </w:p>
    <w:p>
      <w:pPr>
        <w:ind w:left="460" w:right="20" w:hanging="331"/>
        <w:spacing w:after="0" w:line="254"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Majestic Realty Co. – Majestic Realty Co., or Majestic, is a privately-held developer and owner of industrial and commercial properties throughout the United States. The Company partnered with Majestic to form five active 50/50 joint ventures to acquire, develop, manage, and operate industrial real estate at TRCC. The partners have equal voting rights and equally share in the profit and loss of the joint venture. The Company and Majestic guarantee the performance of all outstanding debt. For those investments in a deficit position,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70" w:lineRule="exact"/>
        <w:rPr>
          <w:rFonts w:ascii="Times New Roman" w:cs="Times New Roman" w:eastAsia="Times New Roman" w:hAnsi="Times New Roman"/>
          <w:sz w:val="18"/>
          <w:szCs w:val="18"/>
          <w:color w:val="auto"/>
        </w:rPr>
      </w:pPr>
    </w:p>
    <w:p>
      <w:pPr>
        <w:ind w:left="980" w:right="100" w:hanging="324"/>
        <w:spacing w:after="0" w:line="258" w:lineRule="auto"/>
        <w:tabs>
          <w:tab w:leader="none" w:pos="9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29, 2022, TRC-MRC 5 LLC was formed to pursue the development, construction, lease-up, and management of an approximately 446,400 square foot industrial building located within TRCC-East. The construction of the building was completed in the fourth quarter of 2023, and the joint venture has leased 100% of the rentable space. The joint venture refinanced the construction loan in February 2024 with a promissory note. The note matures on February 3, 2035, and had an outstanding balance of $53,170,000 as of June 30, 2024. Since its inception, the Company has received excess distributions resulting in a deficit balance in its investment of $1,439,000.</w:t>
      </w:r>
    </w:p>
    <w:p>
      <w:pPr>
        <w:spacing w:after="0" w:line="75" w:lineRule="exact"/>
        <w:rPr>
          <w:rFonts w:ascii="Times New Roman" w:cs="Times New Roman" w:eastAsia="Times New Roman" w:hAnsi="Times New Roman"/>
          <w:sz w:val="18"/>
          <w:szCs w:val="18"/>
          <w:color w:val="auto"/>
        </w:rPr>
      </w:pPr>
    </w:p>
    <w:p>
      <w:pPr>
        <w:ind w:left="980" w:right="40" w:hanging="324"/>
        <w:spacing w:after="0" w:line="258" w:lineRule="auto"/>
        <w:tabs>
          <w:tab w:leader="none" w:pos="9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2021, TRC-MRC 4 LLC was formed to pursue the development, construction, lease-up, and management of a 629,274 square foot industrial building located within TRCC-East. The construction of the building was completed in the fourth quarter of 2022, and the joint venture has leased 100% of the rentable space. The joint venture refinanced its construction loan in March 2023 with a promissory note. The note matures on March 1, 2033, and had an outstanding balance of $61,361,000 as of June 30, 2024. Since its inception, the Company has received excess distributions resulting in a deficit balance in its investment of $6,135,000.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4" w:name="page25"/>
    <w:bookmarkEnd w:id="24"/>
    <w:p>
      <w:pPr>
        <w:ind w:left="980" w:right="120" w:hanging="324"/>
        <w:spacing w:after="0" w:line="255" w:lineRule="auto"/>
        <w:tabs>
          <w:tab w:leader="none" w:pos="97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TRC-MRC 3, LLC was formed to pursue the development, construction, leasing, and management of a 579,040 square foot industrial building on the Company's property at TRCC-East. TRC-MRC 3, LLC qualified as a VIE from inception, but the Company is not the primary beneficiary therefore it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$33,179,000 as of June 30, 2024. The Company's investment in this joint venture was $234,000 as of June 30, 2024.</w:t>
      </w:r>
    </w:p>
    <w:p>
      <w:pPr>
        <w:spacing w:after="0" w:line="80" w:lineRule="exact"/>
        <w:rPr>
          <w:rFonts w:ascii="Times New Roman" w:cs="Times New Roman" w:eastAsia="Times New Roman" w:hAnsi="Times New Roman"/>
          <w:sz w:val="18"/>
          <w:szCs w:val="18"/>
          <w:color w:val="auto"/>
        </w:rPr>
      </w:pPr>
    </w:p>
    <w:p>
      <w:pPr>
        <w:ind w:left="980" w:right="60" w:hanging="324"/>
        <w:spacing w:after="0" w:line="258" w:lineRule="auto"/>
        <w:tabs>
          <w:tab w:leader="none" w:pos="97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$21,591,000 as of June 30, 2024. The building was 100% leased as of June 30, 2024. Since its inception, the Company has received excess distributions resulting in a deficit balance in its investment of $848,000.</w:t>
      </w:r>
    </w:p>
    <w:p>
      <w:pPr>
        <w:spacing w:after="0" w:line="75"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2016, TRC-MRC 1, LLC was formed to develop and operate an approximately 480,480 square foot industrial building at TRCC-East. The joint venture completed construction in 2017. The joint venture refinanced its construction loan in December 2018 with a mortgage loan. The original balance of the mortgage loan was $25,030,000, of which $21,811,000 was outstanding as of June 30, 2024. Since inception of the joint venture, the Company has received excess distributions resulting in a deficit balance in its investment of $1,340,000.</w:t>
      </w:r>
    </w:p>
    <w:p>
      <w:pPr>
        <w:spacing w:after="0" w:line="56" w:lineRule="exact"/>
        <w:rPr>
          <w:rFonts w:ascii="Times New Roman" w:cs="Times New Roman" w:eastAsia="Times New Roman" w:hAnsi="Times New Roman"/>
          <w:sz w:val="17"/>
          <w:szCs w:val="17"/>
          <w:color w:val="auto"/>
        </w:rPr>
      </w:pPr>
    </w:p>
    <w:p>
      <w:pPr>
        <w:ind w:left="340" w:hanging="332"/>
        <w:spacing w:after="0" w:line="253"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TRCC/Rock Outlet Center LLC – This joint venture was formed in 2013 with Rockefeller Group Development Corporation, or Rockefeller to develop, own, and manage a net leasable 326,000 square foot outlet center on land at TRCC-East. At June 30, 2024, the Company’s equity investment balance in this joint venture was $9,311,000.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August 16, 2023, the TRCC/Rock Outlet Center LLC joint venture successfully extended the maturity date of its term note with a financial institution from May 31, 2024 to June 30, 2025. In connection with the loan extension, the joint venture also reduced the outstanding amount by $6,000,000. As of June 30, 2024, the outstanding balance of the term note was $20,702,000. The Company and Rockefeller guarantee the performance of the debt.</w:t>
      </w:r>
    </w:p>
    <w:p>
      <w:pPr>
        <w:spacing w:after="0" w:line="68"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Founders, LLC – CFL is a joint venture with TRI Pointe Homes to pursue the entitlement and development of land that the Company owns in Los Angeles County. As of June 30, 2024, the Company owned 93.57% of CFL.</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condensed statements of operations for the three and six months ended June 30, 2024 and 2023 and condensed balance sheet information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unconsolidated joint ventures as of June 30, 2024 and December 31, 2023 are as follows: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280" w:type="dxa"/>
            <w:vAlign w:val="bottom"/>
          </w:tcPr>
          <w:p>
            <w:pPr>
              <w:spacing w:after="0"/>
              <w:rPr>
                <w:sz w:val="20"/>
                <w:szCs w:val="20"/>
                <w:color w:val="auto"/>
              </w:rPr>
            </w:pPr>
          </w:p>
        </w:tc>
        <w:tc>
          <w:tcPr>
            <w:tcW w:w="25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41,399</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TRCC/Rock Outlet Center, LLC</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1,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2,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3,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TRC-MRC 4,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TRC-MRC 5,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Centennial Founders, LLC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24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8"/>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right="580" w:firstLine="6"/>
        <w:spacing w:after="0" w:line="237"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TRCC/Rock Outlet Center are presented net of non-cash tenant allowance amortization of $0.3 million for the three months ended June 30, 2024 and June 30,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280" w:type="dxa"/>
            <w:vAlign w:val="bottom"/>
          </w:tcPr>
          <w:p>
            <w:pPr>
              <w:spacing w:after="0"/>
              <w:rPr>
                <w:sz w:val="20"/>
                <w:szCs w:val="20"/>
                <w:color w:val="auto"/>
              </w:rPr>
            </w:pPr>
          </w:p>
        </w:tc>
        <w:tc>
          <w:tcPr>
            <w:tcW w:w="25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75,898</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TRCC/Rock Outlet Center, LLC</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1,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2,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3,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TRC-MRC 4,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TRC-MRC 5,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93,572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88,627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Centennial Founders, LLC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24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8"/>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right="560" w:firstLine="6"/>
        <w:spacing w:after="0" w:line="250" w:lineRule="auto"/>
        <w:tabs>
          <w:tab w:leader="none" w:pos="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TRCC/Rock Outlet Center are presented net of non-cash tenant allowance amortization of $0.7 million and $0.6 million for the six months ended June 30, 2024 and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Joint Venture</w:t>
            </w:r>
          </w:p>
        </w:tc>
        <w:tc>
          <w:tcPr>
            <w:tcW w:w="140" w:type="dxa"/>
            <w:vAlign w:val="bottom"/>
          </w:tcPr>
          <w:p>
            <w:pPr>
              <w:spacing w:after="0"/>
              <w:rPr>
                <w:sz w:val="20"/>
                <w:szCs w:val="20"/>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TRC</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Joint Venture</w:t>
            </w:r>
          </w:p>
        </w:tc>
        <w:tc>
          <w:tcPr>
            <w:tcW w:w="140" w:type="dxa"/>
            <w:vAlign w:val="bottom"/>
          </w:tcPr>
          <w:p>
            <w:pPr>
              <w:spacing w:after="0"/>
              <w:rPr>
                <w:sz w:val="20"/>
                <w:szCs w:val="20"/>
                <w:color w:val="auto"/>
              </w:rPr>
            </w:pPr>
          </w:p>
        </w:tc>
        <w:tc>
          <w:tcPr>
            <w:tcW w:w="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TRC</w:t>
            </w:r>
          </w:p>
        </w:tc>
        <w:tc>
          <w:tcPr>
            <w:tcW w:w="0" w:type="dxa"/>
            <w:vAlign w:val="bottom"/>
          </w:tcPr>
          <w:p>
            <w:pPr>
              <w:spacing w:after="0"/>
              <w:rPr>
                <w:sz w:val="1"/>
                <w:szCs w:val="1"/>
                <w:color w:val="auto"/>
              </w:rPr>
            </w:pPr>
          </w:p>
        </w:tc>
      </w:tr>
      <w:tr>
        <w:trPr>
          <w:trHeight w:val="167"/>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4"/>
                <w:szCs w:val="14"/>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4"/>
                <w:szCs w:val="14"/>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78,378</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TRC-MRC 1, LLC</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(21,811)</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TRC-MRC 2, LLC</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TRC-MRC 3, LLC</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TRC-MRC 4, LLC</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(61,776)</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TRC-MRC 5, LLC</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(53,170)</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49,687</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23"/>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316,944</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(223,988)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309,897</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33,648</w:t>
            </w:r>
          </w:p>
        </w:tc>
        <w:tc>
          <w:tcPr>
            <w:tcW w:w="0" w:type="dxa"/>
            <w:vAlign w:val="bottom"/>
          </w:tcPr>
          <w:p>
            <w:pPr>
              <w:spacing w:after="0"/>
              <w:rPr>
                <w:sz w:val="1"/>
                <w:szCs w:val="1"/>
                <w:color w:val="auto"/>
              </w:rPr>
            </w:pPr>
          </w:p>
        </w:tc>
      </w:tr>
      <w:tr>
        <w:trPr>
          <w:trHeight w:val="21"/>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Centennial Founders, LLC</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96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106,297</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105,940</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104,979</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104,753</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60" w:hanging="314"/>
        <w:spacing w:after="0"/>
        <w:tabs>
          <w:tab w:leader="none" w:pos="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Founders, LLC is consolidated within the Company's financial statements.</w:t>
      </w:r>
    </w:p>
    <w:p>
      <w:pPr>
        <w:spacing w:after="0" w:line="20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June 30, 2024, the Company paid $3,718,000 for these water contracts and related costs.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the adequacy of future cash flows to fund our operations, the adequacy of current assets and contracts to meet our water and other commitments, market value risks associated with investment and risk management activities and with respect to inventory and accounts receivable, our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geopolitical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OVERVIEW</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Business Objectives and Strategies</w:t>
      </w:r>
    </w:p>
    <w:p>
      <w:pPr>
        <w:spacing w:after="0" w:line="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Our primary business objective is to maximize long-term shareholder value through the improvement and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include up to 35,278 housing units, and more than 35 million square feet of commercial space. We have obtained entitlements on MV and the first approved final map for the project consisting of 401 residential lots and parcels for hospitality, amenities, and public uses. Grapevine at Tejon Ranch, or Grapevine, has approved entitlements for 12,000 units and 5 million square feet of commercial development. Centennial at Tejon Ranch, or Centennial, had entitlements approved in 2019 by the Los Angeles County Board of Supervisors. These approvals were litigated in two lawsuits filed in Los Angeles County Superior Court in May 2019 and we have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cross-appealed the Superior Court’s ruling. During the appeals process the Superior Court’s order of the rescission of project approvals has been placed on hold. See Note 11 (Commitments and Contingencies) of the Notes to Unaudited Consolidated Financial Statements for additional information regarding the Centennial litigation.</w:t>
      </w:r>
    </w:p>
    <w:p>
      <w:pPr>
        <w:spacing w:after="0" w:line="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currently executing on value creation as we are engaged in construction, commercial sales, and leasing at our fully operational commercial/industrial center, TRCC. During the first quarter of 2024, we began construction of the first phase of a multi-family community, Terra Vista at Tejon, within TRCC. The development is located on a 22-acre site located immediately north of the Outlets at Tejon. In this first phase, we are developing 228 units of multi-family residences, in seven apartment buildings, as well as a clubhouse with pool and fitness facilities. The Conditional Use Permit approved by Kern County Board of Supervisors authorized up to a maximum of 495 multi-family residences to be constructed. Our goal is to deliver the first phase on budget and on time, and we are currently meeting both objectives. All of these efforts are supported by diverse revenue streams generated from other operations, including: farming, mineral resources, ranch operations, and our various joint ventures.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006EBF"/>
        </w:rPr>
        <w:t>Our Business</w:t>
      </w:r>
    </w:p>
    <w:p>
      <w:pPr>
        <w:spacing w:after="0" w:line="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currently operate in five reporting segments: commercial/industrial real estate development; resort/residential real estate development; mineral resources; farming; and ranch operations.</w:t>
      </w:r>
    </w:p>
    <w:p>
      <w:pPr>
        <w:spacing w:after="0" w:line="4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third-parties for their own development. The commercial/industrial real estate development segment also includes activities related to the power plant lease and communications leases.</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the heart of the commercial/industrial real estate development segment is TRCC, a 20 million square foot commercial/industrial development on Interstate 5 just north of the Los Angeles basin. Over eight million square feet of industrial, commercial and retail space has already been developed or is under development, including distribution centers for IKEA, Caterpillar, Nestlé, Famous Footwear, L'Oreal, Camping World, Sunrise Brands, Dollar General and RectorSeal. TRCC sits on both sides of Interstate 5, giving distributors immediate access to the west coast’s principal north-south goods movement corridor.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involved in multiple joint ventures within TRCC with several partners that help us expand our commercial/industrial business activities:</w:t>
      </w:r>
    </w:p>
    <w:p>
      <w:pPr>
        <w:spacing w:after="0" w:line="104" w:lineRule="exact"/>
        <w:rPr>
          <w:sz w:val="20"/>
          <w:szCs w:val="20"/>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with Rockefeller Development Group, or Rockefeller:</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TRCC/Rock Outlet Center LLC operates the Outlets at Tejon, a net leasable 326,000 square foot shopping experience in TRCC-East.</w:t>
      </w:r>
    </w:p>
    <w:p>
      <w:pPr>
        <w:spacing w:after="0" w:line="10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joint ventures with Majestic Realty Co., or Majestic, to develop, manage, and operate five industrial buildings comprising of 2.8 million square feet of industrial space all within TRCC and all fully leased.</w:t>
      </w:r>
    </w:p>
    <w:p>
      <w:pPr>
        <w:spacing w:after="0" w:line="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resort/residential real estate development segment is actively involved in the land entitlement and development process internally and through a joint venture. Our active developments within this segment are MV, Centennial, and Grapevine, with Grapevine North representing a fourth opportunity in this segment.</w:t>
      </w:r>
    </w:p>
    <w:p>
      <w:pPr>
        <w:spacing w:after="0" w:line="41" w:lineRule="exact"/>
        <w:rPr>
          <w:sz w:val="20"/>
          <w:szCs w:val="20"/>
          <w:color w:val="auto"/>
        </w:rPr>
      </w:pPr>
    </w:p>
    <w:p>
      <w:pPr>
        <w:ind w:left="660" w:right="1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MV encompasses a total of 26,417 acres, of which 5,082 acres is expected to be used for a mixed-use development that will include housing, retail, and commercial components. MV is entitled for 3,450 homes, 160,000 square feet of commercial development, 750 hotel keys, and more than 21,335 acres of open space. The first final map for the project consisting of 401 residential lots and parcels for hospitality, amenities, and public uses was approved by Kern County in December 2021;</w:t>
      </w:r>
    </w:p>
    <w:p>
      <w:pPr>
        <w:spacing w:after="0" w:line="44"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11 (Commitments and Contingencies) of the Notes to Unaudited Consolidated Financial Statements for additional information related to current litigation;</w:t>
      </w:r>
    </w:p>
    <w:p>
      <w:pPr>
        <w:spacing w:after="0" w:line="45"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Grapevine is an 8,010-acre development area located on the San Joaquin Valley floor area of our lands, adjacent to TRCC. Upon completion of Grapevine, the community will include 12,000 homes, 5.1 million square feet of commercial development, and more than 3,367 acres of open space and parks; and</w:t>
      </w:r>
    </w:p>
    <w:p>
      <w:pPr>
        <w:spacing w:after="0" w:line="55" w:lineRule="exact"/>
        <w:rPr>
          <w:rFonts w:ascii="Times New Roman" w:cs="Times New Roman" w:eastAsia="Times New Roman" w:hAnsi="Times New Roman"/>
          <w:sz w:val="18"/>
          <w:szCs w:val="18"/>
          <w:color w:val="auto"/>
        </w:rPr>
      </w:pPr>
    </w:p>
    <w:p>
      <w:pPr>
        <w:ind w:left="660" w:right="160" w:hanging="328"/>
        <w:spacing w:after="0"/>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w:t>
      </w:r>
    </w:p>
    <w:p>
      <w:pPr>
        <w:spacing w:after="0" w:line="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2023, for a more detailed description of our active developments within the resort/residential real estate development segment.</w:t>
      </w:r>
    </w:p>
    <w:p>
      <w:pPr>
        <w:spacing w:after="0" w:line="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mineral resources segment generates revenues from oil and gas royalty leases, rock and aggregate mining leases, a lease with National Cement Company of California Inc., and water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farming segment produces revenues from the sale of wine grapes, almonds, and pistachios.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Lastly, the ranch operations segment consists of game management revenues and ancillary land uses such as grazing leases and filming.</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006EBF"/>
        </w:rPr>
        <w:t>Summary of Second Quarter 2024 Performance</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we had net income attributable to common stockholders of $957,000 compared to net income of $267,000 for the three months ended June 30, 2023. The primary driver of this increase of $690,000 was $1,176,000 of tax benefits recorded during this quarter compared to $391,000 of tax provisions recorded over the comparative period. Equity in earnings of unconsolidated joint ventures increased by $831,000 mainly related to improved fuel margins of our TA/Petro joint venture. Corporate expenses experienced an increase of $1,135,000, primarily attributable to higher stock compensation expenses recorded during the quarter.</w:t>
      </w:r>
    </w:p>
    <w:p>
      <w:pPr>
        <w:spacing w:after="0" w:line="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we had net income attributable to common stockholders of $43,000 compared to $2,041,000 for the same period in 2023. This decrease in net income was primarily attributable to reductions in operating profits within the mineral resources segment of $2,231,000 caused by limited opportunities to sell water, and within the resort/residential segments of $1,276,000 due to higher professional service fees incurred, along with an increase in corporate expenses of $1,340,000 associated with higher stock compensation expenses. Partially offsetting the above-mentioned factors was an increase in tax benefits recognized of $3,522,000 during 2024 when compared with 2023.</w:t>
      </w:r>
    </w:p>
    <w:p>
      <w:pPr>
        <w:spacing w:after="0" w:line="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13 (Reporting Segments and Related Information) of the Notes to Unaudited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Critical Accounting Estimates</w:t>
      </w:r>
    </w:p>
    <w:p>
      <w:pPr>
        <w:spacing w:after="0" w:line="9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preparation of our interim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w:t>
      </w:r>
    </w:p>
    <w:p>
      <w:pPr>
        <w:spacing w:after="0" w:line="1"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estimate requires us to make assumptions about matters that were highly uncertain at the time the accounting estimate was made, and</w:t>
      </w:r>
    </w:p>
    <w:p>
      <w:pPr>
        <w:spacing w:after="0" w:line="9" w:lineRule="exact"/>
        <w:rPr>
          <w:rFonts w:ascii="Times New Roman" w:cs="Times New Roman" w:eastAsia="Times New Roman" w:hAnsi="Times New Roman"/>
          <w:sz w:val="18"/>
          <w:szCs w:val="18"/>
          <w:color w:val="auto"/>
        </w:rPr>
      </w:pPr>
    </w:p>
    <w:p>
      <w:pPr>
        <w:ind w:firstLine="8"/>
        <w:spacing w:after="0" w:line="252"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our critical accounting policies have not changed since the filing of our Annual Report on Form 10-K for the year ended December 31, 2023.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006EBF"/>
        </w:rPr>
        <w:t>Results of Operations by Segment</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Real Estate – Commercial/Industrial:</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2880" w:type="dxa"/>
            <w:vAlign w:val="bottom"/>
            <w:tcBorders>
              <w:top w:val="single" w:sz="8" w:color="006EBF"/>
            </w:tcBorders>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40" w:type="dxa"/>
            <w:vAlign w:val="bottom"/>
          </w:tcPr>
          <w:p>
            <w:pPr>
              <w:spacing w:after="0"/>
              <w:rPr>
                <w:sz w:val="24"/>
                <w:szCs w:val="24"/>
                <w:color w:val="auto"/>
              </w:rPr>
            </w:pPr>
          </w:p>
        </w:tc>
        <w:tc>
          <w:tcPr>
            <w:tcW w:w="19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1240" w:type="dxa"/>
            <w:vAlign w:val="bottom"/>
          </w:tcPr>
          <w:p>
            <w:pPr>
              <w:spacing w:after="0"/>
              <w:rPr>
                <w:sz w:val="24"/>
                <w:szCs w:val="24"/>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Commercial/industrial revenues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TRCC Leasing</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 management fees and reimbursements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leases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 leases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Landscaping and 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commercial/industrial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commercial/industrial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from commercial/industrial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right="6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revenues were $2,550,000 for the three months ended June 30, 2024, a decrease of $83,000, or 3%, from $2,633,000 for the three months ended June 30, 2023. The decrease was primarily attributable to the decrease in revenue of Pastoria Energy Facility of $87,000 due to lower spark spread percentage revenue during the period.</w:t>
      </w:r>
    </w:p>
    <w:p>
      <w:pPr>
        <w:spacing w:after="0" w:line="54" w:lineRule="exact"/>
        <w:rPr>
          <w:rFonts w:ascii="Times New Roman" w:cs="Times New Roman" w:eastAsia="Times New Roman" w:hAnsi="Times New Roman"/>
          <w:sz w:val="18"/>
          <w:szCs w:val="18"/>
          <w:color w:val="auto"/>
        </w:rPr>
      </w:pPr>
    </w:p>
    <w:p>
      <w:pPr>
        <w:ind w:left="340" w:right="60" w:hanging="332"/>
        <w:spacing w:after="0" w:line="26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expenses were $1,990,000 for the three months ended June 30, 2024, an increase of $305,000, or 18%, from $1,685,000 for the three months ended June 30, 2023. The increase was primarily attributable to higher payroll expense of $103,000 and an increase in insurance cost of $90,000 over the comparative period. Additionally, bad debt reserve increased by $34,000 due to the delinquency related to one tenant, and stock compensation expense for this segment increased by $27,000 over the comparative period.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color w:val="auto"/>
              </w:rPr>
              <w:t>Change</w:t>
            </w: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revenues</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TRCC Leasing</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 management fees and reimbursements</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leases</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 leases</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Landscaping and other</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revenues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commercial expenses</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from commercial/industrial</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5"/>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ind w:left="340" w:right="20" w:hanging="332"/>
        <w:spacing w:after="0" w:line="258"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revenues were $5,495,000 for the six months ended June 30, 2024, an increase of $186,000, or 4%, from $5,309,000 for the six months ended June 30, 2023. The driver of this increase was higher landscaping revenue of $211,000 due to more out-of-scope services, such as clean-up and repairs caused by the heavy winter storms. Partially offsetting the increase was a decrease of $160,000 in revenue from Pastoria Energy Facility due to lower spark spread recorded for the period. Additionally, bad debt reserve increased by $100,000 due to delinquency related to one tenant over comparative period.</w:t>
      </w:r>
    </w:p>
    <w:p>
      <w:pPr>
        <w:spacing w:after="0" w:line="48"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expenses were $3,917,000 for the six months ended June 30, 2024, an increase of $537,000, or 16%, from $3,380,000 for the six months ended June 30, 2023. The increase was primarily attributable to higher payroll and stock compensation expense of $242,000 and higher insurance cost of $175,000 over the comparative period.</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logistics operators currently located within TRCC have demonstrated success in serving all of California and the western region of the United States, and we showcase their success in our marketing efforts. We expect to continue to focus our marketing strategy for TRCC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6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FTZ designation allows businesses to secure the many benefits and cost reductions associated with streamlined movement of goods in and out of the trade zone. This FTZ designation is further supplemented by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45"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believe the FTZ and AKIP,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 We continue to analyze the market and evaluate expansions of industrial buildings for lease either on our own or in partnerships, as we have done with the buildings developed within our joint ventures.</w:t>
      </w:r>
    </w:p>
    <w:p>
      <w:pPr>
        <w:spacing w:after="0" w:line="4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 Demand for large distribution facilities is continuing to drive development farther east in a search for large, entitled parcels.</w:t>
      </w:r>
    </w:p>
    <w:p>
      <w:pPr>
        <w:spacing w:after="0" w:line="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2024, vacancy rates in the Inland Empire continued to climb but at a much slower pace to 6.6%, while leasing activity posted a 24-month high of 11.4 million square feet and net absorption returned to positive territory at 6.5 million square feet. Average asking rents declined for the fourth consecutive quarter. The San Fernando Valley and Ventura County industrial markets continue to experience tight conditions. Vacancy increased marginally to 1.5% in San Fernando Valley and rose by 10 basis points to 2.2% in Ventura County, while overall net absorption was negative in both markets. Average asking rent saw a slight quarter-over-quarter decline in the San Fernando Valley, dropping by $0.05 to $1.68, and by $0.01 in Ventura County to $1.26. See below for the vacancy rates and average asking rent of Inland Empire, San Fernando Valley and Ventura County.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180" w:type="dxa"/>
            <w:vAlign w:val="bottom"/>
            <w:tcBorders>
              <w:top w:val="single" w:sz="8" w:color="auto"/>
            </w:tcBorders>
          </w:tcPr>
          <w:p>
            <w:pPr>
              <w:spacing w:after="0"/>
              <w:rPr>
                <w:sz w:val="17"/>
                <w:szCs w:val="17"/>
                <w:color w:val="auto"/>
              </w:rPr>
            </w:pPr>
          </w:p>
        </w:tc>
      </w:tr>
      <w:tr>
        <w:trPr>
          <w:trHeight w:val="234"/>
        </w:trPr>
        <w:tc>
          <w:tcPr>
            <w:tcW w:w="296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June 30, 2024</w:t>
            </w: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30, 2023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318"/>
        </w:trPr>
        <w:tc>
          <w:tcPr>
            <w:tcW w:w="29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Vacancy Rates</w:t>
            </w: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Asking Rent</w:t>
            </w:r>
          </w:p>
        </w:tc>
        <w:tc>
          <w:tcPr>
            <w:tcW w:w="1180" w:type="dxa"/>
            <w:vAlign w:val="bottom"/>
            <w:tcBorders>
              <w:top w:val="single" w:sz="8" w:color="auto"/>
            </w:tcBorders>
          </w:tcPr>
          <w:p>
            <w:pPr>
              <w:spacing w:after="0"/>
              <w:rPr>
                <w:sz w:val="24"/>
                <w:szCs w:val="24"/>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Inland Empire</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1.48</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w:t>
            </w:r>
          </w:p>
        </w:tc>
      </w:tr>
      <w:tr>
        <w:trPr>
          <w:trHeight w:val="184"/>
        </w:trPr>
        <w:tc>
          <w:tcPr>
            <w:tcW w:w="2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San Fernando Valley and Ventura</w:t>
            </w:r>
          </w:p>
        </w:tc>
        <w:tc>
          <w:tcPr>
            <w:tcW w:w="1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1.56</w:t>
            </w:r>
          </w:p>
        </w:tc>
      </w:tr>
      <w:tr>
        <w:trPr>
          <w:trHeight w:val="864"/>
        </w:trPr>
        <w:tc>
          <w:tcPr>
            <w:tcW w:w="2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right="100"/>
        <w:spacing w:after="0" w:line="266" w:lineRule="auto"/>
        <w:rPr>
          <w:sz w:val="20"/>
          <w:szCs w:val="20"/>
          <w:color w:val="auto"/>
        </w:rPr>
      </w:pPr>
      <w:r>
        <w:rPr>
          <w:rFonts w:ascii="Times New Roman" w:cs="Times New Roman" w:eastAsia="Times New Roman" w:hAnsi="Times New Roman"/>
          <w:sz w:val="18"/>
          <w:szCs w:val="18"/>
          <w:color w:val="auto"/>
        </w:rPr>
        <w:t>Industrial users seeking larger spaces are continuing to go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spacing w:after="0" w:line="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expect our commercial/industrial real estate development segment to continue to experience costs, net of amounts capitalized, primarily related to professional service fees, marketing costs, planning costs, and staffing costs, as we continue to pursue development opportunities. From a macroeconomic perspective, the tightening of capital markets may cause a near-term slowdown in new commercial real estate developments.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Real Estate – Resort/Residential:</w:t>
      </w:r>
    </w:p>
    <w:p>
      <w:pPr>
        <w:spacing w:after="0" w:line="108" w:lineRule="exact"/>
        <w:rPr>
          <w:sz w:val="20"/>
          <w:szCs w:val="20"/>
          <w:color w:val="auto"/>
        </w:rPr>
      </w:pPr>
    </w:p>
    <w:p>
      <w:pPr>
        <w:ind w:right="540"/>
        <w:spacing w:after="0" w:line="315" w:lineRule="auto"/>
        <w:rPr>
          <w:sz w:val="20"/>
          <w:szCs w:val="20"/>
          <w:color w:val="auto"/>
        </w:rPr>
      </w:pPr>
      <w:r>
        <w:rPr>
          <w:rFonts w:ascii="Times New Roman" w:cs="Times New Roman" w:eastAsia="Times New Roman" w:hAnsi="Times New Roman"/>
          <w:sz w:val="18"/>
          <w:szCs w:val="18"/>
          <w:color w:val="auto"/>
        </w:rPr>
        <w:t>We are in the preliminary stages of property development for this segment; hence, no revenues or profits are attributed to this segment. Resort/residential real estate development segment expenses were $427,000 for the three months ended June 30, 2024, an increase of $103,000 from</w:t>
      </w:r>
    </w:p>
    <w:p>
      <w:pPr>
        <w:spacing w:after="0" w:line="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$324,000 for the three months ended June 30, 2023. This increase was primarily attributable to an additional $71,000 of payroll expense recorded over the comparative period attributable to an increase in staffing in this segment. We don't expect to see further increase in the near future.</w:t>
      </w:r>
    </w:p>
    <w:p>
      <w:pPr>
        <w:spacing w:after="0" w:line="4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Resort/residential real estate development segment expenses were $1,988,000 for the first six months of 2024, an increase of $1,276,000, or 179%, from $712,000 for the first six months of 2023. The increase was primarily attributable to an additional $1,197,000 of professional service fees and planning costs related to capital efforts tied to our master planned communities.</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long-term business plan of developing the communities of MV, Centennial, and Grapevine remains unchanged. Long-term macro fundamentals, primarily California's large population and household formation, will support housing demand in our region. California also has a significant documented housing shortage, which we believe our communities will help ease. A majority of the expenditures and capital investment to be incurred within our resort/residential real estate segment are expected to continue to focus on the mixed-use master planned communities of Centennial, Grapevine, and Mountain Village.</w:t>
      </w:r>
    </w:p>
    <w:p>
      <w:pPr>
        <w:spacing w:after="0" w:line="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we move forward with our master planned communities, we expect to explore funding opportunities for the future development of our projects. Such funding opportunities could come from a variety of sources, such as joint ventures with financial partners, debt financing, or our issuance of additional common stock.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Mineral Resources: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53"/>
        </w:trPr>
        <w:tc>
          <w:tcPr>
            <w:tcW w:w="1500" w:type="dxa"/>
            <w:vAlign w:val="bottom"/>
            <w:tcBorders>
              <w:top w:val="single" w:sz="8" w:color="006EBF"/>
            </w:tcBorders>
          </w:tcPr>
          <w:p>
            <w:pPr>
              <w:spacing w:after="0"/>
              <w:rPr>
                <w:sz w:val="24"/>
                <w:szCs w:val="24"/>
                <w:color w:val="auto"/>
              </w:rPr>
            </w:pPr>
          </w:p>
        </w:tc>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Cement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Rock aggregate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Exploration leases</w:t>
            </w: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Sales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mineral resources revenues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mineral resources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from mineral resources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0"/>
        </w:trPr>
        <w:tc>
          <w:tcPr>
            <w:tcW w:w="1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right="40" w:hanging="332"/>
        <w:spacing w:after="0" w:line="26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revenues were $2,032,000 for the three months ended June 30, 2024, an increase of $432,000, or 27%, from $1,600,000 for the three months ended June 30, 2023. The increase in revenues was mainly due to higher water sales revenue of $297,000 and an increase in rock aggregate royalties of $156,000 attributable to higher pricing.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340" w:hanging="332"/>
        <w:spacing w:after="0" w:line="312" w:lineRule="auto"/>
        <w:tabs>
          <w:tab w:leader="none" w:pos="3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Mineral resources segment expenses were $1,115,000 for the three months ended June 30, 2024, an increase of $190,000, or 21%, from $925,000 for the three months ended June 30, 2023. The increase was primarily associated with higher water cost of sales of $231,000 recognized during the quarter.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3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Borders>
              <w:bottom w:val="single" w:sz="8" w:color="auto"/>
            </w:tcBorders>
          </w:tcPr>
          <w:p>
            <w:pPr>
              <w:spacing w:after="0"/>
              <w:rPr>
                <w:sz w:val="20"/>
                <w:szCs w:val="20"/>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Cement</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Rock aggregate</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Exploration leases</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Sales</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Reimbursables and other</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mineral resources revenues</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mineral resources expenses</w:t>
            </w:r>
          </w:p>
        </w:tc>
        <w:tc>
          <w:tcPr>
            <w:tcW w:w="13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from mineral resources</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right="40" w:hanging="332"/>
        <w:spacing w:after="0" w:line="26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revenues were $4,521,000 for the first six months of 2024, a decrease of $3,991,000, or 47%, from $8,512,000 for the first six months of 2023. The reduction in revenues was primarily attributable to a decline in water sales revenue of $3,439,000 due to back-to-back above average rainfall years in California, which severely limited water sales opportunities. Reimbursable revenues also decreased $767,000 due to a mineral resources tax reassessment for this segment.</w:t>
      </w:r>
    </w:p>
    <w:p>
      <w:pPr>
        <w:spacing w:after="0" w:line="7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expenses were $3,231,000 for the first six months of 2024, a decrease of $1,760,000, or 35%, when compared to the same period in 2023. The decrease was primarily due to lower water cost of sales recognized of $1,394,000, and a decrease in property tax expense of $488,000 when compared to the previous year.</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anticipated changes arise in the future related to groundwater management in California, such as limits on groundwater pumping, we believe our water assets, including water banking operations, ground water recharge programs, and access to water contracts like those we have purchased in the past, will become even more important and valuable in servicing our projects and providing opportunities for water sales to third-parties.</w:t>
      </w:r>
    </w:p>
    <w:p>
      <w:pPr>
        <w:spacing w:after="0" w:line="10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Prices for oil and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Production has seen an overall decline in California as a result of regulatory conditions.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Farming:</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66"/>
        </w:trPr>
        <w:tc>
          <w:tcPr>
            <w:tcW w:w="740" w:type="dxa"/>
            <w:vAlign w:val="bottom"/>
            <w:tcBorders>
              <w:top w:val="single" w:sz="8" w:color="006EBF"/>
            </w:tcBorders>
          </w:tcPr>
          <w:p>
            <w:pPr>
              <w:spacing w:after="0"/>
              <w:rPr>
                <w:sz w:val="24"/>
                <w:szCs w:val="24"/>
                <w:color w:val="auto"/>
              </w:rPr>
            </w:pPr>
          </w:p>
        </w:tc>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Farming revenues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Almonds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Hay</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farming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 from farming</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1"/>
        </w:trPr>
        <w:tc>
          <w:tcPr>
            <w:tcW w:w="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right="40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revenues were $142,000 for the three months ended June 30, 2024, a decrease of $883,000, or 86%, from $1,025,000 during the same period in 2023. Almond sales revenue fell by $878,000, due to the lack of crop sales in the second quarter of 2024 compared with 508,000 pounds of crops sold during the second quarter of 2023.</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expenses were $1,087,000 for the three months ended June 30, 2024, a decrease of $387,000, or 26%, from $1,474,000 during the same period in 2023. This decrease was consistent with the reduced almonds sales volume when compared to the previous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Farming revenues</w:t>
            </w: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Almonds</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Pistachios</w:t>
            </w:r>
          </w:p>
        </w:tc>
        <w:tc>
          <w:tcPr>
            <w:tcW w:w="12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Wine grapes</w:t>
            </w:r>
          </w:p>
        </w:tc>
        <w:tc>
          <w:tcPr>
            <w:tcW w:w="1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Hay</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farming expenses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 from farming</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1"/>
        </w:trPr>
        <w:tc>
          <w:tcPr>
            <w:tcW w:w="3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100" w:hanging="332"/>
        <w:spacing w:after="0" w:line="261"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revenues were $1,007,000 for the first six months of 2024, a decrease of $1,203,000, or 54%, from $2,210,000 during the same period in 2023. Almond sales revenue fell by $832,000 due to lower units sold in the current year. The Company sold 381,000 and 914,000 pounds of almonds during the first six months ended June 30, 2024 and 2023, respectively. Other revenues decreased by $227,000 which was attributable to less farm water sold. Additionally, hay sales revenue decreased by $109,000 due to lower sales volume.</w:t>
      </w:r>
    </w:p>
    <w:p>
      <w:pPr>
        <w:spacing w:after="0" w:line="7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expenses were $3,154,000 for the first six months of 2024, a decrease of $333,000, or 10%, from $3,487,000 when compared to the same period in 2023. Decreases in year-to-date expenses occurred mainly due to lower cost of crop sales over the comparative period.</w:t>
      </w:r>
    </w:p>
    <w:p>
      <w:pPr>
        <w:spacing w:after="0" w:line="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almond, pistachio, and wine grape crop sales are highly seasonal, with most of our sales occurring during the third and fourth quarters. Each year, almonds and pistachios are sold at market prices, while grapes are sold to wineries at contracted prices. The 2024 California state almond production is estimated to come in at 13% above last year, however, there is an expectation that the carryover crop is expected to be less than originally estimated. If the carryover crop is at or below historical averages of 500,000 pounds, the industry has the potential to see an improvement in selling prices. It is too early in the production cycle for 2024 to have a subjective estimate of potential production for almonds, grapes, and pistachios.</w:t>
      </w:r>
    </w:p>
    <w:p>
      <w:pPr>
        <w:spacing w:after="0" w:line="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Weather conditions can also impact the number of tree and vine dormant hours, which are integral to tree and vine growth. Farmers in California faced a warm winter negatively impacting dormant hours, which can impact production especially within pistachios. Late winter and early spring rainstorms impacted the timing of various farming activities such as pesticide sprays, any impact to production will not be known until later in the summer. In addition, higher cultural costs and a reduced bloom cycle with highly compromised bee flight hours created more adversity for farmers. The abundant rain and snow have vastly improved the water situation this year for farmers, while shipping logistics continue to improve.</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Labor costs, both internal and through labor contractors, continue to increase and the Company expects this trend to continue over the near future. The Company utilizes external labor contractors, as necessary, for large projects, such as pruning and harvesting, as a way to manage our labor needs. From a broader inflationary standpoint, the Company is seeing, and will continue to see, an increase in production costs, most notably chemicals such as herbicides and pesticides, and fuel costs.</w:t>
      </w:r>
    </w:p>
    <w:p>
      <w:pPr>
        <w:spacing w:after="0" w:line="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Ranch Operations: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77"/>
        </w:trPr>
        <w:tc>
          <w:tcPr>
            <w:tcW w:w="1480" w:type="dxa"/>
            <w:vAlign w:val="bottom"/>
            <w:tcBorders>
              <w:top w:val="single" w:sz="8" w:color="006EBF"/>
            </w:tcBorders>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Game management and other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Grazing</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ranch operations revenues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ranch operations expenses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 from ranch operations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20" w:right="580" w:firstLine="6"/>
        <w:spacing w:after="0" w:line="210" w:lineRule="auto"/>
        <w:tabs>
          <w:tab w:leader="none" w:pos="113" w:val="left"/>
        </w:tabs>
        <w:numPr>
          <w:ilvl w:val="1"/>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Game management and other revenues consist of revenues from hunting, filming, High Desert Hunt Club (a premier upland bird hunting club), and other ancillary activities.</w:t>
      </w:r>
    </w:p>
    <w:p>
      <w:pPr>
        <w:spacing w:after="0" w:line="163" w:lineRule="exact"/>
        <w:rPr>
          <w:rFonts w:ascii="Times New Roman" w:cs="Times New Roman" w:eastAsia="Times New Roman" w:hAnsi="Times New Roman"/>
          <w:sz w:val="21"/>
          <w:szCs w:val="21"/>
          <w:color w:val="auto"/>
          <w:vertAlign w:val="superscript"/>
        </w:rPr>
      </w:pPr>
    </w:p>
    <w:p>
      <w:pPr>
        <w:ind w:left="340" w:right="22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revenues were $965,000 for the three months ended June 30, 2024, an increase of $125,000, or 15%, from $840,000 for the same period in 2023. The increase was attributable to higher grazing lease revenues of $80,000 and an increase in game management and other revenue of $45,000 primarily related to higher membership revenue and filming location revenues.</w:t>
      </w:r>
    </w:p>
    <w:p>
      <w:pPr>
        <w:spacing w:after="0" w:line="40" w:lineRule="exact"/>
        <w:rPr>
          <w:rFonts w:ascii="Times New Roman" w:cs="Times New Roman" w:eastAsia="Times New Roman" w:hAnsi="Times New Roman"/>
          <w:sz w:val="18"/>
          <w:szCs w:val="18"/>
          <w:color w:val="auto"/>
        </w:rPr>
      </w:pPr>
    </w:p>
    <w:p>
      <w:pPr>
        <w:ind w:left="340" w:right="140" w:hanging="332"/>
        <w:spacing w:after="0" w:line="245"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expenses were $1,261,000 for the three months ended June 30, 2024, a decrease of $77,000, or 6%, from $1,338,000 for the same period in 2023. This decrease was primarily attributable to the savings in payroll and compensation expense of $65,000 and a reduction in building repairs and maintenance expense of $40,000. The above savings were partially offset by an increase in supplies cost of $49,000 compared to the prior period.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color w:val="auto"/>
              </w:rPr>
              <w:t>Change</w:t>
            </w:r>
          </w:p>
        </w:tc>
        <w:tc>
          <w:tcPr>
            <w:tcW w:w="1060" w:type="dxa"/>
            <w:vAlign w:val="bottom"/>
            <w:tcBorders>
              <w:bottom w:val="single" w:sz="8" w:color="auto"/>
            </w:tcBorders>
          </w:tcPr>
          <w:p>
            <w:pPr>
              <w:spacing w:after="0"/>
              <w:rPr>
                <w:sz w:val="20"/>
                <w:szCs w:val="20"/>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1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Game Management and other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Grazing</w:t>
            </w: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Ranch Operations revenues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Ranch Operations expenses</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from Ranch Operations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20" w:right="240" w:firstLine="6"/>
        <w:spacing w:after="0" w:line="208" w:lineRule="auto"/>
        <w:tabs>
          <w:tab w:leader="none" w:pos="123" w:val="left"/>
        </w:tabs>
        <w:numPr>
          <w:ilvl w:val="1"/>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Game management and other revenues consist of revenues from hunting, filming, high desert hunt club (a premier upland bird hunting club), and other ancillary activities.</w:t>
      </w:r>
    </w:p>
    <w:p>
      <w:pPr>
        <w:spacing w:after="0" w:line="158" w:lineRule="exact"/>
        <w:rPr>
          <w:rFonts w:ascii="Times New Roman" w:cs="Times New Roman" w:eastAsia="Times New Roman" w:hAnsi="Times New Roman"/>
          <w:sz w:val="23"/>
          <w:szCs w:val="23"/>
          <w:color w:val="auto"/>
          <w:vertAlign w:val="superscript"/>
        </w:rPr>
      </w:pPr>
    </w:p>
    <w:p>
      <w:pPr>
        <w:jc w:val="both"/>
        <w:ind w:left="340" w:right="160" w:hanging="332"/>
        <w:spacing w:after="0" w:line="242"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revenues were $2,072,000 for the first six months of 2024, a decrease of $260,000, or 11%, from $2,332,000 for the same period in 2023. The decrease was primarily attributable to lower filming location revenues of $488,000, partially offset by an increase in grazing lease revenue of $160,000.</w:t>
      </w:r>
    </w:p>
    <w:p>
      <w:pPr>
        <w:spacing w:after="0" w:line="89"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expenses were $2,488,000 for the first six months of 2024, a decrease of $180,000, or 7%, from $2,668,000 for the same period in 2023. This decrease was primarily attributable to the savings in payroll and compensation expense of $145,000.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Corporate and Other:</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Corporate general and administrative costs were $3,357,000 for the three months ended June 30, 2024, an increase of $1,135,000, or 51%, from $2,222,000 for the same period in 2023. The increase was primarily attributable to higher stock compensation expense of $1,009,000 over the comparative period.</w:t>
      </w:r>
    </w:p>
    <w:p>
      <w:pPr>
        <w:spacing w:after="0" w:line="4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Corporate general and administrative costs were $5,849,000 for the first six months of 2024, an increase of $1,340,000, or 30%, from $4,509,000 for the same period in 2023. We experienced a $979,000 increase in stock compensation expense and a $262,000 increase in professional service fees related to ongoing CEO search during the first six months ended June 30,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was $559,000 for the three months ended June 30, 2024, a decrease of $28,000 from $587,000 for the same period in 2023.</w:t>
      </w:r>
    </w:p>
    <w:p>
      <w:pPr>
        <w:spacing w:after="0" w:line="104"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Total other income was $1,174,000 for the six months ended June 30, 2024, a decrease of $203,000, from $1,377,000 for the same period in 2023. The decrease was primarily attributable to the $426,000 employee retention credit received during the first quarter of 2023, which did not reoccur in 2024. Partially offsetting this decrease was an increase in investment income of $240,000 resulting from higher interest rates over the comparative periods.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Joint Ventures: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6"/>
        </w:trPr>
        <w:tc>
          <w:tcPr>
            <w:tcW w:w="1180" w:type="dxa"/>
            <w:vAlign w:val="bottom"/>
            <w:tcBorders>
              <w:top w:val="single" w:sz="8" w:color="006EBF"/>
            </w:tcBorders>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earnings (loss)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1, LLC</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TRC-MRC 2, LLC</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3, LLC</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TRC-MRC 4, LLC</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1,922 %</w:t>
            </w:r>
          </w:p>
        </w:tc>
      </w:tr>
      <w:tr>
        <w:trPr>
          <w:trHeight w:val="229"/>
        </w:trPr>
        <w:tc>
          <w:tcPr>
            <w:tcW w:w="3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5, LLC</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738 %</w:t>
            </w: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 in earnings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340" w:right="60" w:hanging="332"/>
        <w:spacing w:after="0" w:line="258"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earnings was $2,769,000 for the three months ended June 30, 2024, an increase of $831,000, from $1,938,000 during the same period in 2023. The increase was primarily attributable to higher equity in earnings recorded for the TA/Petro joint venture of $651,000 as a result of higher fuel margins, and for the TRC-MRC 4 LLC joint venture of $173,000 due to a full quarter of rental revenue recorded compared with partial revenue over comparative quarter due to a tenant's taking occupancy in the middle of the year. The above increases were partially offset by a decrease in equity in earnings for TRC-MRC1 LLC joint venture of $119,000 associated with higher repair cost over comparative period.</w:t>
      </w:r>
    </w:p>
    <w:p>
      <w:pPr>
        <w:spacing w:after="0" w:line="10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Six Months Ended June 30,</w:t>
            </w:r>
          </w:p>
        </w:tc>
        <w:tc>
          <w:tcPr>
            <w:tcW w:w="460" w:type="dxa"/>
            <w:vAlign w:val="bottom"/>
          </w:tcPr>
          <w:p>
            <w:pPr>
              <w:spacing w:after="0"/>
              <w:rPr>
                <w:sz w:val="20"/>
                <w:szCs w:val="20"/>
                <w:color w:val="auto"/>
              </w:rPr>
            </w:pPr>
          </w:p>
        </w:tc>
        <w:tc>
          <w:tcPr>
            <w:tcW w:w="19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tcPr>
          <w:p>
            <w:pPr>
              <w:spacing w:after="0"/>
              <w:rPr>
                <w:sz w:val="20"/>
                <w:szCs w:val="20"/>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1, LLC</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TRC-MRC 2, LLC</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3, LLC</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TRC-MRC 4, LLC</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5, LLC</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 earnings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
        </w:trPr>
        <w:tc>
          <w:tcPr>
            <w:tcW w:w="3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60" w:hanging="332"/>
        <w:spacing w:after="0" w:line="277" w:lineRule="auto"/>
        <w:tabs>
          <w:tab w:leader="none" w:pos="3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 earnings were $4,282,000 for the six months ended June 30, 2024, an increase of $827,000, or 24%, from $3,455,000 during the same period in 2023. The biggest driver was the TRCC/Rock Outlet Center joint venture, which was over 90% occupied as of June 30, 2024. Rental revenue for this joint venture increased by $509,000 in the first six months of 2024 over the comparative period. Equity in earnings for our TRC-MRC LLC joint ventures increased due to higher rental rates or rental escalations, except for a decrease in TRC-MRC 1 LLC earnings caused by an increase of repair cost from storm damage of $225,000 over the prior year period, these costs are partially offset by insurance reimbursements of $150,000.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"Non-GAAP Financial Measures" for further financial discussion of the results of our joint ventures.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General Outlook</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operations are seasonal and future results of operations cannot reliably be predicted based on quarterly results. Historically, our largest percentage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7" w:name="page38"/>
    <w:bookmarkEnd w:id="37"/>
    <w:p>
      <w:pPr>
        <w:ind w:right="20"/>
        <w:spacing w:after="0" w:line="261" w:lineRule="auto"/>
        <w:rPr>
          <w:sz w:val="20"/>
          <w:szCs w:val="20"/>
          <w:color w:val="auto"/>
        </w:rPr>
      </w:pPr>
      <w:r>
        <w:rPr>
          <w:rFonts w:ascii="Times New Roman" w:cs="Times New Roman" w:eastAsia="Times New Roman" w:hAnsi="Times New Roman"/>
          <w:sz w:val="18"/>
          <w:szCs w:val="18"/>
          <w:color w:val="auto"/>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2023, or Annual Report, and to Part I, Item 1A - "Risk Factors" of our Annual Report. For further discussion, please refer to Note 11 (Commitments and Contingencies) of the Notes to Unaudited Consolidated Financial Statements in this report.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Income Taxes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we had an income tax benefit of $2,118,000 compared to income tax expense of $1,404,000 for the six months ended June 30, 2023. The effective tax rates approximated 102% and 41% for the six months ended June 30, 2024 and 2023, respectively. As of June 30, 2024, the Company had income taxes receivable of $3,646,000. We classify interest and penalties incurred on tax payments as income tax expenses. Our effective tax rates were higher than statutory rates primarily because of permanent differences related to Section 162(m). The Section 162(m) compensation deduction limitations occurred due to changes in tax law arising from the 2017 Tax Cuts and Jobs 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Cash Flow and Liquidity</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To enhance shareholder value over the long-term, we expect to continue to make investments in our real estate segments to secure land entitlement approvals, build infrastructure for our developments, invest in to be leased assets, provide adequate water supplies, and provide funds for general land development activities. Within our farming segment, we intend to make investments, as needed, to improve efficiency and add capacity to its operations, when it is profitable to do so.</w:t>
      </w:r>
    </w:p>
    <w:p>
      <w:pPr>
        <w:spacing w:after="0" w:line="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cash, cash equivalents and marketable securities totaled approximately $49,565,000 as of June 30, 2024, a decrease of $14,898,000 from $64,463,000 as of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cash flow activities for the six months ended June 30,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1,169</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(1,643)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(9,480)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(3,466)</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first six months of 2024, our operations used $1,026,000. Our operating assets were increased by using $1,104,000 of cash, and our current liabilities were reduced by using $452,000 of cash. Partially offsetting the above-mentioned cash usages was cash distribution from unconsolidated joint ventures of $674,000.</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2023, our operations provided $1,169,000 primarily as a result of distributions of earnings from unconsolidated joint ventures and net income from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first six months of 2024, investing activities used $1,643,000. We made capital expenditures, inclusive of capitalized interest and payroll (exclusive of stock compensation), of $22,077,000, which included predevelopment activities for our master planned communities, $1,256,000 consisting of permitting efforts for MV, $696,000 consisting of permitting efforts for Grapevine, and costs related to litigation defense for Centennial of $2,148,000. At TRCC, we spent $6,768,000 of construction cost on Terra Visa at Tejon and $6,998,000 on infrastructure improvements at TRCC-East. Within our farming segment, we spent $3,317,000, which included cultural costs for orchards currently classified as under development and replacement of machinery and equipment. Additionally, we used $5,066,000 to acquire water assets. We had marketable securities of $76,869,000 that matured, and we reinvested $60,500,000. Lastly, we received proceeds of $5,811,000 from joint venture distributions and reimbursements of $3,309,000 from a Community Facilities District.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first six months of 2023, investing activities used $9,480,000. We made capital expenditures, inclusive of capitalized interest and payroll (exclusive of stock compensation), of $10,188,000, which included predevelopment activities for our master planned communities; $1,006,000 consisting of permitting efforts for MV; $664,000 consisting of permitting efforts for Grapevine; and costs related to litigation defense for Centennial of $1,628,000. At TRCC, we spent $3,667,000 on infrastructure improvements at TRCC-East. Within our farming segment, we spent $2,738,000, which includes cultural costs for orchards currently classified as under development and replacing machinery and equipment. Lastly, we used $4,666,000 to acquire water assets. We had marketable securities of $53,038,000 that matured, and we reinvested $58,930,000. Lastly, we received proceeds of $10,692,000 and $1,324,000 from joint venture distributions, and water sales, respectively.</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4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estimated capital investment, inclusive of capitalized interest and payroll, for the remainder of 2024 is primarily related to our real estate projects. These estimated investments include approximately $26,562,000 of construction costs for the Terra Vista at Tejon multi-family project phase 1 development and $13,192,000 of infrastructure development at TRCC-East to support the continued commercial retail and industrial development, water treatment system improvements, and expansion of the wastewater treatment plant for future anticipated absorption. We also expect to invest up to $4,336,000 for land planning, litigation/appeals, federal and state agency permitting activities, and development activities at MV, Centennial, and Grapevine during the remainder of 2024.</w:t>
      </w:r>
    </w:p>
    <w:p>
      <w:pPr>
        <w:spacing w:after="0" w:line="6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six months ended June 30, 2024 and 2023, was $2,009,000 and $1,210,000, respectively, and is classified within real estate development. We also capitalized payroll costs related to development, pre-construction, and construction projects, which aggregated $1,493,000 and $1,258,000 for the six months ended June 30, 2024 and 2023, respectively. Expenditures for repairs and maintenance are expensed as incurred.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2024, financing activities provided $3,794,000, which was attributable to borrowings on the line of credit of $4,000,000, partially offset by the tax payments on vested share grants of $206,000.</w:t>
      </w:r>
    </w:p>
    <w:p>
      <w:pPr>
        <w:spacing w:after="0" w:line="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2023, financing activities used $3,466,000, which was attributable to long-term debt service of $872,000, and tax payments on vested share grants of $2,594,000.</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may need to secure additional funding through either the issuance of equity and/or by securing other forms of financing such as joint venture equity and debt financing.</w:t>
      </w:r>
    </w:p>
    <w:p>
      <w:pPr>
        <w:spacing w:after="0" w:line="5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regularly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Capital Structure and Financial Condition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June 30, 2024, total capitalization at book value was $536,525,000, consisting of $51,942,000 of debt and $484,583,000 of equity, resulting in a debt-to-total-capitalization ratio of approximately 9.7%.</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17, 2023, we entered into a Credit Agreement with AgWest Farm Credit, PCA, as administrative agent and letter of credit intermediary (Administrative Agent), and certain other lenders (the Credit Agreement Lenders), collectively, the Revolving Credit Facility. The Revolving Credit Facility provides TRC with (i) a revolving credit line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right="140"/>
        <w:spacing w:after="0" w:line="258" w:lineRule="auto"/>
        <w:rPr>
          <w:sz w:val="20"/>
          <w:szCs w:val="20"/>
          <w:color w:val="auto"/>
        </w:rPr>
      </w:pPr>
      <w:r>
        <w:rPr>
          <w:rFonts w:ascii="Times New Roman" w:cs="Times New Roman" w:eastAsia="Times New Roman" w:hAnsi="Times New Roman"/>
          <w:sz w:val="18"/>
          <w:szCs w:val="18"/>
          <w:color w:val="auto"/>
        </w:rPr>
        <w:t>Upon closing of the Revolving Credit Facility, funds from the RCL were used to pay off and close out the existing Bank of America, N.A. Term Note and Revolving Line of Credit Note. The amount of this pay off was $47,078,564 plus accrued interest and fees on the Bank of America Term Note. We evaluated the debt exchange under Accounting Standards Codification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interest rate per annum applicable to the Revolving Credit Facility is one-month term SOFR plus an interest rate spread that is based on TRC’s consolidated net liabilities to equity ratio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Administrative Agent pays the patronage credit annually in the form of a dividend. As of June 30, 2024, the Company's NLER was in tier 3, or less than 35%, and the applicable interest rate spread was 2.25%.</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spacing w:after="0" w:line="1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contains customary negative covenants that limits our ability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we were in compliance with all financial covenants.</w:t>
      </w:r>
    </w:p>
    <w:p>
      <w:pPr>
        <w:spacing w:after="0" w:line="9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or issuance of additional common stock.</w:t>
      </w:r>
    </w:p>
    <w:p>
      <w:pPr>
        <w:spacing w:after="0" w:line="12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May 2022, we filed an updated shelf registration statement on Form S-3 that went effective in May 2022.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had a strong liquidity position at June 30, 2024 with $49,565,000 in cash and securities and $104,615,000 available on our RLC to meet any short-term liquidity needs. See Note 3 (Marketable Securities) and Note 7 (Line of Credit and Long-Term Debt) of the Notes to Unaudited Consolidated Financial Statements for more information.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0" w:name="page41"/>
    <w:bookmarkEnd w:id="40"/>
    <w:p>
      <w:pPr>
        <w:ind w:right="160"/>
        <w:spacing w:after="0" w:line="256" w:lineRule="auto"/>
        <w:rPr>
          <w:sz w:val="20"/>
          <w:szCs w:val="20"/>
          <w:color w:val="auto"/>
        </w:rPr>
      </w:pPr>
      <w:r>
        <w:rPr>
          <w:rFonts w:ascii="Times New Roman" w:cs="Times New Roman" w:eastAsia="Times New Roman" w:hAnsi="Times New Roman"/>
          <w:sz w:val="18"/>
          <w:szCs w:val="18"/>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and/or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 term as described earlier in the cash flow and liquidity discussions.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Contractual Cash Obligations</w:t>
      </w:r>
    </w:p>
    <w:p>
      <w:pPr>
        <w:spacing w:after="0" w:line="10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cash obligations and commercial commitments as of June 30, 2024, to be paid over the next five years and thereafter:</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color w:val="auto"/>
              </w:rPr>
              <w:t>Payments Due by Period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One Year or Less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Years 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Years 4-5</w:t>
            </w:r>
          </w:p>
        </w:tc>
        <w:tc>
          <w:tcPr>
            <w:tcW w:w="22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Thereafter</w:t>
            </w: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Estimated water payments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225,749</w:t>
            </w:r>
          </w:p>
        </w:tc>
      </w:tr>
      <w:tr>
        <w:trPr>
          <w:trHeight w:val="229"/>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Revolving line-of-credit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contract commitments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33,676</w:t>
            </w:r>
          </w:p>
        </w:tc>
        <w:tc>
          <w:tcPr>
            <w:tcW w:w="2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w w:val="71"/>
              </w:rPr>
              <w:t>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2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w w:val="71"/>
              </w:rPr>
              <w:t>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9"/>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Plan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r>
      <w:tr>
        <w:trPr>
          <w:trHeight w:val="23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SERP</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53,689</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232,171</w:t>
            </w:r>
          </w:p>
        </w:tc>
      </w:tr>
      <w:tr>
        <w:trPr>
          <w:trHeight w:val="21"/>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 The increase represents our contractual commitments related to our multifamily development.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above includes only those contracts that include fixed or minimum obligations. It does not include normal purchases that are made in the ordinary course of business.</w:t>
      </w:r>
    </w:p>
    <w:p>
      <w:pPr>
        <w:spacing w:after="0" w:line="4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Estimated water payments include the Nickel Family, LLC water contract, which obligates us to purchase 6,693 acre-feet of water annually through 2044 and SWP contracts with WRMWSD,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cash contract commitments consist of contracts in various stages of completion related to infrastructure development within our industrial and multi-family developments and entitlement costs related to our industrial and residential development projects. Also, included in the cash contract commitments are estimated fees earned in 2014 by a consultant, related to the entitlement of the Grapevine Development Area. We exited a consulting contract in 2014 related to the Grapevine Development and are obligated to pay an earned incentive fee at the time of successful receipt of all project permits and entitlements and at a value measurement date five-years after entitlements have been achieved for Grapevine. The final amount of the incentive fees will not be finalized until the future payment dates. We believe that net savings from exiting the contract over this future time period will more than offset the incentive payment costs.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discussed in Note 12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expect to contribute $165,000 to our defined benefit plan in the second half of 2024.</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006EBF"/>
              </w:rPr>
              <w:t>Off-Balance Sheet Arrangements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7"/>
        </w:trPr>
        <w:tc>
          <w:tcPr>
            <w:tcW w:w="8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shows contingent obligations we have with respect to certain bonds issued by the CFDs: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4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color w:val="auto"/>
              </w:rPr>
              <w:t>Amount of Commitment Expiration Per Period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&lt; 1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2 -3 Years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4 -5 Years</w:t>
            </w:r>
          </w:p>
        </w:tc>
        <w:tc>
          <w:tcPr>
            <w:tcW w:w="1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5 Years</w:t>
            </w:r>
          </w:p>
        </w:tc>
      </w:tr>
      <w:tr>
        <w:trPr>
          <w:trHeight w:val="21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Commercial Commitments: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Standby letter of credit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commercial commitments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TRPFFA is a joint powers authority formed by Kern County and TCWD to finance public infrastructure within our Kern County developments. TRPFFA created two CFDs, the West CFD and the East CFD. The West CFD has placed liens on 420 acres of our land to secure payment of special taxes related to $19,540,000 of bond debt sold by TRPFFA for TRCC-West. The East CFD has placed liens on 1,931 acres of our land to secure payments of special taxes related to $72,055,000 of bond debt sold by TRPFFA for TRCC-East. At TRCC-West, the West CFD has no additional bond debt approved for issuance. At TRCC-East, the East CFD has approximately $44,035,000 of additional bond debt authorized by TRPFFA.</w:t>
      </w:r>
    </w:p>
    <w:p>
      <w:pPr>
        <w:spacing w:after="0" w:line="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bonds, there is a standby letter of credit for $3,358,000 related to the issuance of East CFD bonds. The standby letter of credit is in place to provide additional credit enhancement and cover approximately two years' worth of interest on the outstanding bonds. This letter of credit will not be drawn upon unless we, as the largest landowner in the CFD, fail to make our property tax payments. As development occurs within TRCC-East, there is a mechanism in the bond documents to reduce the amount of the letter of credit. As of June 30, 2024, we believe that the letter of credit will likely never be drawn upon. This letter of credit is for a two-year period and will be renewed in two-year intervals, as necessary. The annual cost related to the letter of credit is approximately $67,000. The tax assessment of each individual property sold or leased within each CFD is not determinable at this time, because it is based on the current tax rate of the property at the time of sale or at the time it is leased to a third-party. Accordingly, we were not required to recognize an obligation as of June 30, 2024.</w:t>
      </w:r>
    </w:p>
    <w:p>
      <w:pPr>
        <w:spacing w:after="0" w:line="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2024, aggregate outstanding debt of unconsolidated joint ventures was $223,988,000; $20,702,000 is attributable to the loan for TRCC/Rock Outlet joint venture. This loan is 100% guaranteed at June 30, 2024. All other outstanding debt attributed to our joint ventures have met their respective debt covenants, hence not subject to an effective guarantee at June 30, 2024. We do not provide a guarantee on the $12,174,000 of debt related to our joint venture with TA/Petro.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006EBF"/>
        </w:rPr>
        <w:t>Non-GAAP Financial Measures</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8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0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175"/>
        </w:trPr>
        <w:tc>
          <w:tcPr>
            <w:tcW w:w="4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(loss) income attributable to non-controlling</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175"/>
        </w:trPr>
        <w:tc>
          <w:tcPr>
            <w:tcW w:w="4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Our share of interest expense from unconsolidated</w:t>
            </w: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joint ventures</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net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175"/>
        </w:trPr>
        <w:tc>
          <w:tcPr>
            <w:tcW w:w="4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Our share of depreciation and amortization from</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w:t>
            </w:r>
          </w:p>
        </w:tc>
      </w:tr>
      <w:tr>
        <w:trPr>
          <w:trHeight w:val="20"/>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commercial real estate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 w:type="dxa"/>
            <w:vAlign w:val="bottom"/>
          </w:tcPr>
          <w:p>
            <w:pPr>
              <w:spacing w:after="0"/>
              <w:rPr>
                <w:sz w:val="20"/>
                <w:szCs w:val="20"/>
                <w:color w:val="auto"/>
              </w:rPr>
            </w:pPr>
          </w:p>
        </w:tc>
        <w:tc>
          <w:tcPr>
            <w:tcW w:w="294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Commercial/Industrial operating income</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Plus: Commercial/Industrial depreciation and amortization</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tcPr>
          <w:p>
            <w:pPr>
              <w:spacing w:after="0"/>
              <w:rPr>
                <w:sz w:val="19"/>
                <w:szCs w:val="19"/>
                <w:color w:val="auto"/>
              </w:rPr>
            </w:pPr>
          </w:p>
        </w:tc>
      </w:tr>
      <w:tr>
        <w:trPr>
          <w:trHeight w:val="184"/>
        </w:trPr>
        <w:tc>
          <w:tcPr>
            <w:tcW w:w="60" w:type="dxa"/>
            <w:vAlign w:val="bottom"/>
          </w:tcPr>
          <w:p>
            <w:pPr>
              <w:spacing w:after="0"/>
              <w:rPr>
                <w:sz w:val="16"/>
                <w:szCs w:val="16"/>
                <w:color w:val="auto"/>
              </w:rPr>
            </w:pPr>
          </w:p>
        </w:tc>
        <w:tc>
          <w:tcPr>
            <w:tcW w:w="43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Plus: General, administrative, cost of sales and other</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40" w:type="dxa"/>
            <w:vAlign w:val="bottom"/>
          </w:tcPr>
          <w:p>
            <w:pPr>
              <w:spacing w:after="0"/>
              <w:rPr>
                <w:sz w:val="20"/>
                <w:szCs w:val="20"/>
                <w:color w:val="auto"/>
              </w:rPr>
            </w:pPr>
          </w:p>
        </w:tc>
      </w:tr>
      <w:tr>
        <w:trPr>
          <w:trHeight w:val="229"/>
        </w:trPr>
        <w:tc>
          <w:tcPr>
            <w:tcW w:w="60" w:type="dxa"/>
            <w:vAlign w:val="bottom"/>
          </w:tcPr>
          <w:p>
            <w:pPr>
              <w:spacing w:after="0"/>
              <w:rPr>
                <w:sz w:val="19"/>
                <w:szCs w:val="19"/>
                <w:color w:val="auto"/>
              </w:rPr>
            </w:pPr>
          </w:p>
        </w:tc>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Other revenues including land sales</w:t>
            </w: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tcPr>
          <w:p>
            <w:pPr>
              <w:spacing w:after="0"/>
              <w:rPr>
                <w:sz w:val="19"/>
                <w:szCs w:val="19"/>
                <w:color w:val="auto"/>
              </w:rPr>
            </w:pPr>
          </w:p>
        </w:tc>
      </w:tr>
      <w:tr>
        <w:trPr>
          <w:trHeight w:val="248"/>
        </w:trPr>
        <w:tc>
          <w:tcPr>
            <w:tcW w:w="6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3,845</w:t>
            </w: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5"/>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 w:type="dxa"/>
            <w:vAlign w:val="bottom"/>
          </w:tcPr>
          <w:p>
            <w:pPr>
              <w:spacing w:after="0"/>
              <w:rPr>
                <w:sz w:val="24"/>
                <w:szCs w:val="24"/>
                <w:color w:val="auto"/>
              </w:rPr>
            </w:pPr>
          </w:p>
        </w:tc>
        <w:tc>
          <w:tcPr>
            <w:tcW w:w="2940" w:type="dxa"/>
            <w:vAlign w:val="bottom"/>
            <w:gridSpan w:val="6"/>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 June 30,</w:t>
            </w:r>
          </w:p>
        </w:tc>
        <w:tc>
          <w:tcPr>
            <w:tcW w:w="40" w:type="dxa"/>
            <w:vAlign w:val="bottom"/>
          </w:tcPr>
          <w:p>
            <w:pPr>
              <w:spacing w:after="0"/>
              <w:rPr>
                <w:sz w:val="24"/>
                <w:szCs w:val="24"/>
                <w:color w:val="auto"/>
              </w:rPr>
            </w:pPr>
          </w:p>
        </w:tc>
      </w:tr>
      <w:tr>
        <w:trPr>
          <w:trHeight w:val="223"/>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operating income</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top w:val="single" w:sz="8" w:color="auto"/>
              <w:bottom w:val="single" w:sz="8" w:color="auto"/>
            </w:tcBorders>
          </w:tcPr>
          <w:p>
            <w:pPr>
              <w:spacing w:after="0"/>
              <w:rPr>
                <w:sz w:val="19"/>
                <w:szCs w:val="19"/>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40" w:type="dxa"/>
            <w:vAlign w:val="bottom"/>
            <w:shd w:val="clear" w:color="auto" w:fill="CCEEFF"/>
          </w:tcPr>
          <w:p>
            <w:pPr>
              <w:spacing w:after="0"/>
              <w:rPr>
                <w:sz w:val="19"/>
                <w:szCs w:val="19"/>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TRCC</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0" w:type="dxa"/>
            <w:vAlign w:val="bottom"/>
          </w:tcPr>
          <w:p>
            <w:pPr>
              <w:spacing w:after="0"/>
              <w:rPr>
                <w:sz w:val="19"/>
                <w:szCs w:val="19"/>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 leases</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 w:type="dxa"/>
            <w:vAlign w:val="bottom"/>
            <w:shd w:val="clear" w:color="auto" w:fill="CCEEFF"/>
          </w:tcPr>
          <w:p>
            <w:pPr>
              <w:spacing w:after="0"/>
              <w:rPr>
                <w:sz w:val="19"/>
                <w:szCs w:val="19"/>
                <w:color w:val="auto"/>
              </w:rPr>
            </w:pPr>
          </w:p>
        </w:tc>
      </w:tr>
      <w:tr>
        <w:trPr>
          <w:trHeight w:val="229"/>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commercial leases</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Borders>
              <w:bottom w:val="single" w:sz="8" w:color="auto"/>
            </w:tcBorders>
          </w:tcPr>
          <w:p>
            <w:pPr>
              <w:spacing w:after="0"/>
              <w:rPr>
                <w:sz w:val="19"/>
                <w:szCs w:val="19"/>
                <w:color w:val="auto"/>
              </w:rPr>
            </w:pPr>
          </w:p>
        </w:tc>
      </w:tr>
      <w:tr>
        <w:trPr>
          <w:trHeight w:val="24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3,845</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schedule reconciles net income of unconsolidated joint ventures to NOI of unconsolidated joint ventures. Please refer to Note 14 (Investment in Unconsolidated and Consolidated Joint Ventures) of the Notes to Unaudited Consolidated Financial Statements for further discussion on joint ventures.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60" w:type="dxa"/>
            <w:vAlign w:val="bottom"/>
          </w:tcPr>
          <w:p>
            <w:pPr>
              <w:spacing w:after="0"/>
              <w:rPr>
                <w:sz w:val="20"/>
                <w:szCs w:val="20"/>
                <w:color w:val="auto"/>
              </w:rPr>
            </w:pPr>
          </w:p>
        </w:tc>
        <w:tc>
          <w:tcPr>
            <w:tcW w:w="29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of unconsolidated joint ventures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of unconsolidated joint ventures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of unconsolidated joint ventures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r>
      <w:tr>
        <w:trPr>
          <w:trHeight w:val="175"/>
        </w:trPr>
        <w:tc>
          <w:tcPr>
            <w:tcW w:w="4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 unconsolidated joint</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ventures</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income of unconsolidated joint ventures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3. QUANTITATIVE AND QUALITATIVE DISCLOSURES ABOUT MARKET RISK</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Risks</w:t>
      </w:r>
    </w:p>
    <w:p>
      <w:pPr>
        <w:spacing w:after="0" w:line="1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12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Our current RCL has a $51,942,000 outstanding balance. The interest rate on this line of credit can float at a rate equal to one-month term SOFR plus 2.25% for an effective rate of 7.58% at June 30, 2024. During the term of this RCL (which matures in January 2029), we can borrow at any time and partially or wholly repay any outstanding borrowings and then re-borrow, as necessary outstanding balances.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5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 Rate Sensitivity Financial Market Risks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June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percentage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$16,533</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4.99%</w:t>
            </w: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line-of-credit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$51,942</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$51,942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$51,942</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 average interest rate</w:t>
            </w:r>
            <w:r>
              <w:rPr>
                <w:rFonts w:ascii="Times New Roman" w:cs="Times New Roman" w:eastAsia="Times New Roman" w:hAnsi="Times New Roman"/>
                <w:sz w:val="23"/>
                <w:szCs w:val="23"/>
                <w:color w:val="auto"/>
                <w:vertAlign w:val="superscript"/>
              </w:rPr>
              <w:t>1</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S+2.25%</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S+2.25%</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The effective interest rate on this line of credit is SOFR plus a margin of 2.25%, and the rate was 7.58%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 Rate Sensitivity Financial Market Risks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December 31,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percentage data)</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09"/>
        </w:trPr>
        <w:tc>
          <w:tcPr>
            <w:tcW w:w="2860" w:type="dxa"/>
            <w:vAlign w:val="bottom"/>
            <w:vMerge w:val="continue"/>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$32,576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$32,576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$32,556</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w:t>
            </w:r>
          </w:p>
        </w:tc>
        <w:tc>
          <w:tcPr>
            <w:tcW w:w="10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line-of-credit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$47,942</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$47,942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$47,942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Weighted average interest rate</w:t>
            </w:r>
            <w:r>
              <w:rPr>
                <w:rFonts w:ascii="Times New Roman" w:cs="Times New Roman" w:eastAsia="Times New Roman" w:hAnsi="Times New Roman"/>
                <w:sz w:val="23"/>
                <w:szCs w:val="23"/>
                <w:color w:val="auto"/>
                <w:vertAlign w:val="superscript"/>
              </w:rPr>
              <w:t>1</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S+2.25%</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S+2.25%</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S+2.25%</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The effective interest rate on this line of credit is SOFR plus a margin of 2.25%, and the rate was 7.59% as of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Commodity Price Exposure</w:t>
      </w:r>
    </w:p>
    <w:p>
      <w:pPr>
        <w:spacing w:after="0" w:line="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respect to accounts receivable, the amount at risk primarily relates to farm crops. These receivables are recorded as estimates of the prices that ultimately will be received for the crops. The final price is generally not known for several months following the close of our fiscal year. Of the $2,359,000 of accounts receivable outstanding at June 30, 2024, $443,000 or 19%, pertains to pistachio sales receivables that are at risk to changing prices. Over the previous three years, pistachio prices have fluctuated between $1.62 to $2.14.</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4. CONTROLS AND PROCEDURES</w:t>
      </w:r>
    </w:p>
    <w:p>
      <w:pPr>
        <w:spacing w:after="0" w:line="121" w:lineRule="exact"/>
        <w:rPr>
          <w:sz w:val="20"/>
          <w:szCs w:val="20"/>
          <w:color w:val="auto"/>
        </w:rPr>
      </w:pPr>
    </w:p>
    <w:p>
      <w:pPr>
        <w:ind w:left="580" w:hanging="572"/>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the end of the period covered by this report, management conducted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to be disclosed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 required by the rules and regulations of the SEC.</w:t>
      </w:r>
    </w:p>
    <w:p>
      <w:pPr>
        <w:spacing w:after="0" w:line="81" w:lineRule="exact"/>
        <w:rPr>
          <w:sz w:val="20"/>
          <w:szCs w:val="20"/>
          <w:color w:val="auto"/>
        </w:rPr>
      </w:pPr>
    </w:p>
    <w:p>
      <w:pPr>
        <w:ind w:left="560" w:hanging="552"/>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6EBF"/>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1. Legal Proceedings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11 (Commitments and Contingencies) in the Notes to Unaudited Consolidated Financial Statements in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1A. 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in our most recent Annual Report on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2. 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5.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Not applicable.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None.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6EBF"/>
            </w:tcBorders>
            <w:gridSpan w:val="2"/>
          </w:tcPr>
          <w:p>
            <w:pPr>
              <w:spacing w:after="0"/>
              <w:rPr>
                <w:sz w:val="20"/>
                <w:szCs w:val="20"/>
                <w:color w:val="auto"/>
              </w:rPr>
            </w:pPr>
            <w:r>
              <w:rPr>
                <w:rFonts w:ascii="Times New Roman" w:cs="Times New Roman" w:eastAsia="Times New Roman" w:hAnsi="Times New Roman"/>
                <w:sz w:val="18"/>
                <w:szCs w:val="18"/>
                <w:b w:val="1"/>
                <w:bCs w:val="1"/>
                <w:color w:val="006EBF"/>
                <w:w w:val="99"/>
              </w:rPr>
              <w:t>Item 6. Exhibits:</w:t>
            </w:r>
          </w:p>
        </w:tc>
        <w:tc>
          <w:tcPr>
            <w:tcW w:w="86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9940" w:type="dxa"/>
            <w:vAlign w:val="bottom"/>
            <w:gridSpan w:val="3"/>
          </w:tcPr>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hyperlink r:id="rId66">
              <w:r>
                <w:rPr>
                  <w:rFonts w:ascii="Times New Roman" w:cs="Times New Roman" w:eastAsia="Times New Roman" w:hAnsi="Times New Roman"/>
                  <w:sz w:val="18"/>
                  <w:szCs w:val="18"/>
                  <w:color w:val="auto"/>
                </w:rPr>
                <w:t>Restated Certificate of Incorporation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w:t>
            </w:r>
          </w:p>
        </w:tc>
      </w:tr>
      <w:tr>
        <w:trPr>
          <w:trHeight w:val="229"/>
        </w:trPr>
        <w:tc>
          <w:tcPr>
            <w:tcW w:w="20" w:type="dxa"/>
            <w:vAlign w:val="bottom"/>
          </w:tcPr>
          <w:p>
            <w:pPr>
              <w:spacing w:after="0"/>
              <w:rPr>
                <w:sz w:val="19"/>
                <w:szCs w:val="19"/>
                <w:color w:val="auto"/>
              </w:rPr>
            </w:pPr>
          </w:p>
        </w:tc>
        <w:tc>
          <w:tcPr>
            <w:tcW w:w="9940" w:type="dxa"/>
            <w:vAlign w:val="bottom"/>
            <w:gridSpan w:val="3"/>
          </w:tcPr>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hyperlink r:id="rId67">
              <w:r>
                <w:rPr>
                  <w:rFonts w:ascii="Times New Roman" w:cs="Times New Roman" w:eastAsia="Times New Roman" w:hAnsi="Times New Roman"/>
                  <w:sz w:val="18"/>
                  <w:szCs w:val="18"/>
                  <w:color w:val="auto"/>
                </w:rPr>
                <w:t>Amended and Restated Bylaws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w:t>
            </w:r>
          </w:p>
        </w:tc>
      </w:tr>
      <w:tr>
        <w:trPr>
          <w:trHeight w:val="230"/>
        </w:trPr>
        <w:tc>
          <w:tcPr>
            <w:tcW w:w="20" w:type="dxa"/>
            <w:vAlign w:val="bottom"/>
          </w:tcPr>
          <w:p>
            <w:pPr>
              <w:spacing w:after="0"/>
              <w:rPr>
                <w:sz w:val="19"/>
                <w:szCs w:val="19"/>
                <w:color w:val="auto"/>
              </w:rPr>
            </w:pPr>
          </w:p>
        </w:tc>
        <w:tc>
          <w:tcPr>
            <w:tcW w:w="9940" w:type="dxa"/>
            <w:vAlign w:val="bottom"/>
            <w:gridSpan w:val="3"/>
          </w:tcPr>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hyperlink r:id="rId68">
              <w:r>
                <w:rPr>
                  <w:rFonts w:ascii="Times New Roman" w:cs="Times New Roman" w:eastAsia="Times New Roman" w:hAnsi="Times New Roman"/>
                  <w:sz w:val="18"/>
                  <w:szCs w:val="18"/>
                  <w:color w:val="auto"/>
                </w:rPr>
                <w:t>Registration and Reimbursement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5</w:t>
            </w:r>
          </w:p>
        </w:tc>
      </w:tr>
      <w:tr>
        <w:trPr>
          <w:trHeight w:val="230"/>
        </w:trPr>
        <w:tc>
          <w:tcPr>
            <w:tcW w:w="20" w:type="dxa"/>
            <w:vAlign w:val="bottom"/>
          </w:tcPr>
          <w:p>
            <w:pPr>
              <w:spacing w:after="0"/>
              <w:rPr>
                <w:sz w:val="19"/>
                <w:szCs w:val="19"/>
                <w:color w:val="auto"/>
              </w:rPr>
            </w:pPr>
          </w:p>
        </w:tc>
        <w:tc>
          <w:tcPr>
            <w:tcW w:w="9940" w:type="dxa"/>
            <w:vAlign w:val="bottom"/>
            <w:gridSpan w:val="3"/>
          </w:tcPr>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   </w:t>
            </w:r>
            <w:hyperlink r:id="rId69">
              <w:r>
                <w:rPr>
                  <w:rFonts w:ascii="Times New Roman" w:cs="Times New Roman" w:eastAsia="Times New Roman" w:hAnsi="Times New Roman"/>
                  <w:sz w:val="18"/>
                  <w:szCs w:val="18"/>
                  <w:color w:val="auto"/>
                </w:rPr>
                <w:t>Form of Indenture for Debt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37</w:t>
            </w:r>
          </w:p>
        </w:tc>
      </w:tr>
      <w:tr>
        <w:trPr>
          <w:trHeight w:val="189"/>
        </w:trPr>
        <w:tc>
          <w:tcPr>
            <w:tcW w:w="20" w:type="dxa"/>
            <w:vAlign w:val="bottom"/>
          </w:tcPr>
          <w:p>
            <w:pPr>
              <w:spacing w:after="0"/>
              <w:rPr>
                <w:sz w:val="16"/>
                <w:szCs w:val="16"/>
                <w:color w:val="auto"/>
              </w:rPr>
            </w:pPr>
          </w:p>
        </w:tc>
        <w:tc>
          <w:tcPr>
            <w:tcW w:w="9940" w:type="dxa"/>
            <w:vAlign w:val="bottom"/>
            <w:gridSpan w:val="3"/>
          </w:tcPr>
          <w:p>
            <w:pPr>
              <w:ind w:left="720"/>
              <w:spacing w:after="0" w:line="189" w:lineRule="exact"/>
              <w:rPr>
                <w:sz w:val="20"/>
                <w:szCs w:val="20"/>
                <w:color w:val="auto"/>
              </w:rPr>
            </w:pPr>
            <w:r>
              <w:rPr>
                <w:rFonts w:ascii="Times New Roman" w:cs="Times New Roman" w:eastAsia="Times New Roman" w:hAnsi="Times New Roman"/>
                <w:sz w:val="18"/>
                <w:szCs w:val="18"/>
                <w:color w:val="auto"/>
              </w:rPr>
              <w:t>10.1  Water Service Contract with Wheeler Ridge-Maricopa Water Storage District (without exhibits), amendments</w:t>
            </w:r>
          </w:p>
        </w:tc>
        <w:tc>
          <w:tcPr>
            <w:tcW w:w="128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originally filed under Item 11 to Registrant's Annual Report on Form 10-K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6</w:t>
            </w:r>
          </w:p>
        </w:tc>
      </w:tr>
      <w:tr>
        <w:trPr>
          <w:trHeight w:val="230"/>
        </w:trPr>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10.7</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*Severance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0"/>
        </w:trPr>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10.8</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*Director Compensation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4"/>
        </w:trPr>
        <w:tc>
          <w:tcPr>
            <w:tcW w:w="20" w:type="dxa"/>
            <w:vAlign w:val="bottom"/>
          </w:tcPr>
          <w:p>
            <w:pPr>
              <w:spacing w:after="0"/>
              <w:rPr>
                <w:sz w:val="20"/>
                <w:szCs w:val="20"/>
                <w:color w:val="auto"/>
              </w:rPr>
            </w:pPr>
          </w:p>
        </w:tc>
        <w:tc>
          <w:tcPr>
            <w:tcW w:w="9940" w:type="dxa"/>
            <w:vAlign w:val="bottom"/>
            <w:gridSpan w:val="3"/>
          </w:tcPr>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10.9  </w:t>
            </w:r>
            <w:hyperlink r:id="rId71">
              <w:r>
                <w:rPr>
                  <w:rFonts w:ascii="Times New Roman" w:cs="Times New Roman" w:eastAsia="Times New Roman" w:hAnsi="Times New Roman"/>
                  <w:sz w:val="18"/>
                  <w:szCs w:val="18"/>
                  <w:color w:val="auto"/>
                </w:rPr>
                <w:t>*Amended and Restated Non-Employee Director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8</w:t>
            </w:r>
          </w:p>
        </w:tc>
      </w:tr>
      <w:tr>
        <w:trPr>
          <w:trHeight w:val="346"/>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*Stock Option Agreement Pursuant to the Non-Employee Director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29"/>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*Amended and Restated 1998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9</w:t>
            </w:r>
          </w:p>
        </w:tc>
      </w:tr>
      <w:tr>
        <w:trPr>
          <w:trHeight w:val="230"/>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*Stock Option Agreement Pursuant to the 1998 Stock Incentive Plan</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Ground Lease with Pastoria Energy Facility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10</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Form of Securities Purchase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11</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10.16</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Form of Registration Rights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12</w:t>
            </w:r>
          </w:p>
        </w:tc>
      </w:tr>
      <w:tr>
        <w:trPr>
          <w:trHeight w:val="229"/>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*2004 Stock Incentive Program</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*Form of Restricted Stock Agreement for Directors</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*Form of Restricted Stock Unit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Limited Liability Company Agreement of Tejon Mountain Village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14</w:t>
            </w:r>
          </w:p>
        </w:tc>
      </w:tr>
      <w:tr>
        <w:trPr>
          <w:trHeight w:val="229"/>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Tejon Ranch Conservation and Land Use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15</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Second Amended and Restated Limited Liability Agreement of Centennial Founders,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16</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10.26</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*Executive Employment Agreement - Allen E. Lyda</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17</w:t>
            </w:r>
          </w:p>
        </w:tc>
      </w:tr>
      <w:tr>
        <w:trPr>
          <w:trHeight w:val="229"/>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Limited Liability Company Agreement of TRCC/Rock Outlet Center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18</w:t>
            </w:r>
          </w:p>
        </w:tc>
      </w:tr>
      <w:tr>
        <w:trPr>
          <w:trHeight w:val="230"/>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Warrant Agreement</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19</w:t>
            </w:r>
          </w:p>
        </w:tc>
      </w:tr>
      <w:tr>
        <w:trPr>
          <w:trHeight w:val="234"/>
        </w:trPr>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8780" w:type="dxa"/>
            <w:vAlign w:val="bottom"/>
            <w:gridSpan w:val="2"/>
          </w:tcPr>
          <w:p>
            <w:pPr>
              <w:ind w:left="80"/>
              <w:spacing w:after="0"/>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Amendments to Limited Liability Company Agreement of Tejon Mountain Village LLC</w:t>
              </w:r>
            </w:hyperlink>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20</w:t>
            </w:r>
          </w:p>
        </w:tc>
      </w:tr>
      <w:tr>
        <w:trPr>
          <w:trHeight w:val="86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78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48</w:t>
            </w:r>
          </w:p>
        </w:tc>
        <w:tc>
          <w:tcPr>
            <w:tcW w:w="12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tbl>
      <w:tblPr>
        <w:tblLayout w:type="fixed"/>
        <w:tblInd w:w="440" w:type="dxa"/>
        <w:tblCellMar>
          <w:top w:w="0" w:type="dxa"/>
          <w:left w:w="0" w:type="dxa"/>
          <w:bottom w:w="0" w:type="dxa"/>
          <w:right w:w="0" w:type="dxa"/>
        </w:tblCellMar>
      </w:tblP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8540" w:type="dxa"/>
            <w:vAlign w:val="bottom"/>
          </w:tcPr>
          <w:p>
            <w:pPr>
              <w:ind w:left="60"/>
              <w:spacing w:after="0"/>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Membership Interest Purchase Agreement - Tejon Mountain Village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21</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8540" w:type="dxa"/>
            <w:vAlign w:val="bottom"/>
          </w:tcPr>
          <w:p>
            <w:pPr>
              <w:ind w:left="60"/>
              <w:spacing w:after="0"/>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Amended and Restated Credit Agreement</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22</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w:t>
            </w:r>
          </w:p>
        </w:tc>
        <w:tc>
          <w:tcPr>
            <w:tcW w:w="8540" w:type="dxa"/>
            <w:vAlign w:val="bottom"/>
          </w:tcPr>
          <w:p>
            <w:pPr>
              <w:ind w:left="60"/>
              <w:spacing w:after="0"/>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Term Note</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25</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8540" w:type="dxa"/>
            <w:vAlign w:val="bottom"/>
          </w:tcPr>
          <w:p>
            <w:pPr>
              <w:ind w:left="60"/>
              <w:spacing w:after="0"/>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Revolving Line of Credit</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36</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10.34</w:t>
            </w:r>
          </w:p>
        </w:tc>
        <w:tc>
          <w:tcPr>
            <w:tcW w:w="8540" w:type="dxa"/>
            <w:vAlign w:val="bottom"/>
          </w:tcPr>
          <w:p>
            <w:pPr>
              <w:ind w:left="60"/>
              <w:spacing w:after="0"/>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Amendments to Lease Agreement with Pastoria Energy Facility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23</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10.35</w:t>
            </w:r>
          </w:p>
        </w:tc>
        <w:tc>
          <w:tcPr>
            <w:tcW w:w="8540" w:type="dxa"/>
            <w:vAlign w:val="bottom"/>
          </w:tcPr>
          <w:p>
            <w:pPr>
              <w:ind w:left="60"/>
              <w:spacing w:after="0"/>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Water Supply Agreement with Pastoria Energy Facility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24</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c>
          <w:tcPr>
            <w:tcW w:w="8540" w:type="dxa"/>
            <w:vAlign w:val="bottom"/>
          </w:tcPr>
          <w:p>
            <w:pPr>
              <w:ind w:left="60"/>
              <w:spacing w:after="0"/>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Limited Liability Company Agreement of TRC-MRC 2,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26</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10.38</w:t>
            </w:r>
          </w:p>
        </w:tc>
        <w:tc>
          <w:tcPr>
            <w:tcW w:w="8540" w:type="dxa"/>
            <w:vAlign w:val="bottom"/>
          </w:tcPr>
          <w:p>
            <w:pPr>
              <w:ind w:left="60"/>
              <w:spacing w:after="0"/>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Limited Liability Company Agreement of TRC-MRC 1,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27</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10.39</w:t>
            </w:r>
          </w:p>
        </w:tc>
        <w:tc>
          <w:tcPr>
            <w:tcW w:w="8540" w:type="dxa"/>
            <w:vAlign w:val="bottom"/>
          </w:tcPr>
          <w:p>
            <w:pPr>
              <w:ind w:left="60"/>
              <w:spacing w:after="0"/>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 xml:space="preserve">Centennial Founders, LLC Redemption and Withdrawal Agreement </w:t>
              </w:r>
            </w:hyperlink>
            <w:r>
              <w:rPr>
                <w:rFonts w:ascii="Times New Roman" w:cs="Times New Roman" w:eastAsia="Times New Roman" w:hAnsi="Times New Roman"/>
                <w:sz w:val="18"/>
                <w:szCs w:val="18"/>
                <w:color w:val="auto"/>
              </w:rPr>
              <w:t>- Lewis Tejon Member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28</w:t>
            </w:r>
          </w:p>
        </w:tc>
      </w:tr>
      <w:tr>
        <w:trPr>
          <w:trHeight w:val="180"/>
        </w:trPr>
        <w:tc>
          <w:tcPr>
            <w:tcW w:w="7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10.40</w:t>
            </w:r>
          </w:p>
        </w:tc>
        <w:tc>
          <w:tcPr>
            <w:tcW w:w="8540" w:type="dxa"/>
            <w:vAlign w:val="bottom"/>
          </w:tcPr>
          <w:p>
            <w:pPr>
              <w:ind w:left="60"/>
              <w:spacing w:after="0" w:line="181" w:lineRule="exact"/>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First Amendment to Second Amended and Restated Limited Liability Company Agreement of Centennial Founders,</w:t>
              </w:r>
            </w:hyperlink>
          </w:p>
        </w:tc>
        <w:tc>
          <w:tcPr>
            <w:tcW w:w="1480" w:type="dxa"/>
            <w:vAlign w:val="bottom"/>
          </w:tcPr>
          <w:p>
            <w:pPr>
              <w:spacing w:after="0"/>
              <w:rPr>
                <w:sz w:val="15"/>
                <w:szCs w:val="15"/>
                <w:color w:val="auto"/>
              </w:rPr>
            </w:pPr>
          </w:p>
        </w:tc>
      </w:tr>
      <w:tr>
        <w:trPr>
          <w:trHeight w:val="238"/>
        </w:trPr>
        <w:tc>
          <w:tcPr>
            <w:tcW w:w="760" w:type="dxa"/>
            <w:vAlign w:val="bottom"/>
          </w:tcPr>
          <w:p>
            <w:pPr>
              <w:spacing w:after="0"/>
              <w:rPr>
                <w:sz w:val="20"/>
                <w:szCs w:val="20"/>
                <w:color w:val="auto"/>
              </w:rPr>
            </w:pPr>
          </w:p>
        </w:tc>
        <w:tc>
          <w:tcPr>
            <w:tcW w:w="8540" w:type="dxa"/>
            <w:vAlign w:val="bottom"/>
          </w:tcPr>
          <w:p>
            <w:pPr>
              <w:ind w:left="60"/>
              <w:spacing w:after="0"/>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29</w:t>
            </w:r>
          </w:p>
        </w:tc>
      </w:tr>
      <w:tr>
        <w:trPr>
          <w:trHeight w:val="180"/>
        </w:trPr>
        <w:tc>
          <w:tcPr>
            <w:tcW w:w="7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10.41</w:t>
            </w:r>
          </w:p>
        </w:tc>
        <w:tc>
          <w:tcPr>
            <w:tcW w:w="8540" w:type="dxa"/>
            <w:vAlign w:val="bottom"/>
          </w:tcPr>
          <w:p>
            <w:pPr>
              <w:ind w:left="60"/>
              <w:spacing w:after="0" w:line="181" w:lineRule="exact"/>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Second Amendment to Second Amended and Restated Limited Liability Company Agreement of Centennial</w:t>
              </w:r>
            </w:hyperlink>
          </w:p>
        </w:tc>
        <w:tc>
          <w:tcPr>
            <w:tcW w:w="1480" w:type="dxa"/>
            <w:vAlign w:val="bottom"/>
          </w:tcPr>
          <w:p>
            <w:pPr>
              <w:spacing w:after="0"/>
              <w:rPr>
                <w:sz w:val="15"/>
                <w:szCs w:val="15"/>
                <w:color w:val="auto"/>
              </w:rPr>
            </w:pPr>
          </w:p>
        </w:tc>
      </w:tr>
      <w:tr>
        <w:trPr>
          <w:trHeight w:val="238"/>
        </w:trPr>
        <w:tc>
          <w:tcPr>
            <w:tcW w:w="760" w:type="dxa"/>
            <w:vAlign w:val="bottom"/>
          </w:tcPr>
          <w:p>
            <w:pPr>
              <w:spacing w:after="0"/>
              <w:rPr>
                <w:sz w:val="20"/>
                <w:szCs w:val="20"/>
                <w:color w:val="auto"/>
              </w:rPr>
            </w:pPr>
          </w:p>
        </w:tc>
        <w:tc>
          <w:tcPr>
            <w:tcW w:w="8540" w:type="dxa"/>
            <w:vAlign w:val="bottom"/>
          </w:tcPr>
          <w:p>
            <w:pPr>
              <w:ind w:left="60"/>
              <w:spacing w:after="0"/>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Founders,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30</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w:t>
            </w:r>
          </w:p>
        </w:tc>
        <w:tc>
          <w:tcPr>
            <w:tcW w:w="8540" w:type="dxa"/>
            <w:vAlign w:val="bottom"/>
          </w:tcPr>
          <w:p>
            <w:pPr>
              <w:ind w:left="60"/>
              <w:spacing w:after="0"/>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Limited Liability Company Agreement of TRC-MRC 3,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31</w:t>
            </w:r>
          </w:p>
        </w:tc>
      </w:tr>
      <w:tr>
        <w:trPr>
          <w:trHeight w:val="180"/>
        </w:trPr>
        <w:tc>
          <w:tcPr>
            <w:tcW w:w="7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10.43</w:t>
            </w:r>
          </w:p>
        </w:tc>
        <w:tc>
          <w:tcPr>
            <w:tcW w:w="8540" w:type="dxa"/>
            <w:vAlign w:val="bottom"/>
          </w:tcPr>
          <w:p>
            <w:pPr>
              <w:ind w:left="60"/>
              <w:spacing w:after="0" w:line="181" w:lineRule="exact"/>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Fourth Amendment to Second Amended and Restated Limited Liability Company Agreement of Centennial</w:t>
              </w:r>
            </w:hyperlink>
          </w:p>
        </w:tc>
        <w:tc>
          <w:tcPr>
            <w:tcW w:w="1480" w:type="dxa"/>
            <w:vAlign w:val="bottom"/>
          </w:tcPr>
          <w:p>
            <w:pPr>
              <w:spacing w:after="0"/>
              <w:rPr>
                <w:sz w:val="15"/>
                <w:szCs w:val="15"/>
                <w:color w:val="auto"/>
              </w:rPr>
            </w:pPr>
          </w:p>
        </w:tc>
      </w:tr>
      <w:tr>
        <w:trPr>
          <w:trHeight w:val="238"/>
        </w:trPr>
        <w:tc>
          <w:tcPr>
            <w:tcW w:w="760" w:type="dxa"/>
            <w:vAlign w:val="bottom"/>
          </w:tcPr>
          <w:p>
            <w:pPr>
              <w:spacing w:after="0"/>
              <w:rPr>
                <w:sz w:val="20"/>
                <w:szCs w:val="20"/>
                <w:color w:val="auto"/>
              </w:rPr>
            </w:pPr>
          </w:p>
        </w:tc>
        <w:tc>
          <w:tcPr>
            <w:tcW w:w="8540" w:type="dxa"/>
            <w:vAlign w:val="bottom"/>
          </w:tcPr>
          <w:p>
            <w:pPr>
              <w:ind w:left="60"/>
              <w:spacing w:after="0"/>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Founders,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32</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8540" w:type="dxa"/>
            <w:vAlign w:val="bottom"/>
          </w:tcPr>
          <w:p>
            <w:pPr>
              <w:ind w:left="60"/>
              <w:spacing w:after="0"/>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Centennial Founders, LLC Redemption and Withdrawal Agreement - CalAtlantic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33</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8540" w:type="dxa"/>
            <w:vAlign w:val="bottom"/>
          </w:tcPr>
          <w:p>
            <w:pPr>
              <w:ind w:left="60"/>
              <w:spacing w:after="0"/>
              <w:rPr>
                <w:rFonts w:ascii="Times New Roman" w:cs="Times New Roman" w:eastAsia="Times New Roman" w:hAnsi="Times New Roman"/>
                <w:sz w:val="18"/>
                <w:szCs w:val="18"/>
                <w:color w:val="auto"/>
              </w:rPr>
            </w:pPr>
            <w:hyperlink r:id="rId102">
              <w:r>
                <w:rPr>
                  <w:rFonts w:ascii="Times New Roman" w:cs="Times New Roman" w:eastAsia="Times New Roman" w:hAnsi="Times New Roman"/>
                  <w:sz w:val="18"/>
                  <w:szCs w:val="18"/>
                  <w:color w:val="auto"/>
                </w:rPr>
                <w:t>Amended Revolving Line of Credit</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34</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c>
          <w:tcPr>
            <w:tcW w:w="8540" w:type="dxa"/>
            <w:vAlign w:val="bottom"/>
          </w:tcPr>
          <w:p>
            <w:pPr>
              <w:ind w:left="60"/>
              <w:spacing w:after="0"/>
              <w:rPr>
                <w:rFonts w:ascii="Times New Roman" w:cs="Times New Roman" w:eastAsia="Times New Roman" w:hAnsi="Times New Roman"/>
                <w:sz w:val="18"/>
                <w:szCs w:val="18"/>
                <w:color w:val="auto"/>
              </w:rPr>
            </w:pPr>
            <w:hyperlink r:id="rId103">
              <w:r>
                <w:rPr>
                  <w:rFonts w:ascii="Times New Roman" w:cs="Times New Roman" w:eastAsia="Times New Roman" w:hAnsi="Times New Roman"/>
                  <w:sz w:val="18"/>
                  <w:szCs w:val="18"/>
                  <w:color w:val="auto"/>
                </w:rPr>
                <w:t>Amended Term Note</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35</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w:t>
            </w:r>
          </w:p>
        </w:tc>
        <w:tc>
          <w:tcPr>
            <w:tcW w:w="8540" w:type="dxa"/>
            <w:vAlign w:val="bottom"/>
          </w:tcPr>
          <w:p>
            <w:pPr>
              <w:ind w:left="60"/>
              <w:spacing w:after="0"/>
              <w:rPr>
                <w:rFonts w:ascii="Times New Roman" w:cs="Times New Roman" w:eastAsia="Times New Roman" w:hAnsi="Times New Roman"/>
                <w:sz w:val="18"/>
                <w:szCs w:val="18"/>
                <w:color w:val="auto"/>
              </w:rPr>
            </w:pPr>
            <w:hyperlink r:id="rId104">
              <w:r>
                <w:rPr>
                  <w:rFonts w:ascii="Times New Roman" w:cs="Times New Roman" w:eastAsia="Times New Roman" w:hAnsi="Times New Roman"/>
                  <w:sz w:val="18"/>
                  <w:szCs w:val="18"/>
                  <w:color w:val="auto"/>
                </w:rPr>
                <w:t>*Executive Severance Agreement - Executive Severance Agreement - Gregory S. Bielli</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38</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10.48</w:t>
            </w:r>
          </w:p>
        </w:tc>
        <w:tc>
          <w:tcPr>
            <w:tcW w:w="8540" w:type="dxa"/>
            <w:vAlign w:val="bottom"/>
          </w:tcPr>
          <w:p>
            <w:pPr>
              <w:ind w:left="60"/>
              <w:spacing w:after="0"/>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Limited Liability Company Agreement of TRC-MRC 4,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39</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8540" w:type="dxa"/>
            <w:vAlign w:val="bottom"/>
          </w:tcPr>
          <w:p>
            <w:pPr>
              <w:ind w:left="60"/>
              <w:spacing w:after="0"/>
              <w:rPr>
                <w:rFonts w:ascii="Times New Roman" w:cs="Times New Roman" w:eastAsia="Times New Roman" w:hAnsi="Times New Roman"/>
                <w:sz w:val="18"/>
                <w:szCs w:val="18"/>
                <w:color w:val="auto"/>
              </w:rPr>
            </w:pPr>
            <w:hyperlink r:id="rId106">
              <w:r>
                <w:rPr>
                  <w:rFonts w:ascii="Times New Roman" w:cs="Times New Roman" w:eastAsia="Times New Roman" w:hAnsi="Times New Roman"/>
                  <w:sz w:val="18"/>
                  <w:szCs w:val="18"/>
                  <w:color w:val="auto"/>
                </w:rPr>
                <w:t>Settlement Agreement of CEQA litigation with Climate Resolve</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40</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8540" w:type="dxa"/>
            <w:vAlign w:val="bottom"/>
          </w:tcPr>
          <w:p>
            <w:pPr>
              <w:ind w:left="60"/>
              <w:spacing w:after="0"/>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Limited Liability Company Agreement of TRC-MRC Multi I,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41</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w:t>
            </w:r>
          </w:p>
        </w:tc>
        <w:tc>
          <w:tcPr>
            <w:tcW w:w="8540" w:type="dxa"/>
            <w:vAlign w:val="bottom"/>
          </w:tcPr>
          <w:p>
            <w:pPr>
              <w:ind w:left="60"/>
              <w:spacing w:after="0"/>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Limited Liability Company Agreement of TRC-MRC 5, LLC</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42</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10.52</w:t>
            </w:r>
          </w:p>
        </w:tc>
        <w:tc>
          <w:tcPr>
            <w:tcW w:w="8540" w:type="dxa"/>
            <w:vAlign w:val="bottom"/>
          </w:tcPr>
          <w:p>
            <w:pPr>
              <w:ind w:left="60"/>
              <w:spacing w:after="0"/>
              <w:rPr>
                <w:rFonts w:ascii="Times New Roman" w:cs="Times New Roman" w:eastAsia="Times New Roman" w:hAnsi="Times New Roman"/>
                <w:sz w:val="18"/>
                <w:szCs w:val="18"/>
                <w:color w:val="auto"/>
              </w:rPr>
            </w:pPr>
            <w:hyperlink r:id="rId109">
              <w:r>
                <w:rPr>
                  <w:rFonts w:ascii="Times New Roman" w:cs="Times New Roman" w:eastAsia="Times New Roman" w:hAnsi="Times New Roman"/>
                  <w:sz w:val="18"/>
                  <w:szCs w:val="18"/>
                  <w:color w:val="auto"/>
                </w:rPr>
                <w:t>Credit Agreement Between Tejon Ranchcorp and Bank of America, N.A.</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43</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w:t>
            </w:r>
          </w:p>
        </w:tc>
        <w:tc>
          <w:tcPr>
            <w:tcW w:w="8540" w:type="dxa"/>
            <w:vAlign w:val="bottom"/>
          </w:tcPr>
          <w:p>
            <w:pPr>
              <w:ind w:left="60"/>
              <w:spacing w:after="0"/>
              <w:rPr>
                <w:rFonts w:ascii="Times New Roman" w:cs="Times New Roman" w:eastAsia="Times New Roman" w:hAnsi="Times New Roman"/>
                <w:sz w:val="18"/>
                <w:szCs w:val="18"/>
                <w:color w:val="auto"/>
              </w:rPr>
            </w:pPr>
            <w:hyperlink r:id="rId110">
              <w:r>
                <w:rPr>
                  <w:rFonts w:ascii="Times New Roman" w:cs="Times New Roman" w:eastAsia="Times New Roman" w:hAnsi="Times New Roman"/>
                  <w:sz w:val="18"/>
                  <w:szCs w:val="18"/>
                  <w:color w:val="auto"/>
                </w:rPr>
                <w:t>Executive Officer Severance Agreement – Marc Hardy</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44</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8540" w:type="dxa"/>
            <w:vAlign w:val="bottom"/>
          </w:tcPr>
          <w:p>
            <w:pPr>
              <w:ind w:left="60"/>
              <w:spacing w:after="0"/>
              <w:rPr>
                <w:rFonts w:ascii="Times New Roman" w:cs="Times New Roman" w:eastAsia="Times New Roman" w:hAnsi="Times New Roman"/>
                <w:sz w:val="18"/>
                <w:szCs w:val="18"/>
                <w:color w:val="auto"/>
              </w:rPr>
            </w:pPr>
            <w:hyperlink r:id="rId111">
              <w:r>
                <w:rPr>
                  <w:rFonts w:ascii="Times New Roman" w:cs="Times New Roman" w:eastAsia="Times New Roman" w:hAnsi="Times New Roman"/>
                  <w:sz w:val="18"/>
                  <w:szCs w:val="18"/>
                  <w:color w:val="auto"/>
                </w:rPr>
                <w:t>Credit Agreement Between Tejon Ranchcorp and AgWest Farm Credit, PCA</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45</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w:t>
            </w:r>
          </w:p>
        </w:tc>
        <w:tc>
          <w:tcPr>
            <w:tcW w:w="8540" w:type="dxa"/>
            <w:vAlign w:val="bottom"/>
          </w:tcPr>
          <w:p>
            <w:pPr>
              <w:ind w:left="60"/>
              <w:spacing w:after="0"/>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Consulting Letter Agreement between Tejon Ranch Co. and Gregory S. Bielli</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46</w:t>
            </w:r>
          </w:p>
        </w:tc>
      </w:tr>
      <w:tr>
        <w:trPr>
          <w:trHeight w:val="22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as adopted pursuant to Section 302 of the Sarbanes-Oxley Act of 2002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Certification as adopted pursuant to Section 302 of the Sarbanes-Oxley Act of 2002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0"/>
        </w:trPr>
        <w:tc>
          <w:tcPr>
            <w:tcW w:w="7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32</w:t>
            </w:r>
          </w:p>
        </w:tc>
        <w:tc>
          <w:tcPr>
            <w:tcW w:w="85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w:t>
            </w:r>
          </w:p>
        </w:tc>
        <w:tc>
          <w:tcPr>
            <w:tcW w:w="1480" w:type="dxa"/>
            <w:vAlign w:val="bottom"/>
          </w:tcPr>
          <w:p>
            <w:pPr>
              <w:spacing w:after="0"/>
              <w:rPr>
                <w:sz w:val="15"/>
                <w:szCs w:val="15"/>
                <w:color w:val="auto"/>
              </w:rPr>
            </w:pPr>
          </w:p>
        </w:tc>
      </w:tr>
      <w:tr>
        <w:trPr>
          <w:trHeight w:val="238"/>
        </w:trPr>
        <w:tc>
          <w:tcPr>
            <w:tcW w:w="760" w:type="dxa"/>
            <w:vAlign w:val="bottom"/>
          </w:tcPr>
          <w:p>
            <w:pPr>
              <w:spacing w:after="0"/>
              <w:rPr>
                <w:sz w:val="20"/>
                <w:szCs w:val="20"/>
                <w:color w:val="auto"/>
              </w:rPr>
            </w:pP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2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Instance Document.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101.SCH</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101.CAL</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101.LAB</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bl>
    <w:p>
      <w:pPr>
        <w:ind w:left="1060" w:right="3400" w:hanging="206"/>
        <w:spacing w:after="0" w:line="292" w:lineRule="auto"/>
        <w:tabs>
          <w:tab w:leader="none" w:pos="12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 Page Interactive Data File (formatted as Inline XBRL and contained in Exhibit 101).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Management contract, compensatory plan or arrangement.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1</w:t>
            </w:r>
          </w:p>
        </w:tc>
        <w:tc>
          <w:tcPr>
            <w:tcW w:w="10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3.1 to our</w:t>
            </w:r>
          </w:p>
        </w:tc>
      </w:tr>
      <w:tr>
        <w:trPr>
          <w:trHeight w:val="234"/>
        </w:trPr>
        <w:tc>
          <w:tcPr>
            <w:tcW w:w="880" w:type="dxa"/>
            <w:vAlign w:val="bottom"/>
          </w:tcPr>
          <w:p>
            <w:pPr>
              <w:spacing w:after="0"/>
              <w:rPr>
                <w:sz w:val="20"/>
                <w:szCs w:val="20"/>
                <w:color w:val="auto"/>
              </w:rPr>
            </w:pPr>
          </w:p>
        </w:tc>
        <w:tc>
          <w:tcPr>
            <w:tcW w:w="10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2021, is incorporated herein by reference.</w:t>
            </w:r>
          </w:p>
        </w:tc>
      </w:tr>
      <w:tr>
        <w:trPr>
          <w:trHeight w:val="184"/>
        </w:trPr>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w:t>
            </w:r>
          </w:p>
        </w:tc>
        <w:tc>
          <w:tcPr>
            <w:tcW w:w="1036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3.1 to our</w:t>
            </w:r>
          </w:p>
        </w:tc>
      </w:tr>
      <w:tr>
        <w:trPr>
          <w:trHeight w:val="234"/>
        </w:trPr>
        <w:tc>
          <w:tcPr>
            <w:tcW w:w="880" w:type="dxa"/>
            <w:vAlign w:val="bottom"/>
          </w:tcPr>
          <w:p>
            <w:pPr>
              <w:spacing w:after="0"/>
              <w:rPr>
                <w:sz w:val="20"/>
                <w:szCs w:val="20"/>
                <w:color w:val="auto"/>
              </w:rPr>
            </w:pPr>
          </w:p>
        </w:tc>
        <w:tc>
          <w:tcPr>
            <w:tcW w:w="10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 Report on Form 8-K filed on March 24, 2023, is incorporated herein by reference.</w:t>
            </w:r>
          </w:p>
        </w:tc>
      </w:tr>
      <w:tr>
        <w:trPr>
          <w:trHeight w:val="859"/>
        </w:trPr>
        <w:tc>
          <w:tcPr>
            <w:tcW w:w="880" w:type="dxa"/>
            <w:vAlign w:val="bottom"/>
          </w:tcPr>
          <w:p>
            <w:pPr>
              <w:spacing w:after="0"/>
              <w:rPr>
                <w:sz w:val="24"/>
                <w:szCs w:val="24"/>
                <w:color w:val="auto"/>
              </w:rPr>
            </w:pPr>
          </w:p>
        </w:tc>
        <w:tc>
          <w:tcPr>
            <w:tcW w:w="1036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49</w:t>
            </w:r>
          </w:p>
        </w:tc>
      </w:tr>
      <w:tr>
        <w:trPr>
          <w:trHeight w:val="115"/>
        </w:trPr>
        <w:tc>
          <w:tcPr>
            <w:tcW w:w="880" w:type="dxa"/>
            <w:vAlign w:val="bottom"/>
            <w:tcBorders>
              <w:bottom w:val="single" w:sz="8" w:color="9A9A9A"/>
            </w:tcBorders>
          </w:tcPr>
          <w:p>
            <w:pPr>
              <w:spacing w:after="0"/>
              <w:rPr>
                <w:sz w:val="10"/>
                <w:szCs w:val="10"/>
                <w:color w:val="auto"/>
              </w:rPr>
            </w:pPr>
          </w:p>
        </w:tc>
        <w:tc>
          <w:tcPr>
            <w:tcW w:w="10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5</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4.1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December 20, 2005,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6</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under Item 14 to our</w:t>
            </w:r>
          </w:p>
        </w:tc>
      </w:tr>
      <w:tr>
        <w:trPr>
          <w:trHeight w:val="184"/>
        </w:trPr>
        <w:tc>
          <w:tcPr>
            <w:tcW w:w="920" w:type="dxa"/>
            <w:vAlign w:val="bottom"/>
          </w:tcPr>
          <w:p>
            <w:pPr>
              <w:spacing w:after="0"/>
              <w:rPr>
                <w:sz w:val="16"/>
                <w:szCs w:val="16"/>
                <w:color w:val="auto"/>
              </w:rPr>
            </w:pP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Annual Report on Form 10-K for the year ended December 31, 1994, is incorporated herein by reference. This Exhibit was not filed</w:t>
            </w:r>
          </w:p>
        </w:tc>
      </w:tr>
      <w:tr>
        <w:trPr>
          <w:trHeight w:val="229"/>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with the Securities and Exchange Commission in an electronic format.</w:t>
            </w:r>
          </w:p>
        </w:tc>
      </w:tr>
      <w:tr>
        <w:trPr>
          <w:trHeight w:val="180"/>
        </w:trPr>
        <w:tc>
          <w:tcPr>
            <w:tcW w:w="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FN 7</w:t>
            </w:r>
          </w:p>
        </w:tc>
        <w:tc>
          <w:tcPr>
            <w:tcW w:w="1032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under Item 14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1997,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9</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10.10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10</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10.16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2001,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11</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4.1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May 7, 2004,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12</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4.2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May 7, 2004,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13</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Exhibits 10.21-10.23</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our Annual Report on Form 10-K for the year ended December 31, 2004,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14</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10.24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May 24, 2006,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15</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10.28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June 23, 2008,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16</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10.25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2009,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17</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10.26 to our</w:t>
            </w:r>
          </w:p>
        </w:tc>
      </w:tr>
      <w:tr>
        <w:trPr>
          <w:trHeight w:val="184"/>
        </w:trPr>
        <w:tc>
          <w:tcPr>
            <w:tcW w:w="920" w:type="dxa"/>
            <w:vAlign w:val="bottom"/>
          </w:tcPr>
          <w:p>
            <w:pPr>
              <w:spacing w:after="0"/>
              <w:rPr>
                <w:sz w:val="16"/>
                <w:szCs w:val="16"/>
                <w:color w:val="auto"/>
              </w:rPr>
            </w:pP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Quarterly Report on Form 10-Q for the period ended March 31, 2013, for the period ended March 31, 2013, is incorporated herein by</w:t>
            </w:r>
          </w:p>
        </w:tc>
      </w:tr>
      <w:tr>
        <w:trPr>
          <w:trHeight w:val="229"/>
        </w:trPr>
        <w:tc>
          <w:tcPr>
            <w:tcW w:w="920" w:type="dxa"/>
            <w:vAlign w:val="bottom"/>
          </w:tcPr>
          <w:p>
            <w:pPr>
              <w:spacing w:after="0"/>
              <w:rPr>
                <w:sz w:val="19"/>
                <w:szCs w:val="19"/>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reference.</w:t>
            </w:r>
          </w:p>
        </w:tc>
      </w:tr>
      <w:tr>
        <w:trPr>
          <w:trHeight w:val="180"/>
        </w:trPr>
        <w:tc>
          <w:tcPr>
            <w:tcW w:w="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FN 18</w:t>
            </w:r>
          </w:p>
        </w:tc>
        <w:tc>
          <w:tcPr>
            <w:tcW w:w="1032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10.27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June 4, 2013,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19</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August 8, 2013,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20</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10.29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Annual Report on Form 10-K/A for the year ended December 31, 2013,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21</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10.30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July 16, 2014,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22</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Exhibits 10.31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October 17, 2014,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23</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10.34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24</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10.35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2015,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25</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10.32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October 17, 2014, is incorporated herein by reference.</w:t>
            </w:r>
          </w:p>
        </w:tc>
      </w:tr>
      <w:tr>
        <w:trPr>
          <w:trHeight w:val="873"/>
        </w:trPr>
        <w:tc>
          <w:tcPr>
            <w:tcW w:w="920" w:type="dxa"/>
            <w:vAlign w:val="bottom"/>
          </w:tcPr>
          <w:p>
            <w:pPr>
              <w:spacing w:after="0"/>
              <w:rPr>
                <w:sz w:val="24"/>
                <w:szCs w:val="24"/>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50</w:t>
            </w:r>
          </w:p>
        </w:tc>
      </w:tr>
      <w:tr>
        <w:trPr>
          <w:trHeight w:val="115"/>
        </w:trPr>
        <w:tc>
          <w:tcPr>
            <w:tcW w:w="920" w:type="dxa"/>
            <w:vAlign w:val="bottom"/>
            <w:tcBorders>
              <w:bottom w:val="single" w:sz="8" w:color="9A9A9A"/>
            </w:tcBorders>
          </w:tcPr>
          <w:p>
            <w:pPr>
              <w:spacing w:after="0"/>
              <w:rPr>
                <w:sz w:val="10"/>
                <w:szCs w:val="10"/>
                <w:color w:val="auto"/>
              </w:rPr>
            </w:pPr>
          </w:p>
        </w:tc>
        <w:tc>
          <w:tcPr>
            <w:tcW w:w="10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26</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10.37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27</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10.38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28</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10.39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29</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10.40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30</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31</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10.42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2018,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32</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10.43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33</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10.44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2018,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34</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10.45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2019,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35</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10.46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2019,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36</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10.33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October 17, 2014,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37</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333-231032) as Exhibit 4.6 to</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our Registration Statement on Form S-3 filed on April 25, 2019,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38</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10.47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2019, is incorporated herein by reference.</w:t>
            </w:r>
          </w:p>
        </w:tc>
      </w:tr>
      <w:tr>
        <w:trPr>
          <w:trHeight w:val="184"/>
        </w:trPr>
        <w:tc>
          <w:tcPr>
            <w:tcW w:w="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39</w:t>
            </w:r>
          </w:p>
        </w:tc>
        <w:tc>
          <w:tcPr>
            <w:tcW w:w="1032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10.48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March 31, 2021, is incorporated herein by reference.</w:t>
            </w:r>
          </w:p>
        </w:tc>
      </w:tr>
      <w:tr>
        <w:trPr>
          <w:trHeight w:val="20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40</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10.49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2021, is incorporated herein by reference.</w:t>
            </w: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41</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10.50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2021, is incorporated herein by reference.</w:t>
            </w: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42</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10.51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March 31, 2022, is incorporated herein by reference.</w:t>
            </w: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43</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10.52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2022, is incorporated herein by reference.</w:t>
            </w:r>
          </w:p>
        </w:tc>
      </w:tr>
      <w:tr>
        <w:trPr>
          <w:trHeight w:val="22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44</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10.53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2023, is incorporated herein by reference.</w:t>
            </w:r>
          </w:p>
        </w:tc>
      </w:tr>
      <w:tr>
        <w:trPr>
          <w:trHeight w:val="203"/>
        </w:trPr>
        <w:tc>
          <w:tcPr>
            <w:tcW w:w="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FN 45</w:t>
            </w:r>
          </w:p>
        </w:tc>
        <w:tc>
          <w:tcPr>
            <w:tcW w:w="1032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10.01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on November 20, 2023, is incorporated herein by reference.</w:t>
            </w:r>
          </w:p>
        </w:tc>
      </w:tr>
      <w:tr>
        <w:trPr>
          <w:trHeight w:val="873"/>
        </w:trPr>
        <w:tc>
          <w:tcPr>
            <w:tcW w:w="920" w:type="dxa"/>
            <w:vAlign w:val="bottom"/>
          </w:tcPr>
          <w:p>
            <w:pPr>
              <w:spacing w:after="0"/>
              <w:rPr>
                <w:sz w:val="24"/>
                <w:szCs w:val="24"/>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51</w:t>
            </w:r>
          </w:p>
        </w:tc>
      </w:tr>
      <w:tr>
        <w:trPr>
          <w:trHeight w:val="115"/>
        </w:trPr>
        <w:tc>
          <w:tcPr>
            <w:tcW w:w="920" w:type="dxa"/>
            <w:vAlign w:val="bottom"/>
            <w:tcBorders>
              <w:bottom w:val="single" w:sz="8" w:color="9A9A9A"/>
            </w:tcBorders>
          </w:tcPr>
          <w:p>
            <w:pPr>
              <w:spacing w:after="0"/>
              <w:rPr>
                <w:sz w:val="10"/>
                <w:szCs w:val="10"/>
                <w:color w:val="auto"/>
              </w:rPr>
            </w:pPr>
          </w:p>
        </w:tc>
        <w:tc>
          <w:tcPr>
            <w:tcW w:w="10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46</w:t>
            </w: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10.01 to our</w:t>
            </w:r>
          </w:p>
        </w:tc>
      </w:tr>
      <w:tr>
        <w:trPr>
          <w:trHeight w:val="234"/>
        </w:trPr>
        <w:tc>
          <w:tcPr>
            <w:tcW w:w="92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on March 26, 2024, is incorporated herein by reference.</w:t>
            </w:r>
          </w:p>
        </w:tc>
      </w:tr>
      <w:tr>
        <w:trPr>
          <w:trHeight w:val="873"/>
        </w:trPr>
        <w:tc>
          <w:tcPr>
            <w:tcW w:w="920" w:type="dxa"/>
            <w:vAlign w:val="bottom"/>
          </w:tcPr>
          <w:p>
            <w:pPr>
              <w:spacing w:after="0"/>
              <w:rPr>
                <w:sz w:val="24"/>
                <w:szCs w:val="24"/>
                <w:color w:val="auto"/>
              </w:rPr>
            </w:pPr>
          </w:p>
        </w:tc>
        <w:tc>
          <w:tcPr>
            <w:tcW w:w="103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52</w:t>
            </w:r>
          </w:p>
        </w:tc>
      </w:tr>
      <w:tr>
        <w:trPr>
          <w:trHeight w:val="115"/>
        </w:trPr>
        <w:tc>
          <w:tcPr>
            <w:tcW w:w="920" w:type="dxa"/>
            <w:vAlign w:val="bottom"/>
            <w:tcBorders>
              <w:bottom w:val="single" w:sz="8" w:color="9A9A9A"/>
            </w:tcBorders>
          </w:tcPr>
          <w:p>
            <w:pPr>
              <w:spacing w:after="0"/>
              <w:rPr>
                <w:sz w:val="10"/>
                <w:szCs w:val="10"/>
                <w:color w:val="auto"/>
              </w:rPr>
            </w:pPr>
          </w:p>
        </w:tc>
        <w:tc>
          <w:tcPr>
            <w:tcW w:w="10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TEJON RANCH CO.</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5750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4">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5750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5">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A. Brown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5750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6">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Velasquez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Finance and Chief Accounting Officer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4880" w:space="720"/>
            <w:col w:w="5600"/>
          </w:cols>
          <w:pgMar w:left="320" w:top="887" w:right="37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00"/>
          </w:cols>
          <w:pgMar w:left="320" w:top="887" w:right="379" w:bottom="1440" w:gutter="0" w:footer="0" w:header="0"/>
          <w:type w:val="continuous"/>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Tejon Ranch Co.;</w:t>
      </w:r>
    </w:p>
    <w:p>
      <w:pPr>
        <w:spacing w:after="0" w:line="171"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5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2024</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S. Bielli</w:t>
            </w:r>
          </w:p>
        </w:tc>
      </w:tr>
      <w:tr>
        <w:trPr>
          <w:trHeight w:val="218"/>
        </w:trPr>
        <w:tc>
          <w:tcPr>
            <w:tcW w:w="5920" w:type="dxa"/>
            <w:vAlign w:val="bottom"/>
          </w:tcPr>
          <w:p>
            <w:pPr>
              <w:spacing w:after="0"/>
              <w:rPr>
                <w:sz w:val="18"/>
                <w:szCs w:val="18"/>
                <w:color w:val="auto"/>
              </w:rPr>
            </w:pPr>
          </w:p>
        </w:tc>
        <w:tc>
          <w:tcPr>
            <w:tcW w:w="5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Gregory S. Bielli</w:t>
            </w:r>
          </w:p>
        </w:tc>
      </w:tr>
      <w:tr>
        <w:trPr>
          <w:trHeight w:val="234"/>
        </w:trPr>
        <w:tc>
          <w:tcPr>
            <w:tcW w:w="5920" w:type="dxa"/>
            <w:vAlign w:val="bottom"/>
          </w:tcPr>
          <w:p>
            <w:pPr>
              <w:spacing w:after="0"/>
              <w:rPr>
                <w:sz w:val="20"/>
                <w:szCs w:val="20"/>
                <w:color w:val="auto"/>
              </w:rPr>
            </w:pPr>
          </w:p>
        </w:tc>
        <w:tc>
          <w:tcPr>
            <w:tcW w:w="5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20"/>
          </w:cols>
          <w:pgMar w:left="320" w:top="887" w:right="35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Brown,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Tejon Ranch Co.;</w:t>
      </w:r>
    </w:p>
    <w:p>
      <w:pPr>
        <w:spacing w:after="0" w:line="171"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42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5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2024</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Brown</w:t>
            </w:r>
          </w:p>
        </w:tc>
      </w:tr>
      <w:tr>
        <w:trPr>
          <w:trHeight w:val="218"/>
        </w:trPr>
        <w:tc>
          <w:tcPr>
            <w:tcW w:w="4240" w:type="dxa"/>
            <w:vAlign w:val="bottom"/>
          </w:tcPr>
          <w:p>
            <w:pPr>
              <w:spacing w:after="0"/>
              <w:rPr>
                <w:sz w:val="18"/>
                <w:szCs w:val="18"/>
                <w:color w:val="auto"/>
              </w:rPr>
            </w:pPr>
          </w:p>
        </w:tc>
        <w:tc>
          <w:tcPr>
            <w:tcW w:w="6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Brett A. Brown</w:t>
            </w:r>
          </w:p>
        </w:tc>
      </w:tr>
      <w:tr>
        <w:trPr>
          <w:trHeight w:val="234"/>
        </w:trPr>
        <w:tc>
          <w:tcPr>
            <w:tcW w:w="4240" w:type="dxa"/>
            <w:vAlign w:val="bottom"/>
          </w:tcPr>
          <w:p>
            <w:pPr>
              <w:spacing w:after="0"/>
              <w:rPr>
                <w:sz w:val="20"/>
                <w:szCs w:val="20"/>
                <w:color w:val="auto"/>
              </w:rPr>
            </w:pPr>
          </w:p>
        </w:tc>
        <w:tc>
          <w:tcPr>
            <w:tcW w:w="69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20"/>
          </w:cols>
          <w:pgMar w:left="320" w:top="887" w:right="359" w:bottom="1440" w:gutter="0" w:footer="0" w:header="0"/>
        </w:sectPr>
      </w:pPr>
    </w:p>
    <w:bookmarkStart w:id="55" w:name="page56"/>
    <w:bookmarkEnd w:id="55"/>
    <w:p>
      <w:pPr>
        <w:ind w:left="512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89" w:lineRule="exact"/>
        <w:rPr>
          <w:sz w:val="20"/>
          <w:szCs w:val="20"/>
          <w:color w:val="auto"/>
        </w:rPr>
      </w:pPr>
    </w:p>
    <w:p>
      <w:pPr>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June 30, 2024 fully complies with the requirements of Section 13(a) of the Securities Exchange Act of 1934; and</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 of the Company.</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70" w:lineRule="exact"/>
        <w:rPr>
          <w:sz w:val="20"/>
          <w:szCs w:val="20"/>
          <w:color w:val="auto"/>
        </w:rPr>
      </w:pPr>
    </w:p>
    <w:p>
      <w:pPr>
        <w:ind w:left="20"/>
        <w:spacing w:after="0"/>
        <w:tabs>
          <w:tab w:leader="none" w:pos="3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6,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7">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8">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Brett A. Brown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9">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D. Velasquez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sectPr>
      <w:pgSz w:w="11900" w:h="16838" w:orient="portrait"/>
      <w:cols w:equalWidth="0" w:num="1">
        <w:col w:w="11120"/>
      </w:cols>
      <w:pgMar w:left="320" w:top="8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3"/>
    </w:lvl>
  </w:abstractNum>
  <w:abstractNum w:abstractNumId="3">
    <w:nsid w:val="257130A3"/>
    <w:multiLevelType w:val="hybridMultilevel"/>
    <w:lvl w:ilvl="0">
      <w:lvlJc w:val="left"/>
      <w:lvlText w:val="%1."/>
      <w:numFmt w:val="decimal"/>
      <w:start w:val="4"/>
    </w:lvl>
  </w:abstractNum>
  <w:abstractNum w:abstractNumId="4">
    <w:nsid w:val="62BBD95A"/>
    <w:multiLevelType w:val="hybridMultilevel"/>
    <w:lvl w:ilvl="0">
      <w:lvlJc w:val="left"/>
      <w:lvlText w:val="%1."/>
      <w:numFmt w:val="decimal"/>
      <w:start w:val="5"/>
    </w:lvl>
  </w:abstractNum>
  <w:abstractNum w:abstractNumId="5">
    <w:nsid w:val="436C6125"/>
    <w:multiLevelType w:val="hybridMultilevel"/>
    <w:lvl w:ilvl="0">
      <w:lvlJc w:val="left"/>
      <w:lvlText w:val="%1."/>
      <w:numFmt w:val="decimal"/>
      <w:start w:val="7"/>
    </w:lvl>
  </w:abstractNum>
  <w:abstractNum w:abstractNumId="6">
    <w:nsid w:val="628C895D"/>
    <w:multiLevelType w:val="hybridMultilevel"/>
    <w:lvl w:ilvl="0">
      <w:lvlJc w:val="left"/>
      <w:lvlText w:val="%1."/>
      <w:numFmt w:val="decimal"/>
      <w:start w:val="8"/>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1."/>
      <w:numFmt w:val="decimal"/>
      <w:start w:val="10"/>
    </w:lvl>
  </w:abstractNum>
  <w:abstractNum w:abstractNumId="9">
    <w:nsid w:val="2443A858"/>
    <w:multiLevelType w:val="hybridMultilevel"/>
    <w:lvl w:ilvl="0">
      <w:lvlJc w:val="left"/>
      <w:lvlText w:val="%1."/>
      <w:numFmt w:val="decimal"/>
      <w:start w:val="11"/>
    </w:lvl>
  </w:abstractNum>
  <w:abstractNum w:abstractNumId="10">
    <w:nsid w:val="2D1D5AE9"/>
    <w:multiLevelType w:val="hybridMultilevel"/>
    <w:lvl w:ilvl="0">
      <w:lvlJc w:val="left"/>
      <w:lvlText w:val="•"/>
      <w:numFmt w:val="bullet"/>
      <w:start w:val="1"/>
    </w:lvl>
    <w:lvl w:ilvl="1">
      <w:lvlJc w:val="left"/>
      <w:lvlText w:val="•"/>
      <w:numFmt w:val="bullet"/>
      <w:start w:val="1"/>
    </w:lvl>
  </w:abstractNum>
  <w:abstractNum w:abstractNumId="11">
    <w:nsid w:val="6763845E"/>
    <w:multiLevelType w:val="hybridMultilevel"/>
    <w:lvl w:ilvl="0">
      <w:lvlJc w:val="left"/>
      <w:lvlText w:val="•"/>
      <w:numFmt w:val="bullet"/>
      <w:start w:val="1"/>
    </w:lvl>
    <w:lvl w:ilvl="1">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4"/>
    </w:lvl>
    <w:lvl w:ilvl="1">
      <w:lvlJc w:val="left"/>
      <w:lvlText w:val="***"/>
      <w:numFmt w:val="bullet"/>
      <w:start w:val="1"/>
    </w:lvl>
  </w:abstractNum>
  <w:abstractNum w:abstractNumId="15">
    <w:nsid w:val="4353D0CD"/>
    <w:multiLevelType w:val="hybridMultilevel"/>
    <w:lvl w:ilvl="0">
      <w:lvlJc w:val="left"/>
      <w:lvlText w:val="•"/>
      <w:numFmt w:val="bullet"/>
      <w:start w:val="1"/>
    </w:lvl>
    <w:lvl w:ilvl="1">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lvl w:ilvl="1">
      <w:lvlJc w:val="left"/>
      <w:lvlText w:val="1"/>
      <w:numFmt w:val="bullet"/>
      <w:start w:val="1"/>
    </w:lvl>
  </w:abstractNum>
  <w:abstractNum w:abstractNumId="26">
    <w:nsid w:val="7C3DBD3D"/>
    <w:multiLevelType w:val="hybridMultilevel"/>
    <w:lvl w:ilvl="0">
      <w:lvlJc w:val="left"/>
      <w:lvlText w:val="•"/>
      <w:numFmt w:val="bullet"/>
      <w:start w:val="1"/>
    </w:lvl>
    <w:lvl w:ilvl="1">
      <w:lvlJc w:val="left"/>
      <w:lvlText w:val="1"/>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decimal"/>
      <w:start w:val="104"/>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113" Type="http://schemas.openxmlformats.org/officeDocument/2006/relationships/image" Target="media/image61.png"/><Relationship Id="rId114" Type="http://schemas.openxmlformats.org/officeDocument/2006/relationships/image" Target="media/image62.png"/><Relationship Id="rId115" Type="http://schemas.openxmlformats.org/officeDocument/2006/relationships/image" Target="media/image63.png"/><Relationship Id="rId116" Type="http://schemas.openxmlformats.org/officeDocument/2006/relationships/image" Target="media/image64.png"/><Relationship Id="rId117" Type="http://schemas.openxmlformats.org/officeDocument/2006/relationships/image" Target="media/image65.png"/><Relationship Id="rId118" Type="http://schemas.openxmlformats.org/officeDocument/2006/relationships/image" Target="media/image66.png"/><Relationship Id="rId119" Type="http://schemas.openxmlformats.org/officeDocument/2006/relationships/image" Target="media/image67.png"/><Relationship Id="rId120" Type="http://schemas.openxmlformats.org/officeDocument/2006/relationships/image" Target="media/image68.png"/><Relationship Id="rId121" Type="http://schemas.openxmlformats.org/officeDocument/2006/relationships/image" Target="media/image69.png"/><Relationship Id="rId122" Type="http://schemas.openxmlformats.org/officeDocument/2006/relationships/image" Target="media/image70.png"/><Relationship Id="rId123" Type="http://schemas.openxmlformats.org/officeDocument/2006/relationships/image" Target="media/image71.png"/><Relationship Id="rId124" Type="http://schemas.openxmlformats.org/officeDocument/2006/relationships/image" Target="media/image72.png"/><Relationship Id="rId125" Type="http://schemas.openxmlformats.org/officeDocument/2006/relationships/image" Target="media/image73.png"/><Relationship Id="rId126" Type="http://schemas.openxmlformats.org/officeDocument/2006/relationships/image" Target="media/image74.png"/><Relationship Id="rId127" Type="http://schemas.openxmlformats.org/officeDocument/2006/relationships/image" Target="media/image75.png"/><Relationship Id="rId128" Type="http://schemas.openxmlformats.org/officeDocument/2006/relationships/image" Target="media/image76.png"/><Relationship Id="rId129" Type="http://schemas.openxmlformats.org/officeDocument/2006/relationships/image" Target="media/image77.png"/><Relationship Id="rId66" Type="http://schemas.openxmlformats.org/officeDocument/2006/relationships/hyperlink" Target="https://www.sec.gov/Archives/edgar/data/96869/000009686921000016/ex31restatedcertificateo.htm" TargetMode="External"/><Relationship Id="rId67" Type="http://schemas.openxmlformats.org/officeDocument/2006/relationships/hyperlink" Target="https://www.sec.gov/Archives/edgar/data/96869/000119312523079260/d487105dex31.htm" TargetMode="External"/><Relationship Id="rId68" Type="http://schemas.openxmlformats.org/officeDocument/2006/relationships/hyperlink" Target="https://www.sec.gov/Archives/edgar/data/96869/000119312505245123/dex41.htm" TargetMode="External"/><Relationship Id="rId69" Type="http://schemas.openxmlformats.org/officeDocument/2006/relationships/hyperlink" Target="https://www.sec.gov/Archives/edgar/data/96869/000119312519119877/d718363dex46.htm" TargetMode="External"/><Relationship Id="rId70" Type="http://schemas.openxmlformats.org/officeDocument/2006/relationships/hyperlink" Target="https://www.sec.gov/Archives/edgar/data/96869/0000096869-98-000002.txt" TargetMode="External"/><Relationship Id="rId71" Type="http://schemas.openxmlformats.org/officeDocument/2006/relationships/hyperlink" Target="https://www.sec.gov/Archives/edgar/data/96869/000119312509042772/dex109.htm" TargetMode="External"/><Relationship Id="rId72" Type="http://schemas.openxmlformats.org/officeDocument/2006/relationships/hyperlink" Target="https://www.sec.gov/Archives/edgar/data/96869/000119312509042772/dex1010.htm" TargetMode="External"/><Relationship Id="rId73" Type="http://schemas.openxmlformats.org/officeDocument/2006/relationships/hyperlink" Target="https://www.sec.gov/Archives/edgar/data/96869/000102140802004535/dex1016.txt" TargetMode="External"/><Relationship Id="rId74" Type="http://schemas.openxmlformats.org/officeDocument/2006/relationships/hyperlink" Target="https://www.sec.gov/Archives/edgar/data/96869/000119312504082310/dex41.htm" TargetMode="External"/><Relationship Id="rId75" Type="http://schemas.openxmlformats.org/officeDocument/2006/relationships/hyperlink" Target="https://www.sec.gov/Archives/edgar/data/96869/000119312504082310/dex42.htm" TargetMode="External"/><Relationship Id="rId76" Type="http://schemas.openxmlformats.org/officeDocument/2006/relationships/hyperlink" Target="https://www.sec.gov/Archives/edgar/data/96869/000119312505051499/dex1021.htm" TargetMode="External"/><Relationship Id="rId77" Type="http://schemas.openxmlformats.org/officeDocument/2006/relationships/hyperlink" Target="https://www.sec.gov/Archives/edgar/data/96869/000119312505051499/dex1023.htm" TargetMode="External"/><Relationship Id="rId78" Type="http://schemas.openxmlformats.org/officeDocument/2006/relationships/hyperlink" Target="https://www.sec.gov/Archives/edgar/data/96869/000119312505051499/dex1022.htm" TargetMode="External"/><Relationship Id="rId79" Type="http://schemas.openxmlformats.org/officeDocument/2006/relationships/hyperlink" Target="https://www.sec.gov/Archives/edgar/data/96869/000119312506118520/dex1024.htm" TargetMode="External"/><Relationship Id="rId80" Type="http://schemas.openxmlformats.org/officeDocument/2006/relationships/hyperlink" Target="https://www.sec.gov/Archives/edgar/data/96869/000119312508138009/dex1028.htm" TargetMode="External"/><Relationship Id="rId81" Type="http://schemas.openxmlformats.org/officeDocument/2006/relationships/hyperlink" Target="https://www.sec.gov/Archives/edgar/data/96869/000119312509170594/dex1025.htm" TargetMode="External"/><Relationship Id="rId82" Type="http://schemas.openxmlformats.org/officeDocument/2006/relationships/hyperlink" Target="https://www.sec.gov/Archives/edgar/data/96869/000144530513001209/exhibit1026-execagreementa.htm" TargetMode="External"/><Relationship Id="rId83" Type="http://schemas.openxmlformats.org/officeDocument/2006/relationships/hyperlink" Target="https://www.sec.gov/Archives/edgar/data/96869/000119312513246605/d549609dex1027.htm" TargetMode="External"/><Relationship Id="rId84" Type="http://schemas.openxmlformats.org/officeDocument/2006/relationships/hyperlink" Target="https://www.sec.gov/Archives/edgar/data/96869/000119312513326495/d581835dex101.htm" TargetMode="External"/><Relationship Id="rId85" Type="http://schemas.openxmlformats.org/officeDocument/2006/relationships/hyperlink" Target="https://www.sec.gov/Archives/edgar/data/96869/000009686914000009/exhibit1029tmvamendments20.htm" TargetMode="External"/><Relationship Id="rId88" Type="http://schemas.openxmlformats.org/officeDocument/2006/relationships/hyperlink" Target="https://www.sec.gov/Archives/edgar/data/96869/000119312514270067/d758856dex1030.htm" TargetMode="External"/><Relationship Id="rId89" Type="http://schemas.openxmlformats.org/officeDocument/2006/relationships/hyperlink" Target="https://www.sec.gov/Archives/edgar/data/96869/000119312514375013/d806135dex1031.htm" TargetMode="External"/><Relationship Id="rId90" Type="http://schemas.openxmlformats.org/officeDocument/2006/relationships/hyperlink" Target="https://www.sec.gov/Archives/edgar/data/96869/000119312514375013/d806135dex1032.htm" TargetMode="External"/><Relationship Id="rId91" Type="http://schemas.openxmlformats.org/officeDocument/2006/relationships/hyperlink" Target="https://www.sec.gov/Archives/edgar/data/96869/000119312514375013/d806135dex1033.htm" TargetMode="External"/><Relationship Id="rId92" Type="http://schemas.openxmlformats.org/officeDocument/2006/relationships/hyperlink" Target="https://www.sec.gov/Archives/edgar/data/96869/000009686915000003/exhibit1034calpineagreemen.htm" TargetMode="External"/><Relationship Id="rId93" Type="http://schemas.openxmlformats.org/officeDocument/2006/relationships/hyperlink" Target="https://www.sec.gov/Archives/edgar/data/96869/000009686915000010/ex1035q32015.htm" TargetMode="External"/><Relationship Id="rId94" Type="http://schemas.openxmlformats.org/officeDocument/2006/relationships/hyperlink" Target="https://www.sec.gov/Archives/edgar/data/96869/000009686916000017/ex1037limitedliabilityagre.htm" TargetMode="External"/><Relationship Id="rId95" Type="http://schemas.openxmlformats.org/officeDocument/2006/relationships/hyperlink" Target="https://www.sec.gov/Archives/edgar/data/96869/000009686916000019/ex1038llagreementoftrc-mrc1.htm" TargetMode="External"/><Relationship Id="rId96" Type="http://schemas.openxmlformats.org/officeDocument/2006/relationships/hyperlink" Target="https://www.sec.gov/Archives/edgar/data/96869/000009686917000002/exhibit1039centennialredem.htm" TargetMode="External"/><Relationship Id="rId97" Type="http://schemas.openxmlformats.org/officeDocument/2006/relationships/hyperlink" Target="https://www.sec.gov/Archives/edgar/data/96869/000009686917000002/exhibit1040firstamendmentt.htm" TargetMode="External"/><Relationship Id="rId98" Type="http://schemas.openxmlformats.org/officeDocument/2006/relationships/hyperlink" Target="https://www.sec.gov/Archives/edgar/data/96869/000009686917000002/exhibit1041secondamendment.htm" TargetMode="External"/><Relationship Id="rId99" Type="http://schemas.openxmlformats.org/officeDocument/2006/relationships/hyperlink" Target="https://www.sec.gov/Archives/edgar/data/96869/000009686918000015/ex1042trcmrc3llc.htm" TargetMode="External"/><Relationship Id="rId100" Type="http://schemas.openxmlformats.org/officeDocument/2006/relationships/hyperlink" Target="https://www.sec.gov/Archives/edgar/data/96869/000009686919000004/exhibit1043201810k.htm" TargetMode="External"/><Relationship Id="rId101" Type="http://schemas.openxmlformats.org/officeDocument/2006/relationships/hyperlink" Target="https://www.sec.gov/Archives/edgar/data/96869/000009686919000004/exhibit1044201810k.htm" TargetMode="External"/><Relationship Id="rId102" Type="http://schemas.openxmlformats.org/officeDocument/2006/relationships/hyperlink" Target="https://www.sec.gov/Archives/edgar/data/96869/000009686919000014/ex1046aloc.htm" TargetMode="External"/><Relationship Id="rId103" Type="http://schemas.openxmlformats.org/officeDocument/2006/relationships/hyperlink" Target="https://www.sec.gov/Archives/edgar/data/96869/000009686919000014/ex1045atn.htm" TargetMode="External"/><Relationship Id="rId104" Type="http://schemas.openxmlformats.org/officeDocument/2006/relationships/hyperlink" Target="https://www.sec.gov/Archives/edgar/data/96869/000009686920000007/exhibit1047-gregbseverance.htm" TargetMode="External"/><Relationship Id="rId105" Type="http://schemas.openxmlformats.org/officeDocument/2006/relationships/hyperlink" Target="https://www.sec.gov/Archives/edgar/data/0000096869/000009686921000011/ex1048mrc4llc.htm" TargetMode="External"/><Relationship Id="rId106" Type="http://schemas.openxmlformats.org/officeDocument/2006/relationships/hyperlink" Target="https://www.sec.gov/Archives/edgar/data/96869/000009686922000005/exhibit1048centennialcrf.htm" TargetMode="External"/><Relationship Id="rId107" Type="http://schemas.openxmlformats.org/officeDocument/2006/relationships/hyperlink" Target="https://www.sec.gov/Archives/edgar/data/96869/000009686922000005/exhibit1050trc-mrcmultii.htm" TargetMode="External"/><Relationship Id="rId108" Type="http://schemas.openxmlformats.org/officeDocument/2006/relationships/hyperlink" Target="https://www.sec.gov/Archives/edgar/data/96869/000009686922000009/ex1051mrc5.htm" TargetMode="External"/><Relationship Id="rId109" Type="http://schemas.openxmlformats.org/officeDocument/2006/relationships/hyperlink" Target="https://www.sec.gov/Archives/edgar/data/96869/000009686922000012/ex1052creditagreementbof.htm" TargetMode="External"/><Relationship Id="rId110" Type="http://schemas.openxmlformats.org/officeDocument/2006/relationships/hyperlink" Target="https://www.sec.gov/Archives/edgar/data/96869/000009686923000014/ex1053mhsevag.htm" TargetMode="External"/><Relationship Id="rId111" Type="http://schemas.openxmlformats.org/officeDocument/2006/relationships/hyperlink" Target="https://www.sec.gov/Archives/edgar/data/96869/000119312523280777/d518195dex1001.htm" TargetMode="External"/><Relationship Id="rId112" Type="http://schemas.openxmlformats.org/officeDocument/2006/relationships/hyperlink" Target="https://www.sec.gov/Archives/edgar/data/96869/000119312524076651/d796643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2024-08-06T12:16:04Z</dcterms:created>
  <dcterms:modified xsi:type="dcterms:W3CDTF">2024-08-06T12:16:04Z</dcterms:modified>
</cp:coreProperties>
</file>