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 10-Q</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186" w:lineRule="exact"/>
        <w:rPr>
          <w:sz w:val="24"/>
          <w:szCs w:val="24"/>
          <w:color w:val="auto"/>
        </w:rPr>
      </w:pPr>
    </w:p>
    <w:p>
      <w:pPr>
        <w:jc w:val="center"/>
        <w:ind w:left="4420" w:right="2280" w:hanging="2088"/>
        <w:spacing w:after="0" w:line="264" w:lineRule="auto"/>
        <w:tabs>
          <w:tab w:leader="none" w:pos="2491"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June 30, 2021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78105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TEJON RANCH CO.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77-0196136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(I.R.S. Employer Identification No.)</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P.O. Box 1000, Tejon Ranch, California 93243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(Zip Code)</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(661) 248-3000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Arial" w:cs="Arial" w:eastAsia="Arial" w:hAnsi="Arial"/>
                <w:sz w:val="14"/>
                <w:szCs w:val="14"/>
                <w:b w:val="1"/>
                <w:bCs w:val="1"/>
                <w:color w:val="auto"/>
                <w:w w:val="87"/>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0"/>
              </w:rPr>
              <w:t>Trading symbol(s)</w:t>
            </w:r>
          </w:p>
        </w:tc>
        <w:tc>
          <w:tcPr>
            <w:tcW w:w="3720" w:type="dxa"/>
            <w:vAlign w:val="bottom"/>
          </w:tcPr>
          <w:p>
            <w:pPr>
              <w:jc w:val="center"/>
              <w:ind w:right="82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5"/>
        </w:trPr>
        <w:tc>
          <w:tcPr>
            <w:tcW w:w="3420" w:type="dxa"/>
            <w:vAlign w:val="bottom"/>
            <w:tcBorders>
              <w:top w:val="single" w:sz="8" w:color="auto"/>
            </w:tcBorders>
          </w:tcPr>
          <w:p>
            <w:pPr>
              <w:jc w:val="center"/>
              <w:ind w:left="629"/>
              <w:spacing w:after="0"/>
              <w:rPr>
                <w:sz w:val="20"/>
                <w:szCs w:val="20"/>
                <w:color w:val="auto"/>
              </w:rPr>
            </w:pPr>
            <w:r>
              <w:rPr>
                <w:rFonts w:ascii="Arial" w:cs="Arial" w:eastAsia="Arial" w:hAnsi="Arial"/>
                <w:sz w:val="14"/>
                <w:szCs w:val="14"/>
                <w:b w:val="1"/>
                <w:bCs w:val="1"/>
                <w:color w:val="auto"/>
                <w:w w:val="91"/>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287" w:lineRule="exact"/>
        <w:rPr>
          <w:sz w:val="24"/>
          <w:szCs w:val="24"/>
          <w:color w:val="auto"/>
        </w:rPr>
      </w:pPr>
    </w:p>
    <w:p>
      <w:pPr>
        <w:jc w:val="both"/>
        <w:ind w:left="20" w:right="60"/>
        <w:spacing w:after="0" w:line="15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4" w:lineRule="exact"/>
        <w:rPr>
          <w:sz w:val="24"/>
          <w:szCs w:val="24"/>
          <w:color w:val="auto"/>
        </w:rPr>
      </w:pPr>
    </w:p>
    <w:p>
      <w:pPr>
        <w:ind w:left="20" w:right="120"/>
        <w:spacing w:after="0" w:line="15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6" w:lineRule="exact"/>
        <w:rPr>
          <w:sz w:val="24"/>
          <w:szCs w:val="24"/>
          <w:color w:val="auto"/>
        </w:rPr>
      </w:pPr>
    </w:p>
    <w:p>
      <w:pPr>
        <w:ind w:left="2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3" w:right="359" w:bottom="1440" w:gutter="0" w:footer="0" w:header="0"/>
        </w:sectPr>
      </w:pPr>
    </w:p>
    <w:p>
      <w:pPr>
        <w:spacing w:after="0" w:line="91" w:lineRule="exact"/>
        <w:rPr>
          <w:sz w:val="24"/>
          <w:szCs w:val="24"/>
          <w:color w:val="auto"/>
        </w:rPr>
      </w:pPr>
    </w:p>
    <w:p>
      <w:pPr>
        <w:ind w:left="240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74" w:lineRule="exact"/>
        <w:rPr>
          <w:sz w:val="24"/>
          <w:szCs w:val="24"/>
          <w:color w:val="auto"/>
        </w:rPr>
      </w:pPr>
    </w:p>
    <w:p>
      <w:pPr>
        <w:sectPr>
          <w:pgSz w:w="11900" w:h="16838" w:orient="portrait"/>
          <w:cols w:equalWidth="0" w:num="2">
            <w:col w:w="4800" w:space="720"/>
            <w:col w:w="5720"/>
          </w:cols>
          <w:pgMar w:left="300" w:top="783" w:right="359" w:bottom="1440" w:gutter="0" w:footer="0" w:header="0"/>
          <w:type w:val="continuous"/>
        </w:sectPr>
      </w:pPr>
    </w:p>
    <w:p>
      <w:pPr>
        <w:ind w:left="2460"/>
        <w:spacing w:after="0" w:line="138"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86" w:lineRule="exact"/>
        <w:rPr>
          <w:sz w:val="24"/>
          <w:szCs w:val="24"/>
          <w:color w:val="auto"/>
        </w:rPr>
      </w:pPr>
    </w:p>
    <w:p>
      <w:pPr>
        <w:sectPr>
          <w:pgSz w:w="11900" w:h="16838" w:orient="portrait"/>
          <w:cols w:equalWidth="0" w:num="2">
            <w:col w:w="4260" w:space="720"/>
            <w:col w:w="6260"/>
          </w:cols>
          <w:pgMar w:left="300" w:top="783" w:right="359" w:bottom="1440" w:gutter="0" w:footer="0" w:header="0"/>
          <w:type w:val="continuous"/>
        </w:sectPr>
      </w:pPr>
    </w:p>
    <w:p>
      <w:pPr>
        <w:jc w:val="center"/>
        <w:ind w:right="-239"/>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240"/>
          </w:cols>
          <w:pgMar w:left="300" w:top="783" w:right="359" w:bottom="1440" w:gutter="0" w:footer="0" w:header="0"/>
          <w:type w:val="continuous"/>
        </w:sectPr>
      </w:pPr>
    </w:p>
    <w:p>
      <w:pPr>
        <w:spacing w:after="0" w:line="185" w:lineRule="exact"/>
        <w:rPr>
          <w:sz w:val="24"/>
          <w:szCs w:val="24"/>
          <w:color w:val="auto"/>
        </w:rPr>
      </w:pPr>
    </w:p>
    <w:p>
      <w:pPr>
        <w:ind w:left="20" w:right="180"/>
        <w:spacing w:after="0" w:line="15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the Company’s outstanding shares of Common Stock on July 31, 2021 was 26,352,193.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448945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Page</w:t>
            </w:r>
          </w:p>
        </w:tc>
      </w:tr>
      <w:tr>
        <w:trPr>
          <w:trHeight w:val="160"/>
        </w:trPr>
        <w:tc>
          <w:tcPr>
            <w:tcW w:w="920" w:type="dxa"/>
            <w:vAlign w:val="bottom"/>
          </w:tcPr>
          <w:p>
            <w:pPr>
              <w:ind w:left="20"/>
              <w:spacing w:after="0"/>
              <w:rPr>
                <w:sz w:val="20"/>
                <w:szCs w:val="20"/>
                <w:color w:val="auto"/>
              </w:rPr>
            </w:pPr>
            <w:r>
              <w:rPr>
                <w:rFonts w:ascii="Arial" w:cs="Arial" w:eastAsia="Arial" w:hAnsi="Arial"/>
                <w:sz w:val="14"/>
                <w:szCs w:val="14"/>
                <w:color w:val="auto"/>
              </w:rPr>
              <w:t>PART I.</w:t>
            </w:r>
          </w:p>
        </w:tc>
        <w:tc>
          <w:tcPr>
            <w:tcW w:w="9420" w:type="dxa"/>
            <w:vAlign w:val="bottom"/>
          </w:tcPr>
          <w:p>
            <w:pPr>
              <w:ind w:left="60"/>
              <w:spacing w:after="0"/>
              <w:rPr>
                <w:sz w:val="20"/>
                <w:szCs w:val="20"/>
                <w:color w:val="auto"/>
              </w:rPr>
            </w:pPr>
            <w:r>
              <w:rPr>
                <w:rFonts w:ascii="Arial" w:cs="Arial" w:eastAsia="Arial" w:hAnsi="Arial"/>
                <w:sz w:val="14"/>
                <w:szCs w:val="14"/>
                <w:color w:val="auto"/>
              </w:rPr>
              <w:t>FINANCIAL INFORMATION</w:t>
            </w:r>
          </w:p>
        </w:tc>
        <w:tc>
          <w:tcPr>
            <w:tcW w:w="940" w:type="dxa"/>
            <w:vAlign w:val="bottom"/>
          </w:tcPr>
          <w:p>
            <w:pPr>
              <w:spacing w:after="0"/>
              <w:rPr>
                <w:sz w:val="13"/>
                <w:szCs w:val="13"/>
                <w:color w:val="auto"/>
              </w:rPr>
            </w:pPr>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9420" w:type="dxa"/>
            <w:vAlign w:val="bottom"/>
          </w:tcPr>
          <w:p>
            <w:pPr>
              <w:ind w:left="60"/>
              <w:spacing w:after="0"/>
              <w:rPr>
                <w:sz w:val="20"/>
                <w:szCs w:val="20"/>
                <w:color w:val="auto"/>
              </w:rPr>
            </w:pPr>
            <w:r>
              <w:rPr>
                <w:rFonts w:ascii="Arial" w:cs="Arial" w:eastAsia="Arial" w:hAnsi="Arial"/>
                <w:sz w:val="14"/>
                <w:szCs w:val="14"/>
                <w:color w:val="auto"/>
              </w:rPr>
              <w:t>Financial Statements</w:t>
            </w:r>
          </w:p>
        </w:tc>
        <w:tc>
          <w:tcPr>
            <w:tcW w:w="940" w:type="dxa"/>
            <w:vAlign w:val="bottom"/>
          </w:tcPr>
          <w:p>
            <w:pPr>
              <w:spacing w:after="0"/>
              <w:rPr>
                <w:sz w:val="24"/>
                <w:szCs w:val="24"/>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3">
              <w:r>
                <w:rPr>
                  <w:rFonts w:ascii="Arial" w:cs="Arial" w:eastAsia="Arial" w:hAnsi="Arial"/>
                  <w:sz w:val="14"/>
                  <w:szCs w:val="14"/>
                  <w:color w:val="auto"/>
                </w:rPr>
                <w:t xml:space="preserve">Unaudited Consolidated Statements of Operations for the Three and Six Months Ended June 30,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3">
              <w:r>
                <w:rPr>
                  <w:rFonts w:ascii="Arial" w:cs="Arial" w:eastAsia="Arial" w:hAnsi="Arial"/>
                  <w:sz w:val="14"/>
                  <w:szCs w:val="14"/>
                  <w:color w:val="auto"/>
                  <w:w w:val="76"/>
                </w:rPr>
                <w:t>3</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3">
              <w:r>
                <w:rPr>
                  <w:rFonts w:ascii="Arial" w:cs="Arial" w:eastAsia="Arial" w:hAnsi="Arial"/>
                  <w:sz w:val="14"/>
                  <w:szCs w:val="14"/>
                  <w:color w:val="auto"/>
                </w:rPr>
                <w:t xml:space="preserve">Unaudited Consolidated Statements of Comprehensive Income </w:t>
              </w:r>
            </w:hyperlink>
            <w:r>
              <w:rPr>
                <w:rFonts w:ascii="Arial" w:cs="Arial" w:eastAsia="Arial" w:hAnsi="Arial"/>
                <w:sz w:val="14"/>
                <w:szCs w:val="14"/>
                <w:color w:val="auto"/>
              </w:rPr>
              <w:t>(Loss) for the Three and Six Months Ended June 30, 2021 and 2020</w:t>
            </w:r>
          </w:p>
        </w:tc>
        <w:tc>
          <w:tcPr>
            <w:tcW w:w="940" w:type="dxa"/>
            <w:vAlign w:val="bottom"/>
          </w:tcPr>
          <w:p>
            <w:pPr>
              <w:jc w:val="center"/>
              <w:spacing w:after="0"/>
              <w:rPr>
                <w:rFonts w:ascii="Arial" w:cs="Arial" w:eastAsia="Arial" w:hAnsi="Arial"/>
                <w:sz w:val="14"/>
                <w:szCs w:val="14"/>
                <w:color w:val="auto"/>
                <w:w w:val="76"/>
              </w:rPr>
            </w:pPr>
            <w:hyperlink w:anchor="page3">
              <w:r>
                <w:rPr>
                  <w:rFonts w:ascii="Arial" w:cs="Arial" w:eastAsia="Arial" w:hAnsi="Arial"/>
                  <w:sz w:val="14"/>
                  <w:szCs w:val="14"/>
                  <w:color w:val="auto"/>
                  <w:w w:val="76"/>
                </w:rPr>
                <w:t>4</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4">
              <w:r>
                <w:rPr>
                  <w:rFonts w:ascii="Arial" w:cs="Arial" w:eastAsia="Arial" w:hAnsi="Arial"/>
                  <w:sz w:val="14"/>
                  <w:szCs w:val="14"/>
                  <w:color w:val="auto"/>
                </w:rPr>
                <w:t xml:space="preserve">Consolidated Balance Sheets as of June 30, 2021 (unaudited) and December 31,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4">
              <w:r>
                <w:rPr>
                  <w:rFonts w:ascii="Arial" w:cs="Arial" w:eastAsia="Arial" w:hAnsi="Arial"/>
                  <w:sz w:val="14"/>
                  <w:szCs w:val="14"/>
                  <w:color w:val="auto"/>
                  <w:w w:val="76"/>
                </w:rPr>
                <w:t>5</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5">
              <w:r>
                <w:rPr>
                  <w:rFonts w:ascii="Arial" w:cs="Arial" w:eastAsia="Arial" w:hAnsi="Arial"/>
                  <w:sz w:val="14"/>
                  <w:szCs w:val="14"/>
                  <w:color w:val="auto"/>
                </w:rPr>
                <w:t xml:space="preserve">Unaudited Consolidated Statements of Cash Flows for the Six Months Ended June 30,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5">
              <w:r>
                <w:rPr>
                  <w:rFonts w:ascii="Arial" w:cs="Arial" w:eastAsia="Arial" w:hAnsi="Arial"/>
                  <w:sz w:val="14"/>
                  <w:szCs w:val="14"/>
                  <w:color w:val="auto"/>
                  <w:w w:val="76"/>
                </w:rPr>
                <w:t>6</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5">
              <w:r>
                <w:rPr>
                  <w:rFonts w:ascii="Arial" w:cs="Arial" w:eastAsia="Arial" w:hAnsi="Arial"/>
                  <w:sz w:val="14"/>
                  <w:szCs w:val="14"/>
                  <w:color w:val="auto"/>
                </w:rPr>
                <w:t xml:space="preserve">Unaudited Consolidated Statement of Changes in Equity and Noncontrolling Interests for the Three and Six Months Ended June 30,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7">
              <w:r>
                <w:rPr>
                  <w:rFonts w:ascii="Arial" w:cs="Arial" w:eastAsia="Arial" w:hAnsi="Arial"/>
                  <w:sz w:val="14"/>
                  <w:szCs w:val="14"/>
                  <w:color w:val="auto"/>
                  <w:w w:val="76"/>
                </w:rPr>
                <w:t>8</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9">
              <w:r>
                <w:rPr>
                  <w:rFonts w:ascii="Arial" w:cs="Arial" w:eastAsia="Arial" w:hAnsi="Arial"/>
                  <w:sz w:val="14"/>
                  <w:szCs w:val="14"/>
                  <w:color w:val="auto"/>
                </w:rPr>
                <w:t>Notes to Unaudited Consolidated Financial Statements</w:t>
              </w:r>
            </w:hyperlink>
          </w:p>
        </w:tc>
        <w:tc>
          <w:tcPr>
            <w:tcW w:w="940" w:type="dxa"/>
            <w:vAlign w:val="bottom"/>
          </w:tcPr>
          <w:p>
            <w:pPr>
              <w:jc w:val="center"/>
              <w:spacing w:after="0"/>
              <w:rPr>
                <w:rFonts w:ascii="Arial" w:cs="Arial" w:eastAsia="Arial" w:hAnsi="Arial"/>
                <w:sz w:val="14"/>
                <w:szCs w:val="14"/>
                <w:color w:val="auto"/>
                <w:w w:val="89"/>
              </w:rPr>
            </w:pPr>
            <w:hyperlink w:anchor="page9">
              <w:r>
                <w:rPr>
                  <w:rFonts w:ascii="Arial" w:cs="Arial" w:eastAsia="Arial" w:hAnsi="Arial"/>
                  <w:sz w:val="14"/>
                  <w:szCs w:val="14"/>
                  <w:color w:val="auto"/>
                  <w:w w:val="89"/>
                </w:rPr>
                <w:t>10</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9420" w:type="dxa"/>
            <w:vAlign w:val="bottom"/>
          </w:tcPr>
          <w:p>
            <w:pPr>
              <w:ind w:left="60"/>
              <w:spacing w:after="0"/>
              <w:rPr>
                <w:rFonts w:ascii="Arial" w:cs="Arial" w:eastAsia="Arial" w:hAnsi="Arial"/>
                <w:sz w:val="14"/>
                <w:szCs w:val="14"/>
                <w:color w:val="auto"/>
              </w:rPr>
            </w:pPr>
            <w:hyperlink w:anchor="page29">
              <w:r>
                <w:rPr>
                  <w:rFonts w:ascii="Arial" w:cs="Arial" w:eastAsia="Arial" w:hAnsi="Arial"/>
                  <w:sz w:val="14"/>
                  <w:szCs w:val="14"/>
                  <w:color w:val="auto"/>
                </w:rPr>
                <w:t>Management’s Discussion and Analysis of Financial Condition and Results of Operations</w:t>
              </w:r>
            </w:hyperlink>
          </w:p>
        </w:tc>
        <w:tc>
          <w:tcPr>
            <w:tcW w:w="940" w:type="dxa"/>
            <w:vAlign w:val="bottom"/>
          </w:tcPr>
          <w:p>
            <w:pPr>
              <w:jc w:val="center"/>
              <w:spacing w:after="0"/>
              <w:rPr>
                <w:rFonts w:ascii="Arial" w:cs="Arial" w:eastAsia="Arial" w:hAnsi="Arial"/>
                <w:sz w:val="14"/>
                <w:szCs w:val="14"/>
                <w:color w:val="auto"/>
                <w:w w:val="89"/>
              </w:rPr>
            </w:pPr>
            <w:hyperlink w:anchor="page29">
              <w:r>
                <w:rPr>
                  <w:rFonts w:ascii="Arial" w:cs="Arial" w:eastAsia="Arial" w:hAnsi="Arial"/>
                  <w:sz w:val="14"/>
                  <w:szCs w:val="14"/>
                  <w:color w:val="auto"/>
                  <w:w w:val="89"/>
                </w:rPr>
                <w:t>30</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9420" w:type="dxa"/>
            <w:vAlign w:val="bottom"/>
          </w:tcPr>
          <w:p>
            <w:pPr>
              <w:ind w:left="60"/>
              <w:spacing w:after="0"/>
              <w:rPr>
                <w:rFonts w:ascii="Arial" w:cs="Arial" w:eastAsia="Arial" w:hAnsi="Arial"/>
                <w:sz w:val="14"/>
                <w:szCs w:val="14"/>
                <w:color w:val="auto"/>
              </w:rPr>
            </w:pPr>
            <w:hyperlink w:anchor="page48">
              <w:r>
                <w:rPr>
                  <w:rFonts w:ascii="Arial" w:cs="Arial" w:eastAsia="Arial" w:hAnsi="Arial"/>
                  <w:sz w:val="14"/>
                  <w:szCs w:val="14"/>
                  <w:color w:val="auto"/>
                </w:rPr>
                <w:t>Quantitative and Qualitative Disclosures About Market Risk</w:t>
              </w:r>
            </w:hyperlink>
          </w:p>
        </w:tc>
        <w:tc>
          <w:tcPr>
            <w:tcW w:w="940" w:type="dxa"/>
            <w:vAlign w:val="bottom"/>
          </w:tcPr>
          <w:p>
            <w:pPr>
              <w:jc w:val="center"/>
              <w:spacing w:after="0"/>
              <w:rPr>
                <w:rFonts w:ascii="Arial" w:cs="Arial" w:eastAsia="Arial" w:hAnsi="Arial"/>
                <w:sz w:val="14"/>
                <w:szCs w:val="14"/>
                <w:color w:val="auto"/>
                <w:w w:val="89"/>
              </w:rPr>
            </w:pPr>
            <w:hyperlink w:anchor="page48">
              <w:r>
                <w:rPr>
                  <w:rFonts w:ascii="Arial" w:cs="Arial" w:eastAsia="Arial" w:hAnsi="Arial"/>
                  <w:sz w:val="14"/>
                  <w:szCs w:val="14"/>
                  <w:color w:val="auto"/>
                  <w:w w:val="89"/>
                </w:rPr>
                <w:t>49</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9420" w:type="dxa"/>
            <w:vAlign w:val="bottom"/>
          </w:tcPr>
          <w:p>
            <w:pPr>
              <w:ind w:left="60"/>
              <w:spacing w:after="0"/>
              <w:rPr>
                <w:rFonts w:ascii="Arial" w:cs="Arial" w:eastAsia="Arial" w:hAnsi="Arial"/>
                <w:sz w:val="14"/>
                <w:szCs w:val="14"/>
                <w:color w:val="auto"/>
              </w:rPr>
            </w:pPr>
            <w:hyperlink w:anchor="page50">
              <w:r>
                <w:rPr>
                  <w:rFonts w:ascii="Arial" w:cs="Arial" w:eastAsia="Arial" w:hAnsi="Arial"/>
                  <w:sz w:val="14"/>
                  <w:szCs w:val="14"/>
                  <w:color w:val="auto"/>
                </w:rPr>
                <w:t>Controls and Procedures</w:t>
              </w:r>
            </w:hyperlink>
          </w:p>
        </w:tc>
        <w:tc>
          <w:tcPr>
            <w:tcW w:w="940" w:type="dxa"/>
            <w:vAlign w:val="bottom"/>
          </w:tcPr>
          <w:p>
            <w:pPr>
              <w:jc w:val="center"/>
              <w:spacing w:after="0"/>
              <w:rPr>
                <w:rFonts w:ascii="Arial" w:cs="Arial" w:eastAsia="Arial" w:hAnsi="Arial"/>
                <w:sz w:val="14"/>
                <w:szCs w:val="14"/>
                <w:color w:val="auto"/>
                <w:w w:val="89"/>
              </w:rPr>
            </w:pPr>
            <w:hyperlink w:anchor="page50">
              <w:r>
                <w:rPr>
                  <w:rFonts w:ascii="Arial" w:cs="Arial" w:eastAsia="Arial" w:hAnsi="Arial"/>
                  <w:sz w:val="14"/>
                  <w:szCs w:val="14"/>
                  <w:color w:val="auto"/>
                  <w:w w:val="89"/>
                </w:rPr>
                <w:t>51</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PART II.</w:t>
            </w:r>
          </w:p>
        </w:tc>
        <w:tc>
          <w:tcPr>
            <w:tcW w:w="9420" w:type="dxa"/>
            <w:vAlign w:val="bottom"/>
          </w:tcPr>
          <w:p>
            <w:pPr>
              <w:ind w:left="60"/>
              <w:spacing w:after="0"/>
              <w:rPr>
                <w:rFonts w:ascii="Arial" w:cs="Arial" w:eastAsia="Arial" w:hAnsi="Arial"/>
                <w:sz w:val="14"/>
                <w:szCs w:val="14"/>
                <w:color w:val="auto"/>
              </w:rPr>
            </w:pPr>
            <w:hyperlink w:anchor="page51">
              <w:r>
                <w:rPr>
                  <w:rFonts w:ascii="Arial" w:cs="Arial" w:eastAsia="Arial" w:hAnsi="Arial"/>
                  <w:sz w:val="14"/>
                  <w:szCs w:val="14"/>
                  <w:color w:val="auto"/>
                </w:rPr>
                <w:t>OTHER INFORMATION</w:t>
              </w:r>
            </w:hyperlink>
          </w:p>
        </w:tc>
        <w:tc>
          <w:tcPr>
            <w:tcW w:w="940" w:type="dxa"/>
            <w:vAlign w:val="bottom"/>
          </w:tcPr>
          <w:p>
            <w:pPr>
              <w:spacing w:after="0"/>
              <w:rPr>
                <w:sz w:val="24"/>
                <w:szCs w:val="24"/>
                <w:color w:val="auto"/>
              </w:rPr>
            </w:pPr>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Legal Proceedings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1A.</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Risk Factors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Unregistered Sales of Equity Securities and Use of Proceeds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Defaults Upon Senior Securities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Mine Safety Disclosures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5.</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Other Information</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6.</w:t>
            </w:r>
          </w:p>
        </w:tc>
        <w:tc>
          <w:tcPr>
            <w:tcW w:w="9420" w:type="dxa"/>
            <w:vAlign w:val="bottom"/>
          </w:tcPr>
          <w:p>
            <w:pPr>
              <w:ind w:left="60"/>
              <w:spacing w:after="0"/>
              <w:rPr>
                <w:rFonts w:ascii="Arial" w:cs="Arial" w:eastAsia="Arial" w:hAnsi="Arial"/>
                <w:sz w:val="14"/>
                <w:szCs w:val="14"/>
                <w:color w:val="auto"/>
              </w:rPr>
            </w:pPr>
            <w:hyperlink w:anchor="page52">
              <w:r>
                <w:rPr>
                  <w:rFonts w:ascii="Arial" w:cs="Arial" w:eastAsia="Arial" w:hAnsi="Arial"/>
                  <w:sz w:val="14"/>
                  <w:szCs w:val="14"/>
                  <w:color w:val="auto"/>
                </w:rPr>
                <w:t>Exhibits</w:t>
              </w:r>
            </w:hyperlink>
          </w:p>
        </w:tc>
        <w:tc>
          <w:tcPr>
            <w:tcW w:w="940" w:type="dxa"/>
            <w:vAlign w:val="bottom"/>
          </w:tcPr>
          <w:p>
            <w:pPr>
              <w:jc w:val="center"/>
              <w:spacing w:after="0"/>
              <w:rPr>
                <w:rFonts w:ascii="Arial" w:cs="Arial" w:eastAsia="Arial" w:hAnsi="Arial"/>
                <w:sz w:val="14"/>
                <w:szCs w:val="14"/>
                <w:color w:val="auto"/>
                <w:w w:val="89"/>
              </w:rPr>
            </w:pPr>
            <w:hyperlink w:anchor="page52">
              <w:r>
                <w:rPr>
                  <w:rFonts w:ascii="Arial" w:cs="Arial" w:eastAsia="Arial" w:hAnsi="Arial"/>
                  <w:sz w:val="14"/>
                  <w:szCs w:val="14"/>
                  <w:color w:val="auto"/>
                  <w:w w:val="89"/>
                </w:rPr>
                <w:t>52</w:t>
              </w:r>
            </w:hyperlink>
          </w:p>
        </w:tc>
      </w:tr>
      <w:tr>
        <w:trPr>
          <w:trHeight w:val="308"/>
        </w:trPr>
        <w:tc>
          <w:tcPr>
            <w:tcW w:w="920" w:type="dxa"/>
            <w:vAlign w:val="bottom"/>
          </w:tcPr>
          <w:p>
            <w:pPr>
              <w:ind w:left="20"/>
              <w:spacing w:after="0"/>
              <w:rPr>
                <w:rFonts w:ascii="Arial" w:cs="Arial" w:eastAsia="Arial" w:hAnsi="Arial"/>
                <w:sz w:val="14"/>
                <w:szCs w:val="14"/>
                <w:color w:val="auto"/>
                <w:w w:val="96"/>
              </w:rPr>
            </w:pPr>
            <w:hyperlink w:anchor="page55">
              <w:r>
                <w:rPr>
                  <w:rFonts w:ascii="Arial" w:cs="Arial" w:eastAsia="Arial" w:hAnsi="Arial"/>
                  <w:sz w:val="14"/>
                  <w:szCs w:val="14"/>
                  <w:color w:val="auto"/>
                  <w:w w:val="96"/>
                </w:rPr>
                <w:t>SIGNATURES</w:t>
              </w:r>
            </w:hyperlink>
          </w:p>
        </w:tc>
        <w:tc>
          <w:tcPr>
            <w:tcW w:w="9420" w:type="dxa"/>
            <w:vAlign w:val="bottom"/>
          </w:tcPr>
          <w:p>
            <w:pPr>
              <w:spacing w:after="0"/>
              <w:rPr>
                <w:sz w:val="24"/>
                <w:szCs w:val="24"/>
                <w:color w:val="auto"/>
              </w:rPr>
            </w:pPr>
          </w:p>
        </w:tc>
        <w:tc>
          <w:tcPr>
            <w:tcW w:w="940" w:type="dxa"/>
            <w:vAlign w:val="bottom"/>
          </w:tcPr>
          <w:p>
            <w:pPr>
              <w:jc w:val="center"/>
              <w:spacing w:after="0"/>
              <w:rPr>
                <w:rFonts w:ascii="Arial" w:cs="Arial" w:eastAsia="Arial" w:hAnsi="Arial"/>
                <w:sz w:val="14"/>
                <w:szCs w:val="14"/>
                <w:color w:val="auto"/>
                <w:w w:val="89"/>
              </w:rPr>
            </w:pPr>
            <w:hyperlink w:anchor="page55">
              <w:r>
                <w:rPr>
                  <w:rFonts w:ascii="Arial" w:cs="Arial" w:eastAsia="Arial" w:hAnsi="Arial"/>
                  <w:sz w:val="14"/>
                  <w:szCs w:val="14"/>
                  <w:color w:val="auto"/>
                  <w:w w:val="89"/>
                </w:rPr>
                <w:t>56</w:t>
              </w:r>
            </w:hyperlink>
          </w:p>
        </w:tc>
      </w:tr>
      <w:tr>
        <w:trPr>
          <w:trHeight w:val="244"/>
        </w:trPr>
        <w:tc>
          <w:tcPr>
            <w:tcW w:w="920" w:type="dxa"/>
            <w:vAlign w:val="bottom"/>
          </w:tcPr>
          <w:p>
            <w:pPr>
              <w:spacing w:after="0"/>
              <w:rPr>
                <w:sz w:val="20"/>
                <w:szCs w:val="20"/>
                <w:color w:val="auto"/>
              </w:rPr>
            </w:pPr>
            <w:r>
              <w:rPr>
                <w:rFonts w:ascii="Arial" w:cs="Arial" w:eastAsia="Arial" w:hAnsi="Arial"/>
                <w:sz w:val="14"/>
                <w:szCs w:val="14"/>
                <w:color w:val="auto"/>
              </w:rPr>
              <w:t>`</w:t>
            </w:r>
          </w:p>
        </w:tc>
        <w:tc>
          <w:tcPr>
            <w:tcW w:w="9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605"/>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Arial" w:cs="Arial" w:eastAsia="Arial" w:hAnsi="Arial"/>
                <w:sz w:val="14"/>
                <w:szCs w:val="14"/>
                <w:color w:val="auto"/>
              </w:rPr>
              <w:t>2</w:t>
            </w:r>
          </w:p>
        </w:tc>
        <w:tc>
          <w:tcPr>
            <w:tcW w:w="940" w:type="dxa"/>
            <w:vAlign w:val="bottom"/>
          </w:tcPr>
          <w:p>
            <w:pPr>
              <w:spacing w:after="0"/>
              <w:rPr>
                <w:sz w:val="24"/>
                <w:szCs w:val="24"/>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Arial" w:cs="Arial" w:eastAsia="Arial" w:hAnsi="Arial"/>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7,404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15,088</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Arial" w:cs="Arial" w:eastAsia="Arial" w:hAnsi="Arial"/>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Arial" w:cs="Arial" w:eastAsia="Arial" w:hAnsi="Arial"/>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2,364</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19,634</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2,525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(4,546)</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Arial" w:cs="Arial" w:eastAsia="Arial" w:hAnsi="Arial"/>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sale of real estate</w:t>
            </w:r>
          </w:p>
        </w:tc>
        <w:tc>
          <w:tcPr>
            <w:tcW w:w="10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income (loss),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income</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18"/>
        </w:trPr>
        <w:tc>
          <w:tcPr>
            <w:tcW w:w="4500" w:type="dxa"/>
            <w:vAlign w:val="bottom"/>
          </w:tcPr>
          <w:p>
            <w:pPr>
              <w:ind w:left="20"/>
              <w:spacing w:after="0" w:line="118" w:lineRule="exact"/>
              <w:rPr>
                <w:sz w:val="20"/>
                <w:szCs w:val="20"/>
                <w:color w:val="auto"/>
              </w:rPr>
            </w:pPr>
            <w:r>
              <w:rPr>
                <w:rFonts w:ascii="Arial" w:cs="Arial" w:eastAsia="Arial" w:hAnsi="Arial"/>
                <w:sz w:val="13"/>
                <w:szCs w:val="13"/>
                <w:color w:val="auto"/>
              </w:rPr>
              <w:t>Income (loss) from operations before equity in earnings of unconsolidated</w:t>
            </w:r>
          </w:p>
        </w:tc>
        <w:tc>
          <w:tcPr>
            <w:tcW w:w="10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2,577</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(2,838)</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joint ventures</w:t>
            </w:r>
          </w:p>
        </w:tc>
        <w:tc>
          <w:tcPr>
            <w:tcW w:w="10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joint ventures,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Income (loss) before income tax expense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2,824</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9"/>
              </w:rPr>
              <w:t>Net income (loss) per share attributable to common stockholders, 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0.11</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929"/>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0.07</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0"/>
        </w:trPr>
        <w:tc>
          <w:tcPr>
            <w:tcW w:w="448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gain (loss) on available-for-sale securities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Unrealized (loss) gain on interest rate swap</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gain before taxes</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w:t>
            </w:r>
          </w:p>
        </w:tc>
        <w:tc>
          <w:tcPr>
            <w:tcW w:w="0" w:type="dxa"/>
            <w:vAlign w:val="bottom"/>
          </w:tcPr>
          <w:p>
            <w:pPr>
              <w:spacing w:after="0"/>
              <w:rPr>
                <w:sz w:val="1"/>
                <w:szCs w:val="1"/>
                <w:color w:val="auto"/>
              </w:rPr>
            </w:pPr>
          </w:p>
        </w:tc>
      </w:tr>
      <w:tr>
        <w:trPr>
          <w:trHeight w:val="138"/>
        </w:trPr>
        <w:tc>
          <w:tcPr>
            <w:tcW w:w="4480" w:type="dxa"/>
            <w:vAlign w:val="bottom"/>
          </w:tcPr>
          <w:p>
            <w:pPr>
              <w:ind w:left="280"/>
              <w:spacing w:after="0" w:line="138" w:lineRule="exact"/>
              <w:rPr>
                <w:sz w:val="20"/>
                <w:szCs w:val="20"/>
                <w:color w:val="auto"/>
              </w:rPr>
            </w:pPr>
            <w:r>
              <w:rPr>
                <w:rFonts w:ascii="Arial" w:cs="Arial" w:eastAsia="Arial" w:hAnsi="Arial"/>
                <w:sz w:val="14"/>
                <w:szCs w:val="14"/>
                <w:color w:val="auto"/>
              </w:rPr>
              <w:t>Benefit (expense) for income taxes related to other comprehensive</w:t>
            </w:r>
          </w:p>
        </w:tc>
        <w:tc>
          <w:tcPr>
            <w:tcW w:w="1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items</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gain</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(4,111)</w:t>
            </w: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1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common stockholders</w:t>
            </w:r>
          </w:p>
        </w:tc>
        <w:tc>
          <w:tcPr>
            <w:tcW w:w="110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June 30, 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4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(unaudited)</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20"/>
              <w:spacing w:after="0"/>
              <w:rPr>
                <w:sz w:val="20"/>
                <w:szCs w:val="20"/>
                <w:color w:val="auto"/>
              </w:rPr>
            </w:pPr>
            <w:r>
              <w:rPr>
                <w:rFonts w:ascii="Arial" w:cs="Arial" w:eastAsia="Arial" w:hAnsi="Arial"/>
                <w:sz w:val="14"/>
                <w:szCs w:val="14"/>
                <w:color w:val="auto"/>
              </w:rPr>
              <w:t>ASSETS</w:t>
            </w: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55,320</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Marketable securities - available-for-sale</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Inventories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63,210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68,515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17,660</w:t>
            </w:r>
          </w:p>
        </w:tc>
        <w:tc>
          <w:tcPr>
            <w:tcW w:w="0" w:type="dxa"/>
            <w:vAlign w:val="bottom"/>
          </w:tcPr>
          <w:p>
            <w:pPr>
              <w:spacing w:after="0"/>
              <w:rPr>
                <w:sz w:val="1"/>
                <w:szCs w:val="1"/>
                <w:color w:val="auto"/>
              </w:rPr>
            </w:pPr>
          </w:p>
        </w:tc>
      </w:tr>
      <w:tr>
        <w:trPr>
          <w:trHeight w:val="138"/>
        </w:trPr>
        <w:tc>
          <w:tcPr>
            <w:tcW w:w="7320" w:type="dxa"/>
            <w:vAlign w:val="bottom"/>
          </w:tcPr>
          <w:p>
            <w:pPr>
              <w:ind w:left="20"/>
              <w:spacing w:after="0" w:line="138" w:lineRule="exact"/>
              <w:rPr>
                <w:sz w:val="20"/>
                <w:szCs w:val="20"/>
                <w:color w:val="auto"/>
              </w:rPr>
            </w:pPr>
            <w:r>
              <w:rPr>
                <w:rFonts w:ascii="Arial" w:cs="Arial" w:eastAsia="Arial" w:hAnsi="Arial"/>
                <w:sz w:val="14"/>
                <w:szCs w:val="14"/>
                <w:color w:val="auto"/>
                <w:w w:val="93"/>
              </w:rPr>
              <w:t>Real estate development (includes $109,829 at June 30, 2021 and $108,600 at December 31, 2020, attributable to Centennial</w:t>
            </w:r>
          </w:p>
        </w:tc>
        <w:tc>
          <w:tcPr>
            <w:tcW w:w="14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0"/>
              </w:rPr>
              <w:t>313,090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310,439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Founders, LLC, Note 15)</w:t>
            </w:r>
          </w:p>
        </w:tc>
        <w:tc>
          <w:tcPr>
            <w:tcW w:w="14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46,246</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39,288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33,524</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 water assets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539,370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536,349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Trade accounts payable</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Accrued liabilities and other</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Current maturities of long-term debt</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50,390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52,587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deferred gains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0" w:type="dxa"/>
            <w:vAlign w:val="bottom"/>
          </w:tcPr>
          <w:p>
            <w:pPr>
              <w:spacing w:after="0"/>
              <w:rPr>
                <w:sz w:val="1"/>
                <w:szCs w:val="1"/>
                <w:color w:val="auto"/>
              </w:rPr>
            </w:pPr>
          </w:p>
        </w:tc>
      </w:tr>
      <w:tr>
        <w:trPr>
          <w:trHeight w:val="171"/>
        </w:trPr>
        <w:tc>
          <w:tcPr>
            <w:tcW w:w="7320" w:type="dxa"/>
            <w:vAlign w:val="bottom"/>
          </w:tcPr>
          <w:p>
            <w:pPr>
              <w:ind w:left="520"/>
              <w:spacing w:after="0"/>
              <w:rPr>
                <w:sz w:val="20"/>
                <w:szCs w:val="20"/>
                <w:color w:val="auto"/>
              </w:rPr>
            </w:pPr>
            <w:r>
              <w:rPr>
                <w:rFonts w:ascii="Arial" w:cs="Arial" w:eastAsia="Arial" w:hAnsi="Arial"/>
                <w:sz w:val="14"/>
                <w:szCs w:val="14"/>
                <w:color w:val="auto"/>
              </w:rPr>
              <w:t>Total liabilities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89,612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91,018</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Equity:</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Tejon Ranch Co. Stockholders’ 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Common stock, $0.50 par value per share:</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Authorized shares - 30,000,000</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Issued and outstanding shares - 26,343,864 at June 30, 2021 and 26,276,830 at December 31, 2020</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13,171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13,137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Additional paid-in capital</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343,415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342,059</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(9,720)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Retained earnings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84,487</w:t>
            </w:r>
          </w:p>
        </w:tc>
        <w:tc>
          <w:tcPr>
            <w:tcW w:w="0" w:type="dxa"/>
            <w:vAlign w:val="bottom"/>
          </w:tcPr>
          <w:p>
            <w:pPr>
              <w:spacing w:after="0"/>
              <w:rPr>
                <w:sz w:val="1"/>
                <w:szCs w:val="1"/>
                <w:color w:val="auto"/>
              </w:rPr>
            </w:pPr>
          </w:p>
        </w:tc>
      </w:tr>
      <w:tr>
        <w:trPr>
          <w:trHeight w:val="171"/>
        </w:trPr>
        <w:tc>
          <w:tcPr>
            <w:tcW w:w="7320" w:type="dxa"/>
            <w:vAlign w:val="bottom"/>
          </w:tcPr>
          <w:p>
            <w:pPr>
              <w:ind w:left="280"/>
              <w:spacing w:after="0"/>
              <w:rPr>
                <w:sz w:val="20"/>
                <w:szCs w:val="20"/>
                <w:color w:val="auto"/>
              </w:rPr>
            </w:pPr>
            <w:r>
              <w:rPr>
                <w:rFonts w:ascii="Arial" w:cs="Arial" w:eastAsia="Arial" w:hAnsi="Arial"/>
                <w:sz w:val="14"/>
                <w:szCs w:val="14"/>
                <w:color w:val="auto"/>
              </w:rPr>
              <w:t>Total Tejon Ranch Co. Stockholders’ Equity</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434,396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429,963</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15,368</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1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449,758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445,331</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539,370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536,349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color w:val="auto"/>
              </w:rPr>
              <w:t>Six Months Ended June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60" w:type="dxa"/>
            <w:vAlign w:val="bottom"/>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vMerge w:val="continue"/>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w:t>
            </w:r>
          </w:p>
        </w:tc>
        <w:tc>
          <w:tcPr>
            <w:tcW w:w="3740" w:type="dxa"/>
            <w:vAlign w:val="bottom"/>
            <w:gridSpan w:val="2"/>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Depreciation and amortization</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rPr>
                <w:sz w:val="20"/>
                <w:szCs w:val="20"/>
                <w:color w:val="auto"/>
              </w:rPr>
            </w:pPr>
            <w:r>
              <w:rPr>
                <w:rFonts w:ascii="Arial" w:cs="Arial" w:eastAsia="Arial" w:hAnsi="Arial"/>
                <w:sz w:val="14"/>
                <w:szCs w:val="14"/>
                <w:color w:val="auto"/>
              </w:rPr>
              <w:t>Amortization of premium/discount of marketable securities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Equity in earnings of unconsolidated joint ventures, net</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rPr>
                <w:sz w:val="20"/>
                <w:szCs w:val="20"/>
                <w:color w:val="auto"/>
              </w:rPr>
            </w:pPr>
            <w:r>
              <w:rPr>
                <w:rFonts w:ascii="Arial" w:cs="Arial" w:eastAsia="Arial" w:hAnsi="Arial"/>
                <w:sz w:val="14"/>
                <w:szCs w:val="14"/>
                <w:color w:val="auto"/>
              </w:rPr>
              <w:t>Non-cash retirement plan (benefit) expense</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Non-cash profits recognized from land contribution</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line="181" w:lineRule="exact"/>
              <w:rPr>
                <w:sz w:val="20"/>
                <w:szCs w:val="20"/>
                <w:color w:val="auto"/>
              </w:rPr>
            </w:pPr>
            <w:r>
              <w:rPr>
                <w:rFonts w:ascii="Arial" w:cs="Arial" w:eastAsia="Arial" w:hAnsi="Arial"/>
                <w:sz w:val="14"/>
                <w:szCs w:val="14"/>
                <w:color w:val="auto"/>
              </w:rPr>
              <w:t>Profit from water sales</w:t>
            </w:r>
            <w:r>
              <w:rPr>
                <w:rFonts w:ascii="Arial" w:cs="Arial" w:eastAsia="Arial" w:hAnsi="Arial"/>
                <w:sz w:val="18"/>
                <w:szCs w:val="18"/>
                <w:color w:val="auto"/>
                <w:vertAlign w:val="superscript"/>
              </w:rPr>
              <w:t>1</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Non-cash write-off of leasing assets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rPr>
                <w:sz w:val="20"/>
                <w:szCs w:val="20"/>
                <w:color w:val="auto"/>
              </w:rPr>
            </w:pPr>
            <w:r>
              <w:rPr>
                <w:rFonts w:ascii="Arial" w:cs="Arial" w:eastAsia="Arial" w:hAnsi="Arial"/>
                <w:sz w:val="14"/>
                <w:szCs w:val="14"/>
                <w:color w:val="auto"/>
              </w:rPr>
              <w:t>Gain on sale of property plant and equipment</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 taxes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rPr>
                <w:sz w:val="20"/>
                <w:szCs w:val="20"/>
                <w:color w:val="auto"/>
              </w:rPr>
            </w:pPr>
            <w:r>
              <w:rPr>
                <w:rFonts w:ascii="Arial" w:cs="Arial" w:eastAsia="Arial" w:hAnsi="Arial"/>
                <w:sz w:val="14"/>
                <w:szCs w:val="14"/>
                <w:color w:val="auto"/>
              </w:rPr>
              <w:t>Stock compensation expense</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Excess tax shortfall from stock-based compensation</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Distribution of earnings from unconsolidated joint ventures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520"/>
              <w:spacing w:after="0"/>
              <w:rPr>
                <w:sz w:val="20"/>
                <w:szCs w:val="20"/>
                <w:color w:val="auto"/>
              </w:rPr>
            </w:pPr>
            <w:r>
              <w:rPr>
                <w:rFonts w:ascii="Arial" w:cs="Arial" w:eastAsia="Arial" w:hAnsi="Arial"/>
                <w:sz w:val="14"/>
                <w:szCs w:val="14"/>
                <w:color w:val="auto"/>
              </w:rPr>
              <w:t>Receivables, inventories, prepaids and other assets, net</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Current liabilities</w:t>
            </w:r>
          </w:p>
        </w:tc>
        <w:tc>
          <w:tcPr>
            <w:tcW w:w="26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(1,095)</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Maturities and sales of marketable securities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Funds invested in marketable securities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Real estate and equipment expenditures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(11,414)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(11,192)</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real estate/assets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Investment in unconsolidated joint ventures</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 of equity from unconsolidated joint ventures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line="181" w:lineRule="exact"/>
              <w:rPr>
                <w:sz w:val="20"/>
                <w:szCs w:val="20"/>
                <w:color w:val="auto"/>
              </w:rPr>
            </w:pPr>
            <w:r>
              <w:rPr>
                <w:rFonts w:ascii="Arial" w:cs="Arial" w:eastAsia="Arial" w:hAnsi="Arial"/>
                <w:sz w:val="14"/>
                <w:szCs w:val="14"/>
                <w:color w:val="auto"/>
              </w:rPr>
              <w:t>Proceeds from water sales</w:t>
            </w:r>
            <w:r>
              <w:rPr>
                <w:rFonts w:ascii="Arial" w:cs="Arial" w:eastAsia="Arial" w:hAnsi="Arial"/>
                <w:sz w:val="18"/>
                <w:szCs w:val="18"/>
                <w:color w:val="auto"/>
                <w:vertAlign w:val="superscript"/>
              </w:rPr>
              <w:t>1</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5,874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water assets</w:t>
            </w:r>
          </w:p>
        </w:tc>
        <w:tc>
          <w:tcPr>
            <w:tcW w:w="26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(2,634)</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(9,846)</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on vested stock grants</w:t>
            </w:r>
          </w:p>
        </w:tc>
        <w:tc>
          <w:tcPr>
            <w:tcW w:w="26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2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(3,098)</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(4,330)</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55,320</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27,106</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26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41,281</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to amounts on consolidated balance sheets:</w:t>
            </w:r>
          </w:p>
        </w:tc>
        <w:tc>
          <w:tcPr>
            <w:tcW w:w="2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740" w:type="dxa"/>
            <w:vAlign w:val="bottom"/>
            <w:gridSpan w:val="2"/>
          </w:tcPr>
          <w:p>
            <w:pPr>
              <w:jc w:val="right"/>
              <w:ind w:right="9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40,478</w:t>
            </w:r>
          </w:p>
        </w:tc>
        <w:tc>
          <w:tcPr>
            <w:tcW w:w="80" w:type="dxa"/>
            <w:vAlign w:val="bottom"/>
          </w:tcPr>
          <w:p>
            <w:pPr>
              <w:spacing w:after="0"/>
              <w:rPr>
                <w:sz w:val="15"/>
                <w:szCs w:val="15"/>
                <w:color w:val="auto"/>
              </w:rPr>
            </w:pPr>
          </w:p>
        </w:tc>
        <w:tc>
          <w:tcPr>
            <w:tcW w:w="1100" w:type="dxa"/>
            <w:vAlign w:val="bottom"/>
          </w:tcPr>
          <w:p>
            <w:pPr>
              <w:jc w:val="right"/>
              <w:ind w:right="92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21,975</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6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266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41,281</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60" w:type="dxa"/>
            <w:vAlign w:val="bottom"/>
            <w:vMerge w:val="restart"/>
          </w:tcPr>
          <w:p>
            <w:pPr>
              <w:jc w:val="right"/>
              <w:ind w:right="2049"/>
              <w:spacing w:after="0"/>
              <w:rPr>
                <w:sz w:val="20"/>
                <w:szCs w:val="20"/>
                <w:color w:val="auto"/>
              </w:rPr>
            </w:pPr>
            <w:r>
              <w:rPr>
                <w:rFonts w:ascii="Arial" w:cs="Arial" w:eastAsia="Arial" w:hAnsi="Arial"/>
                <w:sz w:val="14"/>
                <w:szCs w:val="14"/>
                <w:color w:val="auto"/>
              </w:rPr>
              <w:t>6</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1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4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Arial" w:cs="Arial" w:eastAsia="Arial" w:hAnsi="Arial"/>
                <w:sz w:val="14"/>
                <w:szCs w:val="14"/>
                <w:color w:val="auto"/>
              </w:rPr>
              <w:t>Accrued capital expenditures included in current liabilities</w:t>
            </w: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Accrued long-term water assets included in current liabilities</w:t>
            </w: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line="183" w:lineRule="exact"/>
              <w:rPr>
                <w:sz w:val="20"/>
                <w:szCs w:val="20"/>
                <w:color w:val="auto"/>
              </w:rPr>
            </w:pPr>
            <w:r>
              <w:rPr>
                <w:rFonts w:ascii="Arial" w:cs="Arial" w:eastAsia="Arial" w:hAnsi="Arial"/>
                <w:sz w:val="14"/>
                <w:szCs w:val="14"/>
                <w:color w:val="auto"/>
              </w:rPr>
              <w:t>Contribution to unconsolidated joint venture</w:t>
            </w:r>
            <w:r>
              <w:rPr>
                <w:rFonts w:ascii="Arial" w:cs="Arial" w:eastAsia="Arial" w:hAnsi="Arial"/>
                <w:sz w:val="18"/>
                <w:szCs w:val="18"/>
                <w:color w:val="auto"/>
                <w:vertAlign w:val="superscript"/>
              </w:rPr>
              <w:t>2</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vMerge w:val="continue"/>
          </w:tcPr>
          <w:p>
            <w:pPr>
              <w:spacing w:after="0"/>
              <w:rPr>
                <w:sz w:val="12"/>
                <w:szCs w:val="12"/>
                <w:color w:val="auto"/>
              </w:rPr>
            </w:pPr>
          </w:p>
        </w:tc>
        <w:tc>
          <w:tcPr>
            <w:tcW w:w="700" w:type="dxa"/>
            <w:vAlign w:val="bottom"/>
            <w:tcBorders>
              <w:bottom w:val="single" w:sz="8" w:color="auto"/>
            </w:tcBorders>
          </w:tcPr>
          <w:p>
            <w:pPr>
              <w:jc w:val="right"/>
              <w:ind w:right="549"/>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8,464</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609"/>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line="163" w:lineRule="exact"/>
              <w:rPr>
                <w:sz w:val="20"/>
                <w:szCs w:val="20"/>
                <w:color w:val="auto"/>
              </w:rPr>
            </w:pPr>
            <w:r>
              <w:rPr>
                <w:rFonts w:ascii="Arial" w:cs="Arial" w:eastAsia="Arial" w:hAnsi="Arial"/>
                <w:sz w:val="14"/>
                <w:szCs w:val="14"/>
                <w:color w:val="auto"/>
              </w:rPr>
              <w:t>Long term deferred profit on land contribution</w:t>
            </w:r>
            <w:r>
              <w:rPr>
                <w:rFonts w:ascii="Arial" w:cs="Arial" w:eastAsia="Arial" w:hAnsi="Arial"/>
                <w:sz w:val="18"/>
                <w:szCs w:val="18"/>
                <w:color w:val="auto"/>
                <w:vertAlign w:val="superscript"/>
              </w:rPr>
              <w:t>2</w:t>
            </w: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0" w:right="220"/>
        <w:spacing w:after="0" w:line="238"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w:t>
      </w:r>
    </w:p>
    <w:p>
      <w:pPr>
        <w:spacing w:after="0" w:line="1" w:lineRule="exact"/>
        <w:rPr>
          <w:sz w:val="20"/>
          <w:szCs w:val="20"/>
          <w:color w:val="auto"/>
        </w:rPr>
      </w:pPr>
    </w:p>
    <w:p>
      <w:pPr>
        <w:jc w:val="both"/>
        <w:ind w:left="20" w:right="340"/>
        <w:spacing w:after="0" w:line="309" w:lineRule="auto"/>
        <w:rPr>
          <w:sz w:val="20"/>
          <w:szCs w:val="20"/>
          <w:color w:val="auto"/>
        </w:rPr>
      </w:pPr>
      <w:r>
        <w:rPr>
          <w:rFonts w:ascii="Arial" w:cs="Arial" w:eastAsia="Arial" w:hAnsi="Arial"/>
          <w:sz w:val="11"/>
          <w:szCs w:val="11"/>
          <w:color w:val="auto"/>
        </w:rPr>
        <w:t>item.” Also, at the 2006 AICPA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31" w:lineRule="exact"/>
        <w:rPr>
          <w:sz w:val="20"/>
          <w:szCs w:val="20"/>
          <w:color w:val="auto"/>
        </w:rPr>
      </w:pPr>
    </w:p>
    <w:p>
      <w:pPr>
        <w:ind w:left="20" w:right="60"/>
        <w:spacing w:after="0" w:line="230" w:lineRule="auto"/>
        <w:rPr>
          <w:sz w:val="20"/>
          <w:szCs w:val="20"/>
          <w:color w:val="auto"/>
        </w:rPr>
      </w:pPr>
      <w:r>
        <w:rPr>
          <w:rFonts w:ascii="Arial" w:cs="Arial" w:eastAsia="Arial" w:hAnsi="Arial"/>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$5.9 million in 2021, this cash inflow is appropriately classified in the Company’s investing activities. The profit of $2.5 million related to the water purchased in the prior year is appropriately being deducted from operating activities for the current period. The Company has and will continue to apply this methodology to water asset transactions that meet this fact pattern.</w:t>
      </w:r>
    </w:p>
    <w:p>
      <w:pPr>
        <w:spacing w:after="0" w:line="212" w:lineRule="exact"/>
        <w:rPr>
          <w:sz w:val="20"/>
          <w:szCs w:val="20"/>
          <w:color w:val="auto"/>
        </w:rPr>
      </w:pPr>
    </w:p>
    <w:p>
      <w:pPr>
        <w:ind w:left="20" w:right="20" w:hanging="1"/>
        <w:spacing w:after="0" w:line="218" w:lineRule="auto"/>
        <w:tabs>
          <w:tab w:leader="none" w:pos="82"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In June 2021, the Company contributed land with a fair value of $8.5 million to TRC-MRC 4, LLC an unconsolidated joint venture formed to pursue the development, construction, leasing, and management of a 630,000 square foot industrial building on the Company's property at TRCC-East. The total cost of the land was $2.9 million. The Company recognized $2.8 million in profit and deferred $2.8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Common Stock</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Common</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Additional</w:t>
            </w:r>
          </w:p>
        </w:tc>
        <w:tc>
          <w:tcPr>
            <w:tcW w:w="128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Total</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Noncontrolling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4"/>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9"/>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Stockholders'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Outstanding</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Interest</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26,336,115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342,329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83,432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7,749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26,343,864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343,415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86,254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26,212,484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10,562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26,221,862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84,212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427,597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Common Stock</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Common</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Additional</w:t>
            </w:r>
          </w:p>
        </w:tc>
        <w:tc>
          <w:tcPr>
            <w:tcW w:w="128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Total</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Noncontrolling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4"/>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9"/>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Stockholders'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w w:val="94"/>
              </w:rPr>
              <w:t>Total Equity</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Outstanding</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Interest</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26,276,830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342,059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84,487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429,963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445,331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125,692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(58,658)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26,343,864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343,415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86,254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449,758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26,096,797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445,624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240,275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(115,210)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26,221,862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84,212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427,597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442,977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35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BASIS OF PRESENTATION</w:t>
      </w:r>
    </w:p>
    <w:p>
      <w:pPr>
        <w:spacing w:after="0" w:line="8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6" w:lineRule="exact"/>
        <w:rPr>
          <w:sz w:val="20"/>
          <w:szCs w:val="20"/>
          <w:color w:val="auto"/>
        </w:rPr>
      </w:pPr>
    </w:p>
    <w:p>
      <w:pPr>
        <w:jc w:val="both"/>
        <w:ind w:right="380"/>
        <w:spacing w:after="0" w:line="267" w:lineRule="auto"/>
        <w:rPr>
          <w:sz w:val="20"/>
          <w:szCs w:val="20"/>
          <w:color w:val="auto"/>
        </w:rPr>
      </w:pPr>
      <w:r>
        <w:rPr>
          <w:rFonts w:ascii="Arial" w:cs="Arial" w:eastAsia="Arial" w:hAnsi="Arial"/>
          <w:sz w:val="14"/>
          <w:szCs w:val="14"/>
          <w:color w:val="auto"/>
        </w:rPr>
        <w:t>The periods ending June 30, 2021 and December 31, 2020 include the consolidation of Centennial Founders, LLC’s statement of operations within the resort/residential real estate development segment and statements of cash flows. The Company’s June 30, 2021 and December 31, 2020 balance sheets and statements of changes in equity and noncontrolling interests are presented on a consolidated basis, including the consolidation of Centennial Founders, LLC.</w:t>
      </w:r>
    </w:p>
    <w:p>
      <w:pPr>
        <w:spacing w:after="0" w:line="4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50"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has also brought additional uncertainty previously unseen. We continued to experience negative impacts during the first quarter of 2021, with signs of improvements during the second quarter as restrictions in California were lifted in mid-June 2021. The Company's retail and hospitality segments fully reopened and operated without restrictions during the second quarter. The Company's other segments remained operationally unaffected as they have always been deemed essential.</w:t>
      </w:r>
    </w:p>
    <w:p>
      <w:pPr>
        <w:spacing w:after="0" w:line="25"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Historically, the Company’s largest percentages of farming revenues are recognized during the third and fourth quarters of the fiscal year. Please refer to Management’s Discussion and Analysis of Financial Condition and Results of Operations for further discussion.</w:t>
      </w:r>
    </w:p>
    <w:p>
      <w:pPr>
        <w:spacing w:after="0" w:line="37"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For further information and a summary of significant accounting policies, refer to the Consolidated Financial Statements and notes thereto included in the Company’s Annual Report on Form 10-K for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Cash</w:t>
      </w:r>
    </w:p>
    <w:p>
      <w:pPr>
        <w:spacing w:after="0" w:line="7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Restricted cash is included in Prepaid expenses and other current assets within the Consolidated Balance Sheets and primarily relate to funds held in escrow. The Company had $803,000 of restricted cash as of June 30, 2021.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Concessions Related to COVID-19 Pandemic</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In April 2020, the Financial Accounting Standards Board, or FASB, issued a Staff Question-and-Answer, or Q&amp;A, intended to reduce the operational challenges and complexity of accounting for leases at a time when many businesses have been ordered to close or have seen revenue drop due to the effects of the COVID-19 pandemic. The FASB determined that it would be appropriate for entities to make accounting policy elections over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3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Company elected to account for lease concessions outside of the modification framework as allowed by the FASB Q&amp;A. The COVID-19 pandemic resulted in tenant requests for rent relief, with a majority of the requests occurring in the second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0" w:name="page11"/>
    <w:bookmarkEnd w:id="10"/>
    <w:p>
      <w:pPr>
        <w:ind w:right="80"/>
        <w:spacing w:after="0" w:line="262" w:lineRule="auto"/>
        <w:rPr>
          <w:sz w:val="20"/>
          <w:szCs w:val="20"/>
          <w:color w:val="auto"/>
        </w:rPr>
      </w:pPr>
      <w:r>
        <w:rPr>
          <w:rFonts w:ascii="Arial" w:cs="Arial" w:eastAsia="Arial" w:hAnsi="Arial"/>
          <w:sz w:val="14"/>
          <w:szCs w:val="14"/>
          <w:color w:val="auto"/>
        </w:rPr>
        <w:t>quarter of 2020. In 2020, the Company reached agreements with all commercial tenants that requested rent deferrals. Based on the terms of the agreements reached with the Company's tenants, all deferred rent will be fully repaid by the end of 2021. The Company will account for the rent receivables as if no changes to the lease were made, and the rent receivable for the deferral period will stay on the Company's Consolidated Balance Sheet until the rent is collected over the passage of time. Please refer to the Results of Operations by Segment in Item 2, "Management's Discussion and Analysis of Financial Condition and Results of Operations" for discussion of the rent deferrals.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 Rate Reform</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This pronouncement has not had, and is not expected to have, a material effect on our consolidated financial statements.</w:t>
      </w:r>
    </w:p>
    <w:p>
      <w:pPr>
        <w:spacing w:after="0" w:line="10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(EPS)</w:t>
      </w:r>
    </w:p>
    <w:p>
      <w:pPr>
        <w:spacing w:after="0" w:line="76" w:lineRule="exact"/>
        <w:rPr>
          <w:sz w:val="20"/>
          <w:szCs w:val="20"/>
          <w:color w:val="auto"/>
        </w:rPr>
      </w:pPr>
    </w:p>
    <w:p>
      <w:pPr>
        <w:jc w:val="both"/>
        <w:ind w:right="140"/>
        <w:spacing w:after="0" w:line="331" w:lineRule="auto"/>
        <w:rPr>
          <w:sz w:val="20"/>
          <w:szCs w:val="20"/>
          <w:color w:val="auto"/>
        </w:rPr>
      </w:pPr>
      <w:r>
        <w:rPr>
          <w:rFonts w:ascii="Arial" w:cs="Arial" w:eastAsia="Arial" w:hAnsi="Arial"/>
          <w:sz w:val="12"/>
          <w:szCs w:val="12"/>
          <w:color w:val="auto"/>
        </w:rPr>
        <w:t>Basic net income (loss) per share attributable to common stockholders is based upon the weighted average number of shares of common stock outstanding during the year. Diluted net income (loss)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3480" w:type="dxa"/>
            <w:vAlign w:val="bottom"/>
            <w:gridSpan w:val="4"/>
          </w:tcPr>
          <w:p>
            <w:pPr>
              <w:ind w:left="840"/>
              <w:spacing w:after="0"/>
              <w:rPr>
                <w:sz w:val="20"/>
                <w:szCs w:val="20"/>
                <w:color w:val="auto"/>
              </w:rPr>
            </w:pPr>
            <w:r>
              <w:rPr>
                <w:rFonts w:ascii="Arial" w:cs="Arial" w:eastAsia="Arial" w:hAnsi="Arial"/>
                <w:sz w:val="14"/>
                <w:szCs w:val="14"/>
                <w:color w:val="auto"/>
              </w:rPr>
              <w:t>Three Months Ended June 30,</w:t>
            </w:r>
          </w:p>
        </w:tc>
        <w:tc>
          <w:tcPr>
            <w:tcW w:w="3380" w:type="dxa"/>
            <w:vAlign w:val="bottom"/>
            <w:gridSpan w:val="3"/>
          </w:tcPr>
          <w:p>
            <w:pPr>
              <w:jc w:val="right"/>
              <w:ind w:right="829"/>
              <w:spacing w:after="0"/>
              <w:rPr>
                <w:sz w:val="20"/>
                <w:szCs w:val="20"/>
                <w:color w:val="auto"/>
              </w:rPr>
            </w:pPr>
            <w:r>
              <w:rPr>
                <w:rFonts w:ascii="Arial" w:cs="Arial" w:eastAsia="Arial" w:hAnsi="Arial"/>
                <w:sz w:val="14"/>
                <w:szCs w:val="14"/>
                <w:color w:val="auto"/>
              </w:rPr>
              <w:t>Six Months Ended June 30,</w:t>
            </w:r>
          </w:p>
        </w:tc>
      </w:tr>
      <w:tr>
        <w:trPr>
          <w:trHeight w:val="171"/>
        </w:trPr>
        <w:tc>
          <w:tcPr>
            <w:tcW w:w="442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61"/>
        </w:trPr>
        <w:tc>
          <w:tcPr>
            <w:tcW w:w="442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1"/>
        </w:trPr>
        <w:tc>
          <w:tcPr>
            <w:tcW w:w="4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26,343,353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26,220,575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26,328,620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26,174,775</w:t>
            </w:r>
          </w:p>
        </w:tc>
      </w:tr>
      <w:tr>
        <w:trPr>
          <w:trHeight w:val="180"/>
        </w:trPr>
        <w:tc>
          <w:tcPr>
            <w:tcW w:w="4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68,177</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10,935</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63,930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140,715</w:t>
            </w:r>
          </w:p>
        </w:tc>
      </w:tr>
      <w:tr>
        <w:trPr>
          <w:trHeight w:val="196"/>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26,411,530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26,231,510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26,392,550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26,315,490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80" w:hanging="275"/>
        <w:spacing w:after="0"/>
        <w:tabs>
          <w:tab w:leader="none" w:pos="28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MARKETABLE SECURITIES</w:t>
      </w:r>
    </w:p>
    <w:p>
      <w:pPr>
        <w:spacing w:after="0" w:line="87"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color w:val="auto"/>
              </w:rPr>
              <w:t>June 30, 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color w:val="auto"/>
              </w:rPr>
              <w:t>December 31,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120" w:type="dxa"/>
            <w:vAlign w:val="bottom"/>
            <w:vMerge w:val="restart"/>
          </w:tcPr>
          <w:p>
            <w:pPr>
              <w:ind w:left="20"/>
              <w:spacing w:after="0"/>
              <w:rPr>
                <w:sz w:val="20"/>
                <w:szCs w:val="20"/>
                <w:color w:val="auto"/>
              </w:rPr>
            </w:pPr>
            <w:r>
              <w:rPr>
                <w:rFonts w:ascii="Arial" w:cs="Arial" w:eastAsia="Arial" w:hAnsi="Arial"/>
                <w:sz w:val="14"/>
                <w:szCs w:val="14"/>
                <w:color w:val="auto"/>
              </w:rPr>
              <w:t>Marketable Securities:</w:t>
            </w:r>
          </w:p>
        </w:tc>
        <w:tc>
          <w:tcPr>
            <w:tcW w:w="2280" w:type="dxa"/>
            <w:vAlign w:val="bottom"/>
          </w:tcPr>
          <w:p>
            <w:pPr>
              <w:jc w:val="center"/>
              <w:ind w:left="1050"/>
              <w:spacing w:after="0" w:line="119" w:lineRule="exact"/>
              <w:rPr>
                <w:sz w:val="20"/>
                <w:szCs w:val="20"/>
                <w:color w:val="auto"/>
              </w:rPr>
            </w:pPr>
            <w:r>
              <w:rPr>
                <w:rFonts w:ascii="Arial" w:cs="Arial" w:eastAsia="Arial" w:hAnsi="Arial"/>
                <w:sz w:val="13"/>
                <w:szCs w:val="13"/>
                <w:color w:val="auto"/>
              </w:rPr>
              <w:t>Fair Value</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2540" w:type="dxa"/>
            <w:vAlign w:val="bottom"/>
            <w:gridSpan w:val="2"/>
          </w:tcPr>
          <w:p>
            <w:pPr>
              <w:jc w:val="center"/>
              <w:ind w:left="790"/>
              <w:spacing w:after="0"/>
              <w:rPr>
                <w:sz w:val="20"/>
                <w:szCs w:val="20"/>
                <w:color w:val="auto"/>
              </w:rPr>
            </w:pPr>
            <w:r>
              <w:rPr>
                <w:rFonts w:ascii="Arial" w:cs="Arial" w:eastAsia="Arial" w:hAnsi="Arial"/>
                <w:sz w:val="14"/>
                <w:szCs w:val="14"/>
                <w:color w:val="auto"/>
                <w:w w:val="93"/>
              </w:rPr>
              <w:t>Hierarchy</w:t>
            </w: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rPr>
                <w:sz w:val="20"/>
                <w:szCs w:val="20"/>
                <w:color w:val="auto"/>
              </w:rPr>
            </w:pPr>
            <w:r>
              <w:rPr>
                <w:rFonts w:ascii="Arial" w:cs="Arial" w:eastAsia="Arial" w:hAnsi="Arial"/>
                <w:sz w:val="14"/>
                <w:szCs w:val="14"/>
                <w:color w:val="auto"/>
              </w:rPr>
              <w:t>with unrealized losses for less than 12 months</w:t>
            </w:r>
          </w:p>
        </w:tc>
        <w:tc>
          <w:tcPr>
            <w:tcW w:w="25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gains</w:t>
            </w:r>
          </w:p>
        </w:tc>
        <w:tc>
          <w:tcPr>
            <w:tcW w:w="22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U.S. Treasury and agency notes</w:t>
            </w:r>
          </w:p>
        </w:tc>
        <w:tc>
          <w:tcPr>
            <w:tcW w:w="2280" w:type="dxa"/>
            <w:vAlign w:val="bottom"/>
            <w:tcBorders>
              <w:bottom w:val="single" w:sz="8" w:color="CCEEFF"/>
            </w:tcBorders>
          </w:tcPr>
          <w:p>
            <w:pPr>
              <w:jc w:val="center"/>
              <w:ind w:left="1050"/>
              <w:spacing w:after="0"/>
              <w:rPr>
                <w:sz w:val="20"/>
                <w:szCs w:val="20"/>
                <w:color w:val="auto"/>
              </w:rPr>
            </w:pPr>
            <w:r>
              <w:rPr>
                <w:rFonts w:ascii="Arial" w:cs="Arial" w:eastAsia="Arial" w:hAnsi="Arial"/>
                <w:sz w:val="14"/>
                <w:szCs w:val="14"/>
                <w:color w:val="auto"/>
                <w:w w:val="97"/>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notes</w:t>
            </w:r>
          </w:p>
        </w:tc>
        <w:tc>
          <w:tcPr>
            <w:tcW w:w="2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rPr>
                <w:sz w:val="20"/>
                <w:szCs w:val="20"/>
                <w:color w:val="auto"/>
              </w:rPr>
            </w:pPr>
            <w:r>
              <w:rPr>
                <w:rFonts w:ascii="Arial" w:cs="Arial" w:eastAsia="Arial" w:hAnsi="Arial"/>
                <w:sz w:val="14"/>
                <w:szCs w:val="14"/>
                <w:color w:val="auto"/>
              </w:rPr>
              <w:t>with unrealized losses for less than 12 months</w:t>
            </w: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gains</w:t>
            </w:r>
          </w:p>
        </w:tc>
        <w:tc>
          <w:tcPr>
            <w:tcW w:w="22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Corporate notes</w:t>
            </w:r>
          </w:p>
        </w:tc>
        <w:tc>
          <w:tcPr>
            <w:tcW w:w="2280" w:type="dxa"/>
            <w:vAlign w:val="bottom"/>
            <w:tcBorders>
              <w:bottom w:val="single" w:sz="8" w:color="CCEEFF"/>
            </w:tcBorders>
          </w:tcPr>
          <w:p>
            <w:pPr>
              <w:jc w:val="center"/>
              <w:ind w:left="1050"/>
              <w:spacing w:after="0"/>
              <w:rPr>
                <w:sz w:val="20"/>
                <w:szCs w:val="20"/>
                <w:color w:val="auto"/>
              </w:rPr>
            </w:pPr>
            <w:r>
              <w:rPr>
                <w:rFonts w:ascii="Arial" w:cs="Arial" w:eastAsia="Arial" w:hAnsi="Arial"/>
                <w:sz w:val="14"/>
                <w:szCs w:val="14"/>
                <w:color w:val="auto"/>
                <w:w w:val="97"/>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Arial" w:cs="Arial" w:eastAsia="Arial" w:hAnsi="Arial"/>
                <w:sz w:val="14"/>
                <w:szCs w:val="14"/>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1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1" w:name="page12"/>
    <w:bookmarkEnd w:id="11"/>
    <w:p>
      <w:pPr>
        <w:jc w:val="both"/>
        <w:ind w:right="80"/>
        <w:spacing w:after="0" w:line="262" w:lineRule="auto"/>
        <w:rPr>
          <w:sz w:val="20"/>
          <w:szCs w:val="20"/>
          <w:color w:val="auto"/>
        </w:rPr>
      </w:pPr>
      <w:r>
        <w:rPr>
          <w:rFonts w:ascii="Arial" w:cs="Arial" w:eastAsia="Arial" w:hAnsi="Arial"/>
          <w:sz w:val="14"/>
          <w:szCs w:val="14"/>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2021 the Company has not recorded any credit losses.</w:t>
      </w:r>
    </w:p>
    <w:p>
      <w:pPr>
        <w:spacing w:after="0" w:line="50" w:lineRule="exact"/>
        <w:rPr>
          <w:sz w:val="20"/>
          <w:szCs w:val="20"/>
          <w:color w:val="auto"/>
        </w:rPr>
      </w:pPr>
    </w:p>
    <w:p>
      <w:pPr>
        <w:jc w:val="both"/>
        <w:ind w:right="80"/>
        <w:spacing w:after="0" w:line="321" w:lineRule="auto"/>
        <w:rPr>
          <w:sz w:val="20"/>
          <w:szCs w:val="20"/>
          <w:color w:val="auto"/>
        </w:rPr>
      </w:pPr>
      <w:r>
        <w:rPr>
          <w:rFonts w:ascii="Arial" w:cs="Arial" w:eastAsia="Arial" w:hAnsi="Arial"/>
          <w:sz w:val="13"/>
          <w:szCs w:val="13"/>
          <w:color w:val="auto"/>
        </w:rPr>
        <w:t>At June 30, 2021, the fair market value of marketable securities was $2,000 below their cost basis. The Company’s gross unrealized holding gains equaled $2,000 and gross unrealized holding losses equaled $4,000. As of June 30, 2021, the adjustment to accumulated other comprehensive loss reflected a decline in market value of $7,000, including estimated taxes of $2,000.</w:t>
      </w:r>
    </w:p>
    <w:p>
      <w:pPr>
        <w:spacing w:after="0" w:line="14" w:lineRule="exact"/>
        <w:rPr>
          <w:sz w:val="20"/>
          <w:szCs w:val="20"/>
          <w:color w:val="auto"/>
        </w:rPr>
      </w:pPr>
    </w:p>
    <w:p>
      <w:pPr>
        <w:spacing w:after="0" w:line="331" w:lineRule="auto"/>
        <w:rPr>
          <w:sz w:val="20"/>
          <w:szCs w:val="20"/>
          <w:color w:val="auto"/>
        </w:rPr>
      </w:pPr>
      <w:r>
        <w:rPr>
          <w:rFonts w:ascii="Arial" w:cs="Arial" w:eastAsia="Arial" w:hAnsi="Arial"/>
          <w:sz w:val="12"/>
          <w:szCs w:val="12"/>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$48,000 as of June 30, 2021, and was included within the Other Assets line item of the Consolidated Balance Sheets. The Company elected not to measure an allowance for credit losses on accrued interest receivable as an allowance on possible uncollectible accrued interest is not warranted.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 Treasury and agency notes</w:t>
      </w:r>
    </w:p>
    <w:p>
      <w:pPr>
        <w:spacing w:after="0" w:line="83" w:lineRule="exact"/>
        <w:rPr>
          <w:sz w:val="20"/>
          <w:szCs w:val="20"/>
          <w:color w:val="auto"/>
        </w:rPr>
      </w:pPr>
    </w:p>
    <w:p>
      <w:pPr>
        <w:ind w:right="140"/>
        <w:spacing w:after="0" w:line="288" w:lineRule="auto"/>
        <w:rPr>
          <w:sz w:val="20"/>
          <w:szCs w:val="20"/>
          <w:color w:val="auto"/>
        </w:rPr>
      </w:pPr>
      <w:r>
        <w:rPr>
          <w:rFonts w:ascii="Arial" w:cs="Arial" w:eastAsia="Arial" w:hAnsi="Arial"/>
          <w:sz w:val="13"/>
          <w:szCs w:val="13"/>
          <w:color w:val="auto"/>
        </w:rPr>
        <w:t>The unrealized losses on the Company's investments in U.S. Treasury and agency notes at June 30, 2021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June 30, 2021, the Company did not intend to sell these securities and it is not more-likely-than-not that the Company would be required to sell these securities before recovery of their cost basis. Therefore, these investments did not require an ACL as of June 30, 2021.</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Corporate notes</w:t>
      </w:r>
    </w:p>
    <w:p>
      <w:pPr>
        <w:spacing w:after="0" w:line="72"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June 30, 2021 and December 31, 2020, the Company did not intend to sell these securities and it is not more-likely-than-not that the Company would be required to sell these securities before recovery of their cost basis. Therefore, these investments did not require an ACL as of June 30, 2021 and December 31,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The following tables summarize the maturities, at par, of marketable securities as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6"/>
        </w:trPr>
        <w:tc>
          <w:tcPr>
            <w:tcW w:w="7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June 30, 2021</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w:t>
            </w:r>
          </w:p>
        </w:tc>
      </w:tr>
      <w:tr>
        <w:trPr>
          <w:trHeight w:val="196"/>
        </w:trPr>
        <w:tc>
          <w:tcPr>
            <w:tcW w:w="7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1"/>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color w:val="auto"/>
              </w:rPr>
              <w:t>December 31, 2020</w:t>
            </w:r>
          </w:p>
        </w:tc>
      </w:tr>
      <w:tr>
        <w:trPr>
          <w:trHeight w:val="17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r>
      <w:tr>
        <w:trPr>
          <w:trHeight w:val="196"/>
        </w:trPr>
        <w:tc>
          <w:tcPr>
            <w:tcW w:w="7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investments in corporate notes are with companies that have an investment grade rating from Standard &amp; Poor’s as of June 30, 2021.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12" w:name="page13"/>
    <w:bookmarkEnd w:id="12"/>
    <w:p>
      <w:pPr>
        <w:ind w:left="280" w:hanging="275"/>
        <w:spacing w:after="0"/>
        <w:tabs>
          <w:tab w:leader="none" w:pos="2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2"/>
          </w:tcPr>
          <w:p>
            <w:pPr>
              <w:ind w:left="320"/>
              <w:spacing w:after="0"/>
              <w:rPr>
                <w:sz w:val="20"/>
                <w:szCs w:val="20"/>
                <w:color w:val="auto"/>
              </w:rPr>
            </w:pPr>
            <w:r>
              <w:rPr>
                <w:rFonts w:ascii="Arial" w:cs="Arial" w:eastAsia="Arial" w:hAnsi="Arial"/>
                <w:sz w:val="14"/>
                <w:szCs w:val="14"/>
                <w:color w:val="auto"/>
              </w:rPr>
              <w:t>June 30, 2021</w:t>
            </w:r>
          </w:p>
        </w:tc>
        <w:tc>
          <w:tcPr>
            <w:tcW w:w="340" w:type="dxa"/>
            <w:vAlign w:val="bottom"/>
          </w:tcPr>
          <w:p>
            <w:pPr>
              <w:spacing w:after="0"/>
              <w:rPr>
                <w:sz w:val="15"/>
                <w:szCs w:val="15"/>
                <w:color w:val="auto"/>
              </w:rPr>
            </w:pPr>
          </w:p>
        </w:tc>
        <w:tc>
          <w:tcPr>
            <w:tcW w:w="1920" w:type="dxa"/>
            <w:vAlign w:val="bottom"/>
          </w:tcPr>
          <w:p>
            <w:pPr>
              <w:jc w:val="right"/>
              <w:ind w:right="50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Arial" w:cs="Arial" w:eastAsia="Arial" w:hAnsi="Arial"/>
                <w:sz w:val="14"/>
                <w:szCs w:val="14"/>
                <w:color w:val="auto"/>
              </w:rPr>
              <w:t>Real estate development</w:t>
            </w:r>
          </w:p>
        </w:tc>
        <w:tc>
          <w:tcPr>
            <w:tcW w:w="24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Mountain Village</w:t>
            </w:r>
          </w:p>
        </w:tc>
        <w:tc>
          <w:tcPr>
            <w:tcW w:w="288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146,662</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Centennial</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109,829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108,600</w:t>
            </w: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Grapevine</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36,815</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Tejon Ranch Commerce Center</w:t>
            </w:r>
          </w:p>
        </w:tc>
        <w:tc>
          <w:tcPr>
            <w:tcW w:w="24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development</w:t>
            </w:r>
          </w:p>
        </w:tc>
        <w:tc>
          <w:tcPr>
            <w:tcW w:w="2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313,090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Tejon Ranch Commerce Center</w:t>
            </w:r>
          </w:p>
        </w:tc>
        <w:tc>
          <w:tcPr>
            <w:tcW w:w="288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20,594</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20,595</w:t>
            </w: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accumulated depreciation</w:t>
            </w:r>
          </w:p>
        </w:tc>
        <w:tc>
          <w:tcPr>
            <w:tcW w:w="24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24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Arial" w:cs="Arial" w:eastAsia="Arial" w:hAnsi="Arial"/>
                <w:sz w:val="14"/>
                <w:szCs w:val="14"/>
                <w:color w:val="auto"/>
              </w:rPr>
              <w:t>13</w:t>
            </w: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3" w:name="page14"/>
    <w:bookmarkEnd w:id="13"/>
    <w:p>
      <w:pPr>
        <w:ind w:left="280" w:hanging="275"/>
        <w:spacing w:after="0"/>
        <w:tabs>
          <w:tab w:leader="none" w:pos="2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LONG-TERM WATER ASSETS</w:t>
      </w:r>
    </w:p>
    <w:p>
      <w:pPr>
        <w:spacing w:after="0" w:line="87"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3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initial term of the water purchase agreement with Nickel runs to 2044 and includes a Company option to extend the contract for an additional 35 years. The purchase cost of water in 2021 is $817 per acre-foot. The purchase cost is subject to annual cost increases based on the greater of the consumer price index or 3%.</w:t>
      </w:r>
    </w:p>
    <w:p>
      <w:pPr>
        <w:spacing w:after="0" w:line="37"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Water revenues and cost of sales were as follows ($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40" w:type="dxa"/>
            <w:vAlign w:val="bottom"/>
          </w:tcPr>
          <w:p>
            <w:pPr>
              <w:spacing w:after="0"/>
              <w:rPr>
                <w:sz w:val="15"/>
                <w:szCs w:val="15"/>
                <w:color w:val="auto"/>
              </w:rPr>
            </w:pPr>
          </w:p>
        </w:tc>
        <w:tc>
          <w:tcPr>
            <w:tcW w:w="1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June 30, 2021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June 30, 2020</w:t>
            </w: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Acre-Feet Sold</w:t>
            </w:r>
          </w:p>
        </w:tc>
        <w:tc>
          <w:tcPr>
            <w:tcW w:w="1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10,596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4,625</w:t>
            </w:r>
          </w:p>
        </w:tc>
      </w:tr>
      <w:tr>
        <w:trPr>
          <w:trHeight w:val="75"/>
        </w:trPr>
        <w:tc>
          <w:tcPr>
            <w:tcW w:w="6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700" w:type="dxa"/>
            <w:vAlign w:val="bottom"/>
            <w:shd w:val="clear" w:color="auto" w:fill="CCEEFF"/>
          </w:tcPr>
          <w:p>
            <w:pPr>
              <w:jc w:val="right"/>
              <w:ind w:right="154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1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The costs assigned to water assets held for future use were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June 30, 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December 31, 2020</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Water available for banking, sales, or internal use</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30,642</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00" w:type="dxa"/>
            <w:vAlign w:val="bottom"/>
            <w:gridSpan w:val="5"/>
          </w:tcPr>
          <w:p>
            <w:pPr>
              <w:spacing w:after="0"/>
              <w:rPr>
                <w:sz w:val="20"/>
                <w:szCs w:val="20"/>
                <w:color w:val="auto"/>
              </w:rPr>
            </w:pPr>
            <w:r>
              <w:rPr>
                <w:rFonts w:ascii="Arial" w:cs="Arial" w:eastAsia="Arial" w:hAnsi="Arial"/>
                <w:sz w:val="14"/>
                <w:szCs w:val="14"/>
                <w:color w:val="auto"/>
                <w:w w:val="93"/>
              </w:rPr>
              <w:t>The Company's carrying amounts of its purchased water contracts were as follows ($ 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420"/>
              <w:spacing w:after="0"/>
              <w:rPr>
                <w:sz w:val="20"/>
                <w:szCs w:val="20"/>
                <w:color w:val="auto"/>
              </w:rPr>
            </w:pPr>
            <w:r>
              <w:rPr>
                <w:rFonts w:ascii="Arial" w:cs="Arial" w:eastAsia="Arial" w:hAnsi="Arial"/>
                <w:sz w:val="14"/>
                <w:szCs w:val="14"/>
                <w:color w:val="auto"/>
              </w:rPr>
              <w:t>June 30, 2021</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Arial" w:cs="Arial" w:eastAsia="Arial" w:hAnsi="Arial"/>
                <w:sz w:val="14"/>
                <w:szCs w:val="14"/>
                <w:color w:val="auto"/>
                <w:w w:val="92"/>
              </w:rPr>
              <w:t>December 31, 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w w:val="95"/>
              </w:rPr>
              <w:t>Accumulated Depreciation</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5"/>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(4,926)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(13,020)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(12,340)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23,780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cost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30,642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32,238</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54,422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4" w:name="page15"/>
    <w:bookmarkEnd w:id="14"/>
    <w:p>
      <w:pPr>
        <w:ind w:right="420"/>
        <w:spacing w:after="0" w:line="267" w:lineRule="auto"/>
        <w:rPr>
          <w:sz w:val="20"/>
          <w:szCs w:val="20"/>
          <w:color w:val="auto"/>
        </w:rPr>
      </w:pPr>
      <w:r>
        <w:rPr>
          <w:rFonts w:ascii="Arial" w:cs="Arial" w:eastAsia="Arial" w:hAnsi="Arial"/>
          <w:sz w:val="14"/>
          <w:szCs w:val="14"/>
          <w:color w:val="auto"/>
        </w:rPr>
        <w:t>Water contracts with the Wheeler Ridge Maricopa Water Storage District, or WRMWSD, and TCWD are also in place, but were entered into with each district at the inception of the respective contracts, and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(in acre-feet, unaudited)</w:t>
            </w:r>
          </w:p>
        </w:tc>
        <w:tc>
          <w:tcPr>
            <w:tcW w:w="2620" w:type="dxa"/>
            <w:vAlign w:val="bottom"/>
            <w:gridSpan w:val="2"/>
          </w:tcPr>
          <w:p>
            <w:pPr>
              <w:ind w:left="880"/>
              <w:spacing w:after="0"/>
              <w:rPr>
                <w:sz w:val="20"/>
                <w:szCs w:val="20"/>
                <w:color w:val="auto"/>
              </w:rPr>
            </w:pPr>
            <w:r>
              <w:rPr>
                <w:rFonts w:ascii="Arial" w:cs="Arial" w:eastAsia="Arial" w:hAnsi="Arial"/>
                <w:sz w:val="14"/>
                <w:szCs w:val="14"/>
                <w:color w:val="auto"/>
              </w:rPr>
              <w:t>June 30, 2021</w:t>
            </w:r>
          </w:p>
        </w:tc>
        <w:tc>
          <w:tcPr>
            <w:tcW w:w="2420" w:type="dxa"/>
            <w:vAlign w:val="bottom"/>
          </w:tcPr>
          <w:p>
            <w:pPr>
              <w:jc w:val="right"/>
              <w:ind w:right="589"/>
              <w:spacing w:after="0"/>
              <w:rPr>
                <w:sz w:val="20"/>
                <w:szCs w:val="20"/>
                <w:color w:val="auto"/>
              </w:rPr>
            </w:pPr>
            <w:r>
              <w:rPr>
                <w:rFonts w:ascii="Arial" w:cs="Arial" w:eastAsia="Arial" w:hAnsi="Arial"/>
                <w:sz w:val="14"/>
                <w:szCs w:val="14"/>
                <w:color w:val="auto"/>
              </w:rPr>
              <w:t>December 31, 2020</w:t>
            </w:r>
          </w:p>
        </w:tc>
      </w:tr>
      <w:tr>
        <w:trPr>
          <w:trHeight w:val="161"/>
        </w:trPr>
        <w:tc>
          <w:tcPr>
            <w:tcW w:w="6240" w:type="dxa"/>
            <w:vAlign w:val="bottom"/>
          </w:tcPr>
          <w:p>
            <w:pPr>
              <w:ind w:left="20"/>
              <w:spacing w:after="0"/>
              <w:rPr>
                <w:sz w:val="20"/>
                <w:szCs w:val="20"/>
                <w:color w:val="auto"/>
              </w:rPr>
            </w:pPr>
            <w:r>
              <w:rPr>
                <w:rFonts w:ascii="Arial" w:cs="Arial" w:eastAsia="Arial" w:hAnsi="Arial"/>
                <w:sz w:val="14"/>
                <w:szCs w:val="14"/>
                <w:color w:val="auto"/>
              </w:rPr>
              <w:t>Water held for future use</w:t>
            </w:r>
          </w:p>
        </w:tc>
        <w:tc>
          <w:tcPr>
            <w:tcW w:w="2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58,270</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61,054</w:t>
            </w: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Company water bank</w:t>
            </w:r>
          </w:p>
        </w:tc>
        <w:tc>
          <w:tcPr>
            <w:tcW w:w="2520" w:type="dxa"/>
            <w:vAlign w:val="bottom"/>
          </w:tcPr>
          <w:p>
            <w:pPr>
              <w:jc w:val="right"/>
              <w:spacing w:after="0"/>
              <w:rPr>
                <w:sz w:val="20"/>
                <w:szCs w:val="20"/>
                <w:color w:val="auto"/>
              </w:rPr>
            </w:pPr>
            <w:r>
              <w:rPr>
                <w:rFonts w:ascii="Arial" w:cs="Arial" w:eastAsia="Arial" w:hAnsi="Arial"/>
                <w:sz w:val="14"/>
                <w:szCs w:val="14"/>
                <w:color w:val="auto"/>
              </w:rPr>
              <w:t>50,349</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50,349</w:t>
            </w: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r>
      <w:tr>
        <w:trPr>
          <w:trHeight w:val="171"/>
        </w:trPr>
        <w:tc>
          <w:tcPr>
            <w:tcW w:w="6240" w:type="dxa"/>
            <w:vAlign w:val="bottom"/>
          </w:tcPr>
          <w:p>
            <w:pPr>
              <w:ind w:left="280"/>
              <w:spacing w:after="0"/>
              <w:rPr>
                <w:sz w:val="20"/>
                <w:szCs w:val="20"/>
                <w:color w:val="auto"/>
              </w:rPr>
            </w:pPr>
            <w:r>
              <w:rPr>
                <w:rFonts w:ascii="Arial" w:cs="Arial" w:eastAsia="Arial" w:hAnsi="Arial"/>
                <w:sz w:val="14"/>
                <w:szCs w:val="14"/>
                <w:color w:val="auto"/>
              </w:rPr>
              <w:t>Total water held for future use</w:t>
            </w:r>
          </w:p>
        </w:tc>
        <w:tc>
          <w:tcPr>
            <w:tcW w:w="2520" w:type="dxa"/>
            <w:vAlign w:val="bottom"/>
          </w:tcPr>
          <w:p>
            <w:pPr>
              <w:jc w:val="right"/>
              <w:spacing w:after="0"/>
              <w:rPr>
                <w:sz w:val="20"/>
                <w:szCs w:val="20"/>
                <w:color w:val="auto"/>
              </w:rPr>
            </w:pPr>
            <w:r>
              <w:rPr>
                <w:rFonts w:ascii="Arial" w:cs="Arial" w:eastAsia="Arial" w:hAnsi="Arial"/>
                <w:sz w:val="14"/>
                <w:szCs w:val="14"/>
                <w:color w:val="auto"/>
              </w:rPr>
              <w:t>112,422</w:t>
            </w:r>
          </w:p>
        </w:tc>
        <w:tc>
          <w:tcPr>
            <w:tcW w:w="1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117,041</w:t>
            </w:r>
          </w:p>
        </w:tc>
      </w:tr>
      <w:tr>
        <w:trPr>
          <w:trHeight w:val="18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water contracts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Water Contracts (Dudley-Ridge, Nickel and Tulare)</w:t>
            </w:r>
          </w:p>
        </w:tc>
        <w:tc>
          <w:tcPr>
            <w:tcW w:w="2520" w:type="dxa"/>
            <w:vAlign w:val="bottom"/>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10,137</w:t>
            </w: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15,547</w:t>
            </w:r>
          </w:p>
        </w:tc>
      </w:tr>
      <w:tr>
        <w:trPr>
          <w:trHeight w:val="180"/>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r>
      <w:tr>
        <w:trPr>
          <w:trHeight w:val="171"/>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c>
          <w:tcPr>
            <w:tcW w:w="100" w:type="dxa"/>
            <w:vAlign w:val="bottom"/>
            <w:shd w:val="clear" w:color="auto" w:fill="CCEEFF"/>
          </w:tcPr>
          <w:p>
            <w:pPr>
              <w:spacing w:after="0"/>
              <w:rPr>
                <w:sz w:val="14"/>
                <w:szCs w:val="14"/>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r>
      <w:tr>
        <w:trPr>
          <w:trHeight w:val="171"/>
        </w:trPr>
        <w:tc>
          <w:tcPr>
            <w:tcW w:w="6240" w:type="dxa"/>
            <w:vAlign w:val="bottom"/>
          </w:tcPr>
          <w:p>
            <w:pPr>
              <w:ind w:left="20"/>
              <w:spacing w:after="0"/>
              <w:rPr>
                <w:sz w:val="20"/>
                <w:szCs w:val="20"/>
                <w:color w:val="auto"/>
              </w:rPr>
            </w:pPr>
            <w:r>
              <w:rPr>
                <w:rFonts w:ascii="Arial" w:cs="Arial" w:eastAsia="Arial" w:hAnsi="Arial"/>
                <w:sz w:val="14"/>
                <w:szCs w:val="14"/>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143,855</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148,474</w:t>
            </w:r>
          </w:p>
        </w:tc>
      </w:tr>
      <w:tr>
        <w:trPr>
          <w:trHeight w:val="20"/>
        </w:trPr>
        <w:tc>
          <w:tcPr>
            <w:tcW w:w="62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2021 is $1,188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6.   ACCRUED LIABILITIES AND OTHER</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gridSpan w:val="2"/>
          </w:tcPr>
          <w:p>
            <w:pPr>
              <w:spacing w:after="0"/>
              <w:rPr>
                <w:sz w:val="20"/>
                <w:szCs w:val="20"/>
                <w:color w:val="auto"/>
              </w:rPr>
            </w:pPr>
            <w:r>
              <w:rPr>
                <w:rFonts w:ascii="Arial" w:cs="Arial" w:eastAsia="Arial" w:hAnsi="Arial"/>
                <w:sz w:val="14"/>
                <w:szCs w:val="14"/>
                <w:color w:val="auto"/>
              </w:rPr>
              <w:t>Accrued liabilities and other consisted of the following:</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June 30, 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vacation</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Accrued paid personal leave</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bonus</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7.   LINE OF CREDIT AND LONG-TERM DEBT</w:t>
            </w: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520" w:type="dxa"/>
            <w:vAlign w:val="bottom"/>
            <w:gridSpan w:val="2"/>
          </w:tcPr>
          <w:p>
            <w:pPr>
              <w:spacing w:after="0"/>
              <w:rPr>
                <w:sz w:val="20"/>
                <w:szCs w:val="20"/>
                <w:color w:val="auto"/>
              </w:rPr>
            </w:pPr>
            <w:r>
              <w:rPr>
                <w:rFonts w:ascii="Arial" w:cs="Arial" w:eastAsia="Arial" w:hAnsi="Arial"/>
                <w:sz w:val="14"/>
                <w:szCs w:val="14"/>
                <w:color w:val="auto"/>
              </w:rPr>
              <w:t>Debt consisted of the following:</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2"/>
          </w:tcPr>
          <w:p>
            <w:pPr>
              <w:ind w:left="320"/>
              <w:spacing w:after="0"/>
              <w:rPr>
                <w:sz w:val="20"/>
                <w:szCs w:val="20"/>
                <w:color w:val="auto"/>
              </w:rPr>
            </w:pPr>
            <w:r>
              <w:rPr>
                <w:rFonts w:ascii="Arial" w:cs="Arial" w:eastAsia="Arial" w:hAnsi="Arial"/>
                <w:sz w:val="14"/>
                <w:szCs w:val="14"/>
                <w:color w:val="auto"/>
              </w:rPr>
              <w:t>June 30,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jc w:val="right"/>
              <w:ind w:right="5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440" w:type="dxa"/>
            <w:vAlign w:val="bottom"/>
            <w:tcBorders>
              <w:top w:val="single" w:sz="8" w:color="auto"/>
            </w:tcBorders>
            <w:gridSpan w:val="2"/>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54,945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Less: line-of-credit and current maturities of long-term debt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(4,381)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deferred loan costs</w:t>
            </w:r>
          </w:p>
        </w:tc>
        <w:tc>
          <w:tcPr>
            <w:tcW w:w="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44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Please refer to the Capital Structure and Financial Condition section of Management's Discussion and Analysis of Financial Condition and Results of Operations for further discussion on the Company's Line of Credit and Long-Term Debt.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ind w:left="280" w:hanging="275"/>
        <w:spacing w:after="0"/>
        <w:tabs>
          <w:tab w:leader="none" w:pos="2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OTHER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Pr>
          <w:p>
            <w:pPr>
              <w:spacing w:after="0"/>
              <w:rPr>
                <w:sz w:val="15"/>
                <w:szCs w:val="15"/>
                <w:color w:val="auto"/>
              </w:rPr>
            </w:pPr>
          </w:p>
        </w:tc>
        <w:tc>
          <w:tcPr>
            <w:tcW w:w="1980" w:type="dxa"/>
            <w:vAlign w:val="bottom"/>
            <w:gridSpan w:val="2"/>
          </w:tcPr>
          <w:p>
            <w:pPr>
              <w:ind w:left="340"/>
              <w:spacing w:after="0"/>
              <w:rPr>
                <w:sz w:val="20"/>
                <w:szCs w:val="20"/>
                <w:color w:val="auto"/>
              </w:rPr>
            </w:pPr>
            <w:r>
              <w:rPr>
                <w:rFonts w:ascii="Arial" w:cs="Arial" w:eastAsia="Arial" w:hAnsi="Arial"/>
                <w:sz w:val="14"/>
                <w:szCs w:val="14"/>
                <w:color w:val="auto"/>
              </w:rPr>
              <w:t>June 30, 2021</w:t>
            </w:r>
          </w:p>
        </w:tc>
        <w:tc>
          <w:tcPr>
            <w:tcW w:w="340" w:type="dxa"/>
            <w:vAlign w:val="bottom"/>
          </w:tcPr>
          <w:p>
            <w:pPr>
              <w:spacing w:after="0"/>
              <w:rPr>
                <w:sz w:val="15"/>
                <w:szCs w:val="15"/>
                <w:color w:val="auto"/>
              </w:rPr>
            </w:pPr>
          </w:p>
        </w:tc>
        <w:tc>
          <w:tcPr>
            <w:tcW w:w="1960" w:type="dxa"/>
            <w:vAlign w:val="bottom"/>
          </w:tcPr>
          <w:p>
            <w:pPr>
              <w:jc w:val="right"/>
              <w:ind w:right="529"/>
              <w:spacing w:after="0"/>
              <w:rPr>
                <w:sz w:val="20"/>
                <w:szCs w:val="20"/>
                <w:color w:val="auto"/>
              </w:rPr>
            </w:pPr>
            <w:r>
              <w:rPr>
                <w:rFonts w:ascii="Arial" w:cs="Arial" w:eastAsia="Arial" w:hAnsi="Arial"/>
                <w:sz w:val="14"/>
                <w:szCs w:val="14"/>
                <w:color w:val="auto"/>
              </w:rPr>
              <w:t>December 31, 2020</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liability (Note 13)</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Interest rate swap liability (Note 10)</w:t>
            </w:r>
          </w:p>
        </w:tc>
        <w:tc>
          <w:tcPr>
            <w:tcW w:w="4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4,148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5,929</w:t>
            </w:r>
          </w:p>
        </w:tc>
      </w:tr>
      <w:tr>
        <w:trPr>
          <w:trHeight w:val="18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executive retirement plan liability (Note 13)</w:t>
            </w:r>
          </w:p>
        </w:tc>
        <w:tc>
          <w:tcPr>
            <w:tcW w:w="4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8,419</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Excess joint venture distributions and other</w:t>
            </w: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 the captions presented in the table above, please refer to the respective Notes to Unaudited Consolidated Financial Statements for further detail.</w:t>
      </w:r>
    </w:p>
    <w:p>
      <w:pPr>
        <w:spacing w:after="0" w:line="132" w:lineRule="exact"/>
        <w:rPr>
          <w:sz w:val="20"/>
          <w:szCs w:val="20"/>
          <w:color w:val="auto"/>
        </w:rPr>
      </w:pPr>
    </w:p>
    <w:p>
      <w:pPr>
        <w:ind w:left="280" w:hanging="275"/>
        <w:spacing w:after="0"/>
        <w:tabs>
          <w:tab w:leader="none" w:pos="2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STOCK COMPENSATION - RESTRICTED STOCK AND PERFORMANCE SHARE GRANTS</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Company’s stock incentive plans provide for making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also known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3"/>
          <w:szCs w:val="13"/>
          <w:i w:val="1"/>
          <w:iCs w:val="1"/>
          <w:color w:val="auto"/>
        </w:rPr>
        <w:t>Monte Carlo</w:t>
      </w:r>
      <w:r>
        <w:rPr>
          <w:rFonts w:ascii="Arial" w:cs="Arial" w:eastAsia="Arial" w:hAnsi="Arial"/>
          <w:sz w:val="13"/>
          <w:szCs w:val="13"/>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Performance Condition Grants as of the six months ended June 30, 2021:</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060" w:type="dxa"/>
            <w:vAlign w:val="bottom"/>
            <w:tcBorders>
              <w:bottom w:val="single" w:sz="8" w:color="auto"/>
            </w:tcBorders>
          </w:tcPr>
          <w:p>
            <w:pPr>
              <w:spacing w:after="0"/>
              <w:rPr>
                <w:sz w:val="15"/>
                <w:szCs w:val="15"/>
                <w:color w:val="auto"/>
              </w:rPr>
            </w:pPr>
          </w:p>
        </w:tc>
        <w:tc>
          <w:tcPr>
            <w:tcW w:w="8180" w:type="dxa"/>
            <w:vAlign w:val="bottom"/>
            <w:tcBorders>
              <w:bottom w:val="single" w:sz="8" w:color="auto"/>
            </w:tcBorders>
          </w:tcPr>
          <w:p>
            <w:pPr>
              <w:jc w:val="right"/>
              <w:ind w:right="4669"/>
              <w:spacing w:after="0"/>
              <w:rPr>
                <w:sz w:val="20"/>
                <w:szCs w:val="20"/>
                <w:color w:val="auto"/>
              </w:rPr>
            </w:pPr>
            <w:r>
              <w:rPr>
                <w:rFonts w:ascii="Arial" w:cs="Arial" w:eastAsia="Arial" w:hAnsi="Arial"/>
                <w:sz w:val="14"/>
                <w:szCs w:val="14"/>
                <w:color w:val="auto"/>
              </w:rPr>
              <w:t>Performance Condition Grants</w:t>
            </w:r>
          </w:p>
        </w:tc>
      </w:tr>
      <w:tr>
        <w:trPr>
          <w:trHeight w:val="17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Threshold performance</w:t>
            </w:r>
          </w:p>
        </w:tc>
        <w:tc>
          <w:tcPr>
            <w:tcW w:w="8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32,282</w:t>
            </w:r>
          </w:p>
        </w:tc>
      </w:tr>
      <w:tr>
        <w:trPr>
          <w:trHeight w:val="180"/>
        </w:trPr>
        <w:tc>
          <w:tcPr>
            <w:tcW w:w="3060" w:type="dxa"/>
            <w:vAlign w:val="bottom"/>
          </w:tcPr>
          <w:p>
            <w:pPr>
              <w:ind w:left="20"/>
              <w:spacing w:after="0"/>
              <w:rPr>
                <w:sz w:val="20"/>
                <w:szCs w:val="20"/>
                <w:color w:val="auto"/>
              </w:rPr>
            </w:pPr>
            <w:r>
              <w:rPr>
                <w:rFonts w:ascii="Arial" w:cs="Arial" w:eastAsia="Arial" w:hAnsi="Arial"/>
                <w:sz w:val="14"/>
                <w:szCs w:val="14"/>
                <w:color w:val="auto"/>
              </w:rPr>
              <w:t>Target performance</w:t>
            </w:r>
          </w:p>
        </w:tc>
        <w:tc>
          <w:tcPr>
            <w:tcW w:w="8180" w:type="dxa"/>
            <w:vAlign w:val="bottom"/>
          </w:tcPr>
          <w:p>
            <w:pPr>
              <w:jc w:val="right"/>
              <w:spacing w:after="0"/>
              <w:rPr>
                <w:sz w:val="20"/>
                <w:szCs w:val="20"/>
                <w:color w:val="auto"/>
              </w:rPr>
            </w:pPr>
            <w:r>
              <w:rPr>
                <w:rFonts w:ascii="Arial" w:cs="Arial" w:eastAsia="Arial" w:hAnsi="Arial"/>
                <w:sz w:val="14"/>
                <w:szCs w:val="14"/>
                <w:color w:val="auto"/>
              </w:rPr>
              <w:t>515,919</w:t>
            </w:r>
          </w:p>
        </w:tc>
      </w:tr>
      <w:tr>
        <w:trPr>
          <w:trHeight w:val="18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performance</w:t>
            </w:r>
          </w:p>
        </w:tc>
        <w:tc>
          <w:tcPr>
            <w:tcW w:w="8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924,338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the Company’s stock grant activity, both time and performance share grants, assuming target achievement for outstanding performance grants for the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June 30,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June 30,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Stock Grants Outstanding Beginning of Period at Target Achievement</w:t>
            </w:r>
          </w:p>
        </w:tc>
        <w:tc>
          <w:tcPr>
            <w:tcW w:w="390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New Stock Grants/Additional Shares due to Achievement in Excess of Target</w:t>
            </w:r>
          </w:p>
        </w:tc>
        <w:tc>
          <w:tcPr>
            <w:tcW w:w="6280" w:type="dxa"/>
            <w:vAlign w:val="bottom"/>
            <w:gridSpan w:val="2"/>
          </w:tcPr>
          <w:p>
            <w:pPr>
              <w:jc w:val="right"/>
              <w:spacing w:after="0"/>
              <w:rPr>
                <w:sz w:val="20"/>
                <w:szCs w:val="20"/>
                <w:color w:val="auto"/>
              </w:rPr>
            </w:pPr>
            <w:r>
              <w:rPr>
                <w:rFonts w:ascii="Arial" w:cs="Arial" w:eastAsia="Arial" w:hAnsi="Arial"/>
                <w:sz w:val="14"/>
                <w:szCs w:val="14"/>
                <w:color w:val="auto"/>
              </w:rPr>
              <w:t>50,379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Vested Grants</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(110,517)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Expired/Forfeited Grants</w:t>
            </w:r>
          </w:p>
        </w:tc>
        <w:tc>
          <w:tcPr>
            <w:tcW w:w="6280" w:type="dxa"/>
            <w:vAlign w:val="bottom"/>
            <w:gridSpan w:val="2"/>
          </w:tcPr>
          <w:p>
            <w:pPr>
              <w:jc w:val="right"/>
              <w:spacing w:after="0"/>
              <w:rPr>
                <w:sz w:val="20"/>
                <w:szCs w:val="20"/>
                <w:color w:val="auto"/>
              </w:rPr>
            </w:pPr>
            <w:r>
              <w:rPr>
                <w:rFonts w:ascii="Arial" w:cs="Arial" w:eastAsia="Arial" w:hAnsi="Arial"/>
                <w:sz w:val="14"/>
                <w:szCs w:val="14"/>
                <w:color w:val="auto"/>
              </w:rPr>
              <w:t>(23,956)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Grants Outstanding End of Period at Target Achievement</w:t>
            </w:r>
          </w:p>
        </w:tc>
        <w:tc>
          <w:tcPr>
            <w:tcW w:w="390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3109"/>
              <w:spacing w:after="0"/>
              <w:rPr>
                <w:sz w:val="20"/>
                <w:szCs w:val="20"/>
                <w:color w:val="auto"/>
              </w:rPr>
            </w:pPr>
            <w:r>
              <w:rPr>
                <w:rFonts w:ascii="Arial" w:cs="Arial" w:eastAsia="Arial" w:hAnsi="Arial"/>
                <w:sz w:val="14"/>
                <w:szCs w:val="14"/>
                <w:color w:val="auto"/>
              </w:rPr>
              <w:t>16</w:t>
            </w: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The following is a summary of the assumptions used to determine the price for the Company's market-based Performance Condition Grants for the six months ended June 30, 2021: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 in thousands except for share prices)</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Grant date</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12/12/2019</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03/11/2020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12/11/2020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03/18/2021</w:t>
            </w: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Vesting end</w:t>
            </w: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12/31/2023</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03/18/2024</w:t>
            </w: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 price at target achievement</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$18.80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$16.36</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$17.07</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$20.02</w:t>
            </w:r>
          </w:p>
        </w:tc>
      </w:tr>
      <w:tr>
        <w:trPr>
          <w:trHeight w:val="212"/>
        </w:trPr>
        <w:tc>
          <w:tcPr>
            <w:tcW w:w="3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80"/>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17.28%</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18.21%</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29.25%</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30.30%</w:t>
            </w: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1.69%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0.58%</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0.33%</w:t>
            </w:r>
          </w:p>
        </w:tc>
      </w:tr>
      <w:tr>
        <w:trPr>
          <w:trHeight w:val="212"/>
        </w:trPr>
        <w:tc>
          <w:tcPr>
            <w:tcW w:w="3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Simulated Monte Carlo share price</w:t>
            </w:r>
          </w:p>
        </w:tc>
        <w:tc>
          <w:tcPr>
            <w:tcW w:w="1840" w:type="dxa"/>
            <w:vAlign w:val="bottom"/>
          </w:tcPr>
          <w:p>
            <w:pPr>
              <w:jc w:val="center"/>
              <w:spacing w:after="0"/>
              <w:rPr>
                <w:sz w:val="20"/>
                <w:szCs w:val="20"/>
                <w:color w:val="auto"/>
              </w:rPr>
            </w:pPr>
            <w:r>
              <w:rPr>
                <w:rFonts w:ascii="Arial" w:cs="Arial" w:eastAsia="Arial" w:hAnsi="Arial"/>
                <w:sz w:val="14"/>
                <w:szCs w:val="14"/>
                <w:color w:val="auto"/>
                <w:w w:val="88"/>
              </w:rPr>
              <w:t>$11.95</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$5.87</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$15.59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$18.82</w:t>
            </w: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Shares granted</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6,327</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81,716</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3,628</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10,905</w:t>
            </w:r>
          </w:p>
        </w:tc>
      </w:tr>
      <w:tr>
        <w:trPr>
          <w:trHeight w:val="171"/>
        </w:trPr>
        <w:tc>
          <w:tcPr>
            <w:tcW w:w="3620" w:type="dxa"/>
            <w:vAlign w:val="bottom"/>
          </w:tcPr>
          <w:p>
            <w:pPr>
              <w:spacing w:after="0"/>
              <w:rPr>
                <w:sz w:val="20"/>
                <w:szCs w:val="20"/>
                <w:color w:val="auto"/>
              </w:rPr>
            </w:pPr>
            <w:r>
              <w:rPr>
                <w:rFonts w:ascii="Arial" w:cs="Arial" w:eastAsia="Arial" w:hAnsi="Arial"/>
                <w:sz w:val="14"/>
                <w:szCs w:val="14"/>
                <w:color w:val="auto"/>
              </w:rPr>
              <w:t>Total fair value of award</w:t>
            </w:r>
          </w:p>
        </w:tc>
        <w:tc>
          <w:tcPr>
            <w:tcW w:w="1840" w:type="dxa"/>
            <w:vAlign w:val="bottom"/>
          </w:tcPr>
          <w:p>
            <w:pPr>
              <w:jc w:val="center"/>
              <w:spacing w:after="0"/>
              <w:rPr>
                <w:sz w:val="20"/>
                <w:szCs w:val="20"/>
                <w:color w:val="auto"/>
              </w:rPr>
            </w:pPr>
            <w:r>
              <w:rPr>
                <w:rFonts w:ascii="Arial" w:cs="Arial" w:eastAsia="Arial" w:hAnsi="Arial"/>
                <w:sz w:val="14"/>
                <w:szCs w:val="14"/>
                <w:color w:val="auto"/>
                <w:w w:val="85"/>
              </w:rPr>
              <w:t>$76</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9"/>
              </w:rPr>
              <w:t>$480</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5"/>
              </w:rPr>
              <w:t>$57</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9"/>
              </w:rPr>
              <w:t>$205</w:t>
            </w:r>
          </w:p>
        </w:tc>
      </w:tr>
    </w:tbl>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 unamortized cost associated with unvested stock grants and the weighted average period over which it is expected to be recognized as of June 30, 2021 were $5,704,000 and 17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0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compensation costs for the Company's 1998 Stock Incentive Plan, or the Employee Plan, and NDSI Plan for the following periods: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 in thousands)</w:t>
            </w: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1240" w:type="dxa"/>
            <w:vAlign w:val="bottom"/>
            <w:tcBorders>
              <w:bottom w:val="single" w:sz="8" w:color="auto"/>
            </w:tcBorders>
          </w:tcPr>
          <w:p>
            <w:pPr>
              <w:spacing w:after="0"/>
              <w:rPr>
                <w:sz w:val="15"/>
                <w:szCs w:val="15"/>
                <w:color w:val="auto"/>
              </w:rPr>
            </w:pPr>
          </w:p>
        </w:tc>
      </w:tr>
      <w:tr>
        <w:trPr>
          <w:trHeight w:val="17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Employee Plan:</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2020</w:t>
            </w:r>
          </w:p>
        </w:tc>
      </w:tr>
      <w:tr>
        <w:trPr>
          <w:trHeight w:val="171"/>
        </w:trPr>
        <w:tc>
          <w:tcPr>
            <w:tcW w:w="7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r>
      <w:tr>
        <w:trPr>
          <w:trHeight w:val="180"/>
        </w:trPr>
        <w:tc>
          <w:tcPr>
            <w:tcW w:w="71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Capitalized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r>
      <w:tr>
        <w:trPr>
          <w:trHeight w:val="171"/>
        </w:trPr>
        <w:tc>
          <w:tcPr>
            <w:tcW w:w="7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w:t>
            </w:r>
          </w:p>
        </w:tc>
      </w:tr>
      <w:tr>
        <w:trPr>
          <w:trHeight w:val="180"/>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NDSI Plan - Expensed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 Compensation Costs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INTEREST RATE SWAP</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October 2014, the Company entered into an interest rate swap agreement to reduce its exposure to fluctuations in the floating interest rate tied to LIBOR under the term note with Wells Fargo, or the Term Note, as discussed within the Capital Structure and Financial Condition section of Management's Discussion and Analysis of Financial Condition and Results of Operations.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51"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During the quarter ended June 30, 2021, the interest rate swap agreement was deemed highly effective. Changes in fair value, including accrued interest and adjustments for non-performance risk, that qualify as cash flow hedges are classified 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accumulated other comprehensive income, or AOCI. Amounts classified in AOCI are subsequently reclassified into earnings in the period during which the hedged transactions affect earnings.</w:t>
      </w:r>
    </w:p>
    <w:p>
      <w:pPr>
        <w:spacing w:after="0" w:line="84"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As of June 30, 2021,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June 30, 2021 and December 31, 2020 ($ in thousands):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June 30, 2021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1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w w:val="91"/>
              </w:rPr>
              <w:t>Effective Date</w:t>
            </w:r>
          </w:p>
        </w:tc>
        <w:tc>
          <w:tcPr>
            <w:tcW w:w="19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color w:val="auto"/>
                <w:w w:val="96"/>
              </w:rPr>
              <w:t>Maturity Date</w:t>
            </w:r>
          </w:p>
        </w:tc>
        <w:tc>
          <w:tcPr>
            <w:tcW w:w="16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2"/>
              </w:rPr>
              <w:t>Fair Value Hierarchy</w:t>
            </w:r>
          </w:p>
        </w:tc>
        <w:tc>
          <w:tcPr>
            <w:tcW w:w="20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color w:val="auto"/>
                <w:w w:val="89"/>
              </w:rPr>
              <w:t>Weighted Average Interest Pay</w:t>
            </w:r>
          </w:p>
        </w:tc>
        <w:tc>
          <w:tcPr>
            <w:tcW w:w="12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w w:val="90"/>
              </w:rPr>
              <w:t>Fair Value</w:t>
            </w:r>
          </w:p>
        </w:tc>
        <w:tc>
          <w:tcPr>
            <w:tcW w:w="2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Notional Amount</w:t>
            </w:r>
          </w:p>
        </w:tc>
        <w:tc>
          <w:tcPr>
            <w:tcW w:w="0" w:type="dxa"/>
            <w:vAlign w:val="bottom"/>
          </w:tcPr>
          <w:p>
            <w:pPr>
              <w:spacing w:after="0"/>
              <w:rPr>
                <w:sz w:val="1"/>
                <w:szCs w:val="1"/>
                <w:color w:val="auto"/>
              </w:rPr>
            </w:pPr>
          </w:p>
        </w:tc>
      </w:tr>
      <w:tr>
        <w:trPr>
          <w:trHeight w:val="180"/>
        </w:trPr>
        <w:tc>
          <w:tcPr>
            <w:tcW w:w="21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22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$(4,148)</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$52,875</w:t>
            </w:r>
          </w:p>
        </w:tc>
        <w:tc>
          <w:tcPr>
            <w:tcW w:w="0" w:type="dxa"/>
            <w:vAlign w:val="bottom"/>
          </w:tcPr>
          <w:p>
            <w:pPr>
              <w:spacing w:after="0"/>
              <w:rPr>
                <w:sz w:val="1"/>
                <w:szCs w:val="1"/>
                <w:color w:val="auto"/>
              </w:rPr>
            </w:pPr>
          </w:p>
        </w:tc>
      </w:tr>
      <w:tr>
        <w:trPr>
          <w:trHeight w:val="339"/>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color w:val="auto"/>
              </w:rPr>
              <w:t>December 31, 2020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Effective Date</w:t>
            </w: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6"/>
              </w:rPr>
              <w:t>Maturity Date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Fair Value Hierarchy</w:t>
            </w: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9"/>
              </w:rPr>
              <w:t>Weighted Average Interest Pay</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Fair Value</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w w:val="94"/>
              </w:rPr>
              <w:t>Notional Amount</w:t>
            </w:r>
          </w:p>
        </w:tc>
        <w:tc>
          <w:tcPr>
            <w:tcW w:w="0" w:type="dxa"/>
            <w:vAlign w:val="bottom"/>
          </w:tcPr>
          <w:p>
            <w:pPr>
              <w:spacing w:after="0"/>
              <w:rPr>
                <w:sz w:val="1"/>
                <w:szCs w:val="1"/>
                <w:color w:val="auto"/>
              </w:rPr>
            </w:pPr>
          </w:p>
        </w:tc>
      </w:tr>
      <w:tr>
        <w:trPr>
          <w:trHeight w:val="180"/>
        </w:trPr>
        <w:tc>
          <w:tcPr>
            <w:tcW w:w="21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22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$(5,929)</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$54,887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55"/>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7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each respective reporting period. However, the Company utilized a discrete effective tax rate method, as allowed by ASC 740-270 “Income Taxes—Interim Reporting,” to calculate taxes for this interim reporting period (the six months ended June 30, 2021). The Company made this choice because it determined that the historical method would not provide a reliable estimate for tax expense for the six months ended June 30, 2021 due to a high degree of uncertainty in estimating annual pretax earnings.</w:t>
      </w:r>
    </w:p>
    <w:p>
      <w:pPr>
        <w:spacing w:after="0" w:line="51"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For the six months ended June 30, 2021, the Company's income tax expense was $1,139,000 compared to $708,000 for the six months ended June 30, 2020. Effective tax rates were 39% and -234% for the six months ended June 30, 2021 and 2020, respectively. As of June 30, 2021, the Company had income tax receivables of $43,000. The Company classifies interest and penalties incurred on tax payments as income tax expense.</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For the six months ended June 30, 2021, the Company's effective tax rate was above statutory tax rates as a result of permanent differences related to Section 162(m) limitations and discrete tax expense associated with stock compensation. The Section 162(m) compensation deduction limitations occurred as a result of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85" w:lineRule="exact"/>
        <w:rPr>
          <w:sz w:val="20"/>
          <w:szCs w:val="20"/>
          <w:color w:val="auto"/>
        </w:rPr>
      </w:pPr>
    </w:p>
    <w:p>
      <w:pPr>
        <w:ind w:right="8200" w:firstLine="5"/>
        <w:spacing w:after="0" w:line="358" w:lineRule="auto"/>
        <w:tabs>
          <w:tab w:leader="none" w:pos="354"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Water Contracts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Company has secured water contracts that are encumbered by the Company's land, these water contracts require minimum annual payments, for which $12,142,000 is expected to be paid in total for 2021. As of June 30, 2021, the Company has paid $10,238,000 for its water contracts.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$265,908,000 as of June 30, 2021.</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Conservancy Payments</w:t>
      </w:r>
    </w:p>
    <w:p>
      <w:pPr>
        <w:spacing w:after="0" w:line="7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Company is obligated to make payments of approximately $800,000 per year through 2021 to the Tejon Ranch Conservancy, as prescribed in the 2008 Conservation Agreement with five major environmental organizations. Advances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Tejon Ranch Conservancy are dependent on the occurrence of certain events and their timing and are therefore subject to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change in amount and period. All amounts paid are capitalized as real estate development costs for the Centennial, Grapevine and Mountain Village, or MV, projects.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Contracts</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June 30, 2021, the net savings resulting from exiting the contract during this future time period will more than offset the incentive payment costs.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Community Facilities Districts</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2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50"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June 30, 2021, there were no additional improvement funds remaining from the West CFD bonds. There are $15,783,000 of additional improvement funds remaining within the East CFD bonds for reimbursement of public infrastructure costs during future years. During fiscal 2021, the Company expects to pay approximately $2,473,000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was not required to recognize an obligation on June 30, 2021.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Tehachapi Uplands Multiple Species Habitat Conservation Plan Litigation</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51"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36"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has supported USFWS's efforts to vigorously defend this matter during this litigation.</w:t>
      </w:r>
    </w:p>
    <w:p>
      <w:pPr>
        <w:spacing w:after="0" w:line="46"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In a December 18, 2019 ruling, the court ordered that the parties proceed to bring motions for summary judgment on the question of whether the USFWS correctly determined that the California condor is not a “Traditional Cultural Property” 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the NHPA. In response to this order, both the TUMSCHP Plaintiffs and the USFWS and the Company filed cross-motions for summary judgment.</w:t>
      </w:r>
    </w:p>
    <w:p>
      <w:pPr>
        <w:spacing w:after="0" w:line="72"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On December 4, 2020, the court issued an order denying, in its entirety, the TUMSHCP Plaintiffs’ motions for summary judgment and granted, in their entirety, USFWS and the Company’s motions for summary judgment. On December 18, 2020, the Company brought a motion to recover attorneys’ fees and costs, as the prevailing party, against the TUMSCHP Plaintiffs.</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auto"/>
        </w:rPr>
        <w:t>On February 2, 2021, the court denied the fee motion. Following the court’s ruling on the fee motion, on February 2, 2021, Plaintiffs notified the court of their intent to appeal the court’s ruling on their claims. On April 2, 2021, the Ninth Circuit Court of Appeal issued a revised briefing schedule that requires opening and responsory briefs to be filed in May and June 2021. The opening and responsive briefs have been extended three times at the request of CBD. We anticipate that the appeal will be heard by the court following briefing, and that the court will rule following the hearing.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the Company believes the TUMSHCP Suit does not impede its ability to start or complete the development of MV.</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National Cement</w:t>
      </w:r>
    </w:p>
    <w:p>
      <w:pPr>
        <w:spacing w:after="0" w:line="83"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The Company's former tenant Lafarge Corporation, or Lafarge, and current tenant National, continue to remediate these environmental conditions consistent with the RWQCB orders.</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As of June 30, 2021, 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Antelope Valley Groundwater Cases</w:t>
      </w:r>
    </w:p>
    <w:p>
      <w:pPr>
        <w:spacing w:after="0" w:line="7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the Company,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(Willis), Phelan Pinon Hills Community Services District (Phelan), and Charles Tapia (Tapia) filed notices of appeal from the Judgment (collectively, the Phelan Appeal). The Phelan Appeal was transferred from the Count of Appeal, Fourth Appellate District of California to the Court of Appeal, Fifth Appellate District of California, or the Fifth District Court of Appeal.</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On December 9, 2020, the Fifth District Court of Appeal affirmed the Judgment as to the Phelan Appeal, and the decision is now final. On March 16, 2021, the Fifth District Court of Appeal issued</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two decisions affirming the Judgment as to both Willis and Tapia. The Tapia decision is now final. The Willis Class filed a Petition for Rehearing which was denied April 6, 2021. On May 14, 2021, the Willis Class filed a petition for review to the California Supreme Court which was denied on July 21, 2021.</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sectPr>
      </w:pPr>
    </w:p>
    <w:bookmarkStart w:id="20" w:name="page21"/>
    <w:bookmarkEnd w:id="20"/>
    <w:p>
      <w:pPr>
        <w:ind w:right="160"/>
        <w:spacing w:after="0" w:line="281" w:lineRule="auto"/>
        <w:rPr>
          <w:sz w:val="20"/>
          <w:szCs w:val="20"/>
          <w:color w:val="auto"/>
        </w:rPr>
      </w:pPr>
      <w:r>
        <w:rPr>
          <w:rFonts w:ascii="Arial" w:cs="Arial" w:eastAsia="Arial" w:hAnsi="Arial"/>
          <w:sz w:val="14"/>
          <w:szCs w:val="14"/>
          <w:color w:val="auto"/>
        </w:rPr>
        <w:t>Despite the former ongoing Willis Appeal, the parties, with assistance from the court, have established the Watermaster Board, hired the Watermaster Engineer and Watermaster Legal Counsel, and begun administering the physical solution consistent with the Judgment.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and Status of Kern Water Bank Lawsuits</w:t>
      </w:r>
    </w:p>
    <w:p>
      <w:pPr>
        <w:spacing w:after="0" w:line="8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5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40"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50" w:lineRule="exact"/>
        <w:rPr>
          <w:sz w:val="20"/>
          <w:szCs w:val="20"/>
          <w:color w:val="auto"/>
        </w:rPr>
      </w:pPr>
    </w:p>
    <w:p>
      <w:pPr>
        <w:ind w:right="80"/>
        <w:spacing w:after="0" w:line="319" w:lineRule="auto"/>
        <w:rPr>
          <w:sz w:val="20"/>
          <w:szCs w:val="20"/>
          <w:color w:val="auto"/>
        </w:rPr>
      </w:pPr>
      <w:r>
        <w:rPr>
          <w:rFonts w:ascii="Arial" w:cs="Arial" w:eastAsia="Arial" w:hAnsi="Arial"/>
          <w:sz w:val="12"/>
          <w:szCs w:val="12"/>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20"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On July 19, 2021, the cases were argued and taken under submission by the Court of Appeal. The parties are waiting for the Court to issue its opinions. To the extent there may be an adverse outcome of the claims still pending as described above, the monetary value cannot be estimated at this time.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auto"/>
        </w:rPr>
        <w:t>Grapevine</w:t>
      </w:r>
    </w:p>
    <w:p>
      <w:pPr>
        <w:spacing w:after="0" w:line="7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54"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36"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believed was compliant with the court’s February 15, 2019 final judgment in the 2017 Action. Concurrently, the County and the Company filed a Motion for Order Discharging Writ of Mandate, which requested that the court determine that the re-entitlement complied with the court’s February 15, 2019 final judgment in the 2017 Action (the Motion for Order to Discharge 2017 Writ of Mandate). A hearing was held on February 14, 2020 for this motion and is further summarized below.</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was named as real party in interest in the 2020 Action. The 2020 Action alleged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sought to invalidate the County’s approval of the re-entitlement, the environmental approvals for the re-entitlement and require the Company and the County to revise the environmental documentation. On January 22, 2020, the Company and County filed a demurrer and motion to strike the claims in the 2020 Action on the basis that the claims brought by CBD were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 and County’s motion to discharge the writ in the 2017 Action and their demurrer and motion to strike the claims in the 2020 Action, but the court further ruled that the Company and County could re-assert these arguments later once additional evidence was before the court.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2" w:name="page23"/>
    <w:bookmarkEnd w:id="22"/>
    <w:p>
      <w:pPr>
        <w:jc w:val="both"/>
        <w:ind w:right="100"/>
        <w:spacing w:after="0" w:line="294" w:lineRule="auto"/>
        <w:rPr>
          <w:sz w:val="20"/>
          <w:szCs w:val="20"/>
          <w:color w:val="auto"/>
        </w:rPr>
      </w:pPr>
      <w:r>
        <w:rPr>
          <w:rFonts w:ascii="Arial" w:cs="Arial" w:eastAsia="Arial" w:hAnsi="Arial"/>
          <w:sz w:val="12"/>
          <w:szCs w:val="12"/>
          <w:color w:val="auto"/>
        </w:rPr>
        <w:t>On January 22, 2021, the court conducted a hearing on the 2020 Action and the Motion for Order to Discharge the 2017 Writ of Mandate. At the January 22nd hearing, the court ruled in favor of the Company and the County on all issues: (1) granting the County’s Motion for Order to Discharge the 2017 Writ of Mandate and (2) rejecting each and every claim made by CBD in the 2020 Action. The court entered a final judgment reflecting its ruling in favor of the Company and the County on March 22, 2021. As CBD did not file an appeal by the court deadline, the judgement is final.</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Centennial</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14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 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The hearing on this motion originally scheduled for August 13, 2021, has tentatively been rescheduled to December 1, 2021. As of the date of this report, final judgment has not yet been issued by the court for either the CBD/CNPS or Climate Resolve actions. Once final judgments are entered, appellate litigation may follow. To the extent there may be an adverse outcome of the claims still pending as described above, the monetary value cannot be estimated at this time.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Conservancy</w:t>
      </w:r>
    </w:p>
    <w:p>
      <w:pPr>
        <w:spacing w:after="0" w:line="83"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On December 2, 2020, conservation groups filed an action against the Company in Kern County Superior Court, alleging that the Company breached its obligation under the Tejon Ranch Conservation and Land Use Agreement (or the “RWA”) by not making a payment for Q4 2020 to the Tejon Ranch Conservancy (or the “Conservancy”) – a non-profit organization created under the RWA to oversee conservation of portions of Tejon Ranch.</w:t>
      </w:r>
    </w:p>
    <w:p>
      <w:pPr>
        <w:spacing w:after="0" w:line="36" w:lineRule="exact"/>
        <w:rPr>
          <w:sz w:val="20"/>
          <w:szCs w:val="20"/>
          <w:color w:val="auto"/>
        </w:rPr>
      </w:pPr>
    </w:p>
    <w:p>
      <w:pPr>
        <w:ind w:right="140"/>
        <w:spacing w:after="0" w:line="322" w:lineRule="auto"/>
        <w:rPr>
          <w:sz w:val="20"/>
          <w:szCs w:val="20"/>
          <w:color w:val="auto"/>
        </w:rPr>
      </w:pPr>
      <w:r>
        <w:rPr>
          <w:rFonts w:ascii="Arial" w:cs="Arial" w:eastAsia="Arial" w:hAnsi="Arial"/>
          <w:sz w:val="12"/>
          <w:szCs w:val="12"/>
          <w:color w:val="auto"/>
        </w:rPr>
        <w:t>Pursuant to the terms of the RWA, the Company deposited the Q4 2020 payment to the Conservancy into a third-party escrow account pending a determination of the Company’s disputes with the Conservancy. The Company also deposited the payment for Q1 2021, Q2 2021, and Q3 2021 into escrow. On January 25, 2021, in response to an objection to the complaint by the Company, a First</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Amended Complaint was filed adding the Tejon Ranch Conservancy as a party to the action. Discovery and pre-trial motions are currently ongoing. A trial date has been set for December 5, 2022 with a mandatory settlement conference scheduled for November 4, 2022.</w:t>
      </w:r>
    </w:p>
    <w:p>
      <w:pPr>
        <w:spacing w:after="0" w:line="3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As of the date of this report, the Company believes it has performed all its obligations under the RWA and has withheld the escrowed payments based on its belief that the Conservancy and other signatories to the RWA have violated its terms. The Company has been vigorously defending the action and does not believe that the resolution of the action will result in a liability to the Company beyond the costs associated with defending the action and the Company’s escrow deposits which are included in the Company’s annual budgets and a possibility that the Company be required to pay plaintiffs' cost of suit.</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Proceedings Incidental to Business</w:t>
      </w:r>
    </w:p>
    <w:p>
      <w:pPr>
        <w:spacing w:after="0" w:line="72"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23" w:name="page24"/>
    <w:bookmarkEnd w:id="23"/>
    <w:p>
      <w:pPr>
        <w:ind w:right="60"/>
        <w:spacing w:after="0" w:line="281" w:lineRule="auto"/>
        <w:rPr>
          <w:sz w:val="20"/>
          <w:szCs w:val="20"/>
          <w:color w:val="auto"/>
        </w:rPr>
      </w:pPr>
      <w:r>
        <w:rPr>
          <w:rFonts w:ascii="Arial" w:cs="Arial" w:eastAsia="Arial" w:hAnsi="Arial"/>
          <w:sz w:val="14"/>
          <w:szCs w:val="14"/>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8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tab/>
        <w:t>RETIREMENT PLANS</w:t>
      </w:r>
    </w:p>
    <w:p>
      <w:pPr>
        <w:spacing w:after="0" w:line="7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2021.</w:t>
      </w:r>
    </w:p>
    <w:p>
      <w:pPr>
        <w:spacing w:after="0" w:line="50"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2021, the investment mix was approximately 35% equity, 64% debt, and 1% money market funds. At December 31, 2020, the investment mix was approximately 65% equity, 34% debt, and 1% money market funds. Equity investments comprise of value, growth, large cap, small cap and international stock funds. Debt investments consist of U.S. Treasury securities and investment grade corporate debt. A weighted average discount rate of 2.5% was used in determining the net periodic pension cost for fiscal 2021 and 2020. The assumed expected long-term rate of return on plan assets is 7.3% for both fiscal 2021 and 2020. The long-term rate of return on Benefit Plan assets is based on the historical returns within the plan and expectations for future returns.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tcPr>
          <w:p>
            <w:pPr>
              <w:spacing w:after="0"/>
              <w:rPr>
                <w:sz w:val="20"/>
                <w:szCs w:val="20"/>
                <w:color w:val="auto"/>
              </w:rPr>
            </w:pPr>
            <w:r>
              <w:rPr>
                <w:rFonts w:ascii="Arial" w:cs="Arial" w:eastAsia="Arial" w:hAnsi="Arial"/>
                <w:sz w:val="14"/>
                <w:szCs w:val="14"/>
                <w:color w:val="auto"/>
              </w:rPr>
              <w:t>Total pension and retirement earnings for the Benefit Plan was as follows:</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5"/>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1120" w:type="dxa"/>
            <w:vAlign w:val="bottom"/>
            <w:tcBorders>
              <w:bottom w:val="single" w:sz="8" w:color="auto"/>
            </w:tcBorders>
          </w:tcPr>
          <w:p>
            <w:pPr>
              <w:spacing w:after="0"/>
              <w:rPr>
                <w:sz w:val="23"/>
                <w:szCs w:val="23"/>
                <w:color w:val="auto"/>
              </w:rPr>
            </w:pPr>
          </w:p>
        </w:tc>
      </w:tr>
      <w:tr>
        <w:trPr>
          <w:trHeight w:val="171"/>
        </w:trPr>
        <w:tc>
          <w:tcPr>
            <w:tcW w:w="73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96"/>
              </w:rPr>
              <w:t>2020</w:t>
            </w:r>
          </w:p>
        </w:tc>
      </w:tr>
      <w:tr>
        <w:trPr>
          <w:trHeight w:val="161"/>
        </w:trPr>
        <w:tc>
          <w:tcPr>
            <w:tcW w:w="7380" w:type="dxa"/>
            <w:vAlign w:val="bottom"/>
          </w:tcPr>
          <w:p>
            <w:pPr>
              <w:ind w:left="20"/>
              <w:spacing w:after="0"/>
              <w:rPr>
                <w:sz w:val="20"/>
                <w:szCs w:val="20"/>
                <w:color w:val="auto"/>
              </w:rPr>
            </w:pPr>
            <w:r>
              <w:rPr>
                <w:rFonts w:ascii="Arial" w:cs="Arial" w:eastAsia="Arial" w:hAnsi="Arial"/>
                <w:sz w:val="14"/>
                <w:szCs w:val="14"/>
                <w:color w:val="auto"/>
              </w:rPr>
              <w:t>Earnings (cost)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1"/>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0"/>
        </w:trPr>
        <w:tc>
          <w:tcPr>
            <w:tcW w:w="7380" w:type="dxa"/>
            <w:vAlign w:val="bottom"/>
          </w:tcPr>
          <w:p>
            <w:pPr>
              <w:ind w:left="280"/>
              <w:spacing w:after="0"/>
              <w:rPr>
                <w:sz w:val="20"/>
                <w:szCs w:val="20"/>
                <w:color w:val="auto"/>
              </w:rPr>
            </w:pPr>
            <w:r>
              <w:rPr>
                <w:rFonts w:ascii="Arial" w:cs="Arial" w:eastAsia="Arial" w:hAnsi="Arial"/>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ind w:left="860"/>
              <w:spacing w:after="0"/>
              <w:rPr>
                <w:sz w:val="20"/>
                <w:szCs w:val="20"/>
                <w:color w:val="auto"/>
              </w:rPr>
            </w:pPr>
            <w:r>
              <w:rPr>
                <w:rFonts w:ascii="Arial" w:cs="Arial" w:eastAsia="Arial" w:hAnsi="Arial"/>
                <w:sz w:val="14"/>
                <w:szCs w:val="14"/>
                <w:color w:val="auto"/>
              </w:rPr>
              <w:t>322</w:t>
            </w:r>
          </w:p>
        </w:tc>
      </w:tr>
      <w:tr>
        <w:trPr>
          <w:trHeight w:val="181"/>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6"/>
              </w:rPr>
              <w:t>(34)</w:t>
            </w:r>
          </w:p>
        </w:tc>
      </w:tr>
      <w:tr>
        <w:trPr>
          <w:trHeight w:val="171"/>
        </w:trPr>
        <w:tc>
          <w:tcPr>
            <w:tcW w:w="7380" w:type="dxa"/>
            <w:vAlign w:val="bottom"/>
          </w:tcPr>
          <w:p>
            <w:pPr>
              <w:ind w:left="20"/>
              <w:spacing w:after="0"/>
              <w:rPr>
                <w:sz w:val="20"/>
                <w:szCs w:val="20"/>
                <w:color w:val="auto"/>
              </w:rPr>
            </w:pPr>
            <w:r>
              <w:rPr>
                <w:rFonts w:ascii="Arial" w:cs="Arial" w:eastAsia="Arial" w:hAnsi="Arial"/>
                <w:sz w:val="14"/>
                <w:szCs w:val="14"/>
                <w:color w:val="auto"/>
              </w:rPr>
              <w:t>Total net periodic pension earnings</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118</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20"/>
                <w:szCs w:val="20"/>
                <w:color w:val="auto"/>
              </w:rPr>
            </w:pPr>
            <w:r>
              <w:rPr>
                <w:rFonts w:ascii="Arial" w:cs="Arial" w:eastAsia="Arial" w:hAnsi="Arial"/>
                <w:sz w:val="14"/>
                <w:szCs w:val="14"/>
                <w:color w:val="auto"/>
              </w:rPr>
              <w:t>The pension and retirement expense for the SERP was as follows:</w:t>
            </w:r>
          </w:p>
        </w:tc>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61"/>
        </w:trPr>
        <w:tc>
          <w:tcPr>
            <w:tcW w:w="4660" w:type="dxa"/>
            <w:vAlign w:val="bottom"/>
          </w:tcPr>
          <w:p>
            <w:pPr>
              <w:ind w:left="20"/>
              <w:spacing w:after="0"/>
              <w:rPr>
                <w:sz w:val="20"/>
                <w:szCs w:val="20"/>
                <w:color w:val="auto"/>
              </w:rPr>
            </w:pPr>
            <w:r>
              <w:rPr>
                <w:rFonts w:ascii="Arial" w:cs="Arial" w:eastAsia="Arial" w:hAnsi="Arial"/>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periodic pension expense</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Arial" w:cs="Arial" w:eastAsia="Arial" w:hAnsi="Arial"/>
                <w:sz w:val="14"/>
                <w:szCs w:val="14"/>
                <w:color w:val="auto"/>
              </w:rPr>
              <w:t>24</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4" w:name="page25"/>
    <w:bookmarkEnd w:id="24"/>
    <w:p>
      <w:pPr>
        <w:spacing w:after="0"/>
        <w:tabs>
          <w:tab w:leader="none" w:pos="300" w:val="left"/>
        </w:tabs>
        <w:rPr>
          <w:sz w:val="20"/>
          <w:szCs w:val="20"/>
          <w:color w:val="auto"/>
        </w:rPr>
      </w:pPr>
      <w:r>
        <w:rPr>
          <w:rFonts w:ascii="Arial" w:cs="Arial" w:eastAsia="Arial" w:hAnsi="Arial"/>
          <w:sz w:val="14"/>
          <w:szCs w:val="14"/>
          <w:b w:val="1"/>
          <w:bCs w:val="1"/>
          <w:color w:val="auto"/>
        </w:rPr>
        <w:t>14.</w:t>
        <w:tab/>
        <w:t>REPORTING SEGMENTS AND RELATED INFORMATION</w:t>
      </w:r>
    </w:p>
    <w:p>
      <w:pPr>
        <w:spacing w:after="0" w:line="87"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Commercial/Industrial</w:t>
      </w:r>
    </w:p>
    <w:p>
      <w:pPr>
        <w:spacing w:after="0" w:line="83"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over unconsolidated joint ventures. The following table summarizes revenues, expenses and operating income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ind w:left="480"/>
              <w:spacing w:after="0"/>
              <w:rPr>
                <w:sz w:val="20"/>
                <w:szCs w:val="20"/>
                <w:color w:val="auto"/>
              </w:rPr>
            </w:pPr>
            <w:r>
              <w:rPr>
                <w:rFonts w:ascii="Arial" w:cs="Arial" w:eastAsia="Arial" w:hAnsi="Arial"/>
                <w:sz w:val="14"/>
                <w:szCs w:val="14"/>
                <w:color w:val="auto"/>
              </w:rPr>
              <w:t>Three Months Ended June 30,</w:t>
            </w:r>
          </w:p>
        </w:tc>
        <w:tc>
          <w:tcPr>
            <w:tcW w:w="380" w:type="dxa"/>
            <w:vAlign w:val="bottom"/>
          </w:tcPr>
          <w:p>
            <w:pPr>
              <w:spacing w:after="0"/>
              <w:rPr>
                <w:sz w:val="15"/>
                <w:szCs w:val="15"/>
                <w:color w:val="auto"/>
              </w:rPr>
            </w:pPr>
          </w:p>
        </w:tc>
        <w:tc>
          <w:tcPr>
            <w:tcW w:w="3040" w:type="dxa"/>
            <w:vAlign w:val="bottom"/>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Commercial/industrial revenues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 in earnings of unconsolidated joint ventures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18"/>
        </w:trPr>
        <w:tc>
          <w:tcPr>
            <w:tcW w:w="43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Commercial/industrial revenues and equity in earnings of unconsolidated</w:t>
            </w: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6,970</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joint ventures</w:t>
            </w:r>
          </w:p>
        </w:tc>
        <w:tc>
          <w:tcPr>
            <w:tcW w:w="38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Commercial/industrial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3,678</w:t>
            </w:r>
          </w:p>
        </w:tc>
        <w:tc>
          <w:tcPr>
            <w:tcW w:w="0" w:type="dxa"/>
            <w:vAlign w:val="bottom"/>
          </w:tcPr>
          <w:p>
            <w:pPr>
              <w:spacing w:after="0"/>
              <w:rPr>
                <w:sz w:val="1"/>
                <w:szCs w:val="1"/>
                <w:color w:val="auto"/>
              </w:rPr>
            </w:pPr>
          </w:p>
        </w:tc>
      </w:tr>
      <w:tr>
        <w:trPr>
          <w:trHeight w:val="118"/>
        </w:trPr>
        <w:tc>
          <w:tcPr>
            <w:tcW w:w="43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Operating results from commercial/industrial and unconsolidated joint</w:t>
            </w: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4,779</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79"/>
        </w:trPr>
        <w:tc>
          <w:tcPr>
            <w:tcW w:w="43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ventures</w:t>
            </w: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Resort/Residential</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$439,000 and $326,000 for the three months ended June 30, 2021 and 2020, and $992,000 and $952,000 for six months ended June 30, 2021 and 2020,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Mineral Resources</w:t>
      </w:r>
    </w:p>
    <w:p>
      <w:pPr>
        <w:spacing w:after="0" w:line="7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ind w:left="480"/>
              <w:spacing w:after="0"/>
              <w:rPr>
                <w:sz w:val="20"/>
                <w:szCs w:val="20"/>
                <w:color w:val="auto"/>
              </w:rPr>
            </w:pPr>
            <w:r>
              <w:rPr>
                <w:rFonts w:ascii="Arial" w:cs="Arial" w:eastAsia="Arial" w:hAnsi="Arial"/>
                <w:sz w:val="14"/>
                <w:szCs w:val="14"/>
                <w:color w:val="auto"/>
              </w:rPr>
              <w:t>Three Months Ended June 30,</w:t>
            </w:r>
          </w:p>
        </w:tc>
        <w:tc>
          <w:tcPr>
            <w:tcW w:w="400" w:type="dxa"/>
            <w:vAlign w:val="bottom"/>
          </w:tcPr>
          <w:p>
            <w:pPr>
              <w:spacing w:after="0"/>
              <w:rPr>
                <w:sz w:val="15"/>
                <w:szCs w:val="15"/>
                <w:color w:val="auto"/>
              </w:rPr>
            </w:pPr>
          </w:p>
        </w:tc>
        <w:tc>
          <w:tcPr>
            <w:tcW w:w="3020" w:type="dxa"/>
            <w:vAlign w:val="bottom"/>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r>
      <w:tr>
        <w:trPr>
          <w:trHeight w:val="17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Mineral resources revenues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7,954</w:t>
            </w:r>
          </w:p>
        </w:tc>
      </w:tr>
      <w:tr>
        <w:trPr>
          <w:trHeight w:val="18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Mineral resources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4,592</w:t>
            </w: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mineral resources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20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Farming</w:t>
      </w:r>
    </w:p>
    <w:p>
      <w:pPr>
        <w:spacing w:after="0" w:line="83"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71"/>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4"/>
                <w:szCs w:val="14"/>
                <w:color w:val="auto"/>
              </w:rPr>
            </w:pPr>
          </w:p>
        </w:tc>
      </w:tr>
      <w:tr>
        <w:trPr>
          <w:trHeight w:val="171"/>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Farming revenues</w:t>
            </w: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1"/>
              </w:rPr>
              <w:t>1,161</w:t>
            </w:r>
          </w:p>
        </w:tc>
      </w:tr>
      <w:tr>
        <w:trPr>
          <w:trHeight w:val="180"/>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Farming expenses</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w w:val="91"/>
              </w:rPr>
              <w:t>2,801</w:t>
            </w: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farming</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4"/>
              </w:rPr>
              <w:t>(1,640)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Ranch Operations</w:t>
      </w:r>
    </w:p>
    <w:p>
      <w:pPr>
        <w:spacing w:after="0" w:line="83"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7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4"/>
                <w:szCs w:val="14"/>
                <w:color w:val="auto"/>
              </w:rPr>
            </w:pPr>
          </w:p>
        </w:tc>
      </w:tr>
      <w:tr>
        <w:trPr>
          <w:trHeight w:val="171"/>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Ranch operations revenues</w:t>
            </w: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1"/>
              </w:rPr>
              <w:t>1,539</w:t>
            </w:r>
          </w:p>
        </w:tc>
      </w:tr>
      <w:tr>
        <w:trPr>
          <w:trHeight w:val="18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Ranch operations expenses</w:t>
            </w: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w w:val="91"/>
              </w:rPr>
              <w:t>2,584</w:t>
            </w: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ranch operations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4"/>
              </w:rPr>
              <w:t>(1,045)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INVESTMENT IN UNCONSOLIDATED AND CONSOLIDATED JOINT VENTURES</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2021 was $39,288,000. Equity in earnings from unconsolidated joint ventures was $1,306,000 for the six months ended June 30, 2021. The unconsolidated joint ventures have not been consolidated as of June 30, 2021, because the Company does not control the investments. The Company’s current joint ventures are as follows:</w:t>
      </w:r>
    </w:p>
    <w:p>
      <w:pPr>
        <w:spacing w:after="0" w:line="103" w:lineRule="exact"/>
        <w:rPr>
          <w:sz w:val="20"/>
          <w:szCs w:val="20"/>
          <w:color w:val="auto"/>
        </w:rPr>
      </w:pPr>
    </w:p>
    <w:p>
      <w:pPr>
        <w:ind w:left="360" w:right="140" w:hanging="260"/>
        <w:spacing w:after="0" w:line="319" w:lineRule="auto"/>
        <w:tabs>
          <w:tab w:leader="none" w:pos="356" w:val="left"/>
        </w:tabs>
        <w:numPr>
          <w:ilvl w:val="0"/>
          <w:numId w:val="12"/>
        </w:numPr>
        <w:rPr>
          <w:rFonts w:ascii="Arial" w:cs="Arial" w:eastAsia="Arial" w:hAnsi="Arial"/>
          <w:sz w:val="12"/>
          <w:szCs w:val="12"/>
          <w:color w:val="auto"/>
        </w:rPr>
      </w:pPr>
      <w:r>
        <w:rPr>
          <w:rFonts w:ascii="Arial" w:cs="Arial" w:eastAsia="Arial" w:hAnsi="Arial"/>
          <w:sz w:val="12"/>
          <w:szCs w:val="12"/>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$25,026,000 as of June 30, 2021.</w:t>
      </w:r>
    </w:p>
    <w:p>
      <w:pPr>
        <w:spacing w:after="0" w:line="72" w:lineRule="exact"/>
        <w:rPr>
          <w:rFonts w:ascii="Arial" w:cs="Arial" w:eastAsia="Arial" w:hAnsi="Arial"/>
          <w:sz w:val="12"/>
          <w:szCs w:val="12"/>
          <w:color w:val="auto"/>
        </w:rPr>
      </w:pPr>
    </w:p>
    <w:p>
      <w:pPr>
        <w:ind w:left="860" w:right="260" w:hanging="250"/>
        <w:spacing w:after="0" w:line="321" w:lineRule="auto"/>
        <w:tabs>
          <w:tab w:leader="none" w:pos="857" w:val="left"/>
        </w:tabs>
        <w:numPr>
          <w:ilvl w:val="1"/>
          <w:numId w:val="12"/>
        </w:numPr>
        <w:rPr>
          <w:rFonts w:ascii="Arial" w:cs="Arial" w:eastAsia="Arial" w:hAnsi="Arial"/>
          <w:sz w:val="13"/>
          <w:szCs w:val="13"/>
          <w:color w:val="auto"/>
        </w:rPr>
      </w:pPr>
      <w:r>
        <w:rPr>
          <w:rFonts w:ascii="Arial" w:cs="Arial" w:eastAsia="Arial" w:hAnsi="Arial"/>
          <w:sz w:val="13"/>
          <w:szCs w:val="13"/>
          <w:color w:val="auto"/>
        </w:rPr>
        <w:t>On April 17, 2020, the Company sold land and a building formerly leased to a tenant operating a fast food restaurant, to Petro. The Company received cash proceeds of $2,000,000 from Petro, and realized a gain of $1,331,000 under ASC 610-20, "Other Income – Gains and Losses from the Derecognition of Nonfinancial Assets."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6" w:name="page27"/>
    <w:bookmarkEnd w:id="26"/>
    <w:p>
      <w:pPr>
        <w:jc w:val="both"/>
        <w:ind w:left="355" w:right="140" w:hanging="260"/>
        <w:spacing w:after="0" w:line="267" w:lineRule="auto"/>
        <w:tabs>
          <w:tab w:leader="none" w:pos="352" w:val="left"/>
        </w:tabs>
        <w:numPr>
          <w:ilvl w:val="1"/>
          <w:numId w:val="13"/>
        </w:numPr>
        <w:rPr>
          <w:rFonts w:ascii="Arial" w:cs="Arial" w:eastAsia="Arial" w:hAnsi="Arial"/>
          <w:sz w:val="14"/>
          <w:szCs w:val="14"/>
          <w:color w:val="auto"/>
        </w:rPr>
      </w:pPr>
      <w:r>
        <w:rPr>
          <w:rFonts w:ascii="Arial" w:cs="Arial" w:eastAsia="Arial" w:hAnsi="Arial"/>
          <w:sz w:val="14"/>
          <w:szCs w:val="14"/>
          <w:color w:val="auto"/>
        </w:rPr>
        <w:t>Majestic Realty Co. – Majestic Realty Co., or Majestic, is a privately-held developer and owner of master planned business parks throughout the United States. The Company has formed four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46" w:lineRule="exact"/>
        <w:rPr>
          <w:rFonts w:ascii="Arial" w:cs="Arial" w:eastAsia="Arial" w:hAnsi="Arial"/>
          <w:sz w:val="14"/>
          <w:szCs w:val="14"/>
          <w:color w:val="auto"/>
        </w:rPr>
      </w:pPr>
    </w:p>
    <w:p>
      <w:pPr>
        <w:ind w:left="755" w:right="80" w:hanging="246"/>
        <w:spacing w:after="0" w:line="282" w:lineRule="auto"/>
        <w:tabs>
          <w:tab w:leader="none" w:pos="752" w:val="left"/>
        </w:tabs>
        <w:numPr>
          <w:ilvl w:val="2"/>
          <w:numId w:val="13"/>
        </w:numPr>
        <w:rPr>
          <w:rFonts w:ascii="Arial" w:cs="Arial" w:eastAsia="Arial" w:hAnsi="Arial"/>
          <w:sz w:val="13"/>
          <w:szCs w:val="13"/>
          <w:color w:val="auto"/>
        </w:rPr>
      </w:pPr>
      <w:r>
        <w:rPr>
          <w:rFonts w:ascii="Arial" w:cs="Arial" w:eastAsia="Arial" w:hAnsi="Arial"/>
          <w:sz w:val="13"/>
          <w:szCs w:val="13"/>
          <w:color w:val="auto"/>
        </w:rPr>
        <w:t>On March 25, 2021, TRC-MRC4 LLC was formed to pursue the development, construction, lease-up, and management of a 629,274 square foot industrial building located within TRCC-East. Grading on the site has begun, with construction of the building scheduled to begin in the fourth quarter of 2021. The building is expected to be completed in 2022. The construction will be financed by a $47,500,000 construction loan that had an outstanding balance of $968,000 as of June 30, 2021. The construction loan is individually and collectively guaranteed by the Company and Majestic. In June 2021, the Company contributed land with a fair value of $8,464,000 to TRC-MRC 4, LLC. The total cost of the land was $2,895,000. The Company recognized profit of $2,785,000 and deferred profit of $2,785,000 after applying the five-step revenue recognition model in accordance with ASC Topic 606 — Revenue From Contracts With Customers and ASC Topic 323, Investments — Equity Method and Joint Ventures.</w:t>
      </w:r>
    </w:p>
    <w:p>
      <w:pPr>
        <w:spacing w:after="0" w:line="49" w:lineRule="exact"/>
        <w:rPr>
          <w:rFonts w:ascii="Arial" w:cs="Arial" w:eastAsia="Arial" w:hAnsi="Arial"/>
          <w:sz w:val="13"/>
          <w:szCs w:val="13"/>
          <w:color w:val="auto"/>
        </w:rPr>
      </w:pPr>
    </w:p>
    <w:p>
      <w:pPr>
        <w:ind w:left="755" w:hanging="246"/>
        <w:spacing w:after="0" w:line="258" w:lineRule="auto"/>
        <w:tabs>
          <w:tab w:leader="none" w:pos="752" w:val="left"/>
        </w:tabs>
        <w:numPr>
          <w:ilvl w:val="2"/>
          <w:numId w:val="13"/>
        </w:numPr>
        <w:rPr>
          <w:rFonts w:ascii="Arial" w:cs="Arial" w:eastAsia="Arial" w:hAnsi="Arial"/>
          <w:sz w:val="14"/>
          <w:szCs w:val="14"/>
          <w:color w:val="auto"/>
        </w:rPr>
      </w:pPr>
      <w:r>
        <w:rPr>
          <w:rFonts w:ascii="Arial" w:cs="Arial" w:eastAsia="Arial" w:hAnsi="Arial"/>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$35,725,000 as of June 30, 2021. On April 1, 2019, the Company contributed land with a fair value of $5,854,000 to TRC-MRC 3, LLC in accordance with the limited liability agreement. The Company's investment in this joint venture was $1,289,000 as of June 30, 2021.</w:t>
      </w:r>
    </w:p>
    <w:p>
      <w:pPr>
        <w:spacing w:after="0" w:line="65" w:lineRule="exact"/>
        <w:rPr>
          <w:rFonts w:ascii="Arial" w:cs="Arial" w:eastAsia="Arial" w:hAnsi="Arial"/>
          <w:sz w:val="14"/>
          <w:szCs w:val="14"/>
          <w:color w:val="auto"/>
        </w:rPr>
      </w:pPr>
    </w:p>
    <w:p>
      <w:pPr>
        <w:ind w:left="755" w:right="160" w:hanging="246"/>
        <w:spacing w:after="0" w:line="280" w:lineRule="auto"/>
        <w:tabs>
          <w:tab w:leader="none" w:pos="752" w:val="left"/>
        </w:tabs>
        <w:numPr>
          <w:ilvl w:val="2"/>
          <w:numId w:val="13"/>
        </w:numPr>
        <w:rPr>
          <w:rFonts w:ascii="Arial" w:cs="Arial" w:eastAsia="Arial" w:hAnsi="Arial"/>
          <w:sz w:val="13"/>
          <w:szCs w:val="13"/>
          <w:color w:val="auto"/>
        </w:rPr>
      </w:pPr>
      <w:r>
        <w:rPr>
          <w:rFonts w:ascii="Arial" w:cs="Arial" w:eastAsia="Arial" w:hAnsi="Arial"/>
          <w:sz w:val="13"/>
          <w:szCs w:val="13"/>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$23,566,000 as of June 30, 2021. Since its inception, the Company has received excess distributions resulting in a deficit balance in its investment of $1,781,000.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2" w:lineRule="exact"/>
        <w:rPr>
          <w:rFonts w:ascii="Arial" w:cs="Arial" w:eastAsia="Arial" w:hAnsi="Arial"/>
          <w:sz w:val="13"/>
          <w:szCs w:val="13"/>
          <w:color w:val="auto"/>
        </w:rPr>
      </w:pPr>
    </w:p>
    <w:p>
      <w:pPr>
        <w:ind w:left="755" w:right="160" w:hanging="246"/>
        <w:spacing w:after="0" w:line="282" w:lineRule="auto"/>
        <w:tabs>
          <w:tab w:leader="none" w:pos="752" w:val="left"/>
        </w:tabs>
        <w:numPr>
          <w:ilvl w:val="2"/>
          <w:numId w:val="13"/>
        </w:numPr>
        <w:rPr>
          <w:rFonts w:ascii="Arial" w:cs="Arial" w:eastAsia="Arial" w:hAnsi="Arial"/>
          <w:sz w:val="13"/>
          <w:szCs w:val="13"/>
          <w:color w:val="auto"/>
        </w:rPr>
      </w:pPr>
      <w:r>
        <w:rPr>
          <w:rFonts w:ascii="Arial" w:cs="Arial" w:eastAsia="Arial" w:hAnsi="Arial"/>
          <w:sz w:val="13"/>
          <w:szCs w:val="13"/>
          <w:color w:val="auto"/>
        </w:rPr>
        <w:t>In September 2016, TRC-MRC 1, LLC was formed to develop and operate an approximately 480,480 square foot industrial building at TRCC-East that is 100% leased. Since its inception, the Company has received excess distributions resulting in a deficit balance in its investment of $1,353,000.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$23,696,000 was outstanding as of June 30, 2021.</w:t>
      </w:r>
    </w:p>
    <w:p>
      <w:pPr>
        <w:spacing w:after="0" w:line="49" w:lineRule="exact"/>
        <w:rPr>
          <w:rFonts w:ascii="Arial" w:cs="Arial" w:eastAsia="Arial" w:hAnsi="Arial"/>
          <w:sz w:val="13"/>
          <w:szCs w:val="13"/>
          <w:color w:val="auto"/>
        </w:rPr>
      </w:pPr>
    </w:p>
    <w:p>
      <w:pPr>
        <w:ind w:left="255" w:right="220" w:hanging="255"/>
        <w:spacing w:after="0" w:line="281" w:lineRule="auto"/>
        <w:tabs>
          <w:tab w:leader="none" w:pos="251" w:val="left"/>
        </w:tabs>
        <w:numPr>
          <w:ilvl w:val="0"/>
          <w:numId w:val="13"/>
        </w:numPr>
        <w:rPr>
          <w:rFonts w:ascii="Arial" w:cs="Arial" w:eastAsia="Arial" w:hAnsi="Arial"/>
          <w:sz w:val="14"/>
          <w:szCs w:val="14"/>
          <w:color w:val="auto"/>
        </w:rPr>
      </w:pPr>
      <w:r>
        <w:rPr>
          <w:rFonts w:ascii="Arial" w:cs="Arial" w:eastAsia="Arial" w:hAnsi="Arial"/>
          <w:sz w:val="14"/>
          <w:szCs w:val="14"/>
          <w:color w:val="auto"/>
        </w:rPr>
        <w:t>Rockefeller Joint Ventures – The Company has two active joint ventures with Rockefeller Group Development Corporation, or Rockefeller. At June 30, 2021, the Company’s combined equity investment balance in these two joint ventures was $8,294,000.</w:t>
      </w:r>
    </w:p>
    <w:p>
      <w:pPr>
        <w:spacing w:after="0" w:line="47" w:lineRule="exact"/>
        <w:rPr>
          <w:rFonts w:ascii="Arial" w:cs="Arial" w:eastAsia="Arial" w:hAnsi="Arial"/>
          <w:sz w:val="14"/>
          <w:szCs w:val="14"/>
          <w:color w:val="auto"/>
        </w:rPr>
      </w:pPr>
    </w:p>
    <w:p>
      <w:pPr>
        <w:ind w:left="755" w:right="160" w:hanging="246"/>
        <w:spacing w:after="0" w:line="267" w:lineRule="auto"/>
        <w:tabs>
          <w:tab w:leader="none" w:pos="752" w:val="left"/>
        </w:tabs>
        <w:numPr>
          <w:ilvl w:val="2"/>
          <w:numId w:val="13"/>
        </w:numPr>
        <w:rPr>
          <w:rFonts w:ascii="Arial" w:cs="Arial" w:eastAsia="Arial" w:hAnsi="Arial"/>
          <w:sz w:val="14"/>
          <w:szCs w:val="14"/>
          <w:color w:val="auto"/>
        </w:rPr>
      </w:pPr>
      <w:r>
        <w:rPr>
          <w:rFonts w:ascii="Arial" w:cs="Arial" w:eastAsia="Arial" w:hAnsi="Arial"/>
          <w:sz w:val="14"/>
          <w:szCs w:val="14"/>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w:t>
      </w:r>
    </w:p>
    <w:p>
      <w:pPr>
        <w:spacing w:after="0" w:line="56" w:lineRule="exact"/>
        <w:rPr>
          <w:rFonts w:ascii="Arial" w:cs="Arial" w:eastAsia="Arial" w:hAnsi="Arial"/>
          <w:sz w:val="14"/>
          <w:szCs w:val="14"/>
          <w:color w:val="auto"/>
        </w:rPr>
      </w:pPr>
    </w:p>
    <w:p>
      <w:pPr>
        <w:ind w:left="1275" w:right="300" w:hanging="257"/>
        <w:spacing w:after="0" w:line="281" w:lineRule="auto"/>
        <w:tabs>
          <w:tab w:leader="none" w:pos="1272" w:val="left"/>
        </w:tabs>
        <w:numPr>
          <w:ilvl w:val="3"/>
          <w:numId w:val="13"/>
        </w:numPr>
        <w:rPr>
          <w:rFonts w:ascii="Arial" w:cs="Arial" w:eastAsia="Arial" w:hAnsi="Arial"/>
          <w:sz w:val="14"/>
          <w:szCs w:val="14"/>
          <w:color w:val="auto"/>
        </w:rPr>
      </w:pPr>
      <w:r>
        <w:rPr>
          <w:rFonts w:ascii="Arial" w:cs="Arial" w:eastAsia="Arial" w:hAnsi="Arial"/>
          <w:sz w:val="14"/>
          <w:szCs w:val="14"/>
          <w:color w:val="auto"/>
        </w:rPr>
        <w:t>The 18-19 West LLC joint venture has a purchase option in place with a third-party to purchase lots 18 and 19 at a price of $15,213,000 that expires in the fourth quarter of 2021.</w:t>
      </w: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861" w:right="319" w:bottom="1440" w:gutter="0" w:footer="0" w:header="0"/>
        </w:sectPr>
      </w:pPr>
    </w:p>
    <w:bookmarkStart w:id="27" w:name="page28"/>
    <w:bookmarkEnd w:id="27"/>
    <w:p>
      <w:pPr>
        <w:ind w:left="760" w:right="100" w:hanging="246"/>
        <w:spacing w:after="0" w:line="257" w:lineRule="auto"/>
        <w:tabs>
          <w:tab w:leader="none" w:pos="757" w:val="left"/>
        </w:tabs>
        <w:numPr>
          <w:ilvl w:val="1"/>
          <w:numId w:val="14"/>
        </w:numPr>
        <w:rPr>
          <w:rFonts w:ascii="Arial" w:cs="Arial" w:eastAsia="Arial" w:hAnsi="Arial"/>
          <w:sz w:val="14"/>
          <w:szCs w:val="14"/>
          <w:color w:val="auto"/>
        </w:rPr>
      </w:pPr>
      <w:r>
        <w:rPr>
          <w:rFonts w:ascii="Arial" w:cs="Arial" w:eastAsia="Arial" w:hAnsi="Arial"/>
          <w:sz w:val="14"/>
          <w:szCs w:val="14"/>
          <w:color w:val="auto"/>
        </w:rPr>
        <w:t>TRCC/Rock Outlet Center LLC was formed during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The TRCC/Rock Outlet Center LLC joint venture has a term note with a financial institution that matures on September 5, 2021. As of June 30, 2021, the outstanding balance of the term note was $33,963,000. The Company and Rockefeller guarantee the performance of the debt.</w:t>
      </w:r>
    </w:p>
    <w:p>
      <w:pPr>
        <w:spacing w:after="0" w:line="63" w:lineRule="exact"/>
        <w:rPr>
          <w:rFonts w:ascii="Arial" w:cs="Arial" w:eastAsia="Arial" w:hAnsi="Arial"/>
          <w:sz w:val="14"/>
          <w:szCs w:val="14"/>
          <w:color w:val="auto"/>
        </w:rPr>
      </w:pPr>
    </w:p>
    <w:p>
      <w:pPr>
        <w:ind w:left="260" w:right="20" w:hanging="255"/>
        <w:spacing w:after="0" w:line="260"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Centennial Founders, LLC – Centennial Founders, LLC,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In 2016 and 2018, Lewis Investment Company and CalAtlantic left the joint venture. The Company's remaining partner, TRI Pointe Homes, retained a noncontrolling interest in the joint venture. As of June 30, 2021, the Company owned 92.90% of CFL.</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26"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Unaudited condensed statement of operations for the three months ended June 30, 2021 and condensed balance sheet information of the Company’s unconsolidated joint ventures as of June 30, 2021 and December 31, 2020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Arial" w:cs="Arial" w:eastAsia="Arial" w:hAnsi="Arial"/>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Arial" w:cs="Arial" w:eastAsia="Arial" w:hAnsi="Arial"/>
                <w:sz w:val="14"/>
                <w:szCs w:val="14"/>
                <w:b w:val="1"/>
                <w:bCs w:val="1"/>
                <w:color w:val="auto"/>
                <w:w w:val="92"/>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34,496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Five West Parcel, LLC</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18-19 West,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Arial" w:cs="Arial" w:eastAsia="Arial" w:hAnsi="Arial"/>
                <w:sz w:val="14"/>
                <w:szCs w:val="14"/>
                <w:color w:val="auto"/>
              </w:rPr>
              <w:t>TRCC/Rock Outlet Center, LLC</w:t>
            </w:r>
            <w:r>
              <w:rPr>
                <w:rFonts w:ascii="Arial" w:cs="Arial" w:eastAsia="Arial" w:hAnsi="Arial"/>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3, LLC</w:t>
            </w: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38,922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Arial" w:cs="Arial" w:eastAsia="Arial" w:hAnsi="Arial"/>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Arial" w:cs="Arial" w:eastAsia="Arial" w:hAnsi="Arial"/>
                <w:sz w:val="14"/>
                <w:szCs w:val="14"/>
                <w:color w:val="auto"/>
                <w:w w:val="90"/>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20" w:hanging="201"/>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Revenues for TRCC/Rock Outlet Center are presented net of non-cash tenant allowance amortization of $0.3 million as of the three months ended June 30, 2021 and June 30, 2020.</w:t>
      </w:r>
    </w:p>
    <w:p>
      <w:pPr>
        <w:spacing w:after="0" w:line="200" w:lineRule="exact"/>
        <w:rPr>
          <w:rFonts w:ascii="Arial" w:cs="Arial" w:eastAsia="Arial" w:hAnsi="Arial"/>
          <w:sz w:val="13"/>
          <w:szCs w:val="13"/>
          <w:color w:val="auto"/>
        </w:rPr>
      </w:pPr>
    </w:p>
    <w:p>
      <w:pPr>
        <w:spacing w:after="0" w:line="329"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0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6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Joint Venture</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TRC</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thousands)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529"/>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549"/>
              <w:spacing w:after="0"/>
              <w:rPr>
                <w:sz w:val="20"/>
                <w:szCs w:val="20"/>
                <w:color w:val="auto"/>
              </w:rPr>
            </w:pPr>
            <w:r>
              <w:rPr>
                <w:rFonts w:ascii="Arial" w:cs="Arial" w:eastAsia="Arial" w:hAnsi="Arial"/>
                <w:sz w:val="14"/>
                <w:szCs w:val="14"/>
                <w:b w:val="1"/>
                <w:bCs w:val="1"/>
                <w:color w:val="auto"/>
              </w:rPr>
              <w:t>Earnings (Loss)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Petro Travel Plaza Holdings, LLC</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39,914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Five West Parcel, LLC</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18-19 West, LLC</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line="181" w:lineRule="exact"/>
              <w:rPr>
                <w:sz w:val="20"/>
                <w:szCs w:val="20"/>
                <w:color w:val="auto"/>
              </w:rPr>
            </w:pPr>
            <w:r>
              <w:rPr>
                <w:rFonts w:ascii="Arial" w:cs="Arial" w:eastAsia="Arial" w:hAnsi="Arial"/>
                <w:sz w:val="14"/>
                <w:szCs w:val="14"/>
                <w:color w:val="auto"/>
              </w:rPr>
              <w:t>TRCC/Rock Outlet Center, LLC</w:t>
            </w:r>
            <w:r>
              <w:rPr>
                <w:rFonts w:ascii="Arial" w:cs="Arial" w:eastAsia="Arial" w:hAnsi="Arial"/>
                <w:sz w:val="18"/>
                <w:szCs w:val="18"/>
                <w:color w:val="auto"/>
                <w:vertAlign w:val="superscript"/>
              </w:rPr>
              <w:t>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TRC-MRC 1, LLC</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TRC-MRC 2, LLC</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TRC-MRC 3, LLC</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66,852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47,662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4,078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4"/>
                <w:szCs w:val="14"/>
                <w:color w:val="auto"/>
              </w:rPr>
              <w:t>Centennial Founders, LLC</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vMerge w:val="restart"/>
          </w:tcPr>
          <w:p>
            <w:pPr>
              <w:spacing w:after="0"/>
              <w:rPr>
                <w:sz w:val="3"/>
                <w:szCs w:val="3"/>
                <w:color w:val="auto"/>
              </w:rPr>
            </w:pPr>
          </w:p>
        </w:tc>
        <w:tc>
          <w:tcPr>
            <w:tcW w:w="3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9220" w:type="dxa"/>
            <w:vAlign w:val="bottom"/>
            <w:gridSpan w:val="22"/>
          </w:tcPr>
          <w:p>
            <w:pPr>
              <w:spacing w:after="0"/>
              <w:rPr>
                <w:sz w:val="20"/>
                <w:szCs w:val="20"/>
                <w:color w:val="auto"/>
              </w:rPr>
            </w:pPr>
            <w:r>
              <w:rPr>
                <w:rFonts w:ascii="Arial" w:cs="Arial" w:eastAsia="Arial" w:hAnsi="Arial"/>
                <w:sz w:val="14"/>
                <w:szCs w:val="14"/>
                <w:color w:val="auto"/>
                <w:w w:val="92"/>
              </w:rPr>
              <w:t>(1) Revenues for TRCC/Rock Outlet Center are presented net of non-cash tenant allowance amortization of $0.6 million as of June 30, 2021 and June 30, 2020.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4"/>
          </w:tcPr>
          <w:p>
            <w:pPr>
              <w:jc w:val="right"/>
              <w:ind w:right="229"/>
              <w:spacing w:after="0"/>
              <w:rPr>
                <w:sz w:val="20"/>
                <w:szCs w:val="20"/>
                <w:color w:val="auto"/>
              </w:rPr>
            </w:pPr>
            <w:r>
              <w:rPr>
                <w:rFonts w:ascii="Arial" w:cs="Arial" w:eastAsia="Arial" w:hAnsi="Arial"/>
                <w:sz w:val="14"/>
                <w:szCs w:val="14"/>
                <w:b w:val="1"/>
                <w:bCs w:val="1"/>
                <w:color w:val="auto"/>
                <w:w w:val="89"/>
              </w:rPr>
              <w:t>Joint Venture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TRC</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89"/>
              </w:rPr>
              <w:t>Joint Venture</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9"/>
              <w:spacing w:after="0"/>
              <w:rPr>
                <w:sz w:val="20"/>
                <w:szCs w:val="20"/>
                <w:color w:val="auto"/>
              </w:rPr>
            </w:pPr>
            <w:r>
              <w:rPr>
                <w:rFonts w:ascii="Arial" w:cs="Arial" w:eastAsia="Arial" w:hAnsi="Arial"/>
                <w:sz w:val="14"/>
                <w:szCs w:val="14"/>
                <w:b w:val="1"/>
                <w:bCs w:val="1"/>
                <w:color w:val="auto"/>
              </w:rPr>
              <w:t>TRC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 in thousands)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w w:val="95"/>
              </w:rPr>
              <w:t>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309"/>
              <w:spacing w:after="0"/>
              <w:rPr>
                <w:sz w:val="20"/>
                <w:szCs w:val="20"/>
                <w:color w:val="auto"/>
              </w:rPr>
            </w:pPr>
            <w:r>
              <w:rPr>
                <w:rFonts w:ascii="Arial" w:cs="Arial" w:eastAsia="Arial" w:hAnsi="Arial"/>
                <w:sz w:val="14"/>
                <w:szCs w:val="14"/>
                <w:b w:val="1"/>
                <w:bCs w:val="1"/>
                <w:color w:val="auto"/>
              </w:rPr>
              <w:t>Debt</w:t>
            </w:r>
          </w:p>
        </w:tc>
        <w:tc>
          <w:tcPr>
            <w:tcW w:w="84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880" w:type="dxa"/>
            <w:vAlign w:val="bottom"/>
            <w:gridSpan w:val="3"/>
          </w:tcPr>
          <w:p>
            <w:pPr>
              <w:jc w:val="right"/>
              <w:ind w:right="249"/>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Petro Travel Plaza Holdings,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81,493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(14,462)</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7"/>
              </w:rPr>
              <w:t>62,378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25,026</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(15,291)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8"/>
              </w:rPr>
              <w:t>59,597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18-19 West, LLC</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4,664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4,483</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TRCC/Rock Outlet Center, LLC</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(33,963)</w:t>
            </w:r>
          </w:p>
        </w:tc>
        <w:tc>
          <w:tcPr>
            <w:tcW w:w="3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29,190</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65,475</w:t>
            </w: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(34,845)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8"/>
              </w:rPr>
              <w:t>29,608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TRC-MRC 1, LLC</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25,999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(23,696)</w:t>
            </w: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1,740</w:t>
            </w:r>
          </w:p>
        </w:tc>
        <w:tc>
          <w:tcPr>
            <w:tcW w:w="14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26,502</w:t>
            </w:r>
          </w:p>
        </w:tc>
        <w:tc>
          <w:tcPr>
            <w:tcW w:w="1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(23,985)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2,059</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TRC-MRC 2, LLC</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(23,566)</w:t>
            </w:r>
          </w:p>
        </w:tc>
        <w:tc>
          <w:tcPr>
            <w:tcW w:w="3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20,191</w:t>
            </w:r>
          </w:p>
        </w:tc>
        <w:tc>
          <w:tcPr>
            <w:tcW w:w="1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(23,869)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(7,741)</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TRC-MRC 3, LLC</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(35,725)</w:t>
            </w: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(1,474)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38,502</w:t>
            </w:r>
          </w:p>
        </w:tc>
        <w:tc>
          <w:tcPr>
            <w:tcW w:w="1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(35,785)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4"/>
              </w:rPr>
              <w:t>(2,001)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TRC-MRC 4, LLC</w:t>
            </w:r>
          </w:p>
        </w:tc>
        <w:tc>
          <w:tcPr>
            <w:tcW w:w="1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10,288</w:t>
            </w: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3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9,320</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244,675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(132,380)</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99,473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39,288</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(133,775)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86,005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4"/>
                <w:szCs w:val="14"/>
                <w:color w:val="auto"/>
              </w:rPr>
              <w:t>Centennial Founders, LLC</w:t>
            </w: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314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rPr>
              <w:t>— $</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99,129</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98,565</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80" w:hanging="250"/>
        <w:spacing w:after="0"/>
        <w:tabs>
          <w:tab w:leader="none" w:pos="2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Centennial Founders, LLC is consolidated within the Company's financial statements.</w:t>
      </w:r>
    </w:p>
    <w:p>
      <w:pPr>
        <w:spacing w:after="0" w:line="163" w:lineRule="exact"/>
        <w:rPr>
          <w:rFonts w:ascii="Arial" w:cs="Arial" w:eastAsia="Arial" w:hAnsi="Arial"/>
          <w:sz w:val="14"/>
          <w:szCs w:val="14"/>
          <w:color w:val="auto"/>
        </w:rPr>
      </w:pPr>
    </w:p>
    <w:p>
      <w:pPr>
        <w:ind w:left="320" w:hanging="315"/>
        <w:spacing w:after="0"/>
        <w:tabs>
          <w:tab w:leader="none" w:pos="32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87"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June 30, 2021, the Company paid $4,129,000 for these water contracts and related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6EBF"/>
        </w:rPr>
        <w:t>ITEM 2.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Forward-Looking Statements</w:t>
      </w:r>
    </w:p>
    <w:p>
      <w:pPr>
        <w:spacing w:after="0" w:line="51" w:lineRule="exact"/>
        <w:rPr>
          <w:sz w:val="20"/>
          <w:szCs w:val="20"/>
          <w:color w:val="auto"/>
        </w:rPr>
      </w:pPr>
    </w:p>
    <w:p>
      <w:pPr>
        <w:spacing w:after="0" w:line="300" w:lineRule="auto"/>
        <w:rPr>
          <w:sz w:val="20"/>
          <w:szCs w:val="20"/>
          <w:color w:val="auto"/>
        </w:rPr>
      </w:pPr>
      <w:r>
        <w:rPr>
          <w:rFonts w:ascii="Arial" w:cs="Arial" w:eastAsia="Arial" w:hAnsi="Arial"/>
          <w:sz w:val="12"/>
          <w:szCs w:val="12"/>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impact of COVID-19 on the Company, its customers and suppliers, and global economic conditions,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including the development, distribution and efficacy of vaccines,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this report and our most recent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OVERVIEW</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Business Objectives and Strategies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Mountain Village at Tejon Ranch, or MV, and have submitted the final tract maps to Kern County. Over the next few years, it is possible that we will be engaged in continuous litigation defending the entitlements of our master planned developments.</w:t>
      </w:r>
    </w:p>
    <w:p>
      <w:pPr>
        <w:spacing w:after="0" w:line="51" w:lineRule="exact"/>
        <w:rPr>
          <w:sz w:val="20"/>
          <w:szCs w:val="20"/>
          <w:color w:val="auto"/>
        </w:rPr>
      </w:pPr>
    </w:p>
    <w:p>
      <w:pPr>
        <w:jc w:val="both"/>
        <w:ind w:right="400"/>
        <w:spacing w:after="0" w:line="347" w:lineRule="auto"/>
        <w:rPr>
          <w:sz w:val="20"/>
          <w:szCs w:val="20"/>
          <w:color w:val="auto"/>
        </w:rPr>
      </w:pPr>
      <w:r>
        <w:rPr>
          <w:rFonts w:ascii="Arial" w:cs="Arial" w:eastAsia="Arial" w:hAnsi="Arial"/>
          <w:sz w:val="12"/>
          <w:szCs w:val="12"/>
          <w:color w:val="auto"/>
        </w:rPr>
        <w:t>We are currently engaged in construction, commercial sales and leasing at our fully operational commercial/industrial center, the Tejon Ranch Commerce Center, or TRCC. All these efforts are supported by diverse revenue streams generated from other operations, including commercial/industrial real estate, farming, mineral resources, ranch operations, and our various joint ventures.</w:t>
      </w:r>
    </w:p>
    <w:p>
      <w:pPr>
        <w:spacing w:after="0"/>
        <w:rPr>
          <w:sz w:val="20"/>
          <w:szCs w:val="20"/>
          <w:color w:val="auto"/>
        </w:rPr>
      </w:pPr>
      <w:r>
        <w:rPr>
          <w:rFonts w:ascii="Arial" w:cs="Arial" w:eastAsia="Arial" w:hAnsi="Arial"/>
          <w:sz w:val="14"/>
          <w:szCs w:val="14"/>
          <w:b w:val="1"/>
          <w:bCs w:val="1"/>
          <w:color w:val="006EBF"/>
        </w:rPr>
        <w:t>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We currently operate in five reporting segments: commercial/industrial real estate development; resort/residential real estate development; mineral resources; farming; and ranch operations.</w:t>
      </w:r>
    </w:p>
    <w:p>
      <w:pPr>
        <w:spacing w:after="0" w:line="95"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0" w:name="page31"/>
    <w:bookmarkEnd w:id="30"/>
    <w:p>
      <w:pPr>
        <w:jc w:val="both"/>
        <w:ind w:right="180"/>
        <w:spacing w:after="0" w:line="297" w:lineRule="auto"/>
        <w:rPr>
          <w:sz w:val="20"/>
          <w:szCs w:val="20"/>
          <w:color w:val="auto"/>
        </w:rPr>
      </w:pPr>
      <w:r>
        <w:rPr>
          <w:rFonts w:ascii="Arial" w:cs="Arial" w:eastAsia="Arial" w:hAnsi="Arial"/>
          <w:sz w:val="13"/>
          <w:szCs w:val="13"/>
          <w:color w:val="auto"/>
        </w:rPr>
        <w:t>At the heart of the commercial/industrial real estate development segment is TRCC, a 20 million square foot commercial/industrial development on Interstate 5 just north of the Los Angeles basin.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18" w:lineRule="exact"/>
        <w:rPr>
          <w:sz w:val="20"/>
          <w:szCs w:val="20"/>
          <w:color w:val="auto"/>
        </w:rPr>
      </w:pPr>
    </w:p>
    <w:p>
      <w:pPr>
        <w:ind w:right="280"/>
        <w:spacing w:after="0" w:line="284" w:lineRule="auto"/>
        <w:rPr>
          <w:sz w:val="20"/>
          <w:szCs w:val="20"/>
          <w:color w:val="auto"/>
        </w:rPr>
      </w:pPr>
      <w:r>
        <w:rPr>
          <w:rFonts w:ascii="Arial" w:cs="Arial" w:eastAsia="Arial" w:hAnsi="Arial"/>
          <w:sz w:val="13"/>
          <w:szCs w:val="13"/>
          <w:color w:val="auto"/>
        </w:rPr>
        <w:t>On January 5, 2021, the Kern County Board of Supervisors approved two Conditional Use Permits (CUP) which will authorize development of multi-family apartment uses within TRCC. The approved CUPs authorize the Company to develop up to a maximum of 495 multi-family residences, in thirteen apartment buildings, as well as approximately 6,500 square feet of community amenity space and 8,000 square feet of community retail on the ground floor of a portion of the residential buildings. The development would be located on an approximately 23-acre site located immediately north of the Outlets at Tejon. During the remainder of 2021, the Company expects to devote appropriate resources to advance this new project at TRCC, providing the much-needed housing for the thousands of employees currently working at the various distribution centers, retailers, and fast-food restaurants at TRCC.</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4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joint venture with Petro that owns and operates two travel and truck stop facilities, comprised of five separate gas stations with convenience stores and fast-food restaurants within TRCC-West and TRCC-East.</w:t>
      </w:r>
    </w:p>
    <w:p>
      <w:pPr>
        <w:spacing w:after="0" w:line="2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Two joint ventures with Rockefeller Development Group, or Rockefeller:</w:t>
      </w:r>
    </w:p>
    <w:p>
      <w:pPr>
        <w:spacing w:after="0" w:line="10" w:lineRule="exact"/>
        <w:rPr>
          <w:rFonts w:ascii="Arial" w:cs="Arial" w:eastAsia="Arial" w:hAnsi="Arial"/>
          <w:sz w:val="14"/>
          <w:szCs w:val="14"/>
          <w:color w:val="auto"/>
        </w:rPr>
      </w:pPr>
    </w:p>
    <w:p>
      <w:pPr>
        <w:ind w:left="1020" w:right="120" w:hanging="251"/>
        <w:spacing w:after="0" w:line="231" w:lineRule="auto"/>
        <w:tabs>
          <w:tab w:leader="none" w:pos="1017" w:val="left"/>
        </w:tabs>
        <w:numPr>
          <w:ilvl w:val="1"/>
          <w:numId w:val="17"/>
        </w:numPr>
        <w:rPr>
          <w:rFonts w:ascii="Arial" w:cs="Arial" w:eastAsia="Arial" w:hAnsi="Arial"/>
          <w:sz w:val="14"/>
          <w:szCs w:val="14"/>
          <w:color w:val="auto"/>
        </w:rPr>
      </w:pPr>
      <w:r>
        <w:rPr>
          <w:rFonts w:ascii="Arial" w:cs="Arial" w:eastAsia="Arial" w:hAnsi="Arial"/>
          <w:sz w:val="14"/>
          <w:szCs w:val="14"/>
          <w:color w:val="auto"/>
        </w:rPr>
        <w:t>18-19 West LLC owns 63.5 acres of land for future development within TRCC-West. In 2019, our 18-19 West LLC joint venture entered into a land purchase option with the same third-party who purchased the Five West building and land, to purchase lots 18 and 19 at a price of $13,800,000 through the option period ending May 21, 2021. The option was extended at expiration for an additional six months to November 21, 2021 at a price of $15,200,000.; and</w:t>
      </w:r>
    </w:p>
    <w:p>
      <w:pPr>
        <w:spacing w:after="0" w:line="53"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TRCC/Rock Outlet Center LLC operates the Outlets at Tejon, a net leasable 326,000 square foot shopping experience in TRCC-East;</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Four joint ventures with Majestic Realty Co., or Majestic, to develop, manage, and operate industrial buildings within TRCC:</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TRC-MRC 1, LLC operates a 480,480 square foot industrial building in TRCC-East, which was completed during 2017 and is fully leased;</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TRC-MRC 2, LLC owns and operates a 651,909 square foot building in TRCC-West that is fully leased;</w:t>
      </w:r>
    </w:p>
    <w:p>
      <w:pPr>
        <w:spacing w:after="0" w:line="83" w:lineRule="exact"/>
        <w:rPr>
          <w:rFonts w:ascii="Arial" w:cs="Arial" w:eastAsia="Arial" w:hAnsi="Arial"/>
          <w:sz w:val="14"/>
          <w:szCs w:val="14"/>
          <w:color w:val="auto"/>
        </w:rPr>
      </w:pPr>
    </w:p>
    <w:p>
      <w:pPr>
        <w:ind w:left="1020" w:right="120" w:hanging="251"/>
        <w:spacing w:after="0" w:line="281" w:lineRule="auto"/>
        <w:tabs>
          <w:tab w:leader="none" w:pos="1017" w:val="left"/>
        </w:tabs>
        <w:numPr>
          <w:ilvl w:val="1"/>
          <w:numId w:val="17"/>
        </w:numPr>
        <w:rPr>
          <w:rFonts w:ascii="Arial" w:cs="Arial" w:eastAsia="Arial" w:hAnsi="Arial"/>
          <w:sz w:val="14"/>
          <w:szCs w:val="14"/>
          <w:color w:val="auto"/>
        </w:rPr>
      </w:pPr>
      <w:r>
        <w:rPr>
          <w:rFonts w:ascii="Arial" w:cs="Arial" w:eastAsia="Arial" w:hAnsi="Arial"/>
          <w:sz w:val="14"/>
          <w:szCs w:val="14"/>
          <w:color w:val="auto"/>
        </w:rPr>
        <w:t>TRC-MRC 3, LLC operates a 579,040 square foot industrial building in TRCC-East, which was completed during the fourth quarter of 2019 and was fully leased through June 30, 2021. In July 2021, 190,000 square feet of space was vacated; and</w:t>
      </w:r>
    </w:p>
    <w:p>
      <w:pPr>
        <w:spacing w:after="0" w:line="26" w:lineRule="exact"/>
        <w:rPr>
          <w:rFonts w:ascii="Arial" w:cs="Arial" w:eastAsia="Arial" w:hAnsi="Arial"/>
          <w:sz w:val="14"/>
          <w:szCs w:val="14"/>
          <w:color w:val="auto"/>
        </w:rPr>
      </w:pPr>
    </w:p>
    <w:p>
      <w:pPr>
        <w:ind w:left="1020" w:right="180" w:hanging="251"/>
        <w:spacing w:after="0" w:line="321" w:lineRule="auto"/>
        <w:tabs>
          <w:tab w:leader="none" w:pos="1017" w:val="left"/>
        </w:tabs>
        <w:numPr>
          <w:ilvl w:val="1"/>
          <w:numId w:val="17"/>
        </w:numPr>
        <w:rPr>
          <w:rFonts w:ascii="Arial" w:cs="Arial" w:eastAsia="Arial" w:hAnsi="Arial"/>
          <w:sz w:val="13"/>
          <w:szCs w:val="13"/>
          <w:color w:val="auto"/>
        </w:rPr>
      </w:pPr>
      <w:r>
        <w:rPr>
          <w:rFonts w:ascii="Arial" w:cs="Arial" w:eastAsia="Arial" w:hAnsi="Arial"/>
          <w:sz w:val="13"/>
          <w:szCs w:val="13"/>
          <w:color w:val="auto"/>
        </w:rPr>
        <w:t>TRC-MRC 4, LLC was formed in 2021 to pursue the development, construction, leasing and management of a 629,274 square foot industrial building in TRCC-East. Grading on the site has begun, with construction of the building expected to begin in the fourth quarter of 2021. The building is expected to be completed in 2022.</w:t>
      </w:r>
    </w:p>
    <w:p>
      <w:pPr>
        <w:spacing w:after="0" w:line="1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resort/residential real estate development segment is actively involved in the land entitlement and development process internally and through a joint venture. Our active developments within this segment are MV, Centennial at Tejon Ranch, or Centennial, and Grapevine at Tejon Ranch, or Grapevine.</w:t>
      </w:r>
    </w:p>
    <w:p>
      <w:pPr>
        <w:spacing w:after="0" w:line="37" w:lineRule="exact"/>
        <w:rPr>
          <w:sz w:val="20"/>
          <w:szCs w:val="20"/>
          <w:color w:val="auto"/>
        </w:rPr>
      </w:pPr>
    </w:p>
    <w:p>
      <w:pPr>
        <w:ind w:left="520" w:right="180" w:hanging="260"/>
        <w:spacing w:after="0" w:line="295" w:lineRule="auto"/>
        <w:tabs>
          <w:tab w:leader="none" w:pos="516" w:val="left"/>
        </w:tabs>
        <w:numPr>
          <w:ilvl w:val="0"/>
          <w:numId w:val="18"/>
        </w:numPr>
        <w:rPr>
          <w:rFonts w:ascii="Arial" w:cs="Arial" w:eastAsia="Arial" w:hAnsi="Arial"/>
          <w:sz w:val="12"/>
          <w:szCs w:val="12"/>
          <w:color w:val="auto"/>
        </w:rPr>
      </w:pPr>
      <w:r>
        <w:rPr>
          <w:rFonts w:ascii="Arial" w:cs="Arial" w:eastAsia="Arial" w:hAnsi="Arial"/>
          <w:sz w:val="12"/>
          <w:szCs w:val="12"/>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 The Company is currently focusing on the completion of the final map for first phases of MV, consumer and market research studies and fine tuning of development business plans as well as defining the capital funding sources for this development;</w:t>
      </w:r>
    </w:p>
    <w:p>
      <w:pPr>
        <w:spacing w:after="0" w:line="1" w:lineRule="exact"/>
        <w:rPr>
          <w:rFonts w:ascii="Arial" w:cs="Arial" w:eastAsia="Arial" w:hAnsi="Arial"/>
          <w:sz w:val="12"/>
          <w:szCs w:val="12"/>
          <w:color w:val="auto"/>
        </w:rPr>
      </w:pPr>
    </w:p>
    <w:p>
      <w:pPr>
        <w:ind w:left="520" w:right="20" w:hanging="260"/>
        <w:spacing w:after="0" w:line="228"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 and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1" w:name="page32"/>
    <w:bookmarkEnd w:id="31"/>
    <w:p>
      <w:pPr>
        <w:ind w:left="520" w:right="80" w:hanging="260"/>
        <w:spacing w:after="0" w:line="284" w:lineRule="auto"/>
        <w:tabs>
          <w:tab w:leader="none" w:pos="516" w:val="left"/>
        </w:tabs>
        <w:numPr>
          <w:ilvl w:val="0"/>
          <w:numId w:val="19"/>
        </w:numPr>
        <w:rPr>
          <w:rFonts w:ascii="Arial" w:cs="Arial" w:eastAsia="Arial" w:hAnsi="Arial"/>
          <w:sz w:val="12"/>
          <w:szCs w:val="12"/>
          <w:color w:val="auto"/>
        </w:rPr>
      </w:pPr>
      <w:r>
        <w:rPr>
          <w:rFonts w:ascii="Arial" w:cs="Arial" w:eastAsia="Arial" w:hAnsi="Arial"/>
          <w:sz w:val="12"/>
          <w:szCs w:val="12"/>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environmental impact report, or EIR, prepared in response to a court ruling and re-approved the development of Grapevine unanimously. On January 10, 2020, an action was filed in Kern County Superior Court pursuant to CEQA against Kern County, concerning Kern County’s approval of the December 2019 re-entitlement, including certification of the final EIR. On January 22, 2021 the court ruled in favor of the Company and Kern County on all issues. The court entered a final judgment reflecting its ruling in favor of the Company and the County on March 22, 2021. See Note 12 (Commitments and Contingencies) of the Notes to Unaudited Consolidated Financial Statements for further discussion.</w:t>
      </w:r>
    </w:p>
    <w:p>
      <w:pPr>
        <w:spacing w:after="0" w:line="28" w:lineRule="exact"/>
        <w:rPr>
          <w:sz w:val="20"/>
          <w:szCs w:val="20"/>
          <w:color w:val="auto"/>
        </w:rPr>
      </w:pPr>
    </w:p>
    <w:p>
      <w:pPr>
        <w:ind w:right="720"/>
        <w:spacing w:after="0" w:line="281" w:lineRule="auto"/>
        <w:rPr>
          <w:sz w:val="20"/>
          <w:szCs w:val="20"/>
          <w:color w:val="auto"/>
        </w:rPr>
      </w:pPr>
      <w:r>
        <w:rPr>
          <w:rFonts w:ascii="Arial" w:cs="Arial" w:eastAsia="Arial" w:hAnsi="Arial"/>
          <w:sz w:val="14"/>
          <w:szCs w:val="14"/>
          <w:color w:val="auto"/>
        </w:rPr>
        <w:t>Please refer to our Annual Report on Form 10-K for the year ended December 31, 2020, for a more detailed description of our active developments within the resort/residential real estate development segment.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Our mineral resources segment generates revenues from oil and gas royalty leases, rock and aggregate mining leases, a lease with National Cement Company of California Inc., and water sales.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farming segment produces revenues from the sale of wine grapes, almonds, and pistachios.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Lastly, the ranch operations segment consists of game management revenues and ancillary land uses such as grazing leases and filming.</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The COVID-19 Pandemic</w:t>
      </w:r>
    </w:p>
    <w:p>
      <w:pPr>
        <w:spacing w:after="0" w:line="87"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Beginning mid-June, the Company's retail and hospitality segments fully reopened and operated without any restrictions. TRCC has seen an uptick in traffic as evidenced by a 25% increase in fuel sales volumes at the Petro Travel Plaza joint venture when compared to the same prior year period. The Company's other segments continue to operate without restrictions as they are and continue to be deemed essential. During this phase of the recovery, the Company will continue to prioritize employee health and provide work safety guidelines prescribed by Cal/OSHA.</w:t>
      </w:r>
    </w:p>
    <w:p>
      <w:pPr>
        <w:spacing w:after="0" w:line="2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Uncertainty still remains over long-term vaccine efficacy, global vaccine adoption and availability, and the possibility of reinstating pandemic restrictions arising from future mutations such the Delta variant. The long-term impact of such uncertainties on our business are currently unknown and may vary in scope and severity from the impacts to-date.</w:t>
      </w:r>
    </w:p>
    <w:p>
      <w:pPr>
        <w:spacing w:after="0" w:line="26"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actions taken by governments, other businesses, and individuals in response to the pandemic did have and will continue to have an impact our results of operations and overall financial performance. In 2020, we evaluated our operations for expense reductions and cash savings by renegotiating contracts and pricing with a significant portion of our vendors, and rightsizing our labor needs. We will continue to monitor and evaluate our needs for expense reduction throughout 2021.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Summary of Second Quarter 2021 Performance</w:t>
      </w:r>
    </w:p>
    <w:p>
      <w:pPr>
        <w:spacing w:after="0" w:line="87" w:lineRule="exact"/>
        <w:rPr>
          <w:sz w:val="20"/>
          <w:szCs w:val="20"/>
          <w:color w:val="auto"/>
        </w:rPr>
      </w:pPr>
    </w:p>
    <w:p>
      <w:pPr>
        <w:jc w:val="both"/>
        <w:ind w:right="60"/>
        <w:spacing w:after="0" w:line="284" w:lineRule="auto"/>
        <w:rPr>
          <w:sz w:val="20"/>
          <w:szCs w:val="20"/>
          <w:color w:val="auto"/>
        </w:rPr>
      </w:pPr>
      <w:r>
        <w:rPr>
          <w:rFonts w:ascii="Arial" w:cs="Arial" w:eastAsia="Arial" w:hAnsi="Arial"/>
          <w:sz w:val="13"/>
          <w:szCs w:val="13"/>
          <w:color w:val="auto"/>
        </w:rPr>
        <w:t>For the three months ended June 30, 2021, the Company had net income attributable to common stockholders of $2,822,000 compared to a net loss of $333,000 for the three months ended June 30, 2020. The improvement is primarily attributed to a land sale to TRC-MRC 4 in June 2021 that increased commercial operating profits for the quarter by $3,047,000 as compared to the three months ended June 30, 2020. Also contributing to this increase were improved mineral resources operating profits of $2,089,000 when compared to the three months ended June 30, 2020, which is the result of an increase in water sales in 2021 due to the 5% State Water Project, or SWP, allocation. The improved operating results were offset by the non-recurrence of a building sale that occurred in 2020 that resulted in a $1,333,000 gain, along with increased income taxes of $922,000 reflecting the overall improved operating results.</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For the first six months of 2021, the Company had net income attributable to common stockholders of $1,767,000 compared to a net loss of $1,015,000 for the first six months of 2020. The improvement is primarily attributed to the June 2021 land sale to TRC-MRC 4 that improved commercial operating profits by $3,334,000 when compared to the same period of last year. Also contributing to this increase were improved mineral resources operating profits of $1,918,000 as compared to 2020, which was the result of higher water sales in 2021 due to the 5% SWP allocation. The improved operating results were offset by the non-recurrence of a building sale that occurred in 2020 that resulted in a $1,333,000 gain. In addition, the Company's share of operating results from its unconsolidated joint ventures decreased $1,230,000, a result of significant increases in fuel costs for its Petro Travel Plaza Holdings joint venture.</w:t>
      </w:r>
    </w:p>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3"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6EBF"/>
        </w:rPr>
        <w:t>Critical Accounting Policies</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During the six months ended June 30, 2021, our critical accounting policies have not changed since the filing of our Annual Report on Form 10-K for the year ended December 31, 2020.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Results of Operations by Segment</w:t>
      </w:r>
    </w:p>
    <w:p>
      <w:pPr>
        <w:spacing w:after="0" w:line="8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006EBF"/>
              </w:rPr>
              <w:t>Real Estate – Commercial/Industrial:</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5"/>
          </w:tcPr>
          <w:p>
            <w:pPr>
              <w:ind w:left="500"/>
              <w:spacing w:after="0"/>
              <w:rPr>
                <w:sz w:val="20"/>
                <w:szCs w:val="20"/>
                <w:color w:val="auto"/>
              </w:rPr>
            </w:pPr>
            <w:r>
              <w:rPr>
                <w:rFonts w:ascii="Arial" w:cs="Arial" w:eastAsia="Arial" w:hAnsi="Arial"/>
                <w:sz w:val="14"/>
                <w:szCs w:val="14"/>
                <w:color w:val="auto"/>
              </w:rPr>
              <w:t>Three Months Ended June 30,</w:t>
            </w:r>
          </w:p>
        </w:tc>
        <w:tc>
          <w:tcPr>
            <w:tcW w:w="460" w:type="dxa"/>
            <w:vAlign w:val="bottom"/>
          </w:tcPr>
          <w:p>
            <w:pPr>
              <w:spacing w:after="0"/>
              <w:rPr>
                <w:sz w:val="24"/>
                <w:szCs w:val="24"/>
                <w:color w:val="auto"/>
              </w:rPr>
            </w:pPr>
          </w:p>
        </w:tc>
        <w:tc>
          <w:tcPr>
            <w:tcW w:w="1840" w:type="dxa"/>
            <w:vAlign w:val="bottom"/>
            <w:gridSpan w:val="3"/>
          </w:tcPr>
          <w:p>
            <w:pPr>
              <w:ind w:left="1120"/>
              <w:spacing w:after="0"/>
              <w:rPr>
                <w:sz w:val="20"/>
                <w:szCs w:val="20"/>
                <w:color w:val="auto"/>
              </w:rPr>
            </w:pPr>
            <w:r>
              <w:rPr>
                <w:rFonts w:ascii="Arial" w:cs="Arial" w:eastAsia="Arial" w:hAnsi="Arial"/>
                <w:sz w:val="14"/>
                <w:szCs w:val="14"/>
                <w:color w:val="auto"/>
              </w:rPr>
              <w:t>Change</w:t>
            </w:r>
          </w:p>
        </w:tc>
        <w:tc>
          <w:tcPr>
            <w:tcW w:w="1260" w:type="dxa"/>
            <w:vAlign w:val="bottom"/>
          </w:tcPr>
          <w:p>
            <w:pPr>
              <w:spacing w:after="0"/>
              <w:rPr>
                <w:sz w:val="24"/>
                <w:szCs w:val="24"/>
                <w:color w:val="auto"/>
              </w:rPr>
            </w:pPr>
          </w:p>
        </w:tc>
      </w:tr>
      <w:tr>
        <w:trPr>
          <w:trHeight w:val="17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r>
      <w:tr>
        <w:trPr>
          <w:trHeight w:val="16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Commercial/industrial revenues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TRCC Leasing</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18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TRCC management fees and reimbursements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8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Commercial leases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Landscaping and other</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sale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1"/>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commercial/industrial revenues</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8,126</w:t>
            </w:r>
          </w:p>
        </w:tc>
        <w:tc>
          <w:tcPr>
            <w:tcW w:w="1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2,114</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6,012</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284 %</w:t>
            </w:r>
          </w:p>
        </w:tc>
      </w:tr>
      <w:tr>
        <w:trPr>
          <w:trHeight w:val="171"/>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commercial/industrial expenses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r>
      <w:tr>
        <w:trPr>
          <w:trHeight w:val="17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Operating income from commercial/industrial</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830 %</w:t>
            </w:r>
          </w:p>
        </w:tc>
      </w:tr>
      <w:tr>
        <w:trPr>
          <w:trHeight w:val="20"/>
        </w:trPr>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60" w:hanging="255"/>
        <w:spacing w:after="0" w:line="262"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revenues were $8,126,000 for the three months ended June 30, 2021, an increase of $6,012,000, or 284%, from $2,114,000 for the three months ended June 30, 2020. The increase is primarily attributed to $5,679,000 in land sale revenues associated with the June 2021 land contribution to TRC-MRC 4 as discussed in Note 15 (Investment in Unconsolidated and Consolidated Joint Ventures). Hot June weather and lifting of the COVID-19 restrictions in mid-June that led to an increase in energy demand, and as a result, the Company received additional spark spread revenues from its Pastoria Energy Facility lease.</w:t>
      </w:r>
    </w:p>
    <w:p>
      <w:pPr>
        <w:spacing w:after="0" w:line="39" w:lineRule="exact"/>
        <w:rPr>
          <w:rFonts w:ascii="Arial" w:cs="Arial" w:eastAsia="Arial" w:hAnsi="Arial"/>
          <w:sz w:val="14"/>
          <w:szCs w:val="14"/>
          <w:color w:val="auto"/>
        </w:rPr>
      </w:pPr>
    </w:p>
    <w:p>
      <w:pPr>
        <w:ind w:left="260" w:right="140" w:hanging="255"/>
        <w:spacing w:after="0" w:line="321" w:lineRule="auto"/>
        <w:tabs>
          <w:tab w:leader="none" w:pos="256"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Commercial/industrial real estate development segment expenses were $4,712,000 for the three months ended June 30, 2021, an increase of $2,965,000, or 170%, from $1,747,000 for the three months ended June 30, 2020. This increase is attributed to an increase in land cost of sales of $2,895,000 resulting from the land contribution to TRC-MRC 4 discussed above.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4"/>
                <w:szCs w:val="14"/>
                <w:color w:val="auto"/>
                <w:w w:val="93"/>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color w:val="auto"/>
              </w:rPr>
              <w:t>Change</w:t>
            </w:r>
          </w:p>
        </w:tc>
        <w:tc>
          <w:tcPr>
            <w:tcW w:w="1020" w:type="dxa"/>
            <w:vAlign w:val="bottom"/>
            <w:tcBorders>
              <w:bottom w:val="single" w:sz="8" w:color="auto"/>
            </w:tcBorders>
          </w:tcPr>
          <w:p>
            <w:pPr>
              <w:spacing w:after="0"/>
              <w:rPr>
                <w:sz w:val="15"/>
                <w:szCs w:val="15"/>
                <w:color w:val="auto"/>
              </w:rPr>
            </w:pPr>
          </w:p>
        </w:tc>
      </w:tr>
      <w:tr>
        <w:trPr>
          <w:trHeight w:val="171"/>
        </w:trPr>
        <w:tc>
          <w:tcPr>
            <w:tcW w:w="4220" w:type="dxa"/>
            <w:vAlign w:val="bottom"/>
          </w:tcPr>
          <w:p>
            <w:pPr>
              <w:spacing w:after="0"/>
              <w:rPr>
                <w:sz w:val="20"/>
                <w:szCs w:val="20"/>
                <w:color w:val="auto"/>
              </w:rPr>
            </w:pPr>
            <w:r>
              <w:rPr>
                <w:rFonts w:ascii="Arial" w:cs="Arial" w:eastAsia="Arial" w:hAnsi="Arial"/>
                <w:sz w:val="14"/>
                <w:szCs w:val="14"/>
                <w:color w:val="auto"/>
              </w:rPr>
              <w:t>($ 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w:t>
            </w:r>
          </w:p>
        </w:tc>
      </w:tr>
      <w:tr>
        <w:trPr>
          <w:trHeight w:val="161"/>
        </w:trPr>
        <w:tc>
          <w:tcPr>
            <w:tcW w:w="4220" w:type="dxa"/>
            <w:vAlign w:val="bottom"/>
          </w:tcPr>
          <w:p>
            <w:pPr>
              <w:spacing w:after="0"/>
              <w:rPr>
                <w:sz w:val="20"/>
                <w:szCs w:val="20"/>
                <w:color w:val="auto"/>
              </w:rPr>
            </w:pPr>
            <w:r>
              <w:rPr>
                <w:rFonts w:ascii="Arial" w:cs="Arial" w:eastAsia="Arial" w:hAnsi="Arial"/>
                <w:sz w:val="14"/>
                <w:szCs w:val="14"/>
                <w:color w:val="auto"/>
              </w:rPr>
              <w:t>Commercial revenues</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4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Pastoria Energy Facility</w:t>
            </w:r>
          </w:p>
        </w:tc>
        <w:tc>
          <w:tcPr>
            <w:tcW w:w="116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0"/>
        </w:trPr>
        <w:tc>
          <w:tcPr>
            <w:tcW w:w="4220" w:type="dxa"/>
            <w:vAlign w:val="bottom"/>
          </w:tcPr>
          <w:p>
            <w:pPr>
              <w:ind w:left="160"/>
              <w:spacing w:after="0"/>
              <w:rPr>
                <w:sz w:val="20"/>
                <w:szCs w:val="20"/>
                <w:color w:val="auto"/>
              </w:rPr>
            </w:pPr>
            <w:r>
              <w:rPr>
                <w:rFonts w:ascii="Arial" w:cs="Arial" w:eastAsia="Arial" w:hAnsi="Arial"/>
                <w:sz w:val="14"/>
                <w:szCs w:val="14"/>
                <w:color w:val="auto"/>
              </w:rPr>
              <w:t>TRCC Leasing</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1"/>
        </w:trPr>
        <w:tc>
          <w:tcPr>
            <w:tcW w:w="4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TRCC management fees and reimbursements</w:t>
            </w: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4220" w:type="dxa"/>
            <w:vAlign w:val="bottom"/>
          </w:tcPr>
          <w:p>
            <w:pPr>
              <w:ind w:left="160"/>
              <w:spacing w:after="0"/>
              <w:rPr>
                <w:sz w:val="20"/>
                <w:szCs w:val="20"/>
                <w:color w:val="auto"/>
              </w:rPr>
            </w:pPr>
            <w:r>
              <w:rPr>
                <w:rFonts w:ascii="Arial" w:cs="Arial" w:eastAsia="Arial" w:hAnsi="Arial"/>
                <w:sz w:val="14"/>
                <w:szCs w:val="14"/>
                <w:color w:val="auto"/>
              </w:rPr>
              <w:t>Commercial leases</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181"/>
        </w:trPr>
        <w:tc>
          <w:tcPr>
            <w:tcW w:w="4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Communication leases</w:t>
            </w: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0"/>
        </w:trPr>
        <w:tc>
          <w:tcPr>
            <w:tcW w:w="4220" w:type="dxa"/>
            <w:vAlign w:val="bottom"/>
          </w:tcPr>
          <w:p>
            <w:pPr>
              <w:ind w:left="160"/>
              <w:spacing w:after="0"/>
              <w:rPr>
                <w:sz w:val="20"/>
                <w:szCs w:val="20"/>
                <w:color w:val="auto"/>
              </w:rPr>
            </w:pPr>
            <w:r>
              <w:rPr>
                <w:rFonts w:ascii="Arial" w:cs="Arial" w:eastAsia="Arial" w:hAnsi="Arial"/>
                <w:sz w:val="14"/>
                <w:szCs w:val="14"/>
                <w:color w:val="auto"/>
              </w:rPr>
              <w:t>Landscaping and other</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181"/>
        </w:trPr>
        <w:tc>
          <w:tcPr>
            <w:tcW w:w="4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Land sale</w:t>
            </w: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5,679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1"/>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commercial revenues</w:t>
            </w: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10,354</w:t>
            </w:r>
          </w:p>
        </w:tc>
        <w:tc>
          <w:tcPr>
            <w:tcW w:w="100" w:type="dxa"/>
            <w:vAlign w:val="bottom"/>
            <w:tcBorders>
              <w:bottom w:val="single" w:sz="8" w:color="CCEEFF"/>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5,920</w:t>
            </w: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134 %</w:t>
            </w:r>
          </w:p>
        </w:tc>
      </w:tr>
      <w:tr>
        <w:trPr>
          <w:trHeight w:val="171"/>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Total commercial expenses</w:t>
            </w: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6,264</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2,586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71"/>
        </w:trPr>
        <w:tc>
          <w:tcPr>
            <w:tcW w:w="4220" w:type="dxa"/>
            <w:vAlign w:val="bottom"/>
          </w:tcPr>
          <w:p>
            <w:pPr>
              <w:spacing w:after="0"/>
              <w:rPr>
                <w:sz w:val="20"/>
                <w:szCs w:val="20"/>
                <w:color w:val="auto"/>
              </w:rPr>
            </w:pPr>
            <w:r>
              <w:rPr>
                <w:rFonts w:ascii="Arial" w:cs="Arial" w:eastAsia="Arial" w:hAnsi="Arial"/>
                <w:sz w:val="14"/>
                <w:szCs w:val="14"/>
                <w:color w:val="auto"/>
              </w:rPr>
              <w:t>Operating income from commercial/industrial</w:t>
            </w:r>
          </w:p>
        </w:tc>
        <w:tc>
          <w:tcPr>
            <w:tcW w:w="1160" w:type="dxa"/>
            <w:vAlign w:val="bottom"/>
            <w:tcBorders>
              <w:bottom w:val="single" w:sz="8" w:color="auto"/>
            </w:tcBorders>
          </w:tcPr>
          <w:p>
            <w:pPr>
              <w:jc w:val="right"/>
              <w:ind w:right="10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4,090</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3,334</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441 %</w:t>
            </w:r>
          </w:p>
        </w:tc>
      </w:tr>
      <w:tr>
        <w:trPr>
          <w:trHeight w:val="20"/>
        </w:trPr>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right="40" w:hanging="255"/>
        <w:spacing w:after="0" w:line="297" w:lineRule="auto"/>
        <w:tabs>
          <w:tab w:leader="none" w:pos="2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Commercial/industrial real estate development segment revenues were $10,354,000 for the first six months of 2021, an increase of $5,920,000, or 134%, from $4,434,000 for the first six months of 2020. The increase is primarily attributed to $5,679,000 in land sale revenues associated with the June 2021 land contribution to TRC-MRC 4 as discussed in Note 15 (Investment in Unconsolidated and Consolidated Joint Ventures). As described above the Company also received higher spark spread revenues from its Pastoria Energy Facility lease.</w:t>
      </w:r>
    </w:p>
    <w:p>
      <w:pPr>
        <w:spacing w:after="0" w:line="28" w:lineRule="exact"/>
        <w:rPr>
          <w:rFonts w:ascii="Arial" w:cs="Arial" w:eastAsia="Arial" w:hAnsi="Arial"/>
          <w:sz w:val="13"/>
          <w:szCs w:val="13"/>
          <w:color w:val="auto"/>
        </w:rPr>
      </w:pPr>
    </w:p>
    <w:p>
      <w:pPr>
        <w:ind w:left="260" w:right="220" w:hanging="255"/>
        <w:spacing w:after="0" w:line="321" w:lineRule="auto"/>
        <w:tabs>
          <w:tab w:leader="none" w:pos="2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Commercial/industrial real estate development segment expenses were $6,264,000 during the first six months of 2021, an increase of $2,586,000, or 70%, from $3,678,000 during the first six months of 2020. This increase is attributed to an increase in land cost of sales of $2,895,000 resulting from the land contribution to TRC-MRC 4 discussed above.</w:t>
      </w:r>
    </w:p>
    <w:p>
      <w:pPr>
        <w:spacing w:after="0" w:line="1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TRCC-East and TRCC-West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5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believe that the FTZ and EDIP,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by TRC-MRC 1 and TRC-MRC 3, and our new industrial building being constructed by the TRC-MRC 4 joint venture.</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0" w:right="339" w:bottom="1440" w:gutter="0" w:footer="0" w:header="0"/>
        </w:sectPr>
      </w:pPr>
    </w:p>
    <w:bookmarkStart w:id="34" w:name="page35"/>
    <w:bookmarkEnd w:id="34"/>
    <w:p>
      <w:pPr>
        <w:spacing w:after="0" w:line="267" w:lineRule="auto"/>
        <w:rPr>
          <w:sz w:val="20"/>
          <w:szCs w:val="20"/>
          <w:color w:val="auto"/>
        </w:rPr>
      </w:pPr>
      <w:r>
        <w:rPr>
          <w:rFonts w:ascii="Arial" w:cs="Arial" w:eastAsia="Arial" w:hAnsi="Arial"/>
          <w:sz w:val="14"/>
          <w:szCs w:val="14"/>
          <w:color w:val="auto"/>
        </w:rPr>
        <w:t>During the quarter ended June 30, 2021, vacancy rates in the Inland Empire continued to stay at a historical low of 1.2%, leading to an increase in lease rate of 13%, both setting new records. Demand for Inland Empire logistics space continues to be strong, as net absorption reached 6.8 million square feet. As lease rates increase in the Inland Empire, we may experience greater pricing advantages due to our lower land basis.</w:t>
      </w:r>
    </w:p>
    <w:p>
      <w:pPr>
        <w:spacing w:after="0" w:line="36"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During the quarter ended June 30, 2021, vacancy rates in the northern Los Angeles industrial market, which includes the San Fernando Valley and Santa Clarita Valley, decreased from 1.8% as of March 31, 2021 to 1.2%. Rents remain at an all-time high. Average asking rents increased by 7% over the prior quarter.</w:t>
      </w:r>
    </w:p>
    <w:p>
      <w:pPr>
        <w:spacing w:after="0" w:line="37"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future costs tied to specific absorption transactions in any given year.</w:t>
      </w:r>
    </w:p>
    <w:p>
      <w:pPr>
        <w:spacing w:after="0" w:line="4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2020, in response to the COVID-19 pandemic, California took actions to limit exposure to the virus through restrictions on non-essential businesses and services. Tenants began requesting various forms of rent relief beginning in March 2020 and throughout the rest of 2020. Although the requests ranged in scope, the most common request was for a full or partial rent deferment for three months. The Company agreed to defer rent for certain tenants at TRCC, with the requirement that all the deferred rent be fully repaid during 2021. The following table sets forth information regarding the cumulative minimum deferred rent and collected rent as of June 30,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 in thousands, except for impacted tenants)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Impacted</w:t>
            </w:r>
          </w:p>
        </w:tc>
        <w:tc>
          <w:tcPr>
            <w:tcW w:w="14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Cumulative Deferred Rent due to</w:t>
            </w:r>
          </w:p>
        </w:tc>
        <w:tc>
          <w:tcPr>
            <w:tcW w:w="18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Cumulative Deferred Rent</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w w:val="92"/>
              </w:rPr>
              <w:t>Deferred Rent to be Collected in the</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Tenants</w:t>
            </w:r>
          </w:p>
        </w:tc>
        <w:tc>
          <w:tcPr>
            <w:tcW w:w="14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COVID-19</w:t>
            </w:r>
          </w:p>
        </w:tc>
        <w:tc>
          <w:tcPr>
            <w:tcW w:w="180" w:type="dxa"/>
            <w:vAlign w:val="bottom"/>
          </w:tcPr>
          <w:p>
            <w:pPr>
              <w:spacing w:after="0"/>
              <w:rPr>
                <w:sz w:val="15"/>
                <w:szCs w:val="15"/>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Collected</w:t>
            </w:r>
          </w:p>
        </w:tc>
        <w:tc>
          <w:tcPr>
            <w:tcW w:w="300" w:type="dxa"/>
            <w:vAlign w:val="bottom"/>
          </w:tcPr>
          <w:p>
            <w:pPr>
              <w:spacing w:after="0"/>
              <w:rPr>
                <w:sz w:val="15"/>
                <w:szCs w:val="15"/>
                <w:color w:val="auto"/>
              </w:rPr>
            </w:pPr>
          </w:p>
        </w:tc>
        <w:tc>
          <w:tcPr>
            <w:tcW w:w="1800" w:type="dxa"/>
            <w:vAlign w:val="bottom"/>
          </w:tcPr>
          <w:p>
            <w:pPr>
              <w:jc w:val="right"/>
              <w:ind w:right="429"/>
              <w:spacing w:after="0"/>
              <w:rPr>
                <w:sz w:val="20"/>
                <w:szCs w:val="20"/>
                <w:color w:val="auto"/>
              </w:rPr>
            </w:pPr>
            <w:r>
              <w:rPr>
                <w:rFonts w:ascii="Arial" w:cs="Arial" w:eastAsia="Arial" w:hAnsi="Arial"/>
                <w:sz w:val="14"/>
                <w:szCs w:val="14"/>
                <w:color w:val="auto"/>
              </w:rPr>
              <w:t>Remainder of 2021</w:t>
            </w:r>
          </w:p>
        </w:tc>
        <w:tc>
          <w:tcPr>
            <w:tcW w:w="0" w:type="dxa"/>
            <w:vAlign w:val="bottom"/>
          </w:tcPr>
          <w:p>
            <w:pPr>
              <w:spacing w:after="0"/>
              <w:rPr>
                <w:sz w:val="1"/>
                <w:szCs w:val="1"/>
                <w:color w:val="auto"/>
              </w:rPr>
            </w:pPr>
          </w:p>
        </w:tc>
      </w:tr>
      <w:tr>
        <w:trPr>
          <w:trHeight w:val="171"/>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TRCC Leasing</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Commercial Leases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Real Estate – Resort/Residential:</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We are in the preliminary stages of property development for this segment; hence, no revenues or profits are attributed to this segment.</w:t>
      </w:r>
    </w:p>
    <w:p>
      <w:pPr>
        <w:spacing w:after="0" w:line="83" w:lineRule="exact"/>
        <w:rPr>
          <w:sz w:val="20"/>
          <w:szCs w:val="20"/>
          <w:color w:val="auto"/>
        </w:rPr>
      </w:pPr>
    </w:p>
    <w:p>
      <w:pPr>
        <w:jc w:val="both"/>
        <w:ind w:right="240"/>
        <w:spacing w:after="0" w:line="281" w:lineRule="auto"/>
        <w:rPr>
          <w:sz w:val="20"/>
          <w:szCs w:val="20"/>
          <w:color w:val="auto"/>
        </w:rPr>
      </w:pPr>
      <w:r>
        <w:rPr>
          <w:rFonts w:ascii="Arial" w:cs="Arial" w:eastAsia="Arial" w:hAnsi="Arial"/>
          <w:sz w:val="14"/>
          <w:szCs w:val="14"/>
          <w:color w:val="auto"/>
        </w:rPr>
        <w:t>Resort/residential real estate development segment expenses were $439,000 for the three months ended June 30, 2021, an increase of $113,000, or 35%, from $326,000 for the three months ended June 30, 2020. The Company moved its internal marketing group into the resort residential segment in 2021, driving the increase noted.</w:t>
      </w:r>
    </w:p>
    <w:p>
      <w:pPr>
        <w:spacing w:after="0" w:line="37"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Resort/residential real estate development segment expenses were $992,000 for the first six months of 2021, an increase of $40,000, or 4%, from $952,000 for the first six months of 2020. The movement of the internal marketing group, previously mentioned, increased payroll costs and overhead by $97,000 for the segment in 2021. The increase was offset by reductions in general and administrative allocations of about $63,000.</w:t>
      </w:r>
    </w:p>
    <w:p>
      <w:pPr>
        <w:spacing w:after="0" w:line="36"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will continue to focus on the following:</w:t>
      </w:r>
    </w:p>
    <w:p>
      <w:pPr>
        <w:spacing w:after="0" w:line="36" w:lineRule="exact"/>
        <w:rPr>
          <w:sz w:val="20"/>
          <w:szCs w:val="20"/>
          <w:color w:val="auto"/>
        </w:rPr>
      </w:pPr>
    </w:p>
    <w:p>
      <w:pPr>
        <w:ind w:left="520" w:hanging="260"/>
        <w:spacing w:after="0" w:line="267"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46"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Grapevine – an 8,010-acre development area located on the San Joaquin Valley floor area of our lands, adjacent to TRCC. Upon completion of Grapevine, the community will include 12,000 homes, 5.1 million square feet for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5" w:name="page36"/>
    <w:bookmarkEnd w:id="35"/>
    <w:p>
      <w:pPr>
        <w:ind w:left="520" w:right="100"/>
        <w:spacing w:after="0" w:line="281" w:lineRule="auto"/>
        <w:rPr>
          <w:sz w:val="20"/>
          <w:szCs w:val="20"/>
          <w:color w:val="auto"/>
        </w:rPr>
      </w:pPr>
      <w:r>
        <w:rPr>
          <w:rFonts w:ascii="Arial" w:cs="Arial" w:eastAsia="Arial" w:hAnsi="Arial"/>
          <w:sz w:val="14"/>
          <w:szCs w:val="14"/>
          <w:color w:val="auto"/>
        </w:rPr>
        <w:t>commercial development, and more than 3,367 acres of open space and parks. See Note 12 (Commitments and Contingencies) of the Notes to Unaudited Consolidated Financial Statements for further discussion.</w:t>
      </w:r>
    </w:p>
    <w:p>
      <w:pPr>
        <w:spacing w:after="0" w:line="26" w:lineRule="exact"/>
        <w:rPr>
          <w:sz w:val="20"/>
          <w:szCs w:val="20"/>
          <w:color w:val="auto"/>
        </w:rPr>
      </w:pPr>
    </w:p>
    <w:p>
      <w:pPr>
        <w:ind w:left="520" w:right="220" w:hanging="260"/>
        <w:spacing w:after="0" w:line="262"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MV – a fully entitled project has received approvals of Tentative Tract Map 1 for the first four phases of development and approval of the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completion of the final map for the first phases of MV, consumer and market research studies, fine tuning of development business plans.</w:t>
      </w:r>
    </w:p>
    <w:p>
      <w:pPr>
        <w:spacing w:after="0" w:line="50"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Mineral Resources: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Mineral resources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Oil and gas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Cement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Rock aggregate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Exploration leases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Water Sales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Reimbursables and 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r>
      <w:tr>
        <w:trPr>
          <w:trHeight w:val="17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mineral resources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mineral resources expenses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496 %</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197 %</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100" w:hanging="255"/>
        <w:spacing w:after="0" w:line="288" w:lineRule="auto"/>
        <w:tabs>
          <w:tab w:leader="none" w:pos="256" w:val="left"/>
        </w:tabs>
        <w:numPr>
          <w:ilvl w:val="0"/>
          <w:numId w:val="24"/>
        </w:numPr>
        <w:rPr>
          <w:rFonts w:ascii="Arial" w:cs="Arial" w:eastAsia="Arial" w:hAnsi="Arial"/>
          <w:sz w:val="13"/>
          <w:szCs w:val="13"/>
          <w:color w:val="auto"/>
        </w:rPr>
      </w:pPr>
      <w:r>
        <w:rPr>
          <w:rFonts w:ascii="Arial" w:cs="Arial" w:eastAsia="Arial" w:hAnsi="Arial"/>
          <w:sz w:val="13"/>
          <w:szCs w:val="13"/>
          <w:color w:val="auto"/>
        </w:rPr>
        <w:t>Mineral resources segment revenues were $7,404,000 for the three months ended June 30, 2021, an increase of $5,628,000, or 317%, from $1,776,000 for the three months ended June 30, 2020. The dry 2021 winter diminished water availability in California and eventually resulted in a SWP allocation of 5%. As a result, the Company generated $5,260,000 in additional water sales during the quarter ended June 30, 2021, by selling 4,715 acre-feet of water. Revenues generated in 2020 pertained to a favorable water sales price adjustment. Additionally, the Company generated more cement and rock royalties in 2021 as a result of increased demand fueled by the continuing growth in infrastructure projects throughout the state.</w:t>
      </w:r>
    </w:p>
    <w:p>
      <w:pPr>
        <w:spacing w:after="0" w:line="46" w:lineRule="exact"/>
        <w:rPr>
          <w:rFonts w:ascii="Arial" w:cs="Arial" w:eastAsia="Arial" w:hAnsi="Arial"/>
          <w:sz w:val="13"/>
          <w:szCs w:val="13"/>
          <w:color w:val="auto"/>
        </w:rPr>
      </w:pPr>
    </w:p>
    <w:p>
      <w:pPr>
        <w:ind w:left="260" w:right="200" w:hanging="255"/>
        <w:spacing w:after="0" w:line="281"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Mineral resources segment expenses were $4,253,000 for the three months ended June 30, 2021, an increase of $3,539,000, or 496%, from $714,000 for the three months ended June 30, 2020. This increase in expenses is primarily attributed to an increase in water cost of sales resulting from the increased water sales volumes as noted above.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4"/>
                <w:szCs w:val="14"/>
                <w:color w:val="auto"/>
                <w:w w:val="92"/>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color w:val="auto"/>
              </w:rPr>
              <w:t>Change</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3"/>
                <w:szCs w:val="13"/>
                <w:color w:val="auto"/>
              </w:rPr>
            </w:pPr>
          </w:p>
        </w:tc>
        <w:tc>
          <w:tcPr>
            <w:tcW w:w="3840" w:type="dxa"/>
            <w:vAlign w:val="bottom"/>
          </w:tcPr>
          <w:p>
            <w:pPr>
              <w:ind w:left="20"/>
              <w:spacing w:after="0"/>
              <w:rPr>
                <w:sz w:val="20"/>
                <w:szCs w:val="20"/>
                <w:color w:val="auto"/>
              </w:rPr>
            </w:pPr>
            <w:r>
              <w:rPr>
                <w:rFonts w:ascii="Arial" w:cs="Arial" w:eastAsia="Arial" w:hAnsi="Arial"/>
                <w:sz w:val="14"/>
                <w:szCs w:val="14"/>
                <w:color w:val="auto"/>
              </w:rPr>
              <w:t>Mineral resources revenues</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and gas</w:t>
            </w: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2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40" w:type="dxa"/>
            <w:vAlign w:val="bottom"/>
          </w:tcPr>
          <w:p>
            <w:pPr>
              <w:ind w:left="180"/>
              <w:spacing w:after="0"/>
              <w:rPr>
                <w:sz w:val="20"/>
                <w:szCs w:val="20"/>
                <w:color w:val="auto"/>
              </w:rPr>
            </w:pPr>
            <w:r>
              <w:rPr>
                <w:rFonts w:ascii="Arial" w:cs="Arial" w:eastAsia="Arial" w:hAnsi="Arial"/>
                <w:sz w:val="14"/>
                <w:szCs w:val="14"/>
                <w:color w:val="auto"/>
              </w:rPr>
              <w:t>Cement</w:t>
            </w:r>
          </w:p>
        </w:tc>
        <w:tc>
          <w:tcPr>
            <w:tcW w:w="118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1,094</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10 %</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Rock aggregate</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40" w:type="dxa"/>
            <w:vAlign w:val="bottom"/>
          </w:tcPr>
          <w:p>
            <w:pPr>
              <w:ind w:left="180"/>
              <w:spacing w:after="0"/>
              <w:rPr>
                <w:sz w:val="20"/>
                <w:szCs w:val="20"/>
                <w:color w:val="auto"/>
              </w:rPr>
            </w:pPr>
            <w:r>
              <w:rPr>
                <w:rFonts w:ascii="Arial" w:cs="Arial" w:eastAsia="Arial" w:hAnsi="Arial"/>
                <w:sz w:val="14"/>
                <w:szCs w:val="14"/>
                <w:color w:val="auto"/>
              </w:rPr>
              <w:t>Exploration leases</w:t>
            </w:r>
          </w:p>
        </w:tc>
        <w:tc>
          <w:tcPr>
            <w:tcW w:w="118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Sales</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11,862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Reimbursables and other</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464</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mineral resources revenues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14,580</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mineral resources expenses</w:t>
            </w: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9,300</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103 %</w:t>
            </w: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5,280</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6" w:name="page37"/>
    <w:bookmarkEnd w:id="36"/>
    <w:p>
      <w:pPr>
        <w:ind w:left="260" w:right="60" w:hanging="255"/>
        <w:spacing w:after="0" w:line="297" w:lineRule="auto"/>
        <w:tabs>
          <w:tab w:leader="none" w:pos="256" w:val="left"/>
        </w:tabs>
        <w:numPr>
          <w:ilvl w:val="0"/>
          <w:numId w:val="25"/>
        </w:numPr>
        <w:rPr>
          <w:rFonts w:ascii="Arial" w:cs="Arial" w:eastAsia="Arial" w:hAnsi="Arial"/>
          <w:sz w:val="13"/>
          <w:szCs w:val="13"/>
          <w:color w:val="auto"/>
        </w:rPr>
      </w:pPr>
      <w:r>
        <w:rPr>
          <w:rFonts w:ascii="Arial" w:cs="Arial" w:eastAsia="Arial" w:hAnsi="Arial"/>
          <w:sz w:val="13"/>
          <w:szCs w:val="13"/>
          <w:color w:val="auto"/>
        </w:rPr>
        <w:t>Mineral resources segment revenues were $14,580,000 for the first six months of 2021, an increase of $6,626,000, or 83%, from $7,954,000 for the first six months of 2020. The 2021 dry winter brought about favorable conditions to sell water, resulting in a significant increase in water sales. Comparatively, the Company sold 10,596 acre-feet and 4,625 acre-feet of water as of June 30, 2021 and 2020, respectively. The Company in 2021 has also generated additional cement and rock royalties resulting from increased demand for building supplies.</w:t>
      </w:r>
    </w:p>
    <w:p>
      <w:pPr>
        <w:spacing w:after="0" w:line="39" w:lineRule="exact"/>
        <w:rPr>
          <w:rFonts w:ascii="Arial" w:cs="Arial" w:eastAsia="Arial" w:hAnsi="Arial"/>
          <w:sz w:val="13"/>
          <w:szCs w:val="13"/>
          <w:color w:val="auto"/>
        </w:rPr>
      </w:pPr>
    </w:p>
    <w:p>
      <w:pPr>
        <w:ind w:left="260" w:hanging="255"/>
        <w:spacing w:after="0" w:line="281" w:lineRule="auto"/>
        <w:tabs>
          <w:tab w:leader="none" w:pos="2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Mineral resources segment expenses were $9,300,000 for the first six months of 2021, an increase of $4,708,000, or 103%, when compared to the same period in 2020. This increase in expense is primarily attributed to higher water cost of sales of $4,654,000 resulting from the increase in water sales as noted above.</w:t>
      </w:r>
    </w:p>
    <w:p>
      <w:pPr>
        <w:spacing w:after="0" w:line="26"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color w:val="auto"/>
        </w:rPr>
        <w:t>As anticipated changes arise in the future related to groundwater management in California, such as limits on groundwater pumping in over drafted water basins outside of our lands, we believe that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 With 2020 and 2021 being drought years, local water market participants have fewer alternative water sources, especially given the current 5% SWP allocation. As such, there is potential for additional water sales during the remainder of 2021.</w:t>
      </w:r>
    </w:p>
    <w:p>
      <w:pPr>
        <w:spacing w:after="0" w:line="36"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 price per barrel of oil has increased over 45% from its December 31, 2020 levels. California Resources Corporation, or CRC, has approved permits and drill sites on our land and continues to delay the start of new exploration as it evaluates the market. A positive aspect of our lease with CRC is that the approved drill sites are in an area of the ranch where the development and production costs are moderate due to the relatively shallow depths being drilled.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Farming: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15"/>
                <w:szCs w:val="15"/>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15"/>
                <w:szCs w:val="15"/>
                <w:color w:val="auto"/>
              </w:rPr>
            </w:pP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tcPr>
          <w:p>
            <w:pPr>
              <w:ind w:left="20"/>
              <w:spacing w:after="0"/>
              <w:rPr>
                <w:sz w:val="20"/>
                <w:szCs w:val="20"/>
                <w:color w:val="auto"/>
              </w:rPr>
            </w:pPr>
            <w:r>
              <w:rPr>
                <w:rFonts w:ascii="Arial" w:cs="Arial" w:eastAsia="Arial" w:hAnsi="Arial"/>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Hay</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r>
      <w:tr>
        <w:trPr>
          <w:trHeight w:val="171"/>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17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farming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Operating loss from farming</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60" w:right="220" w:hanging="255"/>
        <w:spacing w:after="0" w:line="281"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Farming segment revenues were $279,000 for the three months ended June 30, 2021, an increase of $70,000, or 33%, from $209,000 during the same period in 2020. The increase is primarily attributed to a 100% increase in almond sales.</w:t>
      </w:r>
    </w:p>
    <w:p>
      <w:pPr>
        <w:spacing w:after="0" w:line="47" w:lineRule="exact"/>
        <w:rPr>
          <w:rFonts w:ascii="Arial" w:cs="Arial" w:eastAsia="Arial" w:hAnsi="Arial"/>
          <w:sz w:val="14"/>
          <w:szCs w:val="14"/>
          <w:color w:val="auto"/>
        </w:rPr>
      </w:pPr>
    </w:p>
    <w:p>
      <w:pPr>
        <w:ind w:left="260" w:hanging="255"/>
        <w:spacing w:after="0" w:line="281"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Farming segment expenses were $1,203,000 for the three months ended June 30, 2021, an increase of $104,000, or 9%, from $1,099,000 during the same period in 2020. The increase in expenses resulted from the almond sales mentioned above.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4"/>
                <w:szCs w:val="14"/>
                <w:color w:val="auto"/>
                <w:w w:val="93"/>
              </w:rPr>
              <w:t>Six Months Ended 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color w:val="auto"/>
              </w:rPr>
              <w:t>Change</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Farming revenues</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40" w:type="dxa"/>
            <w:vAlign w:val="bottom"/>
          </w:tcPr>
          <w:p>
            <w:pPr>
              <w:spacing w:after="0"/>
              <w:rPr>
                <w:sz w:val="15"/>
                <w:szCs w:val="15"/>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Almonds</w:t>
            </w: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160"/>
              <w:spacing w:after="0"/>
              <w:rPr>
                <w:sz w:val="20"/>
                <w:szCs w:val="20"/>
                <w:color w:val="auto"/>
              </w:rPr>
            </w:pPr>
            <w:r>
              <w:rPr>
                <w:rFonts w:ascii="Arial" w:cs="Arial" w:eastAsia="Arial" w:hAnsi="Arial"/>
                <w:sz w:val="14"/>
                <w:szCs w:val="14"/>
                <w:color w:val="auto"/>
              </w:rPr>
              <w:t>Pistachios</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Wine grapes</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160"/>
              <w:spacing w:after="0"/>
              <w:rPr>
                <w:sz w:val="20"/>
                <w:szCs w:val="20"/>
                <w:color w:val="auto"/>
              </w:rPr>
            </w:pPr>
            <w:r>
              <w:rPr>
                <w:rFonts w:ascii="Arial" w:cs="Arial" w:eastAsia="Arial" w:hAnsi="Arial"/>
                <w:sz w:val="14"/>
                <w:szCs w:val="14"/>
                <w:color w:val="auto"/>
              </w:rPr>
              <w:t>Hay</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8 %</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512 %</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farming revenues</w:t>
            </w: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Total farming expenses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Operating loss from farming</w:t>
            </w: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3"/>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37" w:name="page38"/>
    <w:bookmarkEnd w:id="37"/>
    <w:p>
      <w:pPr>
        <w:ind w:left="260" w:hanging="255"/>
        <w:spacing w:after="0" w:line="262"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Farming segment revenues were $886,000 for the first six months of 2021, a decrease of $275,000, or 24%, from $1,161,000 during the same period in 2020. Almond revenues declined $464,000 as a result of lower sales volumes and lower commodity prices resulting from the large 2020 crop. Comparatively, the Company sold 205,000 pounds and 299,000 pounds of almonds as of June 30, 2021 and 2020, respectively. Lastly, the Company generated an additional $174,000 in other revenues as a result of increased water use charges from land lease tenants. The increase in these charges reflect the increase in water costs resulting from the 2021 drought.</w:t>
      </w:r>
    </w:p>
    <w:p>
      <w:pPr>
        <w:spacing w:after="0" w:line="60" w:lineRule="exact"/>
        <w:rPr>
          <w:rFonts w:ascii="Arial" w:cs="Arial" w:eastAsia="Arial" w:hAnsi="Arial"/>
          <w:sz w:val="14"/>
          <w:szCs w:val="14"/>
          <w:color w:val="auto"/>
        </w:rPr>
      </w:pPr>
    </w:p>
    <w:p>
      <w:pPr>
        <w:ind w:left="260" w:right="20" w:hanging="255"/>
        <w:spacing w:after="0" w:line="281"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Farming segment expenses were $2,681,000 for the first six months of 2021, a decrease of $120,000, or 4%, from $2,801,000 when compared to the same period in 2020. The decline is primarily attributed to lower depreciation and amortization on the Company's farm equipment.</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Our almond, pistachio, and wine grape crop sales are highly seasonal with most of our sales occurring during the third and fourth quarters. Nut and grape crop markets are particularly sensitive to the size of each year’s world crop and the demand for those crops. As witnessed in 2020, large crop yields in California and abroad can rapidly depress prices. Tariffs from China and India, which are major customers of almonds and pistachios, can make American products less competitive and push customers to switch to another producing country.</w:t>
      </w:r>
    </w:p>
    <w:p>
      <w:pPr>
        <w:spacing w:after="0" w:line="2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Weather conditions can also impact the number of tree and vine dormant hours, which are integral to tree and vine growth. We experienced a warm 2021 winter, which reduces the number of chilling hours for our pistachio and almond trees. In the past, this has had a very adverse effect on pistachio yields. Currently, California almond yields are expected to be lower than their 2020 levels. The current SWP allocation of 5%, Wheeler Ridge Maricopa Water District's other water resources, and our water resources allow us to meet our farming water needs. The use of alternate sources of water will increase overall 2021 crop production costs.</w:t>
      </w:r>
    </w:p>
    <w:p>
      <w:pPr>
        <w:spacing w:after="0" w:line="40"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Currently there is an abundance of financial stimulus, a direct result of the Federal Government's efforts to help those impacted by COVID-19. As such, the Company has experienced a moderate degree of difficulty in attracting and retaining farm workers and may incur additional internal and external farm labor costs as it enters harvest season.</w:t>
      </w:r>
    </w:p>
    <w:p>
      <w:pPr>
        <w:spacing w:after="0" w:line="37" w:lineRule="exact"/>
        <w:rPr>
          <w:sz w:val="20"/>
          <w:szCs w:val="20"/>
          <w:color w:val="auto"/>
        </w:rPr>
      </w:pPr>
    </w:p>
    <w:p>
      <w:pPr>
        <w:jc w:val="both"/>
        <w:ind w:right="380"/>
        <w:spacing w:after="0" w:line="331" w:lineRule="auto"/>
        <w:rPr>
          <w:sz w:val="20"/>
          <w:szCs w:val="20"/>
          <w:color w:val="auto"/>
        </w:rPr>
      </w:pPr>
      <w:r>
        <w:rPr>
          <w:rFonts w:ascii="Arial" w:cs="Arial" w:eastAsia="Arial" w:hAnsi="Arial"/>
          <w:sz w:val="12"/>
          <w:szCs w:val="12"/>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remainder of 2021 and into the future.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Ranch Operations: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1160" w:type="dxa"/>
            <w:vAlign w:val="bottom"/>
            <w:tcBorders>
              <w:top w:val="single" w:sz="8" w:color="006EBF"/>
            </w:tcBorders>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8"/>
              </w:rPr>
              <w:t>(48)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Ranch Operations expenses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8"/>
              </w:rPr>
              <w:t>(36)</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bl>
    <w:p>
      <w:pPr>
        <w:ind w:left="100" w:hanging="81"/>
        <w:spacing w:after="0" w:line="202" w:lineRule="auto"/>
        <w:tabs>
          <w:tab w:leader="none" w:pos="100" w:val="left"/>
        </w:tabs>
        <w:numPr>
          <w:ilvl w:val="1"/>
          <w:numId w:val="28"/>
        </w:numPr>
        <w:rPr>
          <w:rFonts w:ascii="Arial" w:cs="Arial" w:eastAsia="Arial" w:hAnsi="Arial"/>
          <w:sz w:val="17"/>
          <w:szCs w:val="17"/>
          <w:color w:val="auto"/>
          <w:vertAlign w:val="superscript"/>
        </w:rPr>
      </w:pPr>
      <w:r>
        <w:rPr>
          <w:rFonts w:ascii="Arial" w:cs="Arial" w:eastAsia="Arial" w:hAnsi="Arial"/>
          <w:sz w:val="13"/>
          <w:szCs w:val="13"/>
          <w:color w:val="auto"/>
        </w:rPr>
        <w:t>Game management and other revenues consist of revenues from hunting, filming, high desert hunt club (a premier upland bird hunting club), and other ancillary activities.</w:t>
      </w:r>
    </w:p>
    <w:p>
      <w:pPr>
        <w:spacing w:after="0" w:line="334" w:lineRule="exact"/>
        <w:rPr>
          <w:rFonts w:ascii="Arial" w:cs="Arial" w:eastAsia="Arial" w:hAnsi="Arial"/>
          <w:sz w:val="17"/>
          <w:szCs w:val="17"/>
          <w:color w:val="auto"/>
          <w:vertAlign w:val="superscript"/>
        </w:rPr>
      </w:pPr>
    </w:p>
    <w:p>
      <w:pPr>
        <w:ind w:left="260" w:right="240" w:hanging="255"/>
        <w:spacing w:after="0" w:line="267"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Ranch operations revenues were $829,000 for the three months ended June 30, 2021, an increase of $153,000, or 23%, from $676,000 for the same period in 2020. The increase in revenues is attributed to an increase in film location fee revenues of $134,000, driven by increased demand, resulting from closures of comparable filming locations in LA County because of COVID-19 restrictions.</w:t>
      </w:r>
    </w:p>
    <w:p>
      <w:pPr>
        <w:spacing w:after="0" w:line="56" w:lineRule="exact"/>
        <w:rPr>
          <w:rFonts w:ascii="Arial" w:cs="Arial" w:eastAsia="Arial" w:hAnsi="Arial"/>
          <w:sz w:val="14"/>
          <w:szCs w:val="14"/>
          <w:color w:val="auto"/>
        </w:rPr>
      </w:pPr>
    </w:p>
    <w:p>
      <w:pPr>
        <w:ind w:left="260" w:right="480" w:hanging="255"/>
        <w:spacing w:after="0" w:line="281"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Ranch operations expenses were $1,142,000 for the three months ended June 30, 2021, a decrease of $36,000, or 3%, from $1,178,000 for the same period in 2020. This decline is largely attributed to declines in payroll due to reduced staffing levels as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-925830</wp:posOffset>
            </wp:positionV>
            <wp:extent cx="47294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180"/>
        </w:trPr>
        <w:tc>
          <w:tcPr>
            <w:tcW w:w="4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4"/>
                <w:szCs w:val="14"/>
                <w:color w:val="auto"/>
                <w:w w:val="93"/>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Change</w:t>
            </w:r>
          </w:p>
        </w:tc>
        <w:tc>
          <w:tcPr>
            <w:tcW w:w="1080" w:type="dxa"/>
            <w:vAlign w:val="bottom"/>
            <w:tcBorders>
              <w:bottom w:val="single" w:sz="8" w:color="auto"/>
            </w:tcBorders>
          </w:tcPr>
          <w:p>
            <w:pPr>
              <w:spacing w:after="0"/>
              <w:rPr>
                <w:sz w:val="15"/>
                <w:szCs w:val="15"/>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w:t>
            </w:r>
          </w:p>
        </w:tc>
      </w:tr>
      <w:tr>
        <w:trPr>
          <w:trHeight w:val="161"/>
        </w:trPr>
        <w:tc>
          <w:tcPr>
            <w:tcW w:w="4140" w:type="dxa"/>
            <w:vAlign w:val="bottom"/>
          </w:tcPr>
          <w:p>
            <w:pPr>
              <w:ind w:left="20"/>
              <w:spacing w:after="0"/>
              <w:rPr>
                <w:sz w:val="20"/>
                <w:szCs w:val="20"/>
                <w:color w:val="auto"/>
              </w:rPr>
            </w:pPr>
            <w:r>
              <w:rPr>
                <w:rFonts w:ascii="Arial" w:cs="Arial" w:eastAsia="Arial" w:hAnsi="Arial"/>
                <w:sz w:val="14"/>
                <w:szCs w:val="14"/>
                <w:color w:val="auto"/>
              </w:rPr>
              <w:t>Ranch Operations revenues</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1"/>
        </w:trPr>
        <w:tc>
          <w:tcPr>
            <w:tcW w:w="414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8"/>
                <w:szCs w:val="18"/>
                <w:color w:val="auto"/>
                <w:vertAlign w:val="superscript"/>
              </w:rPr>
              <w:t>1</w:t>
            </w: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0"/>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Grazing</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7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Ranch Operations expenses</w:t>
            </w: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bl>
    <w:p>
      <w:pPr>
        <w:ind w:left="120" w:hanging="80"/>
        <w:spacing w:after="0" w:line="208" w:lineRule="auto"/>
        <w:tabs>
          <w:tab w:leader="none" w:pos="1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319" w:lineRule="exact"/>
        <w:rPr>
          <w:rFonts w:ascii="Arial" w:cs="Arial" w:eastAsia="Arial" w:hAnsi="Arial"/>
          <w:sz w:val="18"/>
          <w:szCs w:val="18"/>
          <w:color w:val="auto"/>
          <w:vertAlign w:val="superscript"/>
        </w:rPr>
      </w:pPr>
    </w:p>
    <w:p>
      <w:pPr>
        <w:ind w:left="260" w:hanging="255"/>
        <w:spacing w:after="0" w:line="368" w:lineRule="auto"/>
        <w:tabs>
          <w:tab w:leader="none" w:pos="256" w:val="left"/>
        </w:tabs>
        <w:numPr>
          <w:ilvl w:val="0"/>
          <w:numId w:val="29"/>
        </w:numPr>
        <w:rPr>
          <w:rFonts w:ascii="Arial" w:cs="Arial" w:eastAsia="Arial" w:hAnsi="Arial"/>
          <w:sz w:val="12"/>
          <w:szCs w:val="12"/>
          <w:color w:val="auto"/>
        </w:rPr>
      </w:pPr>
      <w:r>
        <w:rPr>
          <w:rFonts w:ascii="Arial" w:cs="Arial" w:eastAsia="Arial" w:hAnsi="Arial"/>
          <w:sz w:val="12"/>
          <w:szCs w:val="12"/>
          <w:color w:val="auto"/>
        </w:rPr>
        <w:t>Ranch operations revenues were $1,872,000 for the first six months of 2021, an increase of $333,000, or 22%, from $1,539,000 for the same period in 2020. The increase in revenues is attributed to an increase in film location fee revenues of $280,000, driven by increased demand, resulting from closures of comparable filming locations in LA County because of COVID-19 restrictions.</w:t>
      </w:r>
    </w:p>
    <w:p>
      <w:pPr>
        <w:spacing w:after="0" w:line="1" w:lineRule="exact"/>
        <w:rPr>
          <w:rFonts w:ascii="Arial" w:cs="Arial" w:eastAsia="Arial" w:hAnsi="Arial"/>
          <w:sz w:val="12"/>
          <w:szCs w:val="12"/>
          <w:color w:val="auto"/>
        </w:rPr>
      </w:pPr>
    </w:p>
    <w:p>
      <w:pPr>
        <w:ind w:left="260" w:right="180" w:hanging="255"/>
        <w:spacing w:after="0" w:line="281" w:lineRule="auto"/>
        <w:tabs>
          <w:tab w:leader="none" w:pos="2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Ranch operations expenses were $2,329,000 for the first six months of 2021, a decrease of $255,000, or 10%, from $2,584,000 for the same period in 2020. This decline is largely attributed to declines in payroll due to reduced staffing levels as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-817880</wp:posOffset>
            </wp:positionV>
            <wp:extent cx="45072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07230" cy="698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Corporate and Other:</w:t>
      </w:r>
    </w:p>
    <w:p>
      <w:pPr>
        <w:spacing w:after="0" w:line="8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Corporate general and administrative costs were $2,364,000 for the three months ended June 30, 2021, a decrease of $130,000, or 5%, from $2,494,000 for the same period in 2020. The decrease is primarily attributed to reduced payroll and stock compensation, net of capitalization, of $265,000, which resulted from the 2020 right sizing initiative. This decrease was partially offset by a $90,000 increase in insurance expense.</w:t>
      </w:r>
    </w:p>
    <w:p>
      <w:pPr>
        <w:spacing w:after="0" w:line="46"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Corporate general and administrative costs were $4,655,000 for the first six months of 2021, a decrease of $372,000, or 7%, from $5,027,000 for the same period in 2020. The decrease is primarily attributed to reduced payroll and stock compensation, net of capitalization, of $555,000, which resulted from the 2020 right sizing initiative and the absence of an in-house counsel during the first quarter. This decrease was partially offset by a $150,000 increase in insurance expense.</w:t>
      </w:r>
    </w:p>
    <w:p>
      <w:pPr>
        <w:spacing w:after="0" w:line="36"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On April 17, 2020, the Company sold the building and land that was previously operated by a fast food tenant to its joint venture, Petro Travel Plaza, LLC. The Company received a cash distribution of $2,000,000 from the joint venture, and realized a Gain on Sale of Real Estate of $1,331,000. There were no such transactions in 2021.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Joint Ventures: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Five West Parcel, LLC</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18-19 West,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3,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260" w:right="400" w:hanging="255"/>
        <w:spacing w:after="0" w:line="281" w:lineRule="auto"/>
        <w:tabs>
          <w:tab w:leader="none" w:pos="2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Equity in earnings were $1,365,000 for the three months ended June 30, 2021, an increase of $184,000 or 16%, from $1,181,000 during the same period in 2020. The changes are primarily attributed to the following:</w:t>
      </w:r>
    </w:p>
    <w:p>
      <w:pPr>
        <w:spacing w:after="0" w:line="36" w:lineRule="exact"/>
        <w:rPr>
          <w:rFonts w:ascii="Arial" w:cs="Arial" w:eastAsia="Arial" w:hAnsi="Arial"/>
          <w:sz w:val="14"/>
          <w:szCs w:val="14"/>
          <w:color w:val="auto"/>
        </w:rPr>
      </w:pPr>
    </w:p>
    <w:p>
      <w:pPr>
        <w:ind w:left="760" w:right="320" w:hanging="246"/>
        <w:spacing w:after="0" w:line="281" w:lineRule="auto"/>
        <w:tabs>
          <w:tab w:leader="none" w:pos="756"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TRCC/Rock Outlet Center improved its operating results as a result of being open during the entire second quarter of 2021. During the second quarter of 2020, the TRCC/Rock Outlet Center was closed due to COVID-19 restrictions.</w:t>
      </w:r>
    </w:p>
    <w:p>
      <w:pPr>
        <w:spacing w:after="0" w:line="26" w:lineRule="exact"/>
        <w:rPr>
          <w:rFonts w:ascii="Arial" w:cs="Arial" w:eastAsia="Arial" w:hAnsi="Arial"/>
          <w:sz w:val="14"/>
          <w:szCs w:val="14"/>
          <w:color w:val="auto"/>
        </w:rPr>
      </w:pPr>
    </w:p>
    <w:p>
      <w:pPr>
        <w:ind w:left="760" w:hanging="246"/>
        <w:spacing w:after="0"/>
        <w:tabs>
          <w:tab w:leader="none" w:pos="7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18-19 West joint venture improved its operating results after generating land purchase option revenues from a prospective third-party buyer.</w:t>
      </w:r>
    </w:p>
    <w:p>
      <w:pPr>
        <w:spacing w:after="0" w:line="83" w:lineRule="exact"/>
        <w:rPr>
          <w:rFonts w:ascii="Arial" w:cs="Arial" w:eastAsia="Arial" w:hAnsi="Arial"/>
          <w:sz w:val="14"/>
          <w:szCs w:val="14"/>
          <w:color w:val="auto"/>
        </w:rPr>
      </w:pPr>
    </w:p>
    <w:p>
      <w:pPr>
        <w:ind w:left="760" w:right="240" w:hanging="246"/>
        <w:spacing w:after="0" w:line="281" w:lineRule="auto"/>
        <w:tabs>
          <w:tab w:leader="none" w:pos="756" w:val="left"/>
        </w:tabs>
        <w:numPr>
          <w:ilvl w:val="1"/>
          <w:numId w:val="30"/>
        </w:numPr>
        <w:rPr>
          <w:rFonts w:ascii="Arial" w:cs="Arial" w:eastAsia="Arial" w:hAnsi="Arial"/>
          <w:sz w:val="14"/>
          <w:szCs w:val="14"/>
          <w:color w:val="auto"/>
        </w:rPr>
      </w:pPr>
      <w:r>
        <w:rPr>
          <w:rFonts w:ascii="Arial" w:cs="Arial" w:eastAsia="Arial" w:hAnsi="Arial"/>
          <w:sz w:val="14"/>
          <w:szCs w:val="14"/>
          <w:color w:val="auto"/>
        </w:rPr>
        <w:t>Over the comparative periods, TRC-MRC 3 had unfavorable operating results as a result of an increase in depreciation and amortization resulting from placing the building fully into service starting in June of 2020.</w:t>
      </w:r>
    </w:p>
    <w:p>
      <w:pPr>
        <w:spacing w:after="0" w:line="69"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gridSpan w:val="5"/>
          </w:tcPr>
          <w:p>
            <w:pPr>
              <w:ind w:left="580"/>
              <w:spacing w:after="0"/>
              <w:rPr>
                <w:sz w:val="20"/>
                <w:szCs w:val="20"/>
                <w:color w:val="auto"/>
              </w:rPr>
            </w:pPr>
            <w:r>
              <w:rPr>
                <w:rFonts w:ascii="Arial" w:cs="Arial" w:eastAsia="Arial" w:hAnsi="Arial"/>
                <w:sz w:val="14"/>
                <w:szCs w:val="14"/>
                <w:color w:val="auto"/>
              </w:rPr>
              <w:t>Six Months Ended June 30,</w:t>
            </w:r>
          </w:p>
        </w:tc>
        <w:tc>
          <w:tcPr>
            <w:tcW w:w="460" w:type="dxa"/>
            <w:vAlign w:val="bottom"/>
          </w:tcPr>
          <w:p>
            <w:pPr>
              <w:spacing w:after="0"/>
              <w:rPr>
                <w:sz w:val="15"/>
                <w:szCs w:val="15"/>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Change</w:t>
            </w:r>
          </w:p>
        </w:tc>
        <w:tc>
          <w:tcPr>
            <w:tcW w:w="1300" w:type="dxa"/>
            <w:vAlign w:val="bottom"/>
          </w:tcPr>
          <w:p>
            <w:pPr>
              <w:spacing w:after="0"/>
              <w:rPr>
                <w:sz w:val="15"/>
                <w:szCs w:val="15"/>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Equity in earnings (loss)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0"/>
        </w:trPr>
        <w:tc>
          <w:tcPr>
            <w:tcW w:w="3740" w:type="dxa"/>
            <w:vAlign w:val="bottom"/>
          </w:tcPr>
          <w:p>
            <w:pPr>
              <w:ind w:left="160"/>
              <w:spacing w:after="0"/>
              <w:rPr>
                <w:sz w:val="20"/>
                <w:szCs w:val="20"/>
                <w:color w:val="auto"/>
              </w:rPr>
            </w:pPr>
            <w:r>
              <w:rPr>
                <w:rFonts w:ascii="Arial" w:cs="Arial" w:eastAsia="Arial" w:hAnsi="Arial"/>
                <w:sz w:val="14"/>
                <w:szCs w:val="14"/>
                <w:color w:val="auto"/>
              </w:rPr>
              <w:t>Five West Parcel, LLC</w:t>
            </w:r>
          </w:p>
        </w:tc>
        <w:tc>
          <w:tcPr>
            <w:tcW w:w="4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18-19 West,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80"/>
        </w:trPr>
        <w:tc>
          <w:tcPr>
            <w:tcW w:w="3740" w:type="dxa"/>
            <w:vAlign w:val="bottom"/>
          </w:tcPr>
          <w:p>
            <w:pPr>
              <w:ind w:left="160"/>
              <w:spacing w:after="0"/>
              <w:rPr>
                <w:sz w:val="20"/>
                <w:szCs w:val="20"/>
                <w:color w:val="auto"/>
              </w:rPr>
            </w:pPr>
            <w:r>
              <w:rPr>
                <w:rFonts w:ascii="Arial" w:cs="Arial" w:eastAsia="Arial" w:hAnsi="Arial"/>
                <w:sz w:val="14"/>
                <w:szCs w:val="14"/>
                <w:color w:val="auto"/>
              </w:rPr>
              <w:t>TRCC/Rock Outlet Center,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TRC-MRC 1,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0"/>
        </w:trPr>
        <w:tc>
          <w:tcPr>
            <w:tcW w:w="3740" w:type="dxa"/>
            <w:vAlign w:val="bottom"/>
          </w:tcPr>
          <w:p>
            <w:pPr>
              <w:ind w:left="160"/>
              <w:spacing w:after="0"/>
              <w:rPr>
                <w:sz w:val="20"/>
                <w:szCs w:val="20"/>
                <w:color w:val="auto"/>
              </w:rPr>
            </w:pPr>
            <w:r>
              <w:rPr>
                <w:rFonts w:ascii="Arial" w:cs="Arial" w:eastAsia="Arial" w:hAnsi="Arial"/>
                <w:sz w:val="14"/>
                <w:szCs w:val="14"/>
                <w:color w:val="auto"/>
              </w:rPr>
              <w:t>TRC-MRC 2,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TRC-MRC 3, LLC</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71"/>
        </w:trPr>
        <w:tc>
          <w:tcPr>
            <w:tcW w:w="3740" w:type="dxa"/>
            <w:vAlign w:val="bottom"/>
          </w:tcPr>
          <w:p>
            <w:pPr>
              <w:spacing w:after="0"/>
              <w:rPr>
                <w:sz w:val="20"/>
                <w:szCs w:val="20"/>
                <w:color w:val="auto"/>
              </w:rPr>
            </w:pPr>
            <w:r>
              <w:rPr>
                <w:rFonts w:ascii="Arial" w:cs="Arial" w:eastAsia="Arial" w:hAnsi="Arial"/>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3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420" w:hanging="255"/>
        <w:spacing w:after="0" w:line="281" w:lineRule="auto"/>
        <w:tabs>
          <w:tab w:leader="none" w:pos="2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Equity in earnings were $1,306,000 for the six months ended June 30, 2021, a decrease of $1,230,000, or 49%, from $2,536,000 during the same period in 2020. The changes are primarily attributed to the following:</w:t>
      </w:r>
    </w:p>
    <w:p>
      <w:pPr>
        <w:spacing w:after="0" w:line="47" w:lineRule="exact"/>
        <w:rPr>
          <w:rFonts w:ascii="Arial" w:cs="Arial" w:eastAsia="Arial" w:hAnsi="Arial"/>
          <w:sz w:val="14"/>
          <w:szCs w:val="14"/>
          <w:color w:val="auto"/>
        </w:rPr>
      </w:pPr>
    </w:p>
    <w:p>
      <w:pPr>
        <w:ind w:left="760" w:right="40" w:hanging="246"/>
        <w:spacing w:after="0" w:line="281" w:lineRule="auto"/>
        <w:tabs>
          <w:tab w:leader="none" w:pos="756"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Petro Travel Plaza improved its fuel sales volume by 25% in 2021 when compared to 2020. However, the Company's share of operating results declined by $1,313,000 as a result of an 83% increase in the overall cost of fuel that was only partially mitigated by a 53% increase in fuel sales prices.</w:t>
      </w:r>
    </w:p>
    <w:p>
      <w:pPr>
        <w:spacing w:after="0" w:line="47" w:lineRule="exact"/>
        <w:rPr>
          <w:rFonts w:ascii="Arial" w:cs="Arial" w:eastAsia="Arial" w:hAnsi="Arial"/>
          <w:sz w:val="14"/>
          <w:szCs w:val="14"/>
          <w:color w:val="auto"/>
        </w:rPr>
      </w:pPr>
    </w:p>
    <w:p>
      <w:pPr>
        <w:ind w:left="760" w:right="160" w:hanging="246"/>
        <w:spacing w:after="0" w:line="281" w:lineRule="auto"/>
        <w:tabs>
          <w:tab w:leader="none" w:pos="756"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factors driving changes in 18-19 West, TRCC/Rock Outlet Center, and TRC-MRC 3 for the six months ended June 30, 2021 are the same as those discussed within the Company's quarterly operating results.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40" w:name="page41"/>
    <w:bookmarkEnd w:id="40"/>
    <w:p>
      <w:pPr>
        <w:spacing w:after="0" w:line="262" w:lineRule="auto"/>
        <w:rPr>
          <w:sz w:val="20"/>
          <w:szCs w:val="20"/>
          <w:color w:val="auto"/>
        </w:rPr>
      </w:pPr>
      <w:r>
        <w:rPr>
          <w:rFonts w:ascii="Arial" w:cs="Arial" w:eastAsia="Arial" w:hAnsi="Arial"/>
          <w:sz w:val="14"/>
          <w:szCs w:val="14"/>
          <w:color w:val="auto"/>
        </w:rPr>
        <w:t>In conjunction with providing relief to certain tenants, the TRCC/Rock Outlet Center agreed to defer rent for certain tenants due to the closure of the outlet center from March 20, 2020 through May 27, 2020. The following table sets forth information regarding the minimum rents billed and deferred to-date at the TRCC/Rock Outlet Center property level for the three months ended June 30, 2021. We continue to assess the probability of collecting outstanding receivables related to the two tenants that are currently in on-going negotiations. Management will continue to monitor each negotiation diligently, and when determined collectability is not probable, will reserve accordingly.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 in thousands, except number of tenants)</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color w:val="auto"/>
              </w:rPr>
              <w:t>Tenants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Cumulative Deferred Rent due to</w:t>
            </w:r>
          </w:p>
        </w:tc>
        <w:tc>
          <w:tcPr>
            <w:tcW w:w="18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Cumulative Deferred Rent</w:t>
            </w:r>
          </w:p>
        </w:tc>
        <w:tc>
          <w:tcPr>
            <w:tcW w:w="200" w:type="dxa"/>
            <w:vAlign w:val="bottom"/>
          </w:tcPr>
          <w:p>
            <w:pPr>
              <w:spacing w:after="0"/>
              <w:rPr>
                <w:sz w:val="14"/>
                <w:szCs w:val="14"/>
                <w:color w:val="auto"/>
              </w:rPr>
            </w:pPr>
          </w:p>
        </w:tc>
        <w:tc>
          <w:tcPr>
            <w:tcW w:w="2440" w:type="dxa"/>
            <w:vAlign w:val="bottom"/>
          </w:tcPr>
          <w:p>
            <w:pPr>
              <w:jc w:val="right"/>
              <w:ind w:right="209"/>
              <w:spacing w:after="0"/>
              <w:rPr>
                <w:sz w:val="20"/>
                <w:szCs w:val="20"/>
                <w:color w:val="auto"/>
              </w:rPr>
            </w:pPr>
            <w:r>
              <w:rPr>
                <w:rFonts w:ascii="Arial" w:cs="Arial" w:eastAsia="Arial" w:hAnsi="Arial"/>
                <w:sz w:val="14"/>
                <w:szCs w:val="14"/>
                <w:color w:val="auto"/>
                <w:w w:val="95"/>
              </w:rPr>
              <w:t>Deferred Rent to be Collected in the</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COVID-19</w:t>
            </w:r>
          </w:p>
        </w:tc>
        <w:tc>
          <w:tcPr>
            <w:tcW w:w="180" w:type="dxa"/>
            <w:vAlign w:val="bottom"/>
          </w:tcPr>
          <w:p>
            <w:pPr>
              <w:spacing w:after="0"/>
              <w:rPr>
                <w:sz w:val="15"/>
                <w:szCs w:val="15"/>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Collected</w:t>
            </w:r>
          </w:p>
        </w:tc>
        <w:tc>
          <w:tcPr>
            <w:tcW w:w="200" w:type="dxa"/>
            <w:vAlign w:val="bottom"/>
          </w:tcPr>
          <w:p>
            <w:pPr>
              <w:spacing w:after="0"/>
              <w:rPr>
                <w:sz w:val="15"/>
                <w:szCs w:val="15"/>
                <w:color w:val="auto"/>
              </w:rPr>
            </w:pPr>
          </w:p>
        </w:tc>
        <w:tc>
          <w:tcPr>
            <w:tcW w:w="2440" w:type="dxa"/>
            <w:vAlign w:val="bottom"/>
          </w:tcPr>
          <w:p>
            <w:pPr>
              <w:jc w:val="right"/>
              <w:ind w:right="689"/>
              <w:spacing w:after="0"/>
              <w:rPr>
                <w:sz w:val="20"/>
                <w:szCs w:val="20"/>
                <w:color w:val="auto"/>
              </w:rPr>
            </w:pPr>
            <w:r>
              <w:rPr>
                <w:rFonts w:ascii="Arial" w:cs="Arial" w:eastAsia="Arial" w:hAnsi="Arial"/>
                <w:sz w:val="14"/>
                <w:szCs w:val="14"/>
                <w:color w:val="auto"/>
              </w:rPr>
              <w:t>Remainder of 2021</w:t>
            </w:r>
          </w:p>
        </w:tc>
        <w:tc>
          <w:tcPr>
            <w:tcW w:w="0" w:type="dxa"/>
            <w:vAlign w:val="bottom"/>
          </w:tcPr>
          <w:p>
            <w:pPr>
              <w:spacing w:after="0"/>
              <w:rPr>
                <w:sz w:val="1"/>
                <w:szCs w:val="1"/>
                <w:color w:val="auto"/>
              </w:rPr>
            </w:pPr>
          </w:p>
        </w:tc>
      </w:tr>
      <w:tr>
        <w:trPr>
          <w:trHeight w:val="171"/>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 Deferral Agreements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center"/>
              <w:ind w:left="1489"/>
              <w:spacing w:after="0"/>
              <w:rPr>
                <w:sz w:val="20"/>
                <w:szCs w:val="20"/>
                <w:color w:val="auto"/>
              </w:rPr>
            </w:pPr>
            <w:r>
              <w:rPr>
                <w:rFonts w:ascii="Arial" w:cs="Arial" w:eastAsia="Arial" w:hAnsi="Arial"/>
                <w:sz w:val="14"/>
                <w:szCs w:val="14"/>
                <w:color w:val="auto"/>
                <w:w w:val="85"/>
              </w:rPr>
              <w:t>169</w:t>
            </w:r>
          </w:p>
        </w:tc>
        <w:tc>
          <w:tcPr>
            <w:tcW w:w="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Rent Abatement Agreements</w:t>
            </w: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583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left="1369"/>
              <w:spacing w:after="0" w:line="181" w:lineRule="exact"/>
              <w:rPr>
                <w:sz w:val="20"/>
                <w:szCs w:val="20"/>
                <w:color w:val="auto"/>
              </w:rPr>
            </w:pPr>
            <w:r>
              <w:rPr>
                <w:rFonts w:ascii="Arial" w:cs="Arial" w:eastAsia="Arial" w:hAnsi="Arial"/>
                <w:sz w:val="14"/>
                <w:szCs w:val="14"/>
                <w:color w:val="auto"/>
                <w:w w:val="93"/>
              </w:rPr>
              <w:t>N/A</w:t>
            </w:r>
            <w:r>
              <w:rPr>
                <w:rFonts w:ascii="Arial" w:cs="Arial" w:eastAsia="Arial" w:hAnsi="Arial"/>
                <w:sz w:val="18"/>
                <w:szCs w:val="18"/>
                <w:color w:val="auto"/>
                <w:w w:val="93"/>
                <w:vertAlign w:val="superscript"/>
              </w:rPr>
              <w:t>2</w:t>
            </w:r>
          </w:p>
        </w:tc>
        <w:tc>
          <w:tcPr>
            <w:tcW w:w="200" w:type="dxa"/>
            <w:vAlign w:val="bottom"/>
          </w:tcPr>
          <w:p>
            <w:pPr>
              <w:spacing w:after="0"/>
              <w:rPr>
                <w:sz w:val="15"/>
                <w:szCs w:val="15"/>
                <w:color w:val="auto"/>
              </w:rPr>
            </w:pPr>
          </w:p>
        </w:tc>
        <w:tc>
          <w:tcPr>
            <w:tcW w:w="2440" w:type="dxa"/>
            <w:vAlign w:val="bottom"/>
          </w:tcPr>
          <w:p>
            <w:pPr>
              <w:jc w:val="right"/>
              <w:spacing w:after="0" w:line="181" w:lineRule="exact"/>
              <w:rPr>
                <w:sz w:val="20"/>
                <w:szCs w:val="20"/>
                <w:color w:val="auto"/>
              </w:rPr>
            </w:pPr>
            <w:r>
              <w:rPr>
                <w:rFonts w:ascii="Arial" w:cs="Arial" w:eastAsia="Arial" w:hAnsi="Arial"/>
                <w:sz w:val="14"/>
                <w:szCs w:val="14"/>
                <w:color w:val="auto"/>
              </w:rPr>
              <w:t>N/A</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tcPr>
          <w:p>
            <w:pPr>
              <w:jc w:val="center"/>
              <w:ind w:left="1489"/>
              <w:spacing w:after="0"/>
              <w:rPr>
                <w:sz w:val="20"/>
                <w:szCs w:val="20"/>
                <w:color w:val="auto"/>
              </w:rPr>
            </w:pPr>
            <w:r>
              <w:rPr>
                <w:rFonts w:ascii="Arial" w:cs="Arial" w:eastAsia="Arial" w:hAnsi="Arial"/>
                <w:sz w:val="14"/>
                <w:szCs w:val="14"/>
                <w:color w:val="auto"/>
                <w:w w:val="85"/>
              </w:rPr>
              <w:t>169</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34860" cy="121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ind w:left="80" w:hanging="61"/>
        <w:spacing w:after="0" w:line="197" w:lineRule="auto"/>
        <w:tabs>
          <w:tab w:leader="none" w:pos="80" w:val="left"/>
        </w:tabs>
        <w:numPr>
          <w:ilvl w:val="0"/>
          <w:numId w:val="32"/>
        </w:numPr>
        <w:rPr>
          <w:rFonts w:ascii="Arial" w:cs="Arial" w:eastAsia="Arial" w:hAnsi="Arial"/>
          <w:sz w:val="15"/>
          <w:szCs w:val="15"/>
          <w:color w:val="auto"/>
          <w:vertAlign w:val="superscript"/>
        </w:rPr>
      </w:pPr>
      <w:r>
        <w:rPr>
          <w:rFonts w:ascii="Arial" w:cs="Arial" w:eastAsia="Arial" w:hAnsi="Arial"/>
          <w:sz w:val="11"/>
          <w:szCs w:val="11"/>
          <w:color w:val="auto"/>
        </w:rPr>
        <w:t>Excludes percentage rent tenants.</w:t>
      </w:r>
    </w:p>
    <w:p>
      <w:pPr>
        <w:ind w:left="80" w:hanging="61"/>
        <w:spacing w:after="0" w:line="207" w:lineRule="auto"/>
        <w:tabs>
          <w:tab w:leader="none" w:pos="80" w:val="left"/>
        </w:tabs>
        <w:numPr>
          <w:ilvl w:val="0"/>
          <w:numId w:val="33"/>
        </w:numPr>
        <w:rPr>
          <w:rFonts w:ascii="Arial" w:cs="Arial" w:eastAsia="Arial" w:hAnsi="Arial"/>
          <w:sz w:val="15"/>
          <w:szCs w:val="15"/>
          <w:color w:val="auto"/>
          <w:vertAlign w:val="superscript"/>
        </w:rPr>
      </w:pPr>
      <w:r>
        <w:rPr>
          <w:rFonts w:ascii="Arial" w:cs="Arial" w:eastAsia="Arial" w:hAnsi="Arial"/>
          <w:sz w:val="11"/>
          <w:szCs w:val="11"/>
          <w:color w:val="auto"/>
        </w:rPr>
        <w:t>There are no subsequent collections to be made under a rent abatement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486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9461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"Non-GAAP Financial Measures" for further financial discussion of the results of our joint ventures.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General Outlook</w:t>
      </w:r>
    </w:p>
    <w:p>
      <w:pPr>
        <w:spacing w:after="0" w:line="87" w:lineRule="exact"/>
        <w:rPr>
          <w:sz w:val="20"/>
          <w:szCs w:val="20"/>
          <w:color w:val="auto"/>
        </w:rPr>
      </w:pPr>
    </w:p>
    <w:p>
      <w:pPr>
        <w:jc w:val="both"/>
        <w:ind w:right="480"/>
        <w:spacing w:after="0" w:line="267" w:lineRule="auto"/>
        <w:rPr>
          <w:sz w:val="20"/>
          <w:szCs w:val="20"/>
          <w:color w:val="auto"/>
        </w:rPr>
      </w:pPr>
      <w:r>
        <w:rPr>
          <w:rFonts w:ascii="Arial" w:cs="Arial" w:eastAsia="Arial" w:hAnsi="Arial"/>
          <w:sz w:val="14"/>
          <w:szCs w:val="14"/>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3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COVID-19 pandemic and resulting global economic disruptions have impacted our operations and are expected to continue to impact our operations throughout 2021. For a detailed discussion of the pandemic and its expected effects, refer to the section above titled "The COVID-19 Pandemic" and "Results of Operations by Segment."</w:t>
      </w:r>
    </w:p>
    <w:p>
      <w:pPr>
        <w:spacing w:after="0" w:line="37"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2020,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Income Taxes</w:t>
      </w:r>
    </w:p>
    <w:p>
      <w:pPr>
        <w:spacing w:after="0" w:line="76" w:lineRule="exact"/>
        <w:rPr>
          <w:sz w:val="20"/>
          <w:szCs w:val="20"/>
          <w:color w:val="auto"/>
        </w:rPr>
      </w:pPr>
    </w:p>
    <w:p>
      <w:pPr>
        <w:ind w:right="60"/>
        <w:spacing w:after="0" w:line="309" w:lineRule="auto"/>
        <w:rPr>
          <w:sz w:val="20"/>
          <w:szCs w:val="20"/>
          <w:color w:val="auto"/>
        </w:rPr>
      </w:pPr>
      <w:r>
        <w:rPr>
          <w:rFonts w:ascii="Arial" w:cs="Arial" w:eastAsia="Arial" w:hAnsi="Arial"/>
          <w:sz w:val="12"/>
          <w:szCs w:val="12"/>
          <w:color w:val="auto"/>
        </w:rPr>
        <w:t>For the six months ended June 30, 2021, the Company had net income tax expense of $1,139,000 compared to $708,000 for the six months ended June 30, 2020. The effective tax rates approximated 39% and -234% for the six months ended June 30, 2021 and 2020, respectively. As of June 30, 2021, income tax receivables were $43,000. The Company classifies interest and penalties incurred on tax payments as income tax expenses. The Company's effective tax rates were higher than statutory rates primarily because permanent differences related to Section 162(m) limitations and discrete tax expense associated with stock compensation. The Section 162(m) compensation deduction limitations occurred due to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Cash Flow and Liquidity</w:t>
      </w:r>
    </w:p>
    <w:p>
      <w:pPr>
        <w:spacing w:after="0" w:line="87"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8" w:lineRule="exact"/>
        <w:rPr>
          <w:sz w:val="20"/>
          <w:szCs w:val="20"/>
          <w:color w:val="auto"/>
        </w:rPr>
      </w:pPr>
    </w:p>
    <w:p>
      <w:pPr>
        <w:ind w:right="540"/>
        <w:spacing w:after="0" w:line="267" w:lineRule="auto"/>
        <w:rPr>
          <w:sz w:val="20"/>
          <w:szCs w:val="20"/>
          <w:color w:val="auto"/>
        </w:rPr>
      </w:pPr>
      <w:r>
        <w:rPr>
          <w:rFonts w:ascii="Arial" w:cs="Arial" w:eastAsia="Arial" w:hAnsi="Arial"/>
          <w:sz w:val="14"/>
          <w:szCs w:val="14"/>
          <w:color w:val="auto"/>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Our cash, cash equivalents and marketable securities totaled $49,639,000 as of June 30, 2021, a decrease of $8,452,000 from $58,091,000 as of December 31, 2020.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0"/>
        </w:trPr>
        <w:tc>
          <w:tcPr>
            <w:tcW w:w="7660" w:type="dxa"/>
            <w:vAlign w:val="bottom"/>
          </w:tcPr>
          <w:p>
            <w:pPr>
              <w:spacing w:after="0"/>
              <w:rPr>
                <w:sz w:val="20"/>
                <w:szCs w:val="20"/>
                <w:color w:val="auto"/>
              </w:rPr>
            </w:pPr>
            <w:r>
              <w:rPr>
                <w:rFonts w:ascii="Arial" w:cs="Arial" w:eastAsia="Arial" w:hAnsi="Arial"/>
                <w:sz w:val="14"/>
                <w:szCs w:val="14"/>
                <w:color w:val="auto"/>
              </w:rPr>
              <w:t>The following table shows our cash flow activities for the six months ended June 30,</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2020</w:t>
            </w:r>
          </w:p>
        </w:tc>
      </w:tr>
      <w:tr>
        <w:trPr>
          <w:trHeight w:val="17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0"/>
        </w:trPr>
        <w:tc>
          <w:tcPr>
            <w:tcW w:w="76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(9,846)</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(852)</w:t>
            </w:r>
          </w:p>
        </w:tc>
      </w:tr>
      <w:tr>
        <w:trPr>
          <w:trHeight w:val="18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During the first six months of 2021, the Company's operations used $1,095,000 primarily to fund crop cultural costs.</w:t>
      </w:r>
    </w:p>
    <w:p>
      <w:pPr>
        <w:spacing w:after="0" w:line="83" w:lineRule="exact"/>
        <w:rPr>
          <w:sz w:val="20"/>
          <w:szCs w:val="20"/>
          <w:color w:val="auto"/>
        </w:rPr>
      </w:pPr>
    </w:p>
    <w:p>
      <w:pPr>
        <w:jc w:val="both"/>
        <w:ind w:right="40"/>
        <w:spacing w:after="0" w:line="281" w:lineRule="auto"/>
        <w:rPr>
          <w:sz w:val="20"/>
          <w:szCs w:val="20"/>
          <w:color w:val="auto"/>
        </w:rPr>
      </w:pPr>
      <w:r>
        <w:rPr>
          <w:rFonts w:ascii="Arial" w:cs="Arial" w:eastAsia="Arial" w:hAnsi="Arial"/>
          <w:sz w:val="14"/>
          <w:szCs w:val="14"/>
          <w:color w:val="auto"/>
        </w:rPr>
        <w:t>During the first six months of 2020, the Company's operations provided $51,000. The primary drivers were receivable collections of $7,174,000 and joint venture operating distributions of $121,000, partially offset by cash outlays to build inventories of $4,228,000 and pay down of accounts payables and accrued liabilities of $2,951,000.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During the first six months of 2021, investing activities used $9,846,000. The Company made capital expenditures, inclusive of capitalized interest and payroll (exclusive of stock compensation), of $11,414,000, which includes predevelopment activities for our master planned communities; $2,235,000 consisting of planning and permitting primarily related to the preparation of final maps for Phase 1 of MV; expenditures relating to litigation of $618,000 for Grapevine, and costs related to litigation defense for Centennial of $1,184,000. At TRCC, we spent $2,136,000 on infrastructure improvements, qualifying costs related to land development and the residential community at TRCC-East. Within our farming segment, we spent $4,812,000 developing new almond orchards and grape vineyards, which includes cultural costs for 2021 for orchards not currently in production and replacing machinery and equipment. Lastly, the Company used $2,415,000 to acquire water assets and invested $7,842,000 into marketable securities. The cash outlays previously mentioned were offset by water sales proceeds of $5,874,000, joint venture distributions of $5,096,000 primarily attributed to the sale of land to TRC-MRC 4, and proceeds from matured marketable securities of $1,400,000.</w:t>
      </w:r>
    </w:p>
    <w:p>
      <w:pPr>
        <w:spacing w:after="0" w:line="42"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During the first six months of 2020, investing activities used $852,000. The Company made capital expenditures, inclusive of capitalized interest and payroll (exclusive of stock compensation), of $11,192,000, which includes predevelopment activities for our master planned communities; $2,120,000 consisting of planning and permitting primarily related to the preparation of final maps for Phase 1 of MV; expenditures relating to litigation of $1,288,000 for Grapevine, and costs related to litigation defense for Centennial of $1,678,000. At TRCC, we spent $3,131,000 on water treatment infrastructure improvements and general planning. Within our farming segment, we spent $2,853,000 developing new almond orchards and replacing machinery and equipment. Also within investing activities, we had investment security maturities of $17,424,000, of which $5,610,000 was reinvested. The Company also sold building and land in April 2020 that was previously operated by a fast food tenant to its joint venture, Petro Travel Plaza, LLC for $2,000,000. Lastly, the Company used $2,634,000 to acquire long-term water assets.</w:t>
      </w:r>
    </w:p>
    <w:p>
      <w:pPr>
        <w:spacing w:after="0" w:line="39"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6"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Our estimated capital investment, inclusive of capitalized interest and payroll, for the remainder of 2021 is primarily related to our real estate projects. These estimated investments include approximately $3,208,000 of infrastructure development at TRCC-East to support continued commercial retail and industrial development and to expand water facilities to support future anticipated absorption. We also plan to invest approximately $853,000 to continue the development of new almond orchards and vineyards, and to replace farm equipment. The farm investments are part of a long-term farm management program to redevelop declining orchards and vineyards to maintain and improve future farm revenues. Lastly, we expect to invest up to $5,516,000 for land planning, litigation/appeals, mapping, federal and state agency permitting activities, and development activities at MV, Centennial, and Grapevine during the remainder of 2021.</w:t>
      </w:r>
    </w:p>
    <w:p>
      <w:pPr>
        <w:spacing w:after="0" w:line="3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2021 and 2020, was $1,242,000 and $1,406,000, respectively, and is classified within real estate development. We also capitalized payroll costs related to development, pre-construction, and construction projects which aggregated $1,238,000 and $1,888,000 for the six months ended June 30, 2021 and 2020, respectively. Expenditures for repairs and maintenance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2021, financing activities used $3,098,000, which was attributable to long-term debt service of $2,132,000 and tax payments on vested share grants of $966,000.</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During the first six months of 2020, financing activities used $4,330,000, which was attributable to long-term debt service of $2,746,000 and tax payments on vested share grants of $1,584,000.</w:t>
      </w:r>
    </w:p>
    <w:p>
      <w:pPr>
        <w:spacing w:after="0" w:line="8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Although California's reopening has been strong thus far, there is uncertainty as to how state and local government agencies will react to the Delta variant along with other COVID-19 variants, as Los Angeles and other counties have re-implemented mask mandates. Based on the Company's experience, and assuming the impacts of COVID-19 and its variants do not materially worsen, the Company believes it will have adequate cash flows, cash balances, and availability on our line of credit (discussed below) over the next twelve months to fund internal operations. COVID-19 restrictions have not to-date impacted our ability to access traditional funding sources.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4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006EBF"/>
        </w:rPr>
        <w:t>Capital Structure and Financial Condition</w:t>
      </w:r>
    </w:p>
    <w:p>
      <w:pPr>
        <w:spacing w:after="0" w:line="7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At June 30, 2021, total capitalization at book value was $504,703,000, consisting of $54,945,000 of debt and $449,758,000 of equity, resulting in a debt-to-total-capitalization ratio of approximately 10.9%.</w:t>
      </w:r>
    </w:p>
    <w:p>
      <w:pPr>
        <w:spacing w:after="0" w:line="37" w:lineRule="exact"/>
        <w:rPr>
          <w:sz w:val="20"/>
          <w:szCs w:val="20"/>
          <w:color w:val="auto"/>
        </w:rPr>
      </w:pPr>
    </w:p>
    <w:p>
      <w:pPr>
        <w:ind w:right="100"/>
        <w:spacing w:after="0" w:line="331" w:lineRule="auto"/>
        <w:rPr>
          <w:sz w:val="20"/>
          <w:szCs w:val="20"/>
          <w:color w:val="auto"/>
        </w:rPr>
      </w:pPr>
      <w:r>
        <w:rPr>
          <w:rFonts w:ascii="Arial" w:cs="Arial" w:eastAsia="Arial" w:hAnsi="Arial"/>
          <w:sz w:val="12"/>
          <w:szCs w:val="12"/>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Amended Term Note had a $52,875,000 balance as of June 30, 2021.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RLC had no outstanding balance as of June 30, 2021 and December 31, 2020. At the Company’s option, the interest rate on this line of credit can float at 1.50% over a selected LIBOR rate or can be fixed at 1.50% above LIBOR for a fixed rate term. During the term of this RLC (which matures in October 2024), the Company can borrow at any time and partially or wholly repay any outstanding borrowings and then re-borrow, as necessary.</w:t>
      </w:r>
    </w:p>
    <w:p>
      <w:pPr>
        <w:spacing w:after="0" w:line="9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36"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June 30, 2021 and December 31, 2020, the Company was in compliance with those financial covenants.</w:t>
      </w:r>
    </w:p>
    <w:p>
      <w:pPr>
        <w:spacing w:after="0" w:line="46"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37"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3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June 30, 2021 was $2,070,000.</w:t>
      </w:r>
    </w:p>
    <w:p>
      <w:pPr>
        <w:spacing w:after="0" w:line="3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4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May 2019, we filed an updated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40" w:lineRule="exact"/>
        <w:rPr>
          <w:sz w:val="20"/>
          <w:szCs w:val="20"/>
          <w:color w:val="auto"/>
        </w:rPr>
      </w:pPr>
    </w:p>
    <w:p>
      <w:pPr>
        <w:jc w:val="both"/>
        <w:ind w:right="200"/>
        <w:spacing w:after="0" w:line="297" w:lineRule="auto"/>
        <w:rPr>
          <w:sz w:val="20"/>
          <w:szCs w:val="20"/>
          <w:color w:val="auto"/>
        </w:rPr>
      </w:pPr>
      <w:r>
        <w:rPr>
          <w:rFonts w:ascii="Arial" w:cs="Arial" w:eastAsia="Arial" w:hAnsi="Arial"/>
          <w:sz w:val="13"/>
          <w:szCs w:val="13"/>
          <w:color w:val="auto"/>
        </w:rPr>
        <w:t>Although we have a strong liquidity position at June 30, 2021 with $49,639,000 in cash and securities and $35,000,000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4" w:name="page45"/>
    <w:bookmarkEnd w:id="44"/>
    <w:p>
      <w:pPr>
        <w:spacing w:after="0" w:line="260" w:lineRule="auto"/>
        <w:rPr>
          <w:sz w:val="20"/>
          <w:szCs w:val="20"/>
          <w:color w:val="auto"/>
        </w:rPr>
      </w:pPr>
      <w:r>
        <w:rPr>
          <w:rFonts w:ascii="Arial" w:cs="Arial" w:eastAsia="Arial" w:hAnsi="Arial"/>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Contractual Cash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cash obligations and commercial commitments as of June 30, 2021, to be paid over the next five years and thereafter:</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color w:val="auto"/>
              </w:rPr>
              <w:t>Payments Due by Period</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color w:val="auto"/>
              </w:rPr>
              <w:t>One Year or Less</w:t>
            </w:r>
          </w:p>
        </w:tc>
        <w:tc>
          <w:tcPr>
            <w:tcW w:w="2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rPr>
              <w:t>Years 2-3</w:t>
            </w:r>
          </w:p>
        </w:tc>
        <w:tc>
          <w:tcPr>
            <w:tcW w:w="22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Years 4-5</w:t>
            </w:r>
          </w:p>
        </w:tc>
        <w:tc>
          <w:tcPr>
            <w:tcW w:w="22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Arial" w:cs="Arial" w:eastAsia="Arial" w:hAnsi="Arial"/>
                <w:sz w:val="14"/>
                <w:szCs w:val="14"/>
                <w:color w:val="auto"/>
              </w:rPr>
              <w:t>Thereafter</w:t>
            </w:r>
          </w:p>
        </w:tc>
      </w:tr>
      <w:tr>
        <w:trPr>
          <w:trHeight w:val="161"/>
        </w:trPr>
        <w:tc>
          <w:tcPr>
            <w:tcW w:w="3940" w:type="dxa"/>
            <w:vAlign w:val="bottom"/>
          </w:tcPr>
          <w:p>
            <w:pPr>
              <w:ind w:left="20"/>
              <w:spacing w:after="0"/>
              <w:rPr>
                <w:sz w:val="20"/>
                <w:szCs w:val="20"/>
                <w:color w:val="auto"/>
              </w:rPr>
            </w:pPr>
            <w:r>
              <w:rPr>
                <w:rFonts w:ascii="Arial" w:cs="Arial" w:eastAsia="Arial" w:hAnsi="Arial"/>
                <w:sz w:val="14"/>
                <w:szCs w:val="14"/>
                <w:color w:val="auto"/>
              </w:rPr>
              <w:t>Contractual Obligations:</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265,908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211,787</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54,945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30,949</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on long-term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Cash contract commitments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Defined Benefit Plan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SERP</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2,364</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Tejon Ranch Conservancy</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Financing fees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940" w:type="dxa"/>
            <w:vAlign w:val="bottom"/>
          </w:tcPr>
          <w:p>
            <w:pPr>
              <w:ind w:left="280"/>
              <w:spacing w:after="0"/>
              <w:rPr>
                <w:sz w:val="20"/>
                <w:szCs w:val="20"/>
                <w:color w:val="auto"/>
              </w:rPr>
            </w:pPr>
            <w:r>
              <w:rPr>
                <w:rFonts w:ascii="Arial" w:cs="Arial" w:eastAsia="Arial" w:hAnsi="Arial"/>
                <w:sz w:val="14"/>
                <w:szCs w:val="14"/>
                <w:color w:val="auto"/>
              </w:rPr>
              <w:t>Total contractual obligations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348,562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21,659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37,879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38,239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250,785</w:t>
            </w: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5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6" w:lineRule="exact"/>
        <w:rPr>
          <w:sz w:val="20"/>
          <w:szCs w:val="20"/>
          <w:color w:val="auto"/>
        </w:rPr>
      </w:pPr>
    </w:p>
    <w:p>
      <w:pPr>
        <w:jc w:val="both"/>
        <w:ind w:right="340"/>
        <w:spacing w:after="0" w:line="267" w:lineRule="auto"/>
        <w:rPr>
          <w:sz w:val="20"/>
          <w:szCs w:val="20"/>
          <w:color w:val="auto"/>
        </w:rPr>
      </w:pPr>
      <w:r>
        <w:rPr>
          <w:rFonts w:ascii="Arial" w:cs="Arial" w:eastAsia="Arial" w:hAnsi="Arial"/>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2021.</w:t>
      </w:r>
    </w:p>
    <w:p>
      <w:pPr>
        <w:spacing w:after="0" w:line="29" w:lineRule="exact"/>
        <w:rPr>
          <w:sz w:val="20"/>
          <w:szCs w:val="20"/>
          <w:color w:val="auto"/>
        </w:rPr>
      </w:pPr>
    </w:p>
    <w:p>
      <w:pPr>
        <w:ind w:right="160"/>
        <w:spacing w:after="0" w:line="319" w:lineRule="auto"/>
        <w:rPr>
          <w:sz w:val="20"/>
          <w:szCs w:val="20"/>
          <w:color w:val="auto"/>
        </w:rPr>
      </w:pPr>
      <w:r>
        <w:rPr>
          <w:rFonts w:ascii="Arial" w:cs="Arial" w:eastAsia="Arial" w:hAnsi="Arial"/>
          <w:sz w:val="12"/>
          <w:szCs w:val="12"/>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 See Note 12 (Commitments and Contingencies) of the Notes to Unaudited Consolidated Financial Statements for a discussion of litigation related to payment obligations to the Tejon Ranch Conservancy.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8"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Arial" w:cs="Arial" w:eastAsia="Arial" w:hAnsi="Arial"/>
                <w:sz w:val="14"/>
                <w:szCs w:val="14"/>
                <w:b w:val="1"/>
                <w:bCs w:val="1"/>
                <w:color w:val="006EBF"/>
              </w:rPr>
              <w:t>Off-Balance Sheet Arrangements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7120" w:type="dxa"/>
            <w:vAlign w:val="bottom"/>
            <w:gridSpan w:val="7"/>
          </w:tcPr>
          <w:p>
            <w:pPr>
              <w:spacing w:after="0"/>
              <w:rPr>
                <w:sz w:val="20"/>
                <w:szCs w:val="20"/>
                <w:color w:val="auto"/>
              </w:rPr>
            </w:pPr>
            <w:r>
              <w:rPr>
                <w:rFonts w:ascii="Arial" w:cs="Arial" w:eastAsia="Arial" w:hAnsi="Arial"/>
                <w:sz w:val="14"/>
                <w:szCs w:val="14"/>
                <w:color w:val="auto"/>
              </w:rPr>
              <w:t>The following table shows contingent obligations we have with respect to certain bonds issued by the CFDs: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4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color w:val="auto"/>
                <w:w w:val="93"/>
              </w:rPr>
              <w:t>Amount of Commitment Expiration Per Period</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&lt; 1 year</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2 -3 Years</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4 -5 Years</w:t>
            </w:r>
          </w:p>
        </w:tc>
        <w:tc>
          <w:tcPr>
            <w:tcW w:w="18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rPr>
              <w:t>After 5 Years</w:t>
            </w:r>
          </w:p>
        </w:tc>
      </w:tr>
      <w:tr>
        <w:trPr>
          <w:trHeight w:val="161"/>
        </w:trPr>
        <w:tc>
          <w:tcPr>
            <w:tcW w:w="4300" w:type="dxa"/>
            <w:vAlign w:val="bottom"/>
          </w:tcPr>
          <w:p>
            <w:pPr>
              <w:ind w:left="20"/>
              <w:spacing w:after="0"/>
              <w:rPr>
                <w:sz w:val="20"/>
                <w:szCs w:val="20"/>
                <w:color w:val="auto"/>
              </w:rPr>
            </w:pPr>
            <w:r>
              <w:rPr>
                <w:rFonts w:ascii="Arial" w:cs="Arial" w:eastAsia="Arial" w:hAnsi="Arial"/>
                <w:sz w:val="14"/>
                <w:szCs w:val="14"/>
                <w:color w:val="auto"/>
              </w:rPr>
              <w:t>Other Commercial Commitments: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1"/>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Standby letter of credit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r>
      <w:tr>
        <w:trPr>
          <w:trHeight w:val="171"/>
        </w:trPr>
        <w:tc>
          <w:tcPr>
            <w:tcW w:w="4300" w:type="dxa"/>
            <w:vAlign w:val="bottom"/>
          </w:tcPr>
          <w:p>
            <w:pPr>
              <w:ind w:left="120"/>
              <w:spacing w:after="0"/>
              <w:rPr>
                <w:sz w:val="20"/>
                <w:szCs w:val="20"/>
                <w:color w:val="auto"/>
              </w:rPr>
            </w:pPr>
            <w:r>
              <w:rPr>
                <w:rFonts w:ascii="Arial" w:cs="Arial" w:eastAsia="Arial" w:hAnsi="Arial"/>
                <w:sz w:val="14"/>
                <w:szCs w:val="14"/>
                <w:color w:val="auto"/>
              </w:rPr>
              <w:t>Total other commercial commitments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4"/>
                <w:szCs w:val="14"/>
                <w:color w:val="auto"/>
              </w:rPr>
              <w:t>—</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5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June 30, 2021, that the letter of credit will likely never be drawn upon. This letter of credit is for a two-year period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June 30, 2021.</w:t>
      </w:r>
    </w:p>
    <w:p>
      <w:pPr>
        <w:spacing w:after="0" w:line="45"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As of June 30, 2021, aggregate outstanding debt of unconsolidated joint ventures was $132,380,000. We provided a guarantee on $117,918,000 of this debt, relating to our joint ventures with Rockefeller and Majestic. Because of positive cash flow generation within the Rockefeller and Majestic joint ventures, we, as of June 30, 2021, do not expect the guarantee to be called upon. We do not provide a guarantee on the $14,462,000 of debt related to our joint venture with TA/Petro.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006EBF"/>
        </w:rPr>
        <w:t>Non-GAAP Financial Measures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80" w:type="dxa"/>
            <w:vAlign w:val="bottom"/>
            <w:gridSpan w:val="5"/>
          </w:tcPr>
          <w:p>
            <w:pPr>
              <w:ind w:left="440"/>
              <w:spacing w:after="0"/>
              <w:rPr>
                <w:sz w:val="20"/>
                <w:szCs w:val="20"/>
                <w:color w:val="auto"/>
              </w:rPr>
            </w:pPr>
            <w:r>
              <w:rPr>
                <w:rFonts w:ascii="Arial" w:cs="Arial" w:eastAsia="Arial" w:hAnsi="Arial"/>
                <w:sz w:val="14"/>
                <w:szCs w:val="14"/>
                <w:color w:val="auto"/>
              </w:rPr>
              <w:t>Three Months Ended June 30,</w:t>
            </w:r>
          </w:p>
        </w:tc>
        <w:tc>
          <w:tcPr>
            <w:tcW w:w="380" w:type="dxa"/>
            <w:vAlign w:val="bottom"/>
          </w:tcPr>
          <w:p>
            <w:pPr>
              <w:spacing w:after="0"/>
              <w:rPr>
                <w:sz w:val="15"/>
                <w:szCs w:val="15"/>
                <w:color w:val="auto"/>
              </w:rPr>
            </w:pPr>
          </w:p>
        </w:tc>
        <w:tc>
          <w:tcPr>
            <w:tcW w:w="2920" w:type="dxa"/>
            <w:vAlign w:val="bottom"/>
            <w:gridSpan w:val="4"/>
          </w:tcPr>
          <w:p>
            <w:pPr>
              <w:jc w:val="right"/>
              <w:ind w:right="80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 (loss) attributable to non-controlling interest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Interest, net</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Our share of interest expense from unconsolidated joint ventures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interest, net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120"/>
              <w:spacing w:after="0"/>
              <w:rPr>
                <w:sz w:val="20"/>
                <w:szCs w:val="20"/>
                <w:color w:val="auto"/>
              </w:rPr>
            </w:pPr>
            <w:r>
              <w:rPr>
                <w:rFonts w:ascii="Arial" w:cs="Arial" w:eastAsia="Arial" w:hAnsi="Arial"/>
                <w:sz w:val="14"/>
                <w:szCs w:val="14"/>
                <w:color w:val="auto"/>
              </w:rPr>
              <w:t>Consolidated</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38"/>
        </w:trPr>
        <w:tc>
          <w:tcPr>
            <w:tcW w:w="45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Our share of depreciation and amortization from unconsolidated joint</w:t>
            </w: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ventures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depreciation and amortization</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 compensation expense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r>
      <w:tr>
        <w:trPr>
          <w:trHeight w:val="171"/>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11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Commercial/Industrial operating income</w:t>
            </w:r>
          </w:p>
        </w:tc>
        <w:tc>
          <w:tcPr>
            <w:tcW w:w="110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r>
      <w:tr>
        <w:trPr>
          <w:trHeight w:val="180"/>
        </w:trPr>
        <w:tc>
          <w:tcPr>
            <w:tcW w:w="4360" w:type="dxa"/>
            <w:vAlign w:val="bottom"/>
          </w:tcPr>
          <w:p>
            <w:pPr>
              <w:ind w:left="120"/>
              <w:spacing w:after="0"/>
              <w:rPr>
                <w:sz w:val="20"/>
                <w:szCs w:val="20"/>
                <w:color w:val="auto"/>
              </w:rPr>
            </w:pPr>
            <w:r>
              <w:rPr>
                <w:rFonts w:ascii="Arial" w:cs="Arial" w:eastAsia="Arial" w:hAnsi="Arial"/>
                <w:sz w:val="14"/>
                <w:szCs w:val="14"/>
                <w:color w:val="auto"/>
              </w:rPr>
              <w:t>Plus: Commercial/Industrial depreciation and amortization</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81"/>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Plus: General, administrative, cost of sales and other expenses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w:t>
            </w:r>
          </w:p>
        </w:tc>
      </w:tr>
      <w:tr>
        <w:trPr>
          <w:trHeight w:val="180"/>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Other revenues including land sales</w:t>
            </w: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(6,108)</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1100" w:type="dxa"/>
            <w:vAlign w:val="bottom"/>
            <w:tcBorders>
              <w:bottom w:val="single" w:sz="8" w:color="auto"/>
            </w:tcBorders>
            <w:gridSpan w:val="2"/>
            <w:shd w:val="clear" w:color="auto" w:fill="CCEEFF"/>
          </w:tcPr>
          <w:p>
            <w:pPr>
              <w:jc w:val="right"/>
              <w:ind w:right="949"/>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1,912</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38"/>
        </w:trPr>
        <w:tc>
          <w:tcPr>
            <w:tcW w:w="43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r>
      <w:tr>
        <w:trPr>
          <w:trHeight w:val="171"/>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operating income</w:t>
            </w:r>
          </w:p>
        </w:tc>
        <w:tc>
          <w:tcPr>
            <w:tcW w:w="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Pastoria Energy Facility</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color w:val="auto"/>
              </w:rPr>
              <w:t>TRCC</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18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Communication leases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r>
      <w:tr>
        <w:trPr>
          <w:trHeight w:val="18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commercial leases</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1,912</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5"/>
          </w:tcPr>
          <w:p>
            <w:pPr>
              <w:ind w:left="460"/>
              <w:spacing w:after="0"/>
              <w:rPr>
                <w:sz w:val="20"/>
                <w:szCs w:val="20"/>
                <w:color w:val="auto"/>
              </w:rPr>
            </w:pPr>
            <w:r>
              <w:rPr>
                <w:rFonts w:ascii="Arial" w:cs="Arial" w:eastAsia="Arial" w:hAnsi="Arial"/>
                <w:sz w:val="14"/>
                <w:szCs w:val="14"/>
                <w:color w:val="auto"/>
              </w:rPr>
              <w:t>Three Months Ended June 30,</w:t>
            </w:r>
          </w:p>
        </w:tc>
        <w:tc>
          <w:tcPr>
            <w:tcW w:w="380" w:type="dxa"/>
            <w:vAlign w:val="bottom"/>
          </w:tcPr>
          <w:p>
            <w:pPr>
              <w:spacing w:after="0"/>
              <w:rPr>
                <w:sz w:val="15"/>
                <w:szCs w:val="15"/>
                <w:color w:val="auto"/>
              </w:rPr>
            </w:pPr>
          </w:p>
        </w:tc>
        <w:tc>
          <w:tcPr>
            <w:tcW w:w="3040" w:type="dxa"/>
            <w:vAlign w:val="bottom"/>
            <w:gridSpan w:val="5"/>
          </w:tcPr>
          <w:p>
            <w:pPr>
              <w:ind w:left="520"/>
              <w:spacing w:after="0"/>
              <w:rPr>
                <w:sz w:val="20"/>
                <w:szCs w:val="20"/>
                <w:color w:val="auto"/>
              </w:rPr>
            </w:pPr>
            <w:r>
              <w:rPr>
                <w:rFonts w:ascii="Arial" w:cs="Arial" w:eastAsia="Arial" w:hAnsi="Arial"/>
                <w:sz w:val="14"/>
                <w:szCs w:val="14"/>
                <w:color w:val="auto"/>
              </w:rPr>
              <w:t>Six Months Ended June 30,</w:t>
            </w:r>
          </w:p>
        </w:tc>
      </w:tr>
      <w:tr>
        <w:trPr>
          <w:trHeight w:val="171"/>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4"/>
                <w:szCs w:val="14"/>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of unconsolidated joint ventures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4,078</w:t>
            </w:r>
          </w:p>
        </w:tc>
        <w:tc>
          <w:tcPr>
            <w:tcW w:w="40" w:type="dxa"/>
            <w:vAlign w:val="bottom"/>
          </w:tcPr>
          <w:p>
            <w:pPr>
              <w:spacing w:after="0"/>
              <w:rPr>
                <w:sz w:val="14"/>
                <w:szCs w:val="14"/>
                <w:color w:val="auto"/>
              </w:rPr>
            </w:pPr>
          </w:p>
        </w:tc>
      </w:tr>
      <w:tr>
        <w:trPr>
          <w:trHeight w:val="18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w:t>
            </w:r>
          </w:p>
        </w:tc>
        <w:tc>
          <w:tcPr>
            <w:tcW w:w="40" w:type="dxa"/>
            <w:vAlign w:val="bottom"/>
          </w:tcPr>
          <w:p>
            <w:pPr>
              <w:spacing w:after="0"/>
              <w:rPr>
                <w:sz w:val="15"/>
                <w:szCs w:val="15"/>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of unconsolidated joint ventures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w:t>
            </w:r>
          </w:p>
        </w:tc>
        <w:tc>
          <w:tcPr>
            <w:tcW w:w="40" w:type="dxa"/>
            <w:vAlign w:val="bottom"/>
          </w:tcPr>
          <w:p>
            <w:pPr>
              <w:spacing w:after="0"/>
              <w:rPr>
                <w:sz w:val="14"/>
                <w:szCs w:val="14"/>
                <w:color w:val="auto"/>
              </w:rPr>
            </w:pPr>
          </w:p>
        </w:tc>
      </w:tr>
      <w:tr>
        <w:trPr>
          <w:trHeight w:val="18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3,868</w:t>
            </w:r>
          </w:p>
        </w:tc>
        <w:tc>
          <w:tcPr>
            <w:tcW w:w="40" w:type="dxa"/>
            <w:vAlign w:val="bottom"/>
          </w:tcPr>
          <w:p>
            <w:pPr>
              <w:spacing w:after="0"/>
              <w:rPr>
                <w:sz w:val="15"/>
                <w:szCs w:val="15"/>
                <w:color w:val="auto"/>
              </w:rPr>
            </w:pPr>
          </w:p>
        </w:tc>
      </w:tr>
      <w:tr>
        <w:trPr>
          <w:trHeight w:val="19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income of unconsolidated joint ventures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9,921</w:t>
            </w:r>
          </w:p>
        </w:tc>
        <w:tc>
          <w:tcPr>
            <w:tcW w:w="40" w:type="dxa"/>
            <w:vAlign w:val="bottom"/>
          </w:tcPr>
          <w:p>
            <w:pPr>
              <w:spacing w:after="0"/>
              <w:rPr>
                <w:sz w:val="16"/>
                <w:szCs w:val="16"/>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0"/>
        </w:trPr>
        <w:tc>
          <w:tcPr>
            <w:tcW w:w="4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6EBF"/>
        </w:rPr>
        <w:t>ITEM 3. QUANTITATIVE AND QUALITATIVE DISCLOSURES ABOUT MARKET RISK</w:t>
      </w:r>
    </w:p>
    <w:p>
      <w:pPr>
        <w:spacing w:after="0" w:line="7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Market Risks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Our exposure to financial market risks includes changes to interest rates and credit risks related to marketable securities, interest rates related to our outstanding indebtedness and trade receivables.</w:t>
      </w:r>
    </w:p>
    <w:p>
      <w:pPr>
        <w:spacing w:after="0" w:line="9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4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RLC had no outstanding balance as of June 30, 2021.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exposed to interest rate risk on our long-term debt. Long-term debt consists of two term loans, one of which has a balance of $52,875,000 as of June 30, 2021 and is tied to LIBOR plus a margin of 1.70%. The interest rate for the term of this loan has been fixed through the use of an interest rate swap that fixed the rate at 4.16%. The outstanding balance on the second term loan as of June 30, 2021 was $2,070,000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40"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46"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2024</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100" w:type="dxa"/>
            <w:vAlign w:val="bottom"/>
          </w:tcPr>
          <w:p>
            <w:pPr>
              <w:spacing w:after="0"/>
              <w:rPr>
                <w:sz w:val="15"/>
                <w:szCs w:val="15"/>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Thereafter</w:t>
            </w:r>
          </w:p>
        </w:tc>
        <w:tc>
          <w:tcPr>
            <w:tcW w:w="108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$3,851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$9,163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0.42%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0.16%</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0.27%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$123</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$254</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$265</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$277</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$289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$862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$2,070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$2,070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Long-term debt (Amended Term Loan)</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$2,039</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$4,221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8"/>
              </w:rPr>
              <w:t>$4,429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$4,624</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$4,825</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$32,737</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$52,875</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$52,875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At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100" w:type="dxa"/>
            <w:vAlign w:val="bottom"/>
          </w:tcPr>
          <w:p>
            <w:pPr>
              <w:spacing w:after="0"/>
              <w:rPr>
                <w:sz w:val="15"/>
                <w:szCs w:val="15"/>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Thereafter</w:t>
            </w:r>
          </w:p>
        </w:tc>
        <w:tc>
          <w:tcPr>
            <w:tcW w:w="11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1040" w:type="dxa"/>
            <w:vAlign w:val="bottom"/>
          </w:tcPr>
          <w:p>
            <w:pPr>
              <w:ind w:left="2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$2,766</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$2,766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$2,771</w:t>
            </w:r>
          </w:p>
        </w:tc>
        <w:tc>
          <w:tcPr>
            <w:tcW w:w="0" w:type="dxa"/>
            <w:vAlign w:val="bottom"/>
          </w:tcPr>
          <w:p>
            <w:pPr>
              <w:spacing w:after="0"/>
              <w:rPr>
                <w:sz w:val="1"/>
                <w:szCs w:val="1"/>
                <w:color w:val="auto"/>
              </w:rPr>
            </w:pPr>
          </w:p>
        </w:tc>
      </w:tr>
      <w:tr>
        <w:trPr>
          <w:trHeight w:val="180"/>
        </w:trPr>
        <w:tc>
          <w:tcPr>
            <w:tcW w:w="2480" w:type="dxa"/>
            <w:vAlign w:val="bottom"/>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$244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$254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$265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$277</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$289</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$862</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$2,191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$2,191</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Long-term debt ($70.0M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$4,051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$4,221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$4,429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$4,624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$4,825</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$32,737</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$54,887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$54,887</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Commodity Price Exposure</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Farming inventories and accounts receivables are exposed to adverse price fluctuations. Farming inventories consists of farming cultural and processing costs associated with crop production.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Farming inventory costs are recorded as incurred. Historically, these costs have been recovered through crop sales occurring after harvest.</w:t>
      </w:r>
    </w:p>
    <w:p>
      <w:pPr>
        <w:spacing w:after="0" w:line="62"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$1,377,000 of accounts receivable outstanding at June 30, 2021, $116,000, or 8%, pertains to pistachio sales receivables that are at risk to changing prices.</w:t>
      </w:r>
    </w:p>
    <w:p>
      <w:pPr>
        <w:spacing w:after="0" w:line="46"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The price estimated for the remaining accounts receivable for pistachios recorded at June 30, 2021 was $2.04 per pound and remains unchanged from December 31, 2020 levels. For each $0.01 change in the price per pound of pistachios, our receivable for pistachios increases or decreases by $570. Although the final price per pound of pistachios, and therefore the extent of the risk is presently unknown, pricing over the past three years has ranged from $1.98 to $2.04.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6EBF"/>
        </w:rPr>
        <w:t>ITEM 4. CONTROLS AND PROCEDURES</w:t>
      </w:r>
    </w:p>
    <w:p>
      <w:pPr>
        <w:spacing w:after="0" w:line="98" w:lineRule="exact"/>
        <w:rPr>
          <w:sz w:val="20"/>
          <w:szCs w:val="20"/>
          <w:color w:val="auto"/>
        </w:rPr>
      </w:pPr>
    </w:p>
    <w:p>
      <w:pPr>
        <w:ind w:left="440" w:hanging="435"/>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Evaluation of Disclosure Controls and Procedures</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5" w:lineRule="exact"/>
        <w:rPr>
          <w:sz w:val="20"/>
          <w:szCs w:val="20"/>
          <w:color w:val="auto"/>
        </w:rPr>
      </w:pPr>
    </w:p>
    <w:p>
      <w:pPr>
        <w:ind w:left="440" w:hanging="435"/>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w:t>
      </w:r>
    </w:p>
    <w:p>
      <w:pPr>
        <w:spacing w:after="0" w:line="13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 Legal Proceedings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12 (Commitments and Contingencies) in the Notes to Unaudited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1A. 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to the risk factors previously disclosed in Part I, Item 1A in our most recent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2. Unregistered Sales of Equity Securities and Use of Proceeds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3. Defaults Upon Senior Securities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4. Mine Safety Disclosures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5.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EBF"/>
                <w:w w:val="91"/>
              </w:rPr>
              <w:t>Item 6. Exhibits:</w:t>
            </w:r>
          </w:p>
        </w:tc>
        <w:tc>
          <w:tcPr>
            <w:tcW w:w="8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Borders>
              <w:top w:val="single" w:sz="8" w:color="006EBF"/>
            </w:tcBorders>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8660" w:type="dxa"/>
            <w:vAlign w:val="bottom"/>
          </w:tcPr>
          <w:p>
            <w:pPr>
              <w:ind w:left="60"/>
              <w:spacing w:after="0"/>
              <w:rPr>
                <w:rFonts w:ascii="Arial" w:cs="Arial" w:eastAsia="Arial" w:hAnsi="Arial"/>
                <w:sz w:val="14"/>
                <w:szCs w:val="14"/>
                <w:color w:val="auto"/>
              </w:rPr>
            </w:pPr>
            <w:hyperlink w:anchor="page57">
              <w:r>
                <w:rPr>
                  <w:rFonts w:ascii="Arial" w:cs="Arial" w:eastAsia="Arial" w:hAnsi="Arial"/>
                  <w:sz w:val="14"/>
                  <w:szCs w:val="14"/>
                  <w:color w:val="auto"/>
                </w:rPr>
                <w:t>Restated Certificate of Incorporation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8660" w:type="dxa"/>
            <w:vAlign w:val="bottom"/>
          </w:tcPr>
          <w:p>
            <w:pPr>
              <w:ind w:left="60"/>
              <w:spacing w:after="0"/>
              <w:rPr>
                <w:rFonts w:ascii="Arial" w:cs="Arial" w:eastAsia="Arial" w:hAnsi="Arial"/>
                <w:sz w:val="14"/>
                <w:szCs w:val="14"/>
                <w:color w:val="auto"/>
              </w:rPr>
            </w:pPr>
            <w:hyperlink r:id="rId77">
              <w:r>
                <w:rPr>
                  <w:rFonts w:ascii="Arial" w:cs="Arial" w:eastAsia="Arial" w:hAnsi="Arial"/>
                  <w:sz w:val="14"/>
                  <w:szCs w:val="14"/>
                  <w:color w:val="auto"/>
                </w:rPr>
                <w:t>Amended and Restated Bylaws</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2</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8660" w:type="dxa"/>
            <w:vAlign w:val="bottom"/>
          </w:tcPr>
          <w:p>
            <w:pPr>
              <w:ind w:left="60"/>
              <w:spacing w:after="0"/>
              <w:rPr>
                <w:rFonts w:ascii="Arial" w:cs="Arial" w:eastAsia="Arial" w:hAnsi="Arial"/>
                <w:sz w:val="14"/>
                <w:szCs w:val="14"/>
                <w:color w:val="auto"/>
              </w:rPr>
            </w:pPr>
            <w:hyperlink r:id="rId78">
              <w:r>
                <w:rPr>
                  <w:rFonts w:ascii="Arial" w:cs="Arial" w:eastAsia="Arial" w:hAnsi="Arial"/>
                  <w:sz w:val="14"/>
                  <w:szCs w:val="14"/>
                  <w:color w:val="auto"/>
                </w:rPr>
                <w:t>Registration and Reimbursement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5</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5"/>
                <w:szCs w:val="15"/>
                <w:color w:val="auto"/>
              </w:rPr>
            </w:pPr>
          </w:p>
        </w:tc>
        <w:tc>
          <w:tcPr>
            <w:tcW w:w="8660" w:type="dxa"/>
            <w:vAlign w:val="bottom"/>
          </w:tcPr>
          <w:p>
            <w:pPr>
              <w:ind w:left="60"/>
              <w:spacing w:after="0"/>
              <w:rPr>
                <w:rFonts w:ascii="Arial" w:cs="Arial" w:eastAsia="Arial" w:hAnsi="Arial"/>
                <w:sz w:val="14"/>
                <w:szCs w:val="14"/>
                <w:color w:val="auto"/>
              </w:rPr>
            </w:pPr>
            <w:hyperlink r:id="rId79">
              <w:r>
                <w:rPr>
                  <w:rFonts w:ascii="Arial" w:cs="Arial" w:eastAsia="Arial" w:hAnsi="Arial"/>
                  <w:sz w:val="14"/>
                  <w:szCs w:val="14"/>
                  <w:color w:val="auto"/>
                </w:rPr>
                <w:t>Form of Indenture for Debt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37</w:t>
            </w:r>
          </w:p>
        </w:tc>
        <w:tc>
          <w:tcPr>
            <w:tcW w:w="0" w:type="dxa"/>
            <w:vAlign w:val="bottom"/>
          </w:tcPr>
          <w:p>
            <w:pPr>
              <w:spacing w:after="0"/>
              <w:rPr>
                <w:sz w:val="1"/>
                <w:szCs w:val="1"/>
                <w:color w:val="auto"/>
              </w:rPr>
            </w:pPr>
          </w:p>
        </w:tc>
      </w:tr>
      <w:tr>
        <w:trPr>
          <w:trHeight w:val="138"/>
        </w:trPr>
        <w:tc>
          <w:tcPr>
            <w:tcW w:w="1180" w:type="dxa"/>
            <w:vAlign w:val="bottom"/>
            <w:gridSpan w:val="3"/>
          </w:tcPr>
          <w:p>
            <w:pPr>
              <w:jc w:val="right"/>
              <w:ind w:right="100"/>
              <w:spacing w:after="0" w:line="139" w:lineRule="exact"/>
              <w:rPr>
                <w:sz w:val="20"/>
                <w:szCs w:val="20"/>
                <w:color w:val="auto"/>
              </w:rPr>
            </w:pPr>
            <w:r>
              <w:rPr>
                <w:rFonts w:ascii="Arial" w:cs="Arial" w:eastAsia="Arial" w:hAnsi="Arial"/>
                <w:sz w:val="14"/>
                <w:szCs w:val="14"/>
                <w:color w:val="auto"/>
              </w:rPr>
              <w:t>10.1</w:t>
            </w:r>
          </w:p>
        </w:tc>
        <w:tc>
          <w:tcPr>
            <w:tcW w:w="8660" w:type="dxa"/>
            <w:vAlign w:val="bottom"/>
          </w:tcPr>
          <w:p>
            <w:pPr>
              <w:ind w:left="60"/>
              <w:spacing w:after="0" w:line="139" w:lineRule="exact"/>
              <w:rPr>
                <w:sz w:val="20"/>
                <w:szCs w:val="20"/>
                <w:color w:val="auto"/>
              </w:rPr>
            </w:pPr>
            <w:r>
              <w:rPr>
                <w:rFonts w:ascii="Arial" w:cs="Arial" w:eastAsia="Arial" w:hAnsi="Arial"/>
                <w:sz w:val="14"/>
                <w:szCs w:val="14"/>
                <w:color w:val="auto"/>
                <w:w w:val="99"/>
              </w:rPr>
              <w:t>Water Service Contract with Wheeler Ridge-Maricopa Water Storage District (without exhibits), amendments originally filed under Item 11 to</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FN 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60" w:type="dxa"/>
            <w:vAlign w:val="bottom"/>
          </w:tcPr>
          <w:p>
            <w:pPr>
              <w:ind w:left="60"/>
              <w:spacing w:after="0"/>
              <w:rPr>
                <w:sz w:val="20"/>
                <w:szCs w:val="20"/>
                <w:color w:val="auto"/>
              </w:rPr>
            </w:pPr>
            <w:r>
              <w:rPr>
                <w:rFonts w:ascii="Arial" w:cs="Arial" w:eastAsia="Arial" w:hAnsi="Arial"/>
                <w:sz w:val="14"/>
                <w:szCs w:val="14"/>
                <w:color w:val="auto"/>
              </w:rPr>
              <w:t>Registrant's Annual Report on Form 10-K</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10.7</w:t>
            </w:r>
          </w:p>
        </w:tc>
        <w:tc>
          <w:tcPr>
            <w:tcW w:w="866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*Severance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10.8</w:t>
            </w:r>
          </w:p>
        </w:tc>
        <w:tc>
          <w:tcPr>
            <w:tcW w:w="866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*Director Compensation Plan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10.9</w:t>
            </w:r>
          </w:p>
        </w:tc>
        <w:tc>
          <w:tcPr>
            <w:tcW w:w="8660" w:type="dxa"/>
            <w:vAlign w:val="bottom"/>
          </w:tcPr>
          <w:p>
            <w:pPr>
              <w:ind w:left="60"/>
              <w:spacing w:after="0"/>
              <w:rPr>
                <w:rFonts w:ascii="Arial" w:cs="Arial" w:eastAsia="Arial" w:hAnsi="Arial"/>
                <w:sz w:val="14"/>
                <w:szCs w:val="14"/>
                <w:color w:val="auto"/>
              </w:rPr>
            </w:pPr>
            <w:hyperlink r:id="rId81">
              <w:r>
                <w:rPr>
                  <w:rFonts w:ascii="Arial" w:cs="Arial" w:eastAsia="Arial" w:hAnsi="Arial"/>
                  <w:sz w:val="14"/>
                  <w:szCs w:val="14"/>
                  <w:color w:val="auto"/>
                </w:rPr>
                <w:t>*Amended and Restated Non-Employee Director Stock Incentive Plan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8</w:t>
            </w:r>
          </w:p>
        </w:tc>
        <w:tc>
          <w:tcPr>
            <w:tcW w:w="0" w:type="dxa"/>
            <w:vAlign w:val="bottom"/>
          </w:tcPr>
          <w:p>
            <w:pPr>
              <w:spacing w:after="0"/>
              <w:rPr>
                <w:sz w:val="1"/>
                <w:szCs w:val="1"/>
                <w:color w:val="auto"/>
              </w:rPr>
            </w:pPr>
          </w:p>
        </w:tc>
      </w:tr>
      <w:tr>
        <w:trPr>
          <w:trHeight w:val="276"/>
        </w:trPr>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10.9(1)</w:t>
            </w:r>
          </w:p>
        </w:tc>
        <w:tc>
          <w:tcPr>
            <w:tcW w:w="866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*Stock Option Agreement Pursuant to the Non-Employee Director Stock Incentive Plan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10.10</w:t>
            </w:r>
          </w:p>
        </w:tc>
        <w:tc>
          <w:tcPr>
            <w:tcW w:w="8660" w:type="dxa"/>
            <w:vAlign w:val="bottom"/>
          </w:tcPr>
          <w:p>
            <w:pPr>
              <w:ind w:left="60"/>
              <w:spacing w:after="0"/>
              <w:rPr>
                <w:rFonts w:ascii="Arial" w:cs="Arial" w:eastAsia="Arial" w:hAnsi="Arial"/>
                <w:sz w:val="14"/>
                <w:szCs w:val="14"/>
                <w:color w:val="auto"/>
              </w:rPr>
            </w:pPr>
            <w:hyperlink r:id="rId82">
              <w:r>
                <w:rPr>
                  <w:rFonts w:ascii="Arial" w:cs="Arial" w:eastAsia="Arial" w:hAnsi="Arial"/>
                  <w:sz w:val="14"/>
                  <w:szCs w:val="14"/>
                  <w:color w:val="auto"/>
                </w:rPr>
                <w:t>*Amended and Restated 1998 Stock Incentive Plan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9</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10.10(1)</w:t>
            </w:r>
          </w:p>
        </w:tc>
        <w:tc>
          <w:tcPr>
            <w:tcW w:w="866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*Stock Option Agreement Pursuant to the 1998 Stock Incentive Plan</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10.12</w:t>
            </w:r>
          </w:p>
        </w:tc>
        <w:tc>
          <w:tcPr>
            <w:tcW w:w="8660" w:type="dxa"/>
            <w:vAlign w:val="bottom"/>
          </w:tcPr>
          <w:p>
            <w:pPr>
              <w:ind w:left="60"/>
              <w:spacing w:after="0"/>
              <w:rPr>
                <w:rFonts w:ascii="Arial" w:cs="Arial" w:eastAsia="Arial" w:hAnsi="Arial"/>
                <w:sz w:val="14"/>
                <w:szCs w:val="14"/>
                <w:color w:val="auto"/>
              </w:rPr>
            </w:pPr>
            <w:hyperlink r:id="rId83">
              <w:r>
                <w:rPr>
                  <w:rFonts w:ascii="Arial" w:cs="Arial" w:eastAsia="Arial" w:hAnsi="Arial"/>
                  <w:sz w:val="14"/>
                  <w:szCs w:val="14"/>
                  <w:color w:val="auto"/>
                </w:rPr>
                <w:t>Ground Lease with Pastoria Energy Facility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10</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10.15</w:t>
            </w:r>
          </w:p>
        </w:tc>
        <w:tc>
          <w:tcPr>
            <w:tcW w:w="8660" w:type="dxa"/>
            <w:vAlign w:val="bottom"/>
          </w:tcPr>
          <w:p>
            <w:pPr>
              <w:ind w:left="60"/>
              <w:spacing w:after="0"/>
              <w:rPr>
                <w:rFonts w:ascii="Arial" w:cs="Arial" w:eastAsia="Arial" w:hAnsi="Arial"/>
                <w:sz w:val="14"/>
                <w:szCs w:val="14"/>
                <w:color w:val="auto"/>
              </w:rPr>
            </w:pPr>
            <w:hyperlink r:id="rId84">
              <w:r>
                <w:rPr>
                  <w:rFonts w:ascii="Arial" w:cs="Arial" w:eastAsia="Arial" w:hAnsi="Arial"/>
                  <w:sz w:val="14"/>
                  <w:szCs w:val="14"/>
                  <w:color w:val="auto"/>
                </w:rPr>
                <w:t>Form of Securities Purchase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11</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10.16</w:t>
            </w:r>
          </w:p>
        </w:tc>
        <w:tc>
          <w:tcPr>
            <w:tcW w:w="8660" w:type="dxa"/>
            <w:vAlign w:val="bottom"/>
          </w:tcPr>
          <w:p>
            <w:pPr>
              <w:ind w:left="60"/>
              <w:spacing w:after="0"/>
              <w:rPr>
                <w:rFonts w:ascii="Arial" w:cs="Arial" w:eastAsia="Arial" w:hAnsi="Arial"/>
                <w:sz w:val="14"/>
                <w:szCs w:val="14"/>
                <w:color w:val="auto"/>
              </w:rPr>
            </w:pPr>
            <w:hyperlink r:id="rId85">
              <w:r>
                <w:rPr>
                  <w:rFonts w:ascii="Arial" w:cs="Arial" w:eastAsia="Arial" w:hAnsi="Arial"/>
                  <w:sz w:val="14"/>
                  <w:szCs w:val="14"/>
                  <w:color w:val="auto"/>
                </w:rPr>
                <w:t>Form of Registration Rights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12</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10.17</w:t>
            </w:r>
          </w:p>
        </w:tc>
        <w:tc>
          <w:tcPr>
            <w:tcW w:w="8660" w:type="dxa"/>
            <w:vAlign w:val="bottom"/>
          </w:tcPr>
          <w:p>
            <w:pPr>
              <w:ind w:left="60"/>
              <w:spacing w:after="0"/>
              <w:rPr>
                <w:rFonts w:ascii="Arial" w:cs="Arial" w:eastAsia="Arial" w:hAnsi="Arial"/>
                <w:sz w:val="14"/>
                <w:szCs w:val="14"/>
                <w:color w:val="auto"/>
              </w:rPr>
            </w:pPr>
            <w:hyperlink r:id="rId86">
              <w:r>
                <w:rPr>
                  <w:rFonts w:ascii="Arial" w:cs="Arial" w:eastAsia="Arial" w:hAnsi="Arial"/>
                  <w:sz w:val="14"/>
                  <w:szCs w:val="14"/>
                  <w:color w:val="auto"/>
                </w:rPr>
                <w:t>*2004 Stock Incentive Program</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10.18</w:t>
            </w:r>
          </w:p>
        </w:tc>
        <w:tc>
          <w:tcPr>
            <w:tcW w:w="8660" w:type="dxa"/>
            <w:vAlign w:val="bottom"/>
          </w:tcPr>
          <w:p>
            <w:pPr>
              <w:ind w:left="60"/>
              <w:spacing w:after="0"/>
              <w:rPr>
                <w:rFonts w:ascii="Arial" w:cs="Arial" w:eastAsia="Arial" w:hAnsi="Arial"/>
                <w:sz w:val="14"/>
                <w:szCs w:val="14"/>
                <w:color w:val="auto"/>
              </w:rPr>
            </w:pPr>
            <w:hyperlink r:id="rId87">
              <w:r>
                <w:rPr>
                  <w:rFonts w:ascii="Arial" w:cs="Arial" w:eastAsia="Arial" w:hAnsi="Arial"/>
                  <w:sz w:val="14"/>
                  <w:szCs w:val="14"/>
                  <w:color w:val="auto"/>
                </w:rPr>
                <w:t>*Form of Restricted Stock Agreement for Directors</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10.19</w:t>
            </w:r>
          </w:p>
        </w:tc>
        <w:tc>
          <w:tcPr>
            <w:tcW w:w="8660" w:type="dxa"/>
            <w:vAlign w:val="bottom"/>
          </w:tcPr>
          <w:p>
            <w:pPr>
              <w:ind w:left="60"/>
              <w:spacing w:after="0"/>
              <w:rPr>
                <w:rFonts w:ascii="Arial" w:cs="Arial" w:eastAsia="Arial" w:hAnsi="Arial"/>
                <w:sz w:val="14"/>
                <w:szCs w:val="14"/>
                <w:color w:val="auto"/>
              </w:rPr>
            </w:pPr>
            <w:hyperlink r:id="rId88">
              <w:r>
                <w:rPr>
                  <w:rFonts w:ascii="Arial" w:cs="Arial" w:eastAsia="Arial" w:hAnsi="Arial"/>
                  <w:sz w:val="14"/>
                  <w:szCs w:val="14"/>
                  <w:color w:val="auto"/>
                </w:rPr>
                <w:t>*Form of Restricted Stock Unit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10.23</w:t>
            </w:r>
          </w:p>
        </w:tc>
        <w:tc>
          <w:tcPr>
            <w:tcW w:w="8660" w:type="dxa"/>
            <w:vAlign w:val="bottom"/>
          </w:tcPr>
          <w:p>
            <w:pPr>
              <w:ind w:left="60"/>
              <w:spacing w:after="0"/>
              <w:rPr>
                <w:rFonts w:ascii="Arial" w:cs="Arial" w:eastAsia="Arial" w:hAnsi="Arial"/>
                <w:sz w:val="14"/>
                <w:szCs w:val="14"/>
                <w:color w:val="auto"/>
              </w:rPr>
            </w:pPr>
            <w:hyperlink r:id="rId89">
              <w:r>
                <w:rPr>
                  <w:rFonts w:ascii="Arial" w:cs="Arial" w:eastAsia="Arial" w:hAnsi="Arial"/>
                  <w:sz w:val="14"/>
                  <w:szCs w:val="14"/>
                  <w:color w:val="auto"/>
                </w:rPr>
                <w:t>Limited Liability Company Agreement of Tejon Mountain Village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14</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10.24</w:t>
            </w:r>
          </w:p>
        </w:tc>
        <w:tc>
          <w:tcPr>
            <w:tcW w:w="8660" w:type="dxa"/>
            <w:vAlign w:val="bottom"/>
          </w:tcPr>
          <w:p>
            <w:pPr>
              <w:ind w:left="60"/>
              <w:spacing w:after="0"/>
              <w:rPr>
                <w:rFonts w:ascii="Arial" w:cs="Arial" w:eastAsia="Arial" w:hAnsi="Arial"/>
                <w:sz w:val="14"/>
                <w:szCs w:val="14"/>
                <w:color w:val="auto"/>
              </w:rPr>
            </w:pPr>
            <w:hyperlink r:id="rId90">
              <w:r>
                <w:rPr>
                  <w:rFonts w:ascii="Arial" w:cs="Arial" w:eastAsia="Arial" w:hAnsi="Arial"/>
                  <w:sz w:val="14"/>
                  <w:szCs w:val="14"/>
                  <w:color w:val="auto"/>
                </w:rPr>
                <w:t>Tejon Ranch Conservation and Land Use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15</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10.25</w:t>
            </w:r>
          </w:p>
        </w:tc>
        <w:tc>
          <w:tcPr>
            <w:tcW w:w="8660" w:type="dxa"/>
            <w:vAlign w:val="bottom"/>
          </w:tcPr>
          <w:p>
            <w:pPr>
              <w:ind w:left="60"/>
              <w:spacing w:after="0"/>
              <w:rPr>
                <w:rFonts w:ascii="Arial" w:cs="Arial" w:eastAsia="Arial" w:hAnsi="Arial"/>
                <w:sz w:val="14"/>
                <w:szCs w:val="14"/>
                <w:color w:val="auto"/>
              </w:rPr>
            </w:pPr>
            <w:hyperlink r:id="rId91">
              <w:r>
                <w:rPr>
                  <w:rFonts w:ascii="Arial" w:cs="Arial" w:eastAsia="Arial" w:hAnsi="Arial"/>
                  <w:sz w:val="14"/>
                  <w:szCs w:val="14"/>
                  <w:color w:val="auto"/>
                </w:rPr>
                <w:t>Second Amended and Restated Limited Liability Agreement of Centennial Founders,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16</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10.26</w:t>
            </w:r>
          </w:p>
        </w:tc>
        <w:tc>
          <w:tcPr>
            <w:tcW w:w="8660" w:type="dxa"/>
            <w:vAlign w:val="bottom"/>
          </w:tcPr>
          <w:p>
            <w:pPr>
              <w:ind w:left="60"/>
              <w:spacing w:after="0"/>
              <w:rPr>
                <w:rFonts w:ascii="Arial" w:cs="Arial" w:eastAsia="Arial" w:hAnsi="Arial"/>
                <w:sz w:val="14"/>
                <w:szCs w:val="14"/>
                <w:color w:val="auto"/>
              </w:rPr>
            </w:pPr>
            <w:hyperlink r:id="rId92">
              <w:r>
                <w:rPr>
                  <w:rFonts w:ascii="Arial" w:cs="Arial" w:eastAsia="Arial" w:hAnsi="Arial"/>
                  <w:sz w:val="14"/>
                  <w:szCs w:val="14"/>
                  <w:color w:val="auto"/>
                </w:rPr>
                <w:t>*Executive Employment Agreement - Allen E. Lyda</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10.27</w:t>
            </w:r>
          </w:p>
        </w:tc>
        <w:tc>
          <w:tcPr>
            <w:tcW w:w="8660" w:type="dxa"/>
            <w:vAlign w:val="bottom"/>
          </w:tcPr>
          <w:p>
            <w:pPr>
              <w:ind w:left="60"/>
              <w:spacing w:after="0"/>
              <w:rPr>
                <w:rFonts w:ascii="Arial" w:cs="Arial" w:eastAsia="Arial" w:hAnsi="Arial"/>
                <w:sz w:val="14"/>
                <w:szCs w:val="14"/>
                <w:color w:val="auto"/>
              </w:rPr>
            </w:pPr>
            <w:hyperlink r:id="rId93">
              <w:r>
                <w:rPr>
                  <w:rFonts w:ascii="Arial" w:cs="Arial" w:eastAsia="Arial" w:hAnsi="Arial"/>
                  <w:sz w:val="14"/>
                  <w:szCs w:val="14"/>
                  <w:color w:val="auto"/>
                </w:rPr>
                <w:t>Limited Liability Company Agreement of TRCC/Rock Outlet Center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18</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10.28</w:t>
            </w:r>
          </w:p>
        </w:tc>
        <w:tc>
          <w:tcPr>
            <w:tcW w:w="8660" w:type="dxa"/>
            <w:vAlign w:val="bottom"/>
          </w:tcPr>
          <w:p>
            <w:pPr>
              <w:ind w:left="60"/>
              <w:spacing w:after="0"/>
              <w:rPr>
                <w:rFonts w:ascii="Arial" w:cs="Arial" w:eastAsia="Arial" w:hAnsi="Arial"/>
                <w:sz w:val="14"/>
                <w:szCs w:val="14"/>
                <w:color w:val="auto"/>
              </w:rPr>
            </w:pPr>
            <w:hyperlink r:id="rId94">
              <w:r>
                <w:rPr>
                  <w:rFonts w:ascii="Arial" w:cs="Arial" w:eastAsia="Arial" w:hAnsi="Arial"/>
                  <w:sz w:val="14"/>
                  <w:szCs w:val="14"/>
                  <w:color w:val="auto"/>
                </w:rPr>
                <w:t>Warrant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19</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10.29</w:t>
            </w:r>
          </w:p>
        </w:tc>
        <w:tc>
          <w:tcPr>
            <w:tcW w:w="8660" w:type="dxa"/>
            <w:vAlign w:val="bottom"/>
          </w:tcPr>
          <w:p>
            <w:pPr>
              <w:ind w:left="60"/>
              <w:spacing w:after="0"/>
              <w:rPr>
                <w:rFonts w:ascii="Arial" w:cs="Arial" w:eastAsia="Arial" w:hAnsi="Arial"/>
                <w:sz w:val="14"/>
                <w:szCs w:val="14"/>
                <w:color w:val="auto"/>
              </w:rPr>
            </w:pPr>
            <w:hyperlink r:id="rId95">
              <w:r>
                <w:rPr>
                  <w:rFonts w:ascii="Arial" w:cs="Arial" w:eastAsia="Arial" w:hAnsi="Arial"/>
                  <w:sz w:val="14"/>
                  <w:szCs w:val="14"/>
                  <w:color w:val="auto"/>
                </w:rPr>
                <w:t>Amendments to Limited Liability Company Agreement of Tejon Mountain Village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20</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10.30</w:t>
            </w:r>
          </w:p>
        </w:tc>
        <w:tc>
          <w:tcPr>
            <w:tcW w:w="8660" w:type="dxa"/>
            <w:vAlign w:val="bottom"/>
          </w:tcPr>
          <w:p>
            <w:pPr>
              <w:ind w:left="60"/>
              <w:spacing w:after="0"/>
              <w:rPr>
                <w:rFonts w:ascii="Arial" w:cs="Arial" w:eastAsia="Arial" w:hAnsi="Arial"/>
                <w:sz w:val="14"/>
                <w:szCs w:val="14"/>
                <w:color w:val="auto"/>
              </w:rPr>
            </w:pPr>
            <w:hyperlink r:id="rId96">
              <w:r>
                <w:rPr>
                  <w:rFonts w:ascii="Arial" w:cs="Arial" w:eastAsia="Arial" w:hAnsi="Arial"/>
                  <w:sz w:val="14"/>
                  <w:szCs w:val="14"/>
                  <w:color w:val="auto"/>
                </w:rPr>
                <w:t>Membership Interest Purchase Agreement - Tejon Mountain Village LLC</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21</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10.31</w:t>
            </w:r>
          </w:p>
        </w:tc>
        <w:tc>
          <w:tcPr>
            <w:tcW w:w="8660" w:type="dxa"/>
            <w:vAlign w:val="bottom"/>
          </w:tcPr>
          <w:p>
            <w:pPr>
              <w:ind w:left="60"/>
              <w:spacing w:after="0"/>
              <w:rPr>
                <w:rFonts w:ascii="Arial" w:cs="Arial" w:eastAsia="Arial" w:hAnsi="Arial"/>
                <w:sz w:val="14"/>
                <w:szCs w:val="14"/>
                <w:color w:val="auto"/>
              </w:rPr>
            </w:pPr>
            <w:hyperlink r:id="rId97">
              <w:r>
                <w:rPr>
                  <w:rFonts w:ascii="Arial" w:cs="Arial" w:eastAsia="Arial" w:hAnsi="Arial"/>
                  <w:sz w:val="14"/>
                  <w:szCs w:val="14"/>
                  <w:color w:val="auto"/>
                </w:rPr>
                <w:t>Amended and Restated Credit Agreement</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22</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10.32</w:t>
            </w:r>
          </w:p>
        </w:tc>
        <w:tc>
          <w:tcPr>
            <w:tcW w:w="8660" w:type="dxa"/>
            <w:vAlign w:val="bottom"/>
          </w:tcPr>
          <w:p>
            <w:pPr>
              <w:ind w:left="60"/>
              <w:spacing w:after="0"/>
              <w:rPr>
                <w:rFonts w:ascii="Arial" w:cs="Arial" w:eastAsia="Arial" w:hAnsi="Arial"/>
                <w:sz w:val="14"/>
                <w:szCs w:val="14"/>
                <w:color w:val="auto"/>
              </w:rPr>
            </w:pPr>
            <w:hyperlink r:id="rId98">
              <w:r>
                <w:rPr>
                  <w:rFonts w:ascii="Arial" w:cs="Arial" w:eastAsia="Arial" w:hAnsi="Arial"/>
                  <w:sz w:val="14"/>
                  <w:szCs w:val="14"/>
                  <w:color w:val="auto"/>
                </w:rPr>
                <w:t>Term Note</w:t>
              </w:r>
            </w:hyperlink>
          </w:p>
        </w:tc>
        <w:tc>
          <w:tcPr>
            <w:tcW w:w="1440" w:type="dxa"/>
            <w:vAlign w:val="bottom"/>
          </w:tcPr>
          <w:p>
            <w:pPr>
              <w:jc w:val="right"/>
              <w:spacing w:after="0"/>
              <w:rPr>
                <w:sz w:val="20"/>
                <w:szCs w:val="20"/>
                <w:color w:val="auto"/>
              </w:rPr>
            </w:pPr>
            <w:r>
              <w:rPr>
                <w:rFonts w:ascii="Arial" w:cs="Arial" w:eastAsia="Arial" w:hAnsi="Arial"/>
                <w:sz w:val="14"/>
                <w:szCs w:val="14"/>
                <w:color w:val="auto"/>
              </w:rPr>
              <w:t>FN 25</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60" w:type="dxa"/>
            <w:vAlign w:val="bottom"/>
          </w:tcPr>
          <w:p>
            <w:pPr>
              <w:ind w:left="4400"/>
              <w:spacing w:after="0"/>
              <w:rPr>
                <w:sz w:val="20"/>
                <w:szCs w:val="20"/>
                <w:color w:val="auto"/>
              </w:rPr>
            </w:pPr>
            <w:r>
              <w:rPr>
                <w:rFonts w:ascii="Arial" w:cs="Arial" w:eastAsia="Arial" w:hAnsi="Arial"/>
                <w:sz w:val="14"/>
                <w:szCs w:val="14"/>
                <w:color w:val="auto"/>
              </w:rPr>
              <w:t>52</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2" w:name="page53"/>
    <w:bookmarkEnd w:id="52"/>
    <w:tbl>
      <w:tblPr>
        <w:tblLayout w:type="fixed"/>
        <w:tblInd w:w="58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10.33</w:t>
            </w:r>
          </w:p>
        </w:tc>
        <w:tc>
          <w:tcPr>
            <w:tcW w:w="8700" w:type="dxa"/>
            <w:vAlign w:val="bottom"/>
          </w:tcPr>
          <w:p>
            <w:pPr>
              <w:ind w:left="60"/>
              <w:spacing w:after="0"/>
              <w:rPr>
                <w:rFonts w:ascii="Arial" w:cs="Arial" w:eastAsia="Arial" w:hAnsi="Arial"/>
                <w:sz w:val="14"/>
                <w:szCs w:val="14"/>
                <w:color w:val="auto"/>
              </w:rPr>
            </w:pPr>
            <w:hyperlink r:id="rId101">
              <w:r>
                <w:rPr>
                  <w:rFonts w:ascii="Arial" w:cs="Arial" w:eastAsia="Arial" w:hAnsi="Arial"/>
                  <w:sz w:val="14"/>
                  <w:szCs w:val="14"/>
                  <w:color w:val="auto"/>
                </w:rPr>
                <w:t>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10.34</w:t>
            </w:r>
          </w:p>
        </w:tc>
        <w:tc>
          <w:tcPr>
            <w:tcW w:w="8700" w:type="dxa"/>
            <w:vAlign w:val="bottom"/>
          </w:tcPr>
          <w:p>
            <w:pPr>
              <w:ind w:left="60"/>
              <w:spacing w:after="0"/>
              <w:rPr>
                <w:rFonts w:ascii="Arial" w:cs="Arial" w:eastAsia="Arial" w:hAnsi="Arial"/>
                <w:sz w:val="14"/>
                <w:szCs w:val="14"/>
                <w:color w:val="auto"/>
              </w:rPr>
            </w:pPr>
            <w:hyperlink r:id="rId102">
              <w:r>
                <w:rPr>
                  <w:rFonts w:ascii="Arial" w:cs="Arial" w:eastAsia="Arial" w:hAnsi="Arial"/>
                  <w:sz w:val="14"/>
                  <w:szCs w:val="14"/>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8700" w:type="dxa"/>
            <w:vAlign w:val="bottom"/>
          </w:tcPr>
          <w:p>
            <w:pPr>
              <w:ind w:left="60"/>
              <w:spacing w:after="0"/>
              <w:rPr>
                <w:rFonts w:ascii="Arial" w:cs="Arial" w:eastAsia="Arial" w:hAnsi="Arial"/>
                <w:sz w:val="14"/>
                <w:szCs w:val="14"/>
                <w:color w:val="auto"/>
              </w:rPr>
            </w:pPr>
            <w:hyperlink r:id="rId103">
              <w:r>
                <w:rPr>
                  <w:rFonts w:ascii="Arial" w:cs="Arial" w:eastAsia="Arial" w:hAnsi="Arial"/>
                  <w:sz w:val="14"/>
                  <w:szCs w:val="14"/>
                  <w:color w:val="auto"/>
                </w:rPr>
                <w:t>Water Supply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10.37</w:t>
            </w:r>
          </w:p>
        </w:tc>
        <w:tc>
          <w:tcPr>
            <w:tcW w:w="8700" w:type="dxa"/>
            <w:vAlign w:val="bottom"/>
          </w:tcPr>
          <w:p>
            <w:pPr>
              <w:ind w:left="60"/>
              <w:spacing w:after="0"/>
              <w:rPr>
                <w:rFonts w:ascii="Arial" w:cs="Arial" w:eastAsia="Arial" w:hAnsi="Arial"/>
                <w:sz w:val="14"/>
                <w:szCs w:val="14"/>
                <w:color w:val="auto"/>
              </w:rPr>
            </w:pPr>
            <w:hyperlink r:id="rId104">
              <w:r>
                <w:rPr>
                  <w:rFonts w:ascii="Arial" w:cs="Arial" w:eastAsia="Arial" w:hAnsi="Arial"/>
                  <w:sz w:val="14"/>
                  <w:szCs w:val="14"/>
                  <w:color w:val="auto"/>
                </w:rPr>
                <w:t>Limited Liability Company Agreement of TRC-MRC 2,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10.38</w:t>
            </w:r>
          </w:p>
        </w:tc>
        <w:tc>
          <w:tcPr>
            <w:tcW w:w="8700" w:type="dxa"/>
            <w:vAlign w:val="bottom"/>
          </w:tcPr>
          <w:p>
            <w:pPr>
              <w:ind w:left="60"/>
              <w:spacing w:after="0"/>
              <w:rPr>
                <w:rFonts w:ascii="Arial" w:cs="Arial" w:eastAsia="Arial" w:hAnsi="Arial"/>
                <w:sz w:val="14"/>
                <w:szCs w:val="14"/>
                <w:color w:val="auto"/>
              </w:rPr>
            </w:pPr>
            <w:hyperlink r:id="rId105">
              <w:r>
                <w:rPr>
                  <w:rFonts w:ascii="Arial" w:cs="Arial" w:eastAsia="Arial" w:hAnsi="Arial"/>
                  <w:sz w:val="14"/>
                  <w:szCs w:val="14"/>
                  <w:color w:val="auto"/>
                </w:rPr>
                <w:t>Limited Liability Company Agreement of TRC-MRC 1,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10.39</w:t>
            </w:r>
          </w:p>
        </w:tc>
        <w:tc>
          <w:tcPr>
            <w:tcW w:w="8700" w:type="dxa"/>
            <w:vAlign w:val="bottom"/>
          </w:tcPr>
          <w:p>
            <w:pPr>
              <w:ind w:left="60"/>
              <w:spacing w:after="0"/>
              <w:rPr>
                <w:rFonts w:ascii="Arial" w:cs="Arial" w:eastAsia="Arial" w:hAnsi="Arial"/>
                <w:sz w:val="14"/>
                <w:szCs w:val="14"/>
                <w:color w:val="auto"/>
              </w:rPr>
            </w:pPr>
            <w:hyperlink r:id="rId106">
              <w:r>
                <w:rPr>
                  <w:rFonts w:ascii="Arial" w:cs="Arial" w:eastAsia="Arial" w:hAnsi="Arial"/>
                  <w:sz w:val="14"/>
                  <w:szCs w:val="14"/>
                  <w:color w:val="auto"/>
                </w:rPr>
                <w:t>Centennial Founders LLC, Redemption and Withdrawal Agreement - Lewis Tejon Member,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10.40</w:t>
            </w:r>
          </w:p>
        </w:tc>
        <w:tc>
          <w:tcPr>
            <w:tcW w:w="8700" w:type="dxa"/>
            <w:vAlign w:val="bottom"/>
          </w:tcPr>
          <w:p>
            <w:pPr>
              <w:ind w:left="60"/>
              <w:spacing w:after="0"/>
              <w:rPr>
                <w:rFonts w:ascii="Arial" w:cs="Arial" w:eastAsia="Arial" w:hAnsi="Arial"/>
                <w:sz w:val="14"/>
                <w:szCs w:val="14"/>
                <w:color w:val="auto"/>
              </w:rPr>
            </w:pPr>
            <w:hyperlink r:id="rId107">
              <w:r>
                <w:rPr>
                  <w:rFonts w:ascii="Arial" w:cs="Arial" w:eastAsia="Arial" w:hAnsi="Arial"/>
                  <w:sz w:val="14"/>
                  <w:szCs w:val="14"/>
                  <w:color w:val="auto"/>
                </w:rPr>
                <w:t>First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10.41</w:t>
            </w:r>
          </w:p>
        </w:tc>
        <w:tc>
          <w:tcPr>
            <w:tcW w:w="8700" w:type="dxa"/>
            <w:vAlign w:val="bottom"/>
          </w:tcPr>
          <w:p>
            <w:pPr>
              <w:ind w:left="60"/>
              <w:spacing w:after="0"/>
              <w:rPr>
                <w:rFonts w:ascii="Arial" w:cs="Arial" w:eastAsia="Arial" w:hAnsi="Arial"/>
                <w:sz w:val="14"/>
                <w:szCs w:val="14"/>
                <w:color w:val="auto"/>
              </w:rPr>
            </w:pPr>
            <w:hyperlink r:id="rId108">
              <w:r>
                <w:rPr>
                  <w:rFonts w:ascii="Arial" w:cs="Arial" w:eastAsia="Arial" w:hAnsi="Arial"/>
                  <w:sz w:val="14"/>
                  <w:szCs w:val="14"/>
                  <w:color w:val="auto"/>
                </w:rPr>
                <w:t>Second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10.42</w:t>
            </w:r>
          </w:p>
        </w:tc>
        <w:tc>
          <w:tcPr>
            <w:tcW w:w="8700" w:type="dxa"/>
            <w:vAlign w:val="bottom"/>
          </w:tcPr>
          <w:p>
            <w:pPr>
              <w:ind w:left="60"/>
              <w:spacing w:after="0"/>
              <w:rPr>
                <w:rFonts w:ascii="Arial" w:cs="Arial" w:eastAsia="Arial" w:hAnsi="Arial"/>
                <w:sz w:val="14"/>
                <w:szCs w:val="14"/>
                <w:color w:val="auto"/>
              </w:rPr>
            </w:pPr>
            <w:hyperlink r:id="rId109">
              <w:r>
                <w:rPr>
                  <w:rFonts w:ascii="Arial" w:cs="Arial" w:eastAsia="Arial" w:hAnsi="Arial"/>
                  <w:sz w:val="14"/>
                  <w:szCs w:val="14"/>
                  <w:color w:val="auto"/>
                </w:rPr>
                <w:t>Limited Liability Company Agreement of TRC-MRC 3,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10.43</w:t>
            </w:r>
          </w:p>
        </w:tc>
        <w:tc>
          <w:tcPr>
            <w:tcW w:w="8700" w:type="dxa"/>
            <w:vAlign w:val="bottom"/>
          </w:tcPr>
          <w:p>
            <w:pPr>
              <w:ind w:left="60"/>
              <w:spacing w:after="0"/>
              <w:rPr>
                <w:rFonts w:ascii="Arial" w:cs="Arial" w:eastAsia="Arial" w:hAnsi="Arial"/>
                <w:sz w:val="14"/>
                <w:szCs w:val="14"/>
                <w:color w:val="auto"/>
              </w:rPr>
            </w:pPr>
            <w:hyperlink r:id="rId110">
              <w:r>
                <w:rPr>
                  <w:rFonts w:ascii="Arial" w:cs="Arial" w:eastAsia="Arial" w:hAnsi="Arial"/>
                  <w:sz w:val="14"/>
                  <w:szCs w:val="14"/>
                  <w:color w:val="auto"/>
                </w:rPr>
                <w:t>Fourth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10.44</w:t>
            </w:r>
          </w:p>
        </w:tc>
        <w:tc>
          <w:tcPr>
            <w:tcW w:w="8700" w:type="dxa"/>
            <w:vAlign w:val="bottom"/>
          </w:tcPr>
          <w:p>
            <w:pPr>
              <w:ind w:left="60"/>
              <w:spacing w:after="0"/>
              <w:rPr>
                <w:rFonts w:ascii="Arial" w:cs="Arial" w:eastAsia="Arial" w:hAnsi="Arial"/>
                <w:sz w:val="14"/>
                <w:szCs w:val="14"/>
                <w:color w:val="auto"/>
              </w:rPr>
            </w:pPr>
            <w:hyperlink r:id="rId111">
              <w:r>
                <w:rPr>
                  <w:rFonts w:ascii="Arial" w:cs="Arial" w:eastAsia="Arial" w:hAnsi="Arial"/>
                  <w:sz w:val="14"/>
                  <w:szCs w:val="14"/>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10.45</w:t>
            </w:r>
          </w:p>
        </w:tc>
        <w:tc>
          <w:tcPr>
            <w:tcW w:w="8700" w:type="dxa"/>
            <w:vAlign w:val="bottom"/>
          </w:tcPr>
          <w:p>
            <w:pPr>
              <w:ind w:left="60"/>
              <w:spacing w:after="0"/>
              <w:rPr>
                <w:rFonts w:ascii="Arial" w:cs="Arial" w:eastAsia="Arial" w:hAnsi="Arial"/>
                <w:sz w:val="14"/>
                <w:szCs w:val="14"/>
                <w:color w:val="auto"/>
              </w:rPr>
            </w:pPr>
            <w:hyperlink r:id="rId112">
              <w:r>
                <w:rPr>
                  <w:rFonts w:ascii="Arial" w:cs="Arial" w:eastAsia="Arial" w:hAnsi="Arial"/>
                  <w:sz w:val="14"/>
                  <w:szCs w:val="14"/>
                  <w:color w:val="auto"/>
                </w:rPr>
                <w:t>Amended 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34</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10.46</w:t>
            </w:r>
          </w:p>
        </w:tc>
        <w:tc>
          <w:tcPr>
            <w:tcW w:w="8700" w:type="dxa"/>
            <w:vAlign w:val="bottom"/>
          </w:tcPr>
          <w:p>
            <w:pPr>
              <w:ind w:left="60"/>
              <w:spacing w:after="0"/>
              <w:rPr>
                <w:rFonts w:ascii="Arial" w:cs="Arial" w:eastAsia="Arial" w:hAnsi="Arial"/>
                <w:sz w:val="14"/>
                <w:szCs w:val="14"/>
                <w:color w:val="auto"/>
              </w:rPr>
            </w:pPr>
            <w:hyperlink r:id="rId113">
              <w:r>
                <w:rPr>
                  <w:rFonts w:ascii="Arial" w:cs="Arial" w:eastAsia="Arial" w:hAnsi="Arial"/>
                  <w:sz w:val="14"/>
                  <w:szCs w:val="14"/>
                  <w:color w:val="auto"/>
                </w:rPr>
                <w:t>Amended Term Note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10.47</w:t>
            </w:r>
          </w:p>
        </w:tc>
        <w:tc>
          <w:tcPr>
            <w:tcW w:w="8700" w:type="dxa"/>
            <w:vAlign w:val="bottom"/>
          </w:tcPr>
          <w:p>
            <w:pPr>
              <w:ind w:left="60"/>
              <w:spacing w:after="0"/>
              <w:rPr>
                <w:rFonts w:ascii="Arial" w:cs="Arial" w:eastAsia="Arial" w:hAnsi="Arial"/>
                <w:sz w:val="14"/>
                <w:szCs w:val="14"/>
                <w:color w:val="auto"/>
              </w:rPr>
            </w:pPr>
            <w:hyperlink r:id="rId114">
              <w:r>
                <w:rPr>
                  <w:rFonts w:ascii="Arial" w:cs="Arial" w:eastAsia="Arial" w:hAnsi="Arial"/>
                  <w:sz w:val="14"/>
                  <w:szCs w:val="14"/>
                  <w:color w:val="auto"/>
                </w:rPr>
                <w:t>*Executive Officer Severance Agreement - Gregory S. Bielli</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10.48</w:t>
            </w:r>
          </w:p>
        </w:tc>
        <w:tc>
          <w:tcPr>
            <w:tcW w:w="8700" w:type="dxa"/>
            <w:vAlign w:val="bottom"/>
          </w:tcPr>
          <w:p>
            <w:pPr>
              <w:ind w:left="60"/>
              <w:spacing w:after="0"/>
              <w:rPr>
                <w:rFonts w:ascii="Arial" w:cs="Arial" w:eastAsia="Arial" w:hAnsi="Arial"/>
                <w:sz w:val="14"/>
                <w:szCs w:val="14"/>
                <w:color w:val="auto"/>
              </w:rPr>
            </w:pPr>
            <w:hyperlink r:id="rId115">
              <w:r>
                <w:rPr>
                  <w:rFonts w:ascii="Arial" w:cs="Arial" w:eastAsia="Arial" w:hAnsi="Arial"/>
                  <w:sz w:val="14"/>
                  <w:szCs w:val="14"/>
                  <w:color w:val="auto"/>
                </w:rPr>
                <w:t>Limited Liability Company Agreement of TRC-MRC 4,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8700" w:type="dxa"/>
            <w:vAlign w:val="bottom"/>
          </w:tcPr>
          <w:p>
            <w:pPr>
              <w:ind w:left="60"/>
              <w:spacing w:after="0"/>
              <w:rPr>
                <w:rFonts w:ascii="Arial" w:cs="Arial" w:eastAsia="Arial" w:hAnsi="Arial"/>
                <w:sz w:val="14"/>
                <w:szCs w:val="14"/>
                <w:color w:val="auto"/>
              </w:rPr>
            </w:pPr>
            <w:hyperlink w:anchor="page67">
              <w:r>
                <w:rPr>
                  <w:rFonts w:ascii="Arial" w:cs="Arial" w:eastAsia="Arial" w:hAnsi="Arial"/>
                  <w:sz w:val="14"/>
                  <w:szCs w:val="14"/>
                  <w:color w:val="auto"/>
                </w:rPr>
                <w:t>Certification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8700" w:type="dxa"/>
            <w:vAlign w:val="bottom"/>
          </w:tcPr>
          <w:p>
            <w:pPr>
              <w:ind w:left="60"/>
              <w:spacing w:after="0"/>
              <w:rPr>
                <w:rFonts w:ascii="Arial" w:cs="Arial" w:eastAsia="Arial" w:hAnsi="Arial"/>
                <w:sz w:val="14"/>
                <w:szCs w:val="14"/>
                <w:color w:val="auto"/>
              </w:rPr>
            </w:pPr>
            <w:hyperlink w:anchor="page68">
              <w:r>
                <w:rPr>
                  <w:rFonts w:ascii="Arial" w:cs="Arial" w:eastAsia="Arial" w:hAnsi="Arial"/>
                  <w:sz w:val="14"/>
                  <w:szCs w:val="14"/>
                  <w:color w:val="auto"/>
                </w:rPr>
                <w:t>Certification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8700" w:type="dxa"/>
            <w:vAlign w:val="bottom"/>
          </w:tcPr>
          <w:p>
            <w:pPr>
              <w:ind w:left="60"/>
              <w:spacing w:after="0"/>
              <w:rPr>
                <w:rFonts w:ascii="Arial" w:cs="Arial" w:eastAsia="Arial" w:hAnsi="Arial"/>
                <w:sz w:val="14"/>
                <w:szCs w:val="14"/>
                <w:color w:val="auto"/>
              </w:rPr>
            </w:pPr>
            <w:hyperlink w:anchor="page69">
              <w:r>
                <w:rPr>
                  <w:rFonts w:ascii="Arial" w:cs="Arial" w:eastAsia="Arial" w:hAnsi="Arial"/>
                  <w:sz w:val="14"/>
                  <w:szCs w:val="14"/>
                  <w:color w:val="auto"/>
                </w:rPr>
                <w:t>Certification Pursuant to 18 U.S.C. Section 1350, as Adopted Pursuant to Section 906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38"/>
        </w:trPr>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101.INS</w:t>
            </w:r>
          </w:p>
        </w:tc>
        <w:tc>
          <w:tcPr>
            <w:tcW w:w="8700" w:type="dxa"/>
            <w:vAlign w:val="bottom"/>
          </w:tcPr>
          <w:p>
            <w:pPr>
              <w:ind w:left="60"/>
              <w:spacing w:after="0" w:line="139" w:lineRule="exact"/>
              <w:rPr>
                <w:sz w:val="20"/>
                <w:szCs w:val="20"/>
                <w:color w:val="auto"/>
              </w:rPr>
            </w:pPr>
            <w:r>
              <w:rPr>
                <w:rFonts w:ascii="Arial" w:cs="Arial" w:eastAsia="Arial" w:hAnsi="Arial"/>
                <w:sz w:val="14"/>
                <w:szCs w:val="14"/>
                <w:color w:val="auto"/>
                <w:w w:val="96"/>
              </w:rPr>
              <w:t>XBRL Instance Document - the instance document does not appear in the Interactive Data File because its XBRL tags are embedded within the</w:t>
            </w: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spacing w:after="0"/>
              <w:rPr>
                <w:sz w:val="15"/>
                <w:szCs w:val="15"/>
                <w:color w:val="auto"/>
              </w:rPr>
            </w:pP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document.</w:t>
            </w:r>
          </w:p>
        </w:tc>
        <w:tc>
          <w:tcPr>
            <w:tcW w:w="1340" w:type="dxa"/>
            <w:vAlign w:val="bottom"/>
          </w:tcPr>
          <w:p>
            <w:pPr>
              <w:spacing w:after="0"/>
              <w:rPr>
                <w:sz w:val="15"/>
                <w:szCs w:val="15"/>
                <w:color w:val="auto"/>
              </w:rPr>
            </w:pP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1"/>
              </w:rPr>
              <w:t>101.SCH</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5"/>
              </w:rPr>
              <w:t>101.CAL</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4"/>
              </w:rPr>
              <w:t>101.DEF</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6"/>
              </w:rPr>
              <w:t>101.LAB</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2"/>
              </w:rPr>
              <w:t>101.PRE</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bl>
    <w:p>
      <w:pPr>
        <w:ind w:left="1040" w:right="4880" w:hanging="137"/>
        <w:spacing w:after="0" w:line="297" w:lineRule="auto"/>
        <w:tabs>
          <w:tab w:leader="none" w:pos="1234"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Management contract, compensatory plan or arrangement.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color w:val="auto"/>
              </w:rPr>
              <w:t>FN 2</w:t>
            </w:r>
          </w:p>
        </w:tc>
        <w:tc>
          <w:tcPr>
            <w:tcW w:w="10600" w:type="dxa"/>
            <w:vAlign w:val="bottom"/>
          </w:tcPr>
          <w:p>
            <w:pPr>
              <w:ind w:left="300"/>
              <w:spacing w:after="0"/>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99.1 to our Current Report on Form 8-K filed on May 26,</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2020,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5</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9"/>
              </w:rPr>
              <w:t>This document, filed with the Securities and Exchange Commission in Washington, D.C. (file number 1-07183) as Exhibit 4.1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December 20, 2005,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6</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under Item 14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1994, is incorporated herein by reference. This Exhibit was not filed with the Securities and Exchange Commission in an electronic format.</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7</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under Item 14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1997,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10.10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10.16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2001, is incorporated herein by reference.</w:t>
            </w:r>
          </w:p>
        </w:tc>
      </w:tr>
      <w:tr>
        <w:trPr>
          <w:trHeight w:val="668"/>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Arial" w:cs="Arial" w:eastAsia="Arial" w:hAnsi="Arial"/>
                <w:sz w:val="14"/>
                <w:szCs w:val="14"/>
                <w:color w:val="auto"/>
              </w:rPr>
              <w:t>53</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color w:val="auto"/>
              </w:rPr>
              <w:t>FN 11</w:t>
            </w:r>
          </w:p>
        </w:tc>
        <w:tc>
          <w:tcPr>
            <w:tcW w:w="10600" w:type="dxa"/>
            <w:vAlign w:val="bottom"/>
          </w:tcPr>
          <w:p>
            <w:pPr>
              <w:ind w:left="300"/>
              <w:spacing w:after="0"/>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4.1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4.2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13</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Exhibits 10.21-10.23 to our Annual Report on Form 10-K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year ended December 31, 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14</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10.24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May 24, 2006,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15</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10.28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June 23,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16</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10.25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2009,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17</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10.26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March 31, 2013, for the period ending March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10.27 to our Current Report on Form 8-K filed on June 4,</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8"/>
              </w:rPr>
              <w:t>This document, filed with the Securities and Exchange Commission in Washington, D.C. (file number 1-07183) as Exhibit 10.1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August 8,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10.29 to our Amended Annual Report on Form 10-K/A</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for the year ended December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10.30 to our Current Report on Form 8-K filed on July</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16,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Exhibits 10.31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October 17,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23</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24</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2015,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25</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10.32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October 17,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26</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10.37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27</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10.38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10.41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10.42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10.43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679"/>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Arial" w:cs="Arial" w:eastAsia="Arial" w:hAnsi="Arial"/>
                <w:sz w:val="14"/>
                <w:szCs w:val="14"/>
                <w:color w:val="auto"/>
              </w:rPr>
              <w:t>54</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color w:val="auto"/>
              </w:rPr>
              <w:t>FN 33</w:t>
            </w:r>
          </w:p>
        </w:tc>
        <w:tc>
          <w:tcPr>
            <w:tcW w:w="10620" w:type="dxa"/>
            <w:vAlign w:val="bottom"/>
          </w:tcPr>
          <w:p>
            <w:pPr>
              <w:ind w:left="300"/>
              <w:spacing w:after="0"/>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10.44 to our Annual Report on Form 10-K for the year</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34</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10.45 to our Quarterly Report on Form 10-Q for the</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period ended September 30,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35</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10.46 to our Quarterly Report on Form 10-Q for the</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period ended September 30,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36</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10.33 to our Current Report on Form 8-K filed on</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October 17, 2014,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37</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333-231032) as Exhibit 4.6 to our Registration Statement on Form S-3 filed</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on April 25,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38</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10.47 to our Annual Report on Form 10-K for the year</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ended December 31,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39</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10.48 to our Quarterly Report on Form 10-Q for the</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period ended March 31, 2021, is incorporated herein by reference.</w:t>
            </w:r>
          </w:p>
        </w:tc>
      </w:tr>
      <w:tr>
        <w:trPr>
          <w:trHeight w:val="679"/>
        </w:trPr>
        <w:tc>
          <w:tcPr>
            <w:tcW w:w="660" w:type="dxa"/>
            <w:vAlign w:val="bottom"/>
          </w:tcPr>
          <w:p>
            <w:pPr>
              <w:spacing w:after="0"/>
              <w:rPr>
                <w:sz w:val="24"/>
                <w:szCs w:val="24"/>
                <w:color w:val="auto"/>
              </w:rPr>
            </w:pPr>
          </w:p>
        </w:tc>
        <w:tc>
          <w:tcPr>
            <w:tcW w:w="10620" w:type="dxa"/>
            <w:vAlign w:val="bottom"/>
          </w:tcPr>
          <w:p>
            <w:pPr>
              <w:ind w:left="4920"/>
              <w:spacing w:after="0"/>
              <w:rPr>
                <w:sz w:val="20"/>
                <w:szCs w:val="20"/>
                <w:color w:val="auto"/>
              </w:rPr>
            </w:pPr>
            <w:r>
              <w:rPr>
                <w:rFonts w:ascii="Arial" w:cs="Arial" w:eastAsia="Arial" w:hAnsi="Arial"/>
                <w:sz w:val="14"/>
                <w:szCs w:val="14"/>
                <w:color w:val="auto"/>
              </w:rPr>
              <w:t>55</w:t>
            </w:r>
          </w:p>
        </w:tc>
      </w:tr>
      <w:tr>
        <w:trPr>
          <w:trHeight w:val="87"/>
        </w:trPr>
        <w:tc>
          <w:tcPr>
            <w:tcW w:w="660" w:type="dxa"/>
            <w:vAlign w:val="bottom"/>
            <w:tcBorders>
              <w:bottom w:val="single" w:sz="8" w:color="9A9A9A"/>
            </w:tcBorders>
          </w:tcPr>
          <w:p>
            <w:pPr>
              <w:spacing w:after="0"/>
              <w:rPr>
                <w:sz w:val="7"/>
                <w:szCs w:val="7"/>
                <w:color w:val="auto"/>
              </w:rPr>
            </w:pPr>
          </w:p>
        </w:tc>
        <w:tc>
          <w:tcPr>
            <w:tcW w:w="10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5" w:name="page56"/>
    <w:bookmarkEnd w:id="55"/>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TEJON RANCH CO.</w:t>
            </w:r>
          </w:p>
        </w:tc>
      </w:tr>
      <w:tr>
        <w:trPr>
          <w:trHeight w:val="584"/>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August 5, 2021</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Gregory S. Bielli</w:t>
            </w: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Gregory S. Bielli</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9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August 5, 2021</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Robert D. Velasquez</w:t>
            </w: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Robert D. Velasquez</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Senior Vice President of Finance and Chief Financial Officer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(Principal Financial and Accounting Officer)</w:t>
            </w:r>
          </w:p>
        </w:tc>
      </w:tr>
      <w:tr>
        <w:trPr>
          <w:trHeight w:val="668"/>
        </w:trPr>
        <w:tc>
          <w:tcPr>
            <w:tcW w:w="2960" w:type="dxa"/>
            <w:vAlign w:val="bottom"/>
          </w:tcPr>
          <w:p>
            <w:pPr>
              <w:spacing w:after="0"/>
              <w:rPr>
                <w:sz w:val="24"/>
                <w:szCs w:val="24"/>
                <w:color w:val="auto"/>
              </w:rPr>
            </w:pPr>
          </w:p>
        </w:tc>
        <w:tc>
          <w:tcPr>
            <w:tcW w:w="2860" w:type="dxa"/>
            <w:vAlign w:val="bottom"/>
            <w:gridSpan w:val="2"/>
          </w:tcPr>
          <w:p>
            <w:pPr>
              <w:jc w:val="right"/>
              <w:ind w:right="29"/>
              <w:spacing w:after="0"/>
              <w:rPr>
                <w:sz w:val="20"/>
                <w:szCs w:val="20"/>
                <w:color w:val="auto"/>
              </w:rPr>
            </w:pPr>
            <w:r>
              <w:rPr>
                <w:rFonts w:ascii="Arial" w:cs="Arial" w:eastAsia="Arial" w:hAnsi="Arial"/>
                <w:sz w:val="14"/>
                <w:szCs w:val="14"/>
                <w:color w:val="auto"/>
              </w:rPr>
              <w:t>56</w:t>
            </w:r>
          </w:p>
        </w:tc>
        <w:tc>
          <w:tcPr>
            <w:tcW w:w="5440" w:type="dxa"/>
            <w:vAlign w:val="bottom"/>
          </w:tcPr>
          <w:p>
            <w:pPr>
              <w:spacing w:after="0"/>
              <w:rPr>
                <w:sz w:val="24"/>
                <w:szCs w:val="24"/>
                <w:color w:val="auto"/>
              </w:rPr>
            </w:pPr>
          </w:p>
        </w:tc>
      </w:tr>
    </w:tbl>
    <w:p>
      <w:pPr>
        <w:sectPr>
          <w:pgSz w:w="11900" w:h="16838" w:orient="portrait"/>
          <w:cols w:equalWidth="0" w:num="1">
            <w:col w:w="11260"/>
          </w:cols>
          <w:pgMar w:left="300" w:top="730" w:right="339" w:bottom="1440"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80" w:hanging="260"/>
        <w:spacing w:after="0" w:line="321" w:lineRule="auto"/>
        <w:tabs>
          <w:tab w:leader="none" w:pos="512"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12"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40" w:type="dxa"/>
            <w:vAlign w:val="bottom"/>
          </w:tcPr>
          <w:p>
            <w:pPr>
              <w:spacing w:after="0"/>
              <w:rPr>
                <w:sz w:val="20"/>
                <w:szCs w:val="20"/>
                <w:color w:val="auto"/>
              </w:rPr>
            </w:pPr>
            <w:r>
              <w:rPr>
                <w:rFonts w:ascii="Arial" w:cs="Arial" w:eastAsia="Arial" w:hAnsi="Arial"/>
                <w:sz w:val="14"/>
                <w:szCs w:val="14"/>
                <w:color w:val="auto"/>
              </w:rPr>
              <w:t>Dated:</w:t>
            </w:r>
          </w:p>
        </w:tc>
        <w:tc>
          <w:tcPr>
            <w:tcW w:w="5420" w:type="dxa"/>
            <w:vAlign w:val="bottom"/>
          </w:tcPr>
          <w:p>
            <w:pPr>
              <w:ind w:left="180"/>
              <w:spacing w:after="0"/>
              <w:rPr>
                <w:sz w:val="20"/>
                <w:szCs w:val="20"/>
                <w:color w:val="auto"/>
              </w:rPr>
            </w:pPr>
            <w:r>
              <w:rPr>
                <w:rFonts w:ascii="Arial" w:cs="Arial" w:eastAsia="Arial" w:hAnsi="Arial"/>
                <w:sz w:val="14"/>
                <w:szCs w:val="14"/>
                <w:color w:val="auto"/>
              </w:rPr>
              <w:t>August 5,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Gregory S. Bielli</w:t>
            </w:r>
          </w:p>
        </w:tc>
      </w:tr>
      <w:tr>
        <w:trPr>
          <w:trHeight w:val="171"/>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Arial" w:cs="Arial" w:eastAsia="Arial" w:hAnsi="Arial"/>
                <w:sz w:val="14"/>
                <w:szCs w:val="14"/>
                <w:color w:val="auto"/>
              </w:rPr>
              <w:t>Gregory S. Bielli</w:t>
            </w:r>
          </w:p>
        </w:tc>
      </w:tr>
      <w:tr>
        <w:trPr>
          <w:trHeight w:val="180"/>
        </w:trPr>
        <w:tc>
          <w:tcPr>
            <w:tcW w:w="5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280" w:type="dxa"/>
            <w:vAlign w:val="bottom"/>
          </w:tcPr>
          <w:p>
            <w:pPr>
              <w:ind w:left="88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730" w:right="3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80" w:hanging="260"/>
        <w:spacing w:after="0" w:line="321" w:lineRule="auto"/>
        <w:tabs>
          <w:tab w:leader="none" w:pos="512"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12"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40" w:type="dxa"/>
            <w:vAlign w:val="bottom"/>
          </w:tcPr>
          <w:p>
            <w:pPr>
              <w:spacing w:after="0"/>
              <w:rPr>
                <w:sz w:val="20"/>
                <w:szCs w:val="20"/>
                <w:color w:val="auto"/>
              </w:rPr>
            </w:pPr>
            <w:r>
              <w:rPr>
                <w:rFonts w:ascii="Arial" w:cs="Arial" w:eastAsia="Arial" w:hAnsi="Arial"/>
                <w:sz w:val="14"/>
                <w:szCs w:val="14"/>
                <w:color w:val="auto"/>
              </w:rPr>
              <w:t>Dated:</w:t>
            </w:r>
          </w:p>
        </w:tc>
        <w:tc>
          <w:tcPr>
            <w:tcW w:w="3720" w:type="dxa"/>
            <w:vAlign w:val="bottom"/>
          </w:tcPr>
          <w:p>
            <w:pPr>
              <w:ind w:left="180"/>
              <w:spacing w:after="0"/>
              <w:rPr>
                <w:sz w:val="20"/>
                <w:szCs w:val="20"/>
                <w:color w:val="auto"/>
              </w:rPr>
            </w:pPr>
            <w:r>
              <w:rPr>
                <w:rFonts w:ascii="Arial" w:cs="Arial" w:eastAsia="Arial" w:hAnsi="Arial"/>
                <w:sz w:val="14"/>
                <w:szCs w:val="14"/>
                <w:color w:val="auto"/>
              </w:rPr>
              <w:t>August 5, 2021</w:t>
            </w:r>
          </w:p>
        </w:tc>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D. Velasquez</w:t>
            </w:r>
          </w:p>
        </w:tc>
      </w:tr>
      <w:tr>
        <w:trPr>
          <w:trHeight w:val="171"/>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980" w:type="dxa"/>
            <w:vAlign w:val="bottom"/>
          </w:tcPr>
          <w:p>
            <w:pPr>
              <w:ind w:left="880"/>
              <w:spacing w:after="0"/>
              <w:rPr>
                <w:sz w:val="20"/>
                <w:szCs w:val="20"/>
                <w:color w:val="auto"/>
              </w:rPr>
            </w:pPr>
            <w:r>
              <w:rPr>
                <w:rFonts w:ascii="Arial" w:cs="Arial" w:eastAsia="Arial" w:hAnsi="Arial"/>
                <w:sz w:val="14"/>
                <w:szCs w:val="14"/>
                <w:color w:val="auto"/>
              </w:rPr>
              <w:t>Robert D. Velasquez</w:t>
            </w:r>
          </w:p>
        </w:tc>
      </w:tr>
      <w:tr>
        <w:trPr>
          <w:trHeight w:val="180"/>
        </w:trPr>
        <w:tc>
          <w:tcPr>
            <w:tcW w:w="5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980" w:type="dxa"/>
            <w:vAlign w:val="bottom"/>
          </w:tcPr>
          <w:p>
            <w:pPr>
              <w:ind w:left="880"/>
              <w:spacing w:after="0"/>
              <w:rPr>
                <w:sz w:val="20"/>
                <w:szCs w:val="20"/>
                <w:color w:val="auto"/>
              </w:rPr>
            </w:pPr>
            <w:r>
              <w:rPr>
                <w:rFonts w:ascii="Arial" w:cs="Arial" w:eastAsia="Arial" w:hAnsi="Arial"/>
                <w:sz w:val="14"/>
                <w:szCs w:val="14"/>
                <w:color w:val="auto"/>
              </w:rPr>
              <w:t>Senior Vice President of Finance and Chief Financial Officer</w:t>
            </w:r>
          </w:p>
        </w:tc>
      </w:tr>
    </w:tbl>
    <w:p>
      <w:pPr>
        <w:sectPr>
          <w:pgSz w:w="11900" w:h="16838" w:orient="portrait"/>
          <w:cols w:equalWidth="0" w:num="1">
            <w:col w:w="11280"/>
          </w:cols>
          <w:pgMar w:left="300" w:top="729" w:right="319" w:bottom="1440" w:gutter="0" w:footer="0" w:header="0"/>
        </w:sectPr>
      </w:pPr>
    </w:p>
    <w:bookmarkStart w:id="68" w:name="page69"/>
    <w:bookmarkEnd w:id="68"/>
    <w:p>
      <w:pPr>
        <w:ind w:left="5260"/>
        <w:spacing w:after="0"/>
        <w:rPr>
          <w:sz w:val="20"/>
          <w:szCs w:val="20"/>
          <w:color w:val="auto"/>
        </w:rPr>
      </w:pPr>
      <w:r>
        <w:rPr>
          <w:rFonts w:ascii="Arial" w:cs="Arial" w:eastAsia="Arial" w:hAnsi="Arial"/>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Each of the undersigned hereby certifies, in his capacity as an officer of Tejon Ranch Co. (the “Company”), for purposes of 18 U.S.C. Section 1350, as adopted pursuant to Section 906 of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Sarbanes-Oxley Act of 2002, that to his own knowledge:</w:t>
      </w:r>
    </w:p>
    <w:p>
      <w:pPr>
        <w:spacing w:after="0" w:line="189"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June 30, 2021 fully complies with the requirements of Section 13(a) of the Securities Exchange Act of 1934; and</w:t>
      </w:r>
    </w:p>
    <w:p>
      <w:pPr>
        <w:spacing w:after="0" w:line="42" w:lineRule="exact"/>
        <w:rPr>
          <w:rFonts w:ascii="Arial" w:cs="Arial" w:eastAsia="Arial" w:hAnsi="Arial"/>
          <w:sz w:val="12"/>
          <w:szCs w:val="12"/>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information contained in such report fairly presents, in all material respects, the financial condition and results of operation of the Company.</w:t>
      </w:r>
    </w:p>
    <w:p>
      <w:pPr>
        <w:spacing w:after="0" w:line="126"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17" w:lineRule="exact"/>
        <w:rPr>
          <w:sz w:val="20"/>
          <w:szCs w:val="20"/>
          <w:color w:val="auto"/>
        </w:rPr>
      </w:pPr>
    </w:p>
    <w:p>
      <w:pPr>
        <w:ind w:left="20"/>
        <w:spacing w:after="0"/>
        <w:tabs>
          <w:tab w:leader="none" w:pos="33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August 5, 2021</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28498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S. Bielli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2849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D. Velasquez</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Vice President of Finance and Chief Financial Officer</w:t>
      </w:r>
    </w:p>
    <w:sectPr>
      <w:pgSz w:w="11900" w:h="16838" w:orient="portrait"/>
      <w:cols w:equalWidth="0" w:num="1">
        <w:col w:w="11120"/>
      </w:cols>
      <w:pgMar w:left="300" w:top="7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2"/>
      <w:numFmt w:val="bullet"/>
      <w:start w:val="1"/>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decimal"/>
      <w:start w:val="4"/>
    </w:lvl>
  </w:abstractNum>
  <w:abstractNum w:abstractNumId="5">
    <w:nsid w:val="2443A858"/>
    <w:multiLevelType w:val="hybridMultilevel"/>
    <w:lvl w:ilvl="0">
      <w:lvlJc w:val="left"/>
      <w:lvlText w:val="%1."/>
      <w:numFmt w:val="decimal"/>
      <w:start w:val="5"/>
    </w:lvl>
  </w:abstractNum>
  <w:abstractNum w:abstractNumId="6">
    <w:nsid w:val="2D1D5AE9"/>
    <w:multiLevelType w:val="hybridMultilevel"/>
    <w:lvl w:ilvl="0">
      <w:lvlJc w:val="left"/>
      <w:lvlText w:val="%1."/>
      <w:numFmt w:val="decimal"/>
      <w:start w:val="8"/>
    </w:lvl>
  </w:abstractNum>
  <w:abstractNum w:abstractNumId="7">
    <w:nsid w:val="6763845E"/>
    <w:multiLevelType w:val="hybridMultilevel"/>
    <w:lvl w:ilvl="0">
      <w:lvlJc w:val="left"/>
      <w:lvlText w:val="%1."/>
      <w:numFmt w:val="decimal"/>
      <w:start w:val="9"/>
    </w:lvl>
  </w:abstractNum>
  <w:abstractNum w:abstractNumId="8">
    <w:nsid w:val="75A2A8D4"/>
    <w:multiLevelType w:val="hybridMultilevel"/>
    <w:lvl w:ilvl="0">
      <w:lvlJc w:val="left"/>
      <w:lvlText w:val="%1."/>
      <w:numFmt w:val="decimal"/>
      <w:start w:val="10"/>
    </w:lvl>
  </w:abstractNum>
  <w:abstractNum w:abstractNumId="9">
    <w:nsid w:val="8EDBDAB"/>
    <w:multiLevelType w:val="hybridMultilevel"/>
    <w:lvl w:ilvl="0">
      <w:lvlJc w:val="left"/>
      <w:lvlText w:val="%1."/>
      <w:numFmt w:val="decimal"/>
      <w:start w:val="11"/>
    </w:lvl>
  </w:abstractNum>
  <w:abstractNum w:abstractNumId="10">
    <w:nsid w:val="79838CB2"/>
    <w:multiLevelType w:val="hybridMultilevel"/>
    <w:lvl w:ilvl="0">
      <w:lvlJc w:val="left"/>
      <w:lvlText w:val="%1."/>
      <w:numFmt w:val="decimal"/>
      <w:start w:val="12"/>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5"/>
    </w:lvl>
    <w:lvl w:ilvl="1">
      <w:lvlJc w:val="left"/>
      <w:lvlText w:val="***"/>
      <w:numFmt w:val="bullet"/>
      <w:start w:val="1"/>
    </w:lvl>
  </w:abstractNum>
  <w:abstractNum w:abstractNumId="16">
    <w:nsid w:val="2CA88611"/>
    <w:multiLevelType w:val="hybridMultilevel"/>
    <w:lvl w:ilvl="0">
      <w:lvlJc w:val="left"/>
      <w:lvlText w:val="•"/>
      <w:numFmt w:val="bullet"/>
      <w:start w:val="1"/>
    </w:lvl>
    <w:lvl w:ilvl="1">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lvl w:ilvl="1">
      <w:lvlJc w:val="left"/>
      <w:lvlText w:val="1"/>
      <w:numFmt w:val="bullet"/>
      <w:start w:val="1"/>
    </w:lvl>
  </w:abstractNum>
  <w:abstractNum w:abstractNumId="28">
    <w:nsid w:val="614FD4A1"/>
    <w:multiLevelType w:val="hybridMultilevel"/>
    <w:lvl w:ilvl="0">
      <w:lvlJc w:val="left"/>
      <w:lvlText w:val="•"/>
      <w:numFmt w:val="bullet"/>
      <w:start w:val="1"/>
    </w:lvl>
    <w:lvl w:ilvl="1">
      <w:lvlJc w:val="left"/>
      <w:lvlText w:val="1"/>
      <w:numFmt w:val="bullet"/>
      <w:start w:val="1"/>
    </w:lvl>
  </w:abstractNum>
  <w:abstractNum w:abstractNumId="29">
    <w:nsid w:val="419AC241"/>
    <w:multiLevelType w:val="hybridMultilevel"/>
    <w:lvl w:ilvl="0">
      <w:lvlJc w:val="left"/>
      <w:lvlText w:val="•"/>
      <w:numFmt w:val="bullet"/>
      <w:start w:val="1"/>
    </w:lvl>
    <w:lvl w:ilvl="1">
      <w:lvlJc w:val="left"/>
      <w:lvlText w:val="•"/>
      <w:numFmt w:val="bullet"/>
      <w:start w:val="1"/>
    </w:lvl>
  </w:abstractNum>
  <w:abstractNum w:abstractNumId="30">
    <w:nsid w:val="5577F8E1"/>
    <w:multiLevelType w:val="hybridMultilevel"/>
    <w:lvl w:ilvl="0">
      <w:lvlJc w:val="left"/>
      <w:lvlText w:val="•"/>
      <w:numFmt w:val="bullet"/>
      <w:start w:val="1"/>
    </w:lvl>
    <w:lvl w:ilvl="1">
      <w:lvlJc w:val="left"/>
      <w:lvlText w:val="•"/>
      <w:numFmt w:val="bullet"/>
      <w:start w:val="1"/>
    </w:lvl>
  </w:abstractNum>
  <w:abstractNum w:abstractNumId="31">
    <w:nsid w:val="440BADFC"/>
    <w:multiLevelType w:val="hybridMultilevel"/>
    <w:lvl w:ilvl="0">
      <w:lvlJc w:val="left"/>
      <w:lvlText w:val="1"/>
      <w:numFmt w:val="bullet"/>
      <w:start w:val="1"/>
    </w:lvl>
  </w:abstractNum>
  <w:abstractNum w:abstractNumId="32">
    <w:nsid w:val="5072367"/>
    <w:multiLevelType w:val="hybridMultilevel"/>
    <w:lvl w:ilvl="0">
      <w:lvlJc w:val="left"/>
      <w:lvlText w:val="2"/>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77" Type="http://schemas.openxmlformats.org/officeDocument/2006/relationships/hyperlink" Target="http://www.sec.gov/Archives/edgar/data/96869/000119312520151616/d937443dex991.htm" TargetMode="External"/><Relationship Id="rId78" Type="http://schemas.openxmlformats.org/officeDocument/2006/relationships/hyperlink" Target="http://www.sec.gov/Archives/edgar/data/96869/000119312505245123/dex41.htm" TargetMode="External"/><Relationship Id="rId79" Type="http://schemas.openxmlformats.org/officeDocument/2006/relationships/hyperlink" Target="http://www.sec.gov/Archives/edgar/data/96869/000119312519119877/d718363dex46.htm" TargetMode="External"/><Relationship Id="rId80" Type="http://schemas.openxmlformats.org/officeDocument/2006/relationships/hyperlink" Target="http://www.sec.gov/Archives/edgar/data/96869/0000096869-98-000002.txt" TargetMode="External"/><Relationship Id="rId81" Type="http://schemas.openxmlformats.org/officeDocument/2006/relationships/hyperlink" Target="http://www.sec.gov/Archives/edgar/data/96869/000119312509042772/dex109.htm" TargetMode="External"/><Relationship Id="rId82" Type="http://schemas.openxmlformats.org/officeDocument/2006/relationships/hyperlink" Target="http://www.sec.gov/Archives/edgar/data/96869/000119312509042772/dex1010.htm" TargetMode="External"/><Relationship Id="rId83" Type="http://schemas.openxmlformats.org/officeDocument/2006/relationships/hyperlink" Target="http://www.sec.gov/Archives/edgar/data/96869/000102140802004535/dex1016.txt" TargetMode="External"/><Relationship Id="rId84" Type="http://schemas.openxmlformats.org/officeDocument/2006/relationships/hyperlink" Target="http://www.sec.gov/Archives/edgar/data/96869/000119312504082310/dex41.htm" TargetMode="External"/><Relationship Id="rId85" Type="http://schemas.openxmlformats.org/officeDocument/2006/relationships/hyperlink" Target="http://www.sec.gov/Archives/edgar/data/96869/000119312504082310/dex42.htm" TargetMode="External"/><Relationship Id="rId86" Type="http://schemas.openxmlformats.org/officeDocument/2006/relationships/hyperlink" Target="http://www.sec.gov/Archives/edgar/data/96869/000119312505051499/dex1021.htm" TargetMode="External"/><Relationship Id="rId87" Type="http://schemas.openxmlformats.org/officeDocument/2006/relationships/hyperlink" Target="http://www.sec.gov/Archives/edgar/data/96869/000119312505051499/dex1023.htm" TargetMode="External"/><Relationship Id="rId88" Type="http://schemas.openxmlformats.org/officeDocument/2006/relationships/hyperlink" Target="http://www.sec.gov/Archives/edgar/data/96869/000119312505051499/dex1022.htm" TargetMode="External"/><Relationship Id="rId89" Type="http://schemas.openxmlformats.org/officeDocument/2006/relationships/hyperlink" Target="http://www.sec.gov/Archives/edgar/data/96869/000119312506118520/dex1024.htm" TargetMode="External"/><Relationship Id="rId90" Type="http://schemas.openxmlformats.org/officeDocument/2006/relationships/hyperlink" Target="http://www.sec.gov/Archives/edgar/data/96869/000119312508138009/dex1028.htm" TargetMode="External"/><Relationship Id="rId91" Type="http://schemas.openxmlformats.org/officeDocument/2006/relationships/hyperlink" Target="http://www.sec.gov/Archives/edgar/data/96869/000119312509170594/dex1025.htm" TargetMode="External"/><Relationship Id="rId92" Type="http://schemas.openxmlformats.org/officeDocument/2006/relationships/hyperlink" Target="http://www.sec.gov/Archives/edgar/data/96869/000144530513001209/exhibit1026-execagreementa.htm" TargetMode="External"/><Relationship Id="rId93" Type="http://schemas.openxmlformats.org/officeDocument/2006/relationships/hyperlink" Target="http://www.sec.gov/Archives/edgar/data/96869/000119312513246605/d549609dex1027.htm" TargetMode="External"/><Relationship Id="rId94" Type="http://schemas.openxmlformats.org/officeDocument/2006/relationships/hyperlink" Target="http://www.sec.gov/Archives/edgar/data/96869/000119312513326495/d581835dex101.htm" TargetMode="External"/><Relationship Id="rId95" Type="http://schemas.openxmlformats.org/officeDocument/2006/relationships/hyperlink" Target="http://www.sec.gov/Archives/edgar/data/96869/000009686914000009/exhibit1029tmvamendments20.htm" TargetMode="External"/><Relationship Id="rId96" Type="http://schemas.openxmlformats.org/officeDocument/2006/relationships/hyperlink" Target="http://www.sec.gov/Archives/edgar/data/96869/000119312514270067/d758856dex1030.htm" TargetMode="External"/><Relationship Id="rId97" Type="http://schemas.openxmlformats.org/officeDocument/2006/relationships/hyperlink" Target="http://www.sec.gov/Archives/edgar/data/96869/000119312514375013/d806135dex1031.htm" TargetMode="External"/><Relationship Id="rId98" Type="http://schemas.openxmlformats.org/officeDocument/2006/relationships/hyperlink" Target="http://www.sec.gov/Archives/edgar/data/96869/000119312514375013/d806135dex1032.htm" TargetMode="External"/><Relationship Id="rId101" Type="http://schemas.openxmlformats.org/officeDocument/2006/relationships/hyperlink" Target="http://www.sec.gov/Archives/edgar/data/96869/000119312514375013/d806135dex1033.htm" TargetMode="External"/><Relationship Id="rId102" Type="http://schemas.openxmlformats.org/officeDocument/2006/relationships/hyperlink" Target="http://www.sec.gov/Archives/edgar/data/96869/000009686915000003/exhibit1034calpineagreemen.htm" TargetMode="External"/><Relationship Id="rId103" Type="http://schemas.openxmlformats.org/officeDocument/2006/relationships/hyperlink" Target="http://www.sec.gov/Archives/edgar/data/96869/000009686915000010/ex1035q32015.htm" TargetMode="External"/><Relationship Id="rId104" Type="http://schemas.openxmlformats.org/officeDocument/2006/relationships/hyperlink" Target="http://www.sec.gov/Archives/edgar/data/96869/000009686916000017/ex1037limitedliabilityagre.htm" TargetMode="External"/><Relationship Id="rId105" Type="http://schemas.openxmlformats.org/officeDocument/2006/relationships/hyperlink" Target="http://www.sec.gov/Archives/edgar/data/96869/000009686916000019/ex1038llagreementoftrc-mrc1.htm" TargetMode="External"/><Relationship Id="rId106" Type="http://schemas.openxmlformats.org/officeDocument/2006/relationships/hyperlink" Target="http://www.sec.gov/Archives/edgar/data/96869/000009686917000002/exhibit1039centennialredem.htm" TargetMode="External"/><Relationship Id="rId107" Type="http://schemas.openxmlformats.org/officeDocument/2006/relationships/hyperlink" Target="http://www.sec.gov/Archives/edgar/data/96869/000009686917000002/exhibit1040firstamendmentt.htm" TargetMode="External"/><Relationship Id="rId108" Type="http://schemas.openxmlformats.org/officeDocument/2006/relationships/hyperlink" Target="http://www.sec.gov/Archives/edgar/data/96869/000009686917000002/exhibit1041secondamendment.htm" TargetMode="External"/><Relationship Id="rId109" Type="http://schemas.openxmlformats.org/officeDocument/2006/relationships/hyperlink" Target="http://www.sec.gov/Archives/edgar/data/96869/000009686918000015/ex1042trcmrc3llc.htm" TargetMode="External"/><Relationship Id="rId110" Type="http://schemas.openxmlformats.org/officeDocument/2006/relationships/hyperlink" Target="http://www.sec.gov/Archives/edgar/data/96869/000009686919000004/exhibit1043201810k.htm" TargetMode="External"/><Relationship Id="rId111" Type="http://schemas.openxmlformats.org/officeDocument/2006/relationships/hyperlink" Target="http://www.sec.gov/Archives/edgar/data/96869/000009686919000004/exhibit1044201810k.htm" TargetMode="External"/><Relationship Id="rId112" Type="http://schemas.openxmlformats.org/officeDocument/2006/relationships/hyperlink" Target="http://www.sec.gov/Archives/edgar/data/96869/000009686919000014/ex1046aloc.htm" TargetMode="External"/><Relationship Id="rId113" Type="http://schemas.openxmlformats.org/officeDocument/2006/relationships/hyperlink" Target="http://www.sec.gov/Archives/edgar/data/96869/000009686919000014/ex1045atn.htm" TargetMode="External"/><Relationship Id="rId114" Type="http://schemas.openxmlformats.org/officeDocument/2006/relationships/hyperlink" Target="http://www.sec.gov/Archives/edgar/data/96869/000009686920000007/exhibit1047-gregbseverance.htm" TargetMode="External"/><Relationship Id="rId115" Type="http://schemas.openxmlformats.org/officeDocument/2006/relationships/hyperlink" Target="http://www.sec.gov/Archives/edgar/data/96869/000009686921000011/ex1048mrc4ll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2021-08-05T12:02:00Z</dcterms:created>
  <dcterms:modified xsi:type="dcterms:W3CDTF">2021-08-05T12:02:00Z</dcterms:modified>
</cp:coreProperties>
</file>