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199" w:lineRule="exact"/>
        <w:rPr>
          <w:sz w:val="24"/>
          <w:szCs w:val="24"/>
          <w:color w:val="auto"/>
        </w:rPr>
      </w:pPr>
    </w:p>
    <w:p>
      <w:pPr>
        <w:jc w:val="center"/>
        <w:ind w:left="4240" w:right="2280" w:hanging="1908"/>
        <w:spacing w:after="0" w:line="284" w:lineRule="auto"/>
        <w:tabs>
          <w:tab w:leader="none" w:pos="247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September 30, 2024</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2" w:lineRule="exact"/>
        <w:rPr>
          <w:sz w:val="24"/>
          <w:szCs w:val="24"/>
          <w:color w:val="auto"/>
        </w:rPr>
      </w:pPr>
    </w:p>
    <w:p>
      <w:pPr>
        <w:ind w:left="2480" w:hanging="152"/>
        <w:spacing w:after="0"/>
        <w:tabs>
          <w:tab w:leader="none" w:pos="2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85090</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TEJON RANCH CO.</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77-0196136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4436 Lebec Road, P.O. Box 1000, Lebec, California 93243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(661) 248-3000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r>
      <w:tr>
        <w:trPr>
          <w:trHeight w:val="276"/>
        </w:trPr>
        <w:tc>
          <w:tcPr>
            <w:tcW w:w="342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3420" w:type="dxa"/>
            <w:vAlign w:val="bottom"/>
            <w:tcBorders>
              <w:top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81" w:lineRule="exact"/>
        <w:rPr>
          <w:sz w:val="24"/>
          <w:szCs w:val="24"/>
          <w:color w:val="auto"/>
        </w:rPr>
      </w:pPr>
    </w:p>
    <w:p>
      <w:pPr>
        <w:jc w:val="both"/>
        <w:ind w:left="20" w:right="60"/>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4" w:lineRule="exact"/>
        <w:rPr>
          <w:sz w:val="24"/>
          <w:szCs w:val="24"/>
          <w:color w:val="auto"/>
        </w:rPr>
      </w:pPr>
    </w:p>
    <w:p>
      <w:pPr>
        <w:ind w:left="20" w:right="120"/>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5" w:lineRule="exact"/>
        <w:rPr>
          <w:sz w:val="24"/>
          <w:szCs w:val="24"/>
          <w:color w:val="auto"/>
        </w:rPr>
      </w:pPr>
    </w:p>
    <w:p>
      <w:pPr>
        <w:ind w:left="2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1" w:right="359" w:bottom="1440" w:gutter="0" w:footer="0" w:header="0"/>
        </w:sectPr>
      </w:pPr>
    </w:p>
    <w:p>
      <w:pPr>
        <w:spacing w:after="0" w:line="92" w:lineRule="exact"/>
        <w:rPr>
          <w:sz w:val="24"/>
          <w:szCs w:val="24"/>
          <w:color w:val="auto"/>
        </w:rPr>
      </w:pPr>
    </w:p>
    <w:p>
      <w:pPr>
        <w:ind w:left="24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76" w:lineRule="exact"/>
        <w:rPr>
          <w:sz w:val="24"/>
          <w:szCs w:val="24"/>
          <w:color w:val="auto"/>
        </w:rPr>
      </w:pPr>
    </w:p>
    <w:p>
      <w:pPr>
        <w:sectPr>
          <w:pgSz w:w="11900" w:h="16838" w:orient="portrait"/>
          <w:cols w:equalWidth="0" w:num="2">
            <w:col w:w="4800" w:space="720"/>
            <w:col w:w="5720"/>
          </w:cols>
          <w:pgMar w:left="300" w:top="781" w:right="359" w:bottom="1440" w:gutter="0" w:footer="0" w:header="0"/>
          <w:type w:val="continuous"/>
        </w:sectPr>
      </w:pPr>
    </w:p>
    <w:p>
      <w:pPr>
        <w:ind w:left="2460"/>
        <w:spacing w:after="0" w:line="150"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80" w:lineRule="exact"/>
        <w:rPr>
          <w:sz w:val="24"/>
          <w:szCs w:val="24"/>
          <w:color w:val="auto"/>
        </w:rPr>
      </w:pPr>
    </w:p>
    <w:p>
      <w:pPr>
        <w:sectPr>
          <w:pgSz w:w="11900" w:h="16838" w:orient="portrait"/>
          <w:cols w:equalWidth="0" w:num="2">
            <w:col w:w="4260" w:space="720"/>
            <w:col w:w="6260"/>
          </w:cols>
          <w:pgMar w:left="300" w:top="781" w:right="359" w:bottom="1440" w:gutter="0" w:footer="0" w:header="0"/>
          <w:type w:val="continuous"/>
        </w:sectPr>
      </w:pPr>
    </w:p>
    <w:p>
      <w:pPr>
        <w:jc w:val="center"/>
        <w:ind w:right="-239"/>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240"/>
          </w:cols>
          <w:pgMar w:left="300" w:top="781" w:right="359" w:bottom="1440" w:gutter="0" w:footer="0" w:header="0"/>
          <w:type w:val="continuous"/>
        </w:sectPr>
      </w:pPr>
    </w:p>
    <w:p>
      <w:pPr>
        <w:spacing w:after="0" w:line="159" w:lineRule="exact"/>
        <w:rPr>
          <w:sz w:val="24"/>
          <w:szCs w:val="24"/>
          <w:color w:val="auto"/>
        </w:rPr>
      </w:pPr>
    </w:p>
    <w:p>
      <w:pPr>
        <w:ind w:left="20" w:right="18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6"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the Company’s outstanding shares of Common Stock on October 31, 2024 was 26,822,768.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1"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PART I.</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FINANCIAL INFORMATION</w:t>
            </w: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Consolidated Balance Sheets as of September 30, 2024 (unaudited) and December 31,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Operations for the Three and Nine Months Ended September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Comprehensive (Loss) Income for the Three and Nine Months Ended September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Cash Flows for the Nine Months Ended September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Changes in Equity for the Three and Nine Months Ended September 30, 2024 and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 II.</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4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0" w:type="dxa"/>
            <w:vAlign w:val="bottom"/>
          </w:tcPr>
          <w:p>
            <w:pPr>
              <w:spacing w:after="0"/>
              <w:rPr>
                <w:sz w:val="1"/>
                <w:szCs w:val="1"/>
                <w:color w:val="auto"/>
              </w:rPr>
            </w:pPr>
          </w:p>
        </w:tc>
      </w:tr>
      <w:tr>
        <w:trPr>
          <w:trHeight w:val="679"/>
        </w:trPr>
        <w:tc>
          <w:tcPr>
            <w:tcW w:w="920" w:type="dxa"/>
            <w:vAlign w:val="bottom"/>
          </w:tcPr>
          <w:p>
            <w:pPr>
              <w:spacing w:after="0"/>
              <w:rPr>
                <w:sz w:val="24"/>
                <w:szCs w:val="24"/>
                <w:color w:val="auto"/>
              </w:rPr>
            </w:pPr>
          </w:p>
        </w:tc>
        <w:tc>
          <w:tcPr>
            <w:tcW w:w="9420" w:type="dxa"/>
            <w:vAlign w:val="bottom"/>
          </w:tcPr>
          <w:p>
            <w:pPr>
              <w:ind w:left="468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9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006EBF"/>
        </w:rPr>
        <w:t>Glossary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following initialisms or acronyms may be used in this document and shall be defined as set forth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AKIP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Advance Kern Incentive Program</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AVEK</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Antelope Valley East Kern Water Agency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Centennial Founders, LLC</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CBD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Center for Biological Diversity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CEQA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Environmental Quality Act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Community Facilities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CNPS</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Native Plant Society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EIR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Environmental Impact Report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FTZ</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Foreign Trade Zone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Generally Accepted Accounting Principles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MV</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Mountain Village at Tejon Ranch</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Operating Income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PEF</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Pastoria Energy Facility, LLC</w:t>
            </w: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RCL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Revolving Credit Line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RWA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Conservation and Land Use Agreement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State Water Project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TCWD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Tejon-Castac Water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Commerce Center</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TRPFFA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Public Facilities Financing Authority</w:t>
            </w:r>
          </w:p>
        </w:tc>
      </w:tr>
      <w:tr>
        <w:trPr>
          <w:trHeight w:val="184"/>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WRMWSD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Wheeler Ridge Maricopa Water Storage District</w:t>
            </w:r>
          </w:p>
        </w:tc>
      </w:tr>
      <w:tr>
        <w:trPr>
          <w:trHeight w:val="859"/>
        </w:trPr>
        <w:tc>
          <w:tcPr>
            <w:tcW w:w="1500" w:type="dxa"/>
            <w:vAlign w:val="bottom"/>
          </w:tcPr>
          <w:p>
            <w:pPr>
              <w:spacing w:after="0"/>
              <w:rPr>
                <w:sz w:val="24"/>
                <w:szCs w:val="24"/>
                <w:color w:val="auto"/>
              </w:rPr>
            </w:pPr>
          </w:p>
        </w:tc>
        <w:tc>
          <w:tcPr>
            <w:tcW w:w="9780" w:type="dxa"/>
            <w:vAlign w:val="bottom"/>
          </w:tcPr>
          <w:p>
            <w:pPr>
              <w:ind w:left="410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1500" w:type="dxa"/>
            <w:vAlign w:val="bottom"/>
            <w:tcBorders>
              <w:bottom w:val="single" w:sz="8" w:color="9A9A9A"/>
            </w:tcBorders>
          </w:tcPr>
          <w:p>
            <w:pPr>
              <w:spacing w:after="0"/>
              <w:rPr>
                <w:sz w:val="7"/>
                <w:szCs w:val="7"/>
                <w:color w:val="auto"/>
              </w:rPr>
            </w:pPr>
          </w:p>
        </w:tc>
        <w:tc>
          <w:tcPr>
            <w:tcW w:w="9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September 30, 2024</w:t>
            </w: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84"/>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Pr>
          <w:p>
            <w:pPr>
              <w:spacing w:after="0"/>
              <w:rPr>
                <w:sz w:val="16"/>
                <w:szCs w:val="16"/>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31,907</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Marketable securities - available-for-sale</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32,556</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8,352</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79,810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w:t>
            </w:r>
          </w:p>
        </w:tc>
        <w:tc>
          <w:tcPr>
            <w:tcW w:w="0" w:type="dxa"/>
            <w:vAlign w:val="bottom"/>
          </w:tcPr>
          <w:p>
            <w:pPr>
              <w:spacing w:after="0"/>
              <w:rPr>
                <w:sz w:val="1"/>
                <w:szCs w:val="1"/>
                <w:color w:val="auto"/>
              </w:rPr>
            </w:pPr>
          </w:p>
        </w:tc>
      </w:tr>
      <w:tr>
        <w:trPr>
          <w:trHeight w:val="144"/>
        </w:trPr>
        <w:tc>
          <w:tcPr>
            <w:tcW w:w="73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Real estate development (includes $123,302 at September 30, 2024 and $119,788 at December 31, 2023, attributable to CFL</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14))</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337,257</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53,985</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joint ventures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33,648</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water assets</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52,130</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598,037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577,523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7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EQUITY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w:t>
            </w:r>
          </w:p>
        </w:tc>
        <w:tc>
          <w:tcPr>
            <w:tcW w:w="2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47,942</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gains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15,207</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94,427</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Tejon Ranch Co. Stockholders’ Equity</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Common stock, $0.50 par value per share:</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Authorized shares - 50,000,000</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shares - 26,814,680 at September 30, 2024 and 26,770,545 at December 31, 2023</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345,609</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108,908</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Tejon Ranch Co. Stockholders’ Equity</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467,732</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483,683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483,096</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598,037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577,523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in thousands,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0"/>
        </w:trPr>
        <w:tc>
          <w:tcPr>
            <w:tcW w:w="44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0" w:type="dxa"/>
            <w:vAlign w:val="bottom"/>
          </w:tcPr>
          <w:p>
            <w:pPr>
              <w:spacing w:after="0"/>
              <w:rPr>
                <w:sz w:val="1"/>
                <w:szCs w:val="1"/>
                <w:color w:val="auto"/>
              </w:rPr>
            </w:pPr>
          </w:p>
        </w:tc>
      </w:tr>
      <w:tr>
        <w:trPr>
          <w:trHeight w:val="180"/>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11,630</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28,572</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5,517</w:t>
            </w:r>
          </w:p>
        </w:tc>
        <w:tc>
          <w:tcPr>
            <w:tcW w:w="0" w:type="dxa"/>
            <w:vAlign w:val="bottom"/>
          </w:tcPr>
          <w:p>
            <w:pPr>
              <w:spacing w:after="0"/>
              <w:rPr>
                <w:sz w:val="1"/>
                <w:szCs w:val="1"/>
                <w:color w:val="auto"/>
              </w:rPr>
            </w:pPr>
          </w:p>
        </w:tc>
      </w:tr>
      <w:tr>
        <w:trPr>
          <w:trHeight w:val="180"/>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0" w:type="dxa"/>
            <w:vAlign w:val="bottom"/>
          </w:tcPr>
          <w:p>
            <w:pPr>
              <w:spacing w:after="0"/>
              <w:rPr>
                <w:sz w:val="1"/>
                <w:szCs w:val="1"/>
                <w:color w:val="auto"/>
              </w:rPr>
            </w:pPr>
          </w:p>
        </w:tc>
      </w:tr>
      <w:tr>
        <w:trPr>
          <w:trHeight w:val="180"/>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Corporate expenses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6,824</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expenses</w:t>
            </w: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14,648</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29,919</w:t>
            </w:r>
          </w:p>
        </w:tc>
        <w:tc>
          <w:tcPr>
            <w:tcW w:w="0" w:type="dxa"/>
            <w:vAlign w:val="bottom"/>
          </w:tcPr>
          <w:p>
            <w:pPr>
              <w:spacing w:after="0"/>
              <w:rPr>
                <w:sz w:val="1"/>
                <w:szCs w:val="1"/>
                <w:color w:val="auto"/>
              </w:rPr>
            </w:pPr>
          </w:p>
        </w:tc>
      </w:tr>
      <w:tr>
        <w:trPr>
          <w:trHeight w:val="171"/>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income</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(loss) income, net</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other income, net</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18"/>
        </w:trPr>
        <w:tc>
          <w:tcPr>
            <w:tcW w:w="44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(Loss) income from operations before equity in earnings of unconsolidated</w:t>
            </w:r>
          </w:p>
        </w:tc>
        <w:tc>
          <w:tcPr>
            <w:tcW w:w="10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 and income tax</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5,316</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06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common stockholders, basic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share attributable to common stockholders, diluted</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COMPREHENSIVE (LOSS)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2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5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r>
      <w:tr>
        <w:trPr>
          <w:trHeight w:val="180"/>
        </w:trPr>
        <w:tc>
          <w:tcPr>
            <w:tcW w:w="4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4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 on interest rate swap</w:t>
            </w:r>
          </w:p>
        </w:tc>
        <w:tc>
          <w:tcPr>
            <w:tcW w:w="10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r>
      <w:tr>
        <w:trPr>
          <w:trHeight w:val="171"/>
        </w:trPr>
        <w:tc>
          <w:tcPr>
            <w:tcW w:w="45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comprehensive income before taxes</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r>
      <w:tr>
        <w:trPr>
          <w:trHeight w:val="180"/>
        </w:trPr>
        <w:tc>
          <w:tcPr>
            <w:tcW w:w="45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Income tax provision related to other comprehensive income items</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71"/>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18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r>
      <w:tr>
        <w:trPr>
          <w:trHeight w:val="18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common stockholders</w:t>
            </w:r>
          </w:p>
        </w:tc>
        <w:tc>
          <w:tcPr>
            <w:tcW w:w="100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w:t>
            </w:r>
          </w:p>
        </w:tc>
      </w:tr>
      <w:tr>
        <w:trPr>
          <w:trHeight w:val="20"/>
        </w:trPr>
        <w:tc>
          <w:tcPr>
            <w:tcW w:w="4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460" w:top="728"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0" w:type="dxa"/>
            <w:vAlign w:val="bottom"/>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400" w:type="dxa"/>
            <w:vAlign w:val="bottom"/>
            <w:vMerge w:val="continue"/>
          </w:tcPr>
          <w:p>
            <w:pPr>
              <w:spacing w:after="0"/>
              <w:rPr>
                <w:sz w:val="13"/>
                <w:szCs w:val="13"/>
                <w:color w:val="auto"/>
              </w:rPr>
            </w:pPr>
          </w:p>
        </w:tc>
        <w:tc>
          <w:tcPr>
            <w:tcW w:w="2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income</w:t>
            </w:r>
          </w:p>
        </w:tc>
        <w:tc>
          <w:tcPr>
            <w:tcW w:w="348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0" w:type="dxa"/>
            <w:vAlign w:val="bottom"/>
          </w:tcPr>
          <w:p>
            <w:pPr>
              <w:spacing w:after="0"/>
              <w:rPr>
                <w:sz w:val="1"/>
                <w:szCs w:val="1"/>
                <w:color w:val="auto"/>
              </w:rPr>
            </w:pPr>
          </w:p>
        </w:tc>
      </w:tr>
      <w:tr>
        <w:trPr>
          <w:trHeight w:val="180"/>
        </w:trPr>
        <w:tc>
          <w:tcPr>
            <w:tcW w:w="5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discount of marketable securities</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0" w:type="dxa"/>
            <w:vAlign w:val="bottom"/>
          </w:tcPr>
          <w:p>
            <w:pPr>
              <w:spacing w:after="0"/>
              <w:rPr>
                <w:sz w:val="1"/>
                <w:szCs w:val="1"/>
                <w:color w:val="auto"/>
              </w:rPr>
            </w:pPr>
          </w:p>
        </w:tc>
      </w:tr>
      <w:tr>
        <w:trPr>
          <w:trHeight w:val="180"/>
        </w:trPr>
        <w:tc>
          <w:tcPr>
            <w:tcW w:w="5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retirement plan expense</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4"/>
                <w:szCs w:val="14"/>
                <w:color w:val="auto"/>
              </w:rPr>
              <w:t>Profit from water sales</w:t>
            </w:r>
            <w:r>
              <w:rPr>
                <w:rFonts w:ascii="Times New Roman" w:cs="Times New Roman" w:eastAsia="Times New Roman" w:hAnsi="Times New Roman"/>
                <w:sz w:val="18"/>
                <w:szCs w:val="18"/>
                <w:color w:val="auto"/>
                <w:vertAlign w:val="superscript"/>
              </w:rPr>
              <w:t>1</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80"/>
        </w:trPr>
        <w:tc>
          <w:tcPr>
            <w:tcW w:w="5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(Gain) loss on sale of property plant and equipment</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 of earnings from unconsolidated joint ventures</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13,176</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Receivables, inventories, prepaids and other assets, net</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(5,231)</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 liabilities</w:t>
            </w:r>
          </w:p>
        </w:tc>
        <w:tc>
          <w:tcPr>
            <w:tcW w:w="24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0" w:type="dxa"/>
            <w:vAlign w:val="bottom"/>
          </w:tcPr>
          <w:p>
            <w:pPr>
              <w:spacing w:after="0"/>
              <w:rPr>
                <w:sz w:val="1"/>
                <w:szCs w:val="1"/>
                <w:color w:val="auto"/>
              </w:rPr>
            </w:pPr>
          </w:p>
        </w:tc>
      </w:tr>
      <w:tr>
        <w:trPr>
          <w:trHeight w:val="17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14,750</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85,769</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91,831</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Funds invested in marketable securities</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(87,272)</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and equipment expenditures</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(13,513)</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Reimbursement proceeds from Community Facilities District</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 of equity from unconsolidated joint ventures</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5,783</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10,645</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Proceeds from water sales</w:t>
            </w:r>
            <w:r>
              <w:rPr>
                <w:rFonts w:ascii="Times New Roman" w:cs="Times New Roman" w:eastAsia="Times New Roman" w:hAnsi="Times New Roman"/>
                <w:sz w:val="18"/>
                <w:szCs w:val="18"/>
                <w:color w:val="auto"/>
                <w:vertAlign w:val="superscript"/>
              </w:rPr>
              <w:t>1</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Investments in water assets</w:t>
            </w:r>
          </w:p>
        </w:tc>
        <w:tc>
          <w:tcPr>
            <w:tcW w:w="24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(17,377)</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w:t>
            </w:r>
          </w:p>
        </w:tc>
        <w:tc>
          <w:tcPr>
            <w:tcW w:w="0" w:type="dxa"/>
            <w:vAlign w:val="bottom"/>
          </w:tcPr>
          <w:p>
            <w:pPr>
              <w:spacing w:after="0"/>
              <w:rPr>
                <w:sz w:val="1"/>
                <w:szCs w:val="1"/>
                <w:color w:val="auto"/>
              </w:rPr>
            </w:pP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Borrowings on line of credit</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2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 on vested stock grants</w:t>
            </w:r>
          </w:p>
        </w:tc>
        <w:tc>
          <w:tcPr>
            <w:tcW w:w="24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0" w:type="dxa"/>
            <w:vAlign w:val="bottom"/>
          </w:tcPr>
          <w:p>
            <w:pPr>
              <w:spacing w:after="0"/>
              <w:rPr>
                <w:sz w:val="1"/>
                <w:szCs w:val="1"/>
                <w:color w:val="auto"/>
              </w:rPr>
            </w:pPr>
          </w:p>
        </w:tc>
      </w:tr>
      <w:tr>
        <w:trPr>
          <w:trHeight w:val="17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increase in cash, cash equivalents, and restricted cash</w:t>
            </w:r>
          </w:p>
        </w:tc>
        <w:tc>
          <w:tcPr>
            <w:tcW w:w="2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0" w:type="dxa"/>
            <w:vAlign w:val="bottom"/>
          </w:tcPr>
          <w:p>
            <w:pPr>
              <w:spacing w:after="0"/>
              <w:rPr>
                <w:sz w:val="1"/>
                <w:szCs w:val="1"/>
                <w:color w:val="auto"/>
              </w:rPr>
            </w:pPr>
          </w:p>
        </w:tc>
      </w:tr>
      <w:tr>
        <w:trPr>
          <w:trHeight w:val="18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4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39,619</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4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27,869</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2049"/>
              <w:spacing w:after="0"/>
              <w:rPr>
                <w:sz w:val="20"/>
                <w:szCs w:val="20"/>
                <w:color w:val="auto"/>
              </w:rPr>
            </w:pPr>
            <w:r>
              <w:rPr>
                <w:rFonts w:ascii="Times New Roman" w:cs="Times New Roman" w:eastAsia="Times New Roman" w:hAnsi="Times New Roman"/>
                <w:sz w:val="14"/>
                <w:szCs w:val="14"/>
                <w:color w:val="auto"/>
              </w:rPr>
              <w:t>7</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4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40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27,369</w:t>
            </w:r>
          </w:p>
        </w:tc>
        <w:tc>
          <w:tcPr>
            <w:tcW w:w="100" w:type="dxa"/>
            <w:vAlign w:val="bottom"/>
          </w:tcPr>
          <w:p>
            <w:pPr>
              <w:spacing w:after="0"/>
              <w:rPr>
                <w:sz w:val="15"/>
                <w:szCs w:val="15"/>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43,149</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(included in prepaid expenses and other current assets)</w:t>
            </w:r>
          </w:p>
        </w:tc>
        <w:tc>
          <w:tcPr>
            <w:tcW w:w="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27,869</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43,649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7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current liabilities</w:t>
            </w:r>
          </w:p>
        </w:tc>
        <w:tc>
          <w:tcPr>
            <w:tcW w:w="6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7780" w:type="dxa"/>
            <w:vAlign w:val="bottom"/>
            <w:tcBorders>
              <w:bottom w:val="single" w:sz="8" w:color="CCEEFF"/>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Accrued long-term water assets included in current liabilities</w:t>
            </w:r>
          </w:p>
        </w:tc>
        <w:tc>
          <w:tcPr>
            <w:tcW w:w="660" w:type="dxa"/>
            <w:vAlign w:val="bottom"/>
            <w:tcBorders>
              <w:bottom w:val="single" w:sz="8" w:color="auto"/>
            </w:tcBorders>
            <w:shd w:val="clear" w:color="auto" w:fill="CCEEFF"/>
          </w:tcPr>
          <w:p>
            <w:pPr>
              <w:jc w:val="right"/>
              <w:ind w:right="50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20" w:right="20"/>
        <w:spacing w:after="0" w:line="241" w:lineRule="auto"/>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In determining the classification of cash inflows and outflows related to water asset activity, the Company’s practices are supported by ASC Topic 230-10-45-22, which provides that certain cash receipts and payments have aspects of more than one class of cash flows, whereby appropriate classification depends on the activity that is likely to be the predominant source of cash flows for the transaction. Also, at the 2006 American Institute of Certified Public Accountants Conference on Current SEC and PCAOB Developments, the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175"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3"/>
          <w:szCs w:val="13"/>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$1.3 million in 2023, this cash inflow is appropriately classified in the Company’s investing activities. The profit of $0.5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shares outstanding)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26,806,409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108,951</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469,220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484,583</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7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26,814,680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347,939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107,115</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468,320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483,683</w:t>
            </w:r>
          </w:p>
        </w:tc>
        <w:tc>
          <w:tcPr>
            <w:tcW w:w="0" w:type="dxa"/>
            <w:vAlign w:val="bottom"/>
          </w:tcPr>
          <w:p>
            <w:pPr>
              <w:spacing w:after="0"/>
              <w:rPr>
                <w:sz w:val="1"/>
                <w:szCs w:val="1"/>
                <w:color w:val="auto"/>
              </w:rPr>
            </w:pPr>
          </w:p>
        </w:tc>
      </w:tr>
      <w:tr>
        <w:trPr>
          <w:trHeight w:val="91"/>
        </w:trPr>
        <w:tc>
          <w:tcPr>
            <w:tcW w:w="278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26,718,773</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13,359</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344,434</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107,684</w:t>
            </w: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463,710</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15,367</w:t>
            </w: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479,077</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26,726,464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480,990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26,770,545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345,609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467,732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483,096</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26,814,680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107,115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483,683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26,541,553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477,594</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138"/>
        </w:trPr>
        <w:tc>
          <w:tcPr>
            <w:tcW w:w="27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26,726,464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107,343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480,990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35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BASIS OF PRESENTATION</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summarized information of Tejon Ranch Co. and its subsidiaries (the Company, TRC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periods ended September 30, 2024 and 2023 include the consolidation of CFL’s statements of operations within the resort/residential real estate development segment, statements of changes in equity, and statements of cash flows. The Company’s September 30, 2024 and December 31, 2023 balance sheets are presented on a consolidated basis, including the consolidation of CFL.</w:t>
      </w:r>
    </w:p>
    <w:p>
      <w:pPr>
        <w:spacing w:after="0" w:line="2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has identified five reportable segments: commercial/industrial real estate development,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1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For further information and a summary of significant accounting policies, refer to the Consolidated Financial Statements and notes thereto included in the Company’s Annual Report on Form 10-K for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Certain financial instruments are carried on the consolidated balance sheets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Restricted cash is included in Prepaid expenses and other current assets within the Consolidated Balance Sheets and primarily relates to funds held in escrow. The Company had $500,000 of restricted cash as of September 30, 2024 and December 31, 2023.</w:t>
      </w:r>
    </w:p>
    <w:p>
      <w:pPr>
        <w:spacing w:after="0" w:line="80" w:lineRule="exact"/>
        <w:rPr>
          <w:sz w:val="20"/>
          <w:szCs w:val="20"/>
          <w:color w:val="auto"/>
        </w:rPr>
      </w:pPr>
    </w:p>
    <w:p>
      <w:pPr>
        <w:ind w:right="4820"/>
        <w:spacing w:after="0" w:line="357" w:lineRule="auto"/>
        <w:rPr>
          <w:sz w:val="20"/>
          <w:szCs w:val="20"/>
          <w:color w:val="auto"/>
        </w:rPr>
      </w:pPr>
      <w:r>
        <w:rPr>
          <w:rFonts w:ascii="Times New Roman" w:cs="Times New Roman" w:eastAsia="Times New Roman" w:hAnsi="Times New Roman"/>
          <w:sz w:val="14"/>
          <w:szCs w:val="14"/>
          <w:b w:val="1"/>
          <w:bCs w:val="1"/>
          <w:color w:val="auto"/>
        </w:rPr>
        <w:t xml:space="preserve">New Accounting Pronouncements and Climate Change Related Update by SEC Effective in Future Periods </w:t>
      </w:r>
      <w:r>
        <w:rPr>
          <w:rFonts w:ascii="Times New Roman" w:cs="Times New Roman" w:eastAsia="Times New Roman" w:hAnsi="Times New Roman"/>
          <w:sz w:val="14"/>
          <w:szCs w:val="14"/>
          <w:i w:val="1"/>
          <w:iCs w:val="1"/>
          <w:color w:val="auto"/>
        </w:rPr>
        <w:t>Business Combinations - Joint Venture Formations</w:t>
      </w:r>
    </w:p>
    <w:p>
      <w:pPr>
        <w:spacing w:after="0" w:line="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August 2023, the Financial Accounting Standards Board, or FASB, issued Accounting Standards Update, or ASU, No. 2023-05, "Business Combinations - Joint Venture Formations." This ASU addresses the accounting for contributions made to a joint venture, upon formation, in a joint venture's separate financial statements. The pronouncement requires a joint venture to initially measure contributions at fair value upon formation, which is more relevant than the carrying amounts of the contributed net assets and would reduce equity method basis differences. The ASU is effective prospectively for all joint venture formations with a formation date on or after January 1, 2025. This pronouncement is not expected to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 Improvements to Reportable Segment Disclosures". This ASU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This ASU will be effective for the Company's annual report on Form 10-K beginning with the year ending December 31, 2024, and for subsequent quarterly and annual reports. The Company does not expect this ASU to have a material effect on our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(Topic740) - Improvements to Income Tax Disclosures". This ASU requires public business entities to disclose a tabular rate reconciliation of both percentages and reporting currency amounts on an annual basis. The ASU also requires disclosure of information on the amount of income taxes paid disaggregated by federal, state and foreign taxes. This ASU is effective for annual periods beginning after December 15, 2024. The pronouncement is not expected to have a material effect on our consolidated financial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Adoption of Rules to Enhance and Standardize Climate-related Disclosures for Investors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6, 2024, the SEC adopted final rules to require registrants to disclose certain climate-related information in registration statements and annual reports.</w:t>
      </w:r>
    </w:p>
    <w:p>
      <w:pPr>
        <w:spacing w:after="0" w:line="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On April 4, 2024, the SEC issued an order staying the final rules pending completion of judicial review of the petitions challenging the final rules. The order does not amend the compliance dates contemplated by the final rules, which are applicable to the Company for fiscal years beginning with the Company’s annual report on Form 10-K for the fiscal year ended December 31, 2027. We are currently evaluating the impact of our pending adoption of these requirements on our financial statement disclosures.</w:t>
      </w:r>
    </w:p>
    <w:p>
      <w:pPr>
        <w:spacing w:after="0" w:line="8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EQUITY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 (EPS)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based upon the weighted-average number of shares of common stock outstanding during reporting periods.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360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500" w:type="dxa"/>
            <w:vAlign w:val="bottom"/>
            <w:gridSpan w:val="3"/>
          </w:tcPr>
          <w:p>
            <w:pPr>
              <w:jc w:val="right"/>
              <w:ind w:right="68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Weighted-average number of shares outstanding:</w:t>
            </w:r>
          </w:p>
        </w:tc>
        <w:tc>
          <w:tcPr>
            <w:tcW w:w="166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top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0"/>
        </w:trPr>
        <w:tc>
          <w:tcPr>
            <w:tcW w:w="396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26,814,051</w:t>
            </w: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26,725,628</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26,801,044</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26,695,714</w:t>
            </w:r>
          </w:p>
        </w:tc>
        <w:tc>
          <w:tcPr>
            <w:tcW w:w="0" w:type="dxa"/>
            <w:vAlign w:val="bottom"/>
          </w:tcPr>
          <w:p>
            <w:pPr>
              <w:spacing w:after="0"/>
              <w:rPr>
                <w:sz w:val="1"/>
                <w:szCs w:val="1"/>
                <w:color w:val="auto"/>
              </w:rPr>
            </w:pPr>
          </w:p>
        </w:tc>
      </w:tr>
      <w:tr>
        <w:trPr>
          <w:trHeight w:val="180"/>
        </w:trPr>
        <w:tc>
          <w:tcPr>
            <w:tcW w:w="3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equivalents</w:t>
            </w:r>
          </w:p>
        </w:tc>
        <w:tc>
          <w:tcPr>
            <w:tcW w:w="1860" w:type="dxa"/>
            <w:vAlign w:val="bottom"/>
            <w:gridSpan w:val="2"/>
          </w:tcPr>
          <w:p>
            <w:pPr>
              <w:ind w:left="1460"/>
              <w:spacing w:after="0" w:line="18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vertAlign w:val="superscript"/>
              </w:rPr>
              <w:t>1</w:t>
            </w:r>
          </w:p>
        </w:tc>
        <w:tc>
          <w:tcPr>
            <w:tcW w:w="1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72,435</w:t>
            </w:r>
          </w:p>
        </w:tc>
        <w:tc>
          <w:tcPr>
            <w:tcW w:w="80" w:type="dxa"/>
            <w:vAlign w:val="bottom"/>
          </w:tcPr>
          <w:p>
            <w:pPr>
              <w:spacing w:after="0"/>
              <w:rPr>
                <w:sz w:val="15"/>
                <w:szCs w:val="15"/>
                <w:color w:val="auto"/>
              </w:rPr>
            </w:pPr>
          </w:p>
        </w:tc>
        <w:tc>
          <w:tcPr>
            <w:tcW w:w="1860" w:type="dxa"/>
            <w:vAlign w:val="bottom"/>
            <w:gridSpan w:val="2"/>
          </w:tcPr>
          <w:p>
            <w:pPr>
              <w:ind w:left="1440"/>
              <w:spacing w:after="0" w:line="18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vertAlign w:val="superscript"/>
              </w:rPr>
              <w:t>1</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76,668</w:t>
            </w:r>
          </w:p>
        </w:tc>
        <w:tc>
          <w:tcPr>
            <w:tcW w:w="0" w:type="dxa"/>
            <w:vAlign w:val="bottom"/>
          </w:tcPr>
          <w:p>
            <w:pPr>
              <w:spacing w:after="0"/>
              <w:rPr>
                <w:sz w:val="1"/>
                <w:szCs w:val="1"/>
                <w:color w:val="auto"/>
              </w:rPr>
            </w:pPr>
          </w:p>
        </w:tc>
      </w:tr>
      <w:tr>
        <w:trPr>
          <w:trHeight w:val="172"/>
        </w:trPr>
        <w:tc>
          <w:tcPr>
            <w:tcW w:w="39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 shares outstanding</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26,814,051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26,798,063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26,801,044</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26,772,382</w:t>
            </w:r>
          </w:p>
        </w:tc>
        <w:tc>
          <w:tcPr>
            <w:tcW w:w="0" w:type="dxa"/>
            <w:vAlign w:val="bottom"/>
          </w:tcPr>
          <w:p>
            <w:pPr>
              <w:spacing w:after="0"/>
              <w:rPr>
                <w:sz w:val="1"/>
                <w:szCs w:val="1"/>
                <w:color w:val="auto"/>
              </w:rPr>
            </w:pPr>
          </w:p>
        </w:tc>
      </w:tr>
    </w:tbl>
    <w:p>
      <w:pPr>
        <w:ind w:left="460" w:hanging="86"/>
        <w:spacing w:after="0" w:line="202" w:lineRule="auto"/>
        <w:tabs>
          <w:tab w:leader="none" w:pos="46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and nine months ended September 30, 2024, 83,668 and 101,754 shares of restricted stock were excluded from the calculation of diluted net loss per share as the shares were antidilutive.</w:t>
      </w:r>
    </w:p>
    <w:p>
      <w:pPr>
        <w:spacing w:after="0" w:line="200" w:lineRule="exact"/>
        <w:rPr>
          <w:rFonts w:ascii="Times New Roman" w:cs="Times New Roman" w:eastAsia="Times New Roman" w:hAnsi="Times New Roman"/>
          <w:sz w:val="17"/>
          <w:szCs w:val="17"/>
          <w:color w:val="auto"/>
          <w:vertAlign w:val="superscript"/>
        </w:rPr>
      </w:pPr>
    </w:p>
    <w:p>
      <w:pPr>
        <w:spacing w:after="0" w:line="299"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2597150</wp:posOffset>
            </wp:positionH>
            <wp:positionV relativeFrom="paragraph">
              <wp:posOffset>-516890</wp:posOffset>
            </wp:positionV>
            <wp:extent cx="45072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07230" cy="6985"/>
                    </a:xfrm>
                    <a:prstGeom prst="rect">
                      <a:avLst/>
                    </a:prstGeom>
                    <a:noFill/>
                  </pic:spPr>
                </pic:pic>
              </a:graphicData>
            </a:graphic>
          </wp:anchor>
        </w:drawing>
      </w:r>
    </w:p>
    <w:p>
      <w:pPr>
        <w:sectPr>
          <w:pgSz w:w="11900" w:h="16838" w:orient="portrait"/>
          <w:cols w:equalWidth="0" w:num="1">
            <w:col w:w="11220"/>
          </w:cols>
          <w:pgMar w:left="300" w:top="802" w:right="379" w:bottom="1440" w:gutter="0" w:footer="0" w:header="0"/>
        </w:sectPr>
      </w:pPr>
    </w:p>
    <w:bookmarkStart w:id="12" w:name="page13"/>
    <w:bookmarkEnd w:id="12"/>
    <w:p>
      <w:pPr>
        <w:ind w:left="280" w:hanging="275"/>
        <w:spacing w:after="0"/>
        <w:tabs>
          <w:tab w:leader="none" w:pos="28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40" w:type="dxa"/>
            <w:vAlign w:val="bottom"/>
            <w:vMerge w:val="restart"/>
          </w:tcPr>
          <w:p>
            <w:pPr>
              <w:jc w:val="center"/>
              <w:ind w:left="1009"/>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22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September 30, 2024</w:t>
            </w:r>
          </w:p>
        </w:tc>
        <w:tc>
          <w:tcPr>
            <w:tcW w:w="260" w:type="dxa"/>
            <w:vAlign w:val="bottom"/>
          </w:tcPr>
          <w:p>
            <w:pPr>
              <w:spacing w:after="0"/>
              <w:rPr>
                <w:sz w:val="16"/>
                <w:szCs w:val="16"/>
                <w:color w:val="auto"/>
              </w:rPr>
            </w:pPr>
          </w:p>
        </w:tc>
        <w:tc>
          <w:tcPr>
            <w:tcW w:w="212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500" w:type="dxa"/>
            <w:vAlign w:val="bottom"/>
            <w:gridSpan w:val="2"/>
          </w:tcPr>
          <w:p>
            <w:pPr>
              <w:jc w:val="center"/>
              <w:ind w:left="749"/>
              <w:spacing w:after="0"/>
              <w:rPr>
                <w:sz w:val="20"/>
                <w:szCs w:val="20"/>
                <w:color w:val="auto"/>
              </w:rPr>
            </w:pPr>
            <w:r>
              <w:rPr>
                <w:rFonts w:ascii="Times New Roman" w:cs="Times New Roman" w:eastAsia="Times New Roman" w:hAnsi="Times New Roman"/>
                <w:sz w:val="14"/>
                <w:szCs w:val="14"/>
                <w:color w:val="auto"/>
                <w:w w:val="99"/>
              </w:rPr>
              <w:t>Hierarchy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9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Certificates of deposit</w:t>
            </w:r>
          </w:p>
        </w:tc>
        <w:tc>
          <w:tcPr>
            <w:tcW w:w="2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71"/>
        </w:trPr>
        <w:tc>
          <w:tcPr>
            <w:tcW w:w="41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Certificates of deposit</w:t>
            </w:r>
          </w:p>
        </w:tc>
        <w:tc>
          <w:tcPr>
            <w:tcW w:w="2240" w:type="dxa"/>
            <w:vAlign w:val="bottom"/>
            <w:tcBorders>
              <w:top w:val="single" w:sz="8" w:color="CCEEFF"/>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and agency notes</w:t>
            </w: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13,787</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U.S. Treasury and agency notes</w:t>
            </w:r>
          </w:p>
        </w:tc>
        <w:tc>
          <w:tcPr>
            <w:tcW w:w="224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16,161</w:t>
            </w:r>
          </w:p>
        </w:tc>
        <w:tc>
          <w:tcPr>
            <w:tcW w:w="0" w:type="dxa"/>
            <w:vAlign w:val="bottom"/>
          </w:tcPr>
          <w:p>
            <w:pPr>
              <w:spacing w:after="0"/>
              <w:rPr>
                <w:sz w:val="1"/>
                <w:szCs w:val="1"/>
                <w:color w:val="auto"/>
              </w:rPr>
            </w:pP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notes</w:t>
            </w: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0" w:type="dxa"/>
            <w:vAlign w:val="bottom"/>
          </w:tcPr>
          <w:p>
            <w:pPr>
              <w:spacing w:after="0"/>
              <w:rPr>
                <w:sz w:val="1"/>
                <w:szCs w:val="1"/>
                <w:color w:val="auto"/>
              </w:rPr>
            </w:pPr>
          </w:p>
        </w:tc>
      </w:tr>
      <w:tr>
        <w:trPr>
          <w:trHeight w:val="180"/>
        </w:trPr>
        <w:tc>
          <w:tcPr>
            <w:tcW w:w="4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unrealized losses for more than 12 months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gains</w:t>
            </w:r>
          </w:p>
        </w:tc>
        <w:tc>
          <w:tcPr>
            <w:tcW w:w="2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Corporate notes</w:t>
            </w:r>
          </w:p>
        </w:tc>
        <w:tc>
          <w:tcPr>
            <w:tcW w:w="2240" w:type="dxa"/>
            <w:vAlign w:val="bottom"/>
            <w:tcBorders>
              <w:bottom w:val="single" w:sz="8" w:color="CCEEFF"/>
            </w:tcBorders>
          </w:tcPr>
          <w:p>
            <w:pPr>
              <w:jc w:val="center"/>
              <w:ind w:left="100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15,836</w:t>
            </w:r>
          </w:p>
        </w:tc>
        <w:tc>
          <w:tcPr>
            <w:tcW w:w="0" w:type="dxa"/>
            <w:vAlign w:val="bottom"/>
          </w:tcPr>
          <w:p>
            <w:pPr>
              <w:spacing w:after="0"/>
              <w:rPr>
                <w:sz w:val="1"/>
                <w:szCs w:val="1"/>
                <w:color w:val="auto"/>
              </w:rPr>
            </w:pPr>
          </w:p>
        </w:tc>
      </w:tr>
      <w:tr>
        <w:trPr>
          <w:trHeight w:val="192"/>
        </w:trPr>
        <w:tc>
          <w:tcPr>
            <w:tcW w:w="416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2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13,872</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uses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September 30, 2024, the Company has not recorded any credit losses.</w:t>
      </w:r>
    </w:p>
    <w:p>
      <w:pPr>
        <w:spacing w:after="0" w:line="4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As of September 30, 2024, the fair market value of investment securities was $20,000 above their cost basis. The Company’s gross unrealized holding gains equaled $21,000 and gross unrealized holding losses equaled $1,000. For the three months ended September 30, 2024, the adjustment to accumulated other comprehensive loss reflected an increase in market value of $46,000, including estimated taxes of $13,000. For the nine months ended September 30, 2024, the adjustment to accumulated other comprehensive loss reflected a decline in market value of $40,000, including estimated taxes of $11,000.</w:t>
      </w:r>
    </w:p>
    <w:p>
      <w:pPr>
        <w:spacing w:after="0" w:line="3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Company elected to exclude applicable accrued interest from both the fair value and the amortized cost basis of the available-for-sale debt securities, and separately present the accrued interest receivable balance. The accrued interest receivables balance totaled $114,000 as of September 30, 2024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Treasury and agency notes</w:t>
      </w:r>
    </w:p>
    <w:p>
      <w:pPr>
        <w:spacing w:after="0" w:line="8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unrealized losses on the Company's investments in U.S. Treasury and agency notes at September 30, 2024 and December 31, 2023 were caused by relative changes in interest rates since the time of purchase and not changes in credit quality. The contractual cash flows for these securities are guaranteed by U.S. government agencies. As of September 30, 2024 and December 31, 2023, the Company did not intend to sell these securities and it is not more-likely-than-not that the Company would be required to sell these securities before recovery of their cost basis. Therefore, these investments did not require an ACL as of September 30, 2024 and December 31,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auto"/>
        </w:rPr>
        <w:t>Corporate notes</w:t>
      </w:r>
    </w:p>
    <w:p>
      <w:pPr>
        <w:spacing w:after="0" w:line="7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unrealized losses on corporate notes are a function of changes in investment spreads and interest rate movements and not changes in credit quality. The Company expects to recover the entire amortized cost basis of these securities. As of September 30, 2024 and December 31, 2023, the Company did not intend to sell these securities and it is not more-likely-than-not the Company would be required to sell these securities before recovery of their cost basis. Therefore, these investments did not require an ACL as of September 30, 2024 and December 31,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summarize the maturities, at par, of marketable securities as of:</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79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September 30, 2024</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17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12,436</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96"/>
        </w:trPr>
        <w:tc>
          <w:tcPr>
            <w:tcW w:w="79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1"/>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16,212</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16,212</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r>
      <w:tr>
        <w:trPr>
          <w:trHeight w:val="171"/>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32,652</w:t>
            </w: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investments in corporate notes are with companies that have an investment grade rating from Standard &amp; Poor’s as of September 30, 2024.</w:t>
      </w:r>
    </w:p>
    <w:p>
      <w:pPr>
        <w:spacing w:after="0" w:line="81" w:lineRule="exact"/>
        <w:rPr>
          <w:sz w:val="20"/>
          <w:szCs w:val="20"/>
          <w:color w:val="auto"/>
        </w:rPr>
      </w:pPr>
    </w:p>
    <w:p>
      <w:pPr>
        <w:ind w:left="280" w:hanging="275"/>
        <w:spacing w:after="0"/>
        <w:tabs>
          <w:tab w:leader="none" w:pos="2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REAL ESTATE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accumulated real estate development costs by project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September 30, 2024</w:t>
            </w:r>
          </w:p>
        </w:tc>
        <w:tc>
          <w:tcPr>
            <w:tcW w:w="340" w:type="dxa"/>
            <w:vAlign w:val="bottom"/>
          </w:tcPr>
          <w:p>
            <w:pPr>
              <w:spacing w:after="0"/>
              <w:rPr>
                <w:sz w:val="16"/>
                <w:szCs w:val="16"/>
                <w:color w:val="auto"/>
              </w:rPr>
            </w:pPr>
          </w:p>
        </w:tc>
        <w:tc>
          <w:tcPr>
            <w:tcW w:w="19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Village</w:t>
            </w:r>
          </w:p>
        </w:tc>
        <w:tc>
          <w:tcPr>
            <w:tcW w:w="280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155,168</w:t>
            </w: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Centennial</w:t>
            </w:r>
          </w:p>
        </w:tc>
        <w:tc>
          <w:tcPr>
            <w:tcW w:w="2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119,788</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Grapevine</w:t>
            </w:r>
          </w:p>
        </w:tc>
        <w:tc>
          <w:tcPr>
            <w:tcW w:w="2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40,716</w:t>
            </w:r>
          </w:p>
        </w:tc>
        <w:tc>
          <w:tcPr>
            <w:tcW w:w="0" w:type="dxa"/>
            <w:vAlign w:val="bottom"/>
          </w:tcPr>
          <w:p>
            <w:pPr>
              <w:spacing w:after="0"/>
              <w:rPr>
                <w:sz w:val="1"/>
                <w:szCs w:val="1"/>
                <w:color w:val="auto"/>
              </w:rPr>
            </w:pPr>
          </w:p>
        </w:tc>
      </w:tr>
      <w:tr>
        <w:trPr>
          <w:trHeight w:val="180"/>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4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51,502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21,585</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24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374,341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337,257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w:t>
            </w:r>
          </w:p>
        </w:tc>
        <w:tc>
          <w:tcPr>
            <w:tcW w:w="2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280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20,606</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4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246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60" w:type="dxa"/>
            <w:vAlign w:val="bottom"/>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4" w:name="page15"/>
    <w:bookmarkEnd w:id="14"/>
    <w:p>
      <w:pPr>
        <w:ind w:left="280" w:hanging="275"/>
        <w:spacing w:after="0"/>
        <w:tabs>
          <w:tab w:leader="none" w:pos="28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WATER ASSETS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County Water Banks.</w:t>
      </w:r>
    </w:p>
    <w:p>
      <w:pPr>
        <w:spacing w:after="0" w:line="1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has secured SWP entitlements under long-term SWP water contracts within the Tulare Lake Basin Water Storage District and the Dudley-Ridge Water District, totaling 3,444 acre-feet of SWP entitlement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initial term of the water purchase agreement with Nickel runs to 2044 and includes a Company option to extend the contract for an additional 35 years. The purchase cost of water in 2024 is $957 per acre-foot. The purchase cost is subject to annual cost increases based on the greater of the Consumer Price Index or 3%.</w:t>
      </w:r>
    </w:p>
    <w:p>
      <w:pPr>
        <w:spacing w:after="0" w:line="1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 revenues and cost of sales were as follows for the nine months ended ($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September 30, 2024</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September 30, 2023</w:t>
            </w:r>
          </w:p>
        </w:tc>
      </w:tr>
      <w:tr>
        <w:trPr>
          <w:trHeight w:val="17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Acre-Feet Sold</w:t>
            </w:r>
          </w:p>
        </w:tc>
        <w:tc>
          <w:tcPr>
            <w:tcW w:w="1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r>
      <w:tr>
        <w:trPr>
          <w:trHeight w:val="71"/>
        </w:trPr>
        <w:tc>
          <w:tcPr>
            <w:tcW w:w="6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960" w:type="dxa"/>
            <w:vAlign w:val="bottom"/>
          </w:tcPr>
          <w:p>
            <w:pPr>
              <w:spacing w:after="0"/>
              <w:rPr>
                <w:sz w:val="6"/>
                <w:szCs w:val="6"/>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820" w:type="dxa"/>
            <w:vAlign w:val="bottom"/>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4,015</w:t>
            </w: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w:t>
            </w:r>
          </w:p>
        </w:tc>
        <w:tc>
          <w:tcPr>
            <w:tcW w:w="1820" w:type="dxa"/>
            <w:vAlign w:val="bottom"/>
            <w:tcBorders>
              <w:bottom w:val="single" w:sz="8" w:color="auto"/>
            </w:tcBorders>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assigned to water assets held for future use were as follows ($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 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Banked water and water for future delivery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Transferable water</w:t>
            </w: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36,674</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Company’s carrying amounts of its purchased water contracts were as follows ($ in thousands):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September 30, 2024</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2023</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Accumulated Depreciation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Dudley-Ridge water rights</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Nickel water rights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(7,014)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Tulare Lake Basin water rights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(17,450)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cost of purchased water contracts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20,372</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cost of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36,674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31,758</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52,130</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5" w:name="page16"/>
    <w:bookmarkEnd w:id="15"/>
    <w:p>
      <w:pPr>
        <w:ind w:right="80"/>
        <w:spacing w:after="0" w:line="271" w:lineRule="auto"/>
        <w:rPr>
          <w:sz w:val="20"/>
          <w:szCs w:val="20"/>
          <w:color w:val="auto"/>
        </w:rPr>
      </w:pPr>
      <w:r>
        <w:rPr>
          <w:rFonts w:ascii="Times New Roman" w:cs="Times New Roman" w:eastAsia="Times New Roman" w:hAnsi="Times New Roman"/>
          <w:sz w:val="14"/>
          <w:szCs w:val="14"/>
          <w:color w:val="auto"/>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acre-feet, unaudited)</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September 30, 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6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Water held for future use</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TCWD - Banked water owned by the Company</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Company water bank</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Transferable water</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Recharged project water</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water held for future use</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127,323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Purchased water contracts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Water Contracts (Dudley-Ridge, Nickel and Tulare)</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WRMWSD - Contracts with the Company</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TCWD - Contracts with the Company</w:t>
            </w:r>
          </w:p>
        </w:tc>
        <w:tc>
          <w:tcPr>
            <w:tcW w:w="3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purchased water contracts</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water held for future use and purchased water contracts</w:t>
            </w:r>
          </w:p>
        </w:tc>
        <w:tc>
          <w:tcPr>
            <w:tcW w:w="3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158,756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ACCRUED LIABILITIES AND OTHER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and other consisted of the following:</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September 30, 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vacation</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paid personal leave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Property tax payable</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stock compensation expense</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6,565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100" w:hanging="60"/>
        <w:spacing w:after="0"/>
        <w:tabs>
          <w:tab w:leader="none" w:pos="10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California property taxes are accrued throughout the year and are paid every April and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-113665</wp:posOffset>
            </wp:positionV>
            <wp:extent cx="713486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155" w:lineRule="exact"/>
        <w:rPr>
          <w:sz w:val="20"/>
          <w:szCs w:val="20"/>
          <w:color w:val="auto"/>
        </w:rPr>
      </w:pPr>
    </w:p>
    <w:p>
      <w:pPr>
        <w:ind w:right="8140" w:firstLine="5"/>
        <w:spacing w:after="0" w:line="389" w:lineRule="auto"/>
        <w:tabs>
          <w:tab w:leader="none" w:pos="283"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LINE OF CREDIT AND LONG-TERM DEBT </w:t>
      </w:r>
      <w:r>
        <w:rPr>
          <w:rFonts w:ascii="Times New Roman" w:cs="Times New Roman" w:eastAsia="Times New Roman" w:hAnsi="Times New Roman"/>
          <w:sz w:val="14"/>
          <w:szCs w:val="14"/>
          <w:color w:val="auto"/>
        </w:rPr>
        <w:t>Debt consisted of the following:</w:t>
      </w:r>
    </w:p>
    <w:tbl>
      <w:tblPr>
        <w:tblLayout w:type="fixed"/>
        <w:tblInd w:w="20" w:type="dxa"/>
        <w:tblCellMar>
          <w:top w:w="0" w:type="dxa"/>
          <w:left w:w="0" w:type="dxa"/>
          <w:bottom w:w="0" w:type="dxa"/>
          <w:right w:w="0" w:type="dxa"/>
        </w:tblCellMar>
      </w:tblPr>
      <w:tr>
        <w:trPr>
          <w:trHeight w:val="184"/>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September 30, 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1"/>
        </w:trPr>
        <w:tc>
          <w:tcPr>
            <w:tcW w:w="65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Revolving line-of-credit</w:t>
            </w:r>
            <w:r>
              <w:rPr>
                <w:rFonts w:ascii="Times New Roman" w:cs="Times New Roman" w:eastAsia="Times New Roman" w:hAnsi="Times New Roman"/>
                <w:sz w:val="18"/>
                <w:szCs w:val="18"/>
                <w:color w:val="auto"/>
                <w:vertAlign w:val="superscript"/>
              </w:rPr>
              <w:t>1</w:t>
            </w:r>
          </w:p>
        </w:tc>
        <w:tc>
          <w:tcPr>
            <w:tcW w:w="1800" w:type="dxa"/>
            <w:vAlign w:val="bottom"/>
            <w:shd w:val="clear" w:color="auto" w:fill="CCEEFF"/>
          </w:tcPr>
          <w:p>
            <w:pPr>
              <w:jc w:val="right"/>
              <w:ind w:right="16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47,942</w:t>
            </w:r>
          </w:p>
        </w:tc>
      </w:tr>
    </w:tbl>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Deferred loan costs for the revolving line-of-credit as of September 30, 2024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3"/>
          <w:szCs w:val="13"/>
          <w:color w:val="auto"/>
        </w:rPr>
        <w:t xml:space="preserve"> December 31, 2023 were recorded under the caption Other Assets on the Consolidated Balance Sheets.</w:t>
      </w:r>
    </w:p>
    <w:p>
      <w:pPr>
        <w:spacing w:after="0" w:line="1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On November 17, 2023, the Company entered into a Credit Agreement with AgWest Farm Credit, PCA and certain other lenders (the Revolving Credit Facility). The Revolving Credit Facility provides TRC a RCL in the amount of $160,000,000. The RCL requires interest only payments and has a maturity date of January 1, 2029. As of September 30, 2024, the outstanding balance under the RCL was $59,942,000, and the interest rate was one-month term SOFR plus a margin of 2.25% for an effective rate of 7.45%.</w:t>
      </w:r>
    </w:p>
    <w:p>
      <w:pPr>
        <w:spacing w:after="0" w:line="10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Funds from the RCL in November 2023 were used to pay off and close out the existing Bank of America, N.A. Term Note (the Bank of America Term Loan) and Revolving Line of Credit Note. The amount of this pay off was $47,078,564 plus accrued interest and fees on the Bank of America Term Note. The Company evaluated the debt exchange under ASC Topic 470 and determined that the exchange should be treated as a debt extinguishment.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6" w:name="page17"/>
    <w:bookmarkEnd w:id="16"/>
    <w:p>
      <w:pPr>
        <w:ind w:left="280" w:hanging="275"/>
        <w:spacing w:after="0"/>
        <w:tabs>
          <w:tab w:leader="none" w:pos="2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liabilities consisted of the following: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Pr>
          <w:p>
            <w:pPr>
              <w:spacing w:after="0"/>
              <w:rPr>
                <w:sz w:val="16"/>
                <w:szCs w:val="16"/>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September 30, 2024</w:t>
            </w:r>
          </w:p>
        </w:tc>
        <w:tc>
          <w:tcPr>
            <w:tcW w:w="340" w:type="dxa"/>
            <w:vAlign w:val="bottom"/>
          </w:tcPr>
          <w:p>
            <w:pPr>
              <w:spacing w:after="0"/>
              <w:rPr>
                <w:sz w:val="16"/>
                <w:szCs w:val="16"/>
                <w:color w:val="auto"/>
              </w:rPr>
            </w:pPr>
          </w:p>
        </w:tc>
        <w:tc>
          <w:tcPr>
            <w:tcW w:w="19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1"/>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 liability (See Note 12)</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6,124</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Excess joint venture distributions and other (See Note 14)</w:t>
            </w: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9,083</w:t>
            </w:r>
          </w:p>
        </w:tc>
      </w:tr>
      <w:tr>
        <w:trPr>
          <w:trHeight w:val="196"/>
        </w:trPr>
        <w:tc>
          <w:tcPr>
            <w:tcW w:w="6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280" w:hanging="275"/>
        <w:spacing w:after="0"/>
        <w:tabs>
          <w:tab w:leader="none" w:pos="2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 COMPENSATION - RESTRICTED STOCK AND PERFORMANCE SHARE GRANTS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the grant date fair value for market-based awards is determined using a </w:t>
      </w:r>
      <w:r>
        <w:rPr>
          <w:rFonts w:ascii="Times New Roman" w:cs="Times New Roman" w:eastAsia="Times New Roman" w:hAnsi="Times New Roman"/>
          <w:sz w:val="14"/>
          <w:szCs w:val="14"/>
          <w:i w:val="1"/>
          <w:iCs w:val="1"/>
          <w:color w:val="auto"/>
        </w:rPr>
        <w:t>Monte Carlo</w:t>
      </w:r>
      <w:r>
        <w:rPr>
          <w:rFonts w:ascii="Times New Roman" w:cs="Times New Roman" w:eastAsia="Times New Roman" w:hAnsi="Times New Roman"/>
          <w:sz w:val="14"/>
          <w:szCs w:val="14"/>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Performance Condition Grants outstanding as of September 30, 2024:</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6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tcPr>
          <w:p>
            <w:pPr>
              <w:jc w:val="right"/>
              <w:ind w:right="4669"/>
              <w:spacing w:after="0"/>
              <w:rPr>
                <w:sz w:val="20"/>
                <w:szCs w:val="20"/>
                <w:color w:val="auto"/>
              </w:rPr>
            </w:pPr>
            <w:r>
              <w:rPr>
                <w:rFonts w:ascii="Times New Roman" w:cs="Times New Roman" w:eastAsia="Times New Roman" w:hAnsi="Times New Roman"/>
                <w:sz w:val="14"/>
                <w:szCs w:val="14"/>
                <w:color w:val="auto"/>
              </w:rPr>
              <w:t>Performance Condition Grants</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 performance</w:t>
            </w:r>
          </w:p>
        </w:tc>
        <w:tc>
          <w:tcPr>
            <w:tcW w:w="8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429,418</w:t>
            </w: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Maximum performance</w:t>
            </w:r>
          </w:p>
        </w:tc>
        <w:tc>
          <w:tcPr>
            <w:tcW w:w="8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543,023</w:t>
            </w: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stock grant activity, both time and performance unit grants, assuming target achievement for outstanding performance grants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September 30, 2024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beginning of period at target achievement</w:t>
            </w:r>
          </w:p>
        </w:tc>
        <w:tc>
          <w:tcPr>
            <w:tcW w:w="4020" w:type="dxa"/>
            <w:vAlign w:val="bottom"/>
            <w:shd w:val="clear" w:color="auto" w:fill="CCEEFF"/>
          </w:tcPr>
          <w:p>
            <w:pPr>
              <w:spacing w:after="0"/>
              <w:rPr>
                <w:sz w:val="14"/>
                <w:szCs w:val="14"/>
                <w:color w:val="auto"/>
              </w:rPr>
            </w:pPr>
          </w:p>
        </w:tc>
        <w:tc>
          <w:tcPr>
            <w:tcW w:w="23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248,768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New stock grants/additional shares due to achievement in excess of target</w:t>
            </w:r>
          </w:p>
        </w:tc>
        <w:tc>
          <w:tcPr>
            <w:tcW w:w="640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386,956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grants</w:t>
            </w:r>
          </w:p>
        </w:tc>
        <w:tc>
          <w:tcPr>
            <w:tcW w:w="6400" w:type="dxa"/>
            <w:vAlign w:val="bottom"/>
            <w:gridSpan w:val="2"/>
            <w:shd w:val="clear" w:color="auto" w:fill="CCEEFF"/>
          </w:tcPr>
          <w:p>
            <w:pPr>
              <w:ind w:left="5880"/>
              <w:spacing w:after="0"/>
              <w:rPr>
                <w:sz w:val="20"/>
                <w:szCs w:val="20"/>
                <w:color w:val="auto"/>
              </w:rPr>
            </w:pPr>
            <w:r>
              <w:rPr>
                <w:rFonts w:ascii="Times New Roman" w:cs="Times New Roman" w:eastAsia="Times New Roman" w:hAnsi="Times New Roman"/>
                <w:sz w:val="14"/>
                <w:szCs w:val="14"/>
                <w:color w:val="auto"/>
              </w:rPr>
              <w:t>(22,025)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Expired/forfeited grants</w:t>
            </w:r>
          </w:p>
        </w:tc>
        <w:tc>
          <w:tcPr>
            <w:tcW w:w="6400" w:type="dxa"/>
            <w:vAlign w:val="bottom"/>
            <w:gridSpan w:val="2"/>
          </w:tcPr>
          <w:p>
            <w:pPr>
              <w:ind w:left="5880"/>
              <w:spacing w:after="0"/>
              <w:rPr>
                <w:sz w:val="20"/>
                <w:szCs w:val="20"/>
                <w:color w:val="auto"/>
              </w:rPr>
            </w:pPr>
            <w:r>
              <w:rPr>
                <w:rFonts w:ascii="Times New Roman" w:cs="Times New Roman" w:eastAsia="Times New Roman" w:hAnsi="Times New Roman"/>
                <w:sz w:val="14"/>
                <w:szCs w:val="14"/>
                <w:color w:val="auto"/>
              </w:rPr>
              <w:t>(10,905)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end of period at target achievement</w:t>
            </w:r>
          </w:p>
        </w:tc>
        <w:tc>
          <w:tcPr>
            <w:tcW w:w="4020" w:type="dxa"/>
            <w:vAlign w:val="bottom"/>
            <w:tcBorders>
              <w:top w:val="single" w:sz="8" w:color="CCEEFF"/>
              <w:bottom w:val="single" w:sz="8" w:color="CCEEFF"/>
            </w:tcBorders>
            <w:shd w:val="clear" w:color="auto" w:fill="CCEEFF"/>
          </w:tcPr>
          <w:p>
            <w:pPr>
              <w:spacing w:after="0"/>
              <w:rPr>
                <w:sz w:val="16"/>
                <w:szCs w:val="16"/>
                <w:color w:val="auto"/>
              </w:rPr>
            </w:pPr>
          </w:p>
        </w:tc>
        <w:tc>
          <w:tcPr>
            <w:tcW w:w="2380" w:type="dxa"/>
            <w:vAlign w:val="bottom"/>
            <w:tcBorders>
              <w:top w:val="single" w:sz="8" w:color="auto"/>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602,794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3109"/>
              <w:spacing w:after="0"/>
              <w:rPr>
                <w:sz w:val="20"/>
                <w:szCs w:val="20"/>
                <w:color w:val="auto"/>
              </w:rPr>
            </w:pPr>
            <w:r>
              <w:rPr>
                <w:rFonts w:ascii="Times New Roman" w:cs="Times New Roman" w:eastAsia="Times New Roman" w:hAnsi="Times New Roman"/>
                <w:sz w:val="14"/>
                <w:szCs w:val="14"/>
                <w:color w:val="auto"/>
              </w:rPr>
              <w:t>17</w:t>
            </w: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860" w:type="dxa"/>
            <w:vAlign w:val="bottom"/>
            <w:tcBorders>
              <w:bottom w:val="single" w:sz="8" w:color="9A9A9A"/>
            </w:tcBorders>
          </w:tcPr>
          <w:p>
            <w:pPr>
              <w:spacing w:after="0"/>
              <w:rPr>
                <w:sz w:val="7"/>
                <w:szCs w:val="7"/>
                <w:color w:val="auto"/>
              </w:rPr>
            </w:pPr>
          </w:p>
        </w:tc>
        <w:tc>
          <w:tcPr>
            <w:tcW w:w="402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The following is a summary of the assumptions used to determine the fair value for the Company’s outstanding market-based Performance Condition Grants as of September 30,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03/17/2022</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12/14/2022</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06/16/2023</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12/16/2024</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03/17/2025</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12/14/2025</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 share price to achieve award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$21.58</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$20.43</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$21.99</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$20.72</w:t>
            </w:r>
          </w:p>
        </w:tc>
      </w:tr>
      <w:tr>
        <w:trPr>
          <w:trHeight w:val="212"/>
        </w:trPr>
        <w:tc>
          <w:tcPr>
            <w:tcW w:w="5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31.29%</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31.54%</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32.14%</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26.58%</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0.92%</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4.38%</w:t>
            </w:r>
          </w:p>
        </w:tc>
      </w:tr>
      <w:tr>
        <w:trPr>
          <w:trHeight w:val="212"/>
        </w:trPr>
        <w:tc>
          <w:tcPr>
            <w:tcW w:w="5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$21.48</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$21.75</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$26.00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3,536</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13,338</w:t>
            </w:r>
          </w:p>
        </w:tc>
        <w:tc>
          <w:tcPr>
            <w:tcW w:w="8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4,613</w:t>
            </w:r>
          </w:p>
        </w:tc>
        <w:tc>
          <w:tcPr>
            <w:tcW w:w="10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9,515</w:t>
            </w: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$76</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$290</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$193</w:t>
            </w:r>
          </w:p>
        </w:tc>
      </w:tr>
      <w:tr>
        <w:trPr>
          <w:trHeight w:val="463"/>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08/21/2023</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12/16/2023</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03/13/2024</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03/13/2024</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12/31/2025</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12/31/2024</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03/22/2027</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price at target achievement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$19.65</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$17.58</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$18.93</w:t>
            </w:r>
          </w:p>
        </w:tc>
      </w:tr>
      <w:tr>
        <w:trPr>
          <w:trHeight w:val="212"/>
        </w:trPr>
        <w:tc>
          <w:tcPr>
            <w:tcW w:w="5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25.55%</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25.91%</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25.56%</w:t>
            </w: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4.74%</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4.62%</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4.31%</w:t>
            </w:r>
          </w:p>
        </w:tc>
      </w:tr>
      <w:tr>
        <w:trPr>
          <w:trHeight w:val="212"/>
        </w:trPr>
        <w:tc>
          <w:tcPr>
            <w:tcW w:w="5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$19.74</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$15.58</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$18.36</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1,650</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4,828</w:t>
            </w:r>
          </w:p>
        </w:tc>
        <w:tc>
          <w:tcPr>
            <w:tcW w:w="8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18,626</w:t>
            </w:r>
          </w:p>
        </w:tc>
        <w:tc>
          <w:tcPr>
            <w:tcW w:w="10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15,225</w:t>
            </w: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$30</w:t>
            </w:r>
          </w:p>
        </w:tc>
        <w:tc>
          <w:tcPr>
            <w:tcW w:w="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$290</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$280</w:t>
            </w:r>
          </w:p>
        </w:tc>
      </w:tr>
    </w:tbl>
    <w:p>
      <w:pPr>
        <w:spacing w:after="0" w:line="23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4"/>
          <w:szCs w:val="14"/>
          <w:color w:val="auto"/>
        </w:rPr>
        <w:t>The unamortized cost associated with unvested stock grants and the weighted average period over which it is expected to be recognized as of September 30, 2024 were $4,196,000 and 14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and is expensed over the performance period if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number of awards probable of vesting and expenses the grant date fair value of such awards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Cash-Settled Awards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Time-Based Cash-Settled Awards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March 13, 2024, the Company granted 75,117 time-based cash-settled awards to the Chief Executive Officer that vest on December 31, 2024. These awards are classified as liabilities, measured at fair value on the date of grant, and remeasured at each reporting date, based on the Company’s share price. Compensation cost is amortized on a straight-line method over the remaining vesting period. As of September 30, 2024, $0.4 million of total unrecognized compensation cost is expected to be recognized on outstanding cash-settled awards over the remaining vesting period based on fair value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auto"/>
        </w:rPr>
        <w:t>Performance-Based Cash-Settled Awards</w:t>
      </w:r>
    </w:p>
    <w:p>
      <w:pPr>
        <w:spacing w:after="0" w:line="7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4"/>
          <w:szCs w:val="14"/>
          <w:color w:val="auto"/>
        </w:rPr>
        <w:t>On March 13, 2024, the Company granted 14,867 performance condition grants, with market-based conditions, that are cash-settled awards to the Chief Executive Officer. These awards are classified as liabilities, measured at fair value on the date of grant, and remeasured at each reporting date based on a Monte Carlo model. Compensation cost is recognized in proportion to the completed requisite service period through December 31, 2024. The amount of awards earned ranges between 0% and 200% of the target amount depending upon performance achieved over the performance period commencing on the grant date and ending on the last day of the Company’s 2024 fiscal year, and settled in cash. The performance conditions of the award are achieved at a target share price of $17.58. As of September 30, 2024, $0.1 million of total unrecognized compensation cost is expected to be recognized on outstanding performance-based cash-settled awards over the remaining performance period based on the fair value as of September 30, 2024.</w:t>
      </w:r>
    </w:p>
    <w:p>
      <w:pPr>
        <w:spacing w:after="0" w:line="4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4"/>
          <w:szCs w:val="14"/>
          <w:color w:val="auto"/>
        </w:rPr>
        <w:t>On March 13, 2024, the Company granted 120,188 performance milestone cash-settled awards to the Chief Executive Officer. These awards are classified as liabilities, measured at fair value on the date of grant, and remeasured at each reporting date, based on the Company’s share price. Compensation cost is recognized based on an estimate of the probability of achieving the performance objective at the associated level of achievement in proportion to the completed requisite service period through December 31, 2024. The amount of awards earned for each milestone is either 0% or 100% of the target amount depending upon performance achieved over the performance period commencing on the grant date and ending on the last day of the Company’s 2024 fiscal year, and settled in cash. The performance conditions of the award are achieved based on established milestones. If such milestones are not met or become not probable of being met during the performance period, no compensation cost is recognized and any previously recognized compensation cost is reversed. As of September 30, 2024, $0.6 million of total unrecognized compensation cost is expected to be recognized on outstanding performance-based cash-settled awards over the remaining performance period based on the fair value and the estimated probability of achievement as of September 30,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2023 Stock Incentive Plan, each non-employee director, during the years presented, received all or a portion of his or her annual compensation in stock.</w:t>
      </w:r>
    </w:p>
    <w:p>
      <w:pPr>
        <w:spacing w:after="0" w:line="1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following table summarizes stock compensation costs for the Company's 2023 Stock Incentive Plan, 1998 Stock Incentive Plan, and the prior Non-Employee Director Stock Incentive Plan for the following periods: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100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Employee:</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Expensed</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w:t>
            </w:r>
          </w:p>
        </w:tc>
      </w:tr>
      <w:tr>
        <w:trPr>
          <w:trHeight w:val="180"/>
        </w:trPr>
        <w:tc>
          <w:tcPr>
            <w:tcW w:w="7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Capitalized</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71"/>
        </w:trPr>
        <w:tc>
          <w:tcPr>
            <w:tcW w:w="7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r>
      <w:tr>
        <w:trPr>
          <w:trHeight w:val="18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Director:</w:t>
            </w: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 Compensation Costs</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60" w:hanging="355"/>
        <w:spacing w:after="0"/>
        <w:tabs>
          <w:tab w:leader="none" w:pos="36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Company’s provision for income taxes as of September 30, 2024 has been calculated by applying an estimate of the annual effective tax rate for the full year to “ordinary” income or loss (pre-tax income or loss excluding unusual or infrequently occurring discrete items). For the nine months ended September 30, 2024, the Company’s income tax benefit was $286,000 compared to income tax expense of $3,619,000 for the nine months ended September 30, 2023. Effective tax rates were 14% and 68% for the nine months ended September 30, 2024 and 2023, respectively. As of September 30, 2024, the Company had income taxes receivable of $1,814,000. The Company classifies interest and penalties incurred on tax payments as income tax expense.</w:t>
      </w:r>
    </w:p>
    <w:p>
      <w:pPr>
        <w:spacing w:after="0" w:line="3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2024, the Company’s effective tax rate was above statutory tax rates as a result of permanent differences related to Internal Revenue Code Section 162(m) limitations. Internal Revenue Code Section 162(m) compensation deduction limitations occurred as a result of changes in tax law arising from the 2017 Tax Cuts and Jobs Act.</w:t>
      </w:r>
    </w:p>
    <w:p>
      <w:pPr>
        <w:spacing w:after="0" w:line="80" w:lineRule="exact"/>
        <w:rPr>
          <w:sz w:val="20"/>
          <w:szCs w:val="20"/>
          <w:color w:val="auto"/>
        </w:rPr>
      </w:pPr>
    </w:p>
    <w:p>
      <w:pPr>
        <w:ind w:right="8220" w:firstLine="5"/>
        <w:spacing w:after="0" w:line="365" w:lineRule="auto"/>
        <w:tabs>
          <w:tab w:leader="none" w:pos="346"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Water Contracts</w:t>
      </w:r>
    </w:p>
    <w:p>
      <w:pPr>
        <w:spacing w:after="0" w:line="270" w:lineRule="auto"/>
        <w:rPr>
          <w:sz w:val="20"/>
          <w:szCs w:val="20"/>
          <w:color w:val="auto"/>
        </w:rPr>
      </w:pPr>
      <w:r>
        <w:rPr>
          <w:rFonts w:ascii="Times New Roman" w:cs="Times New Roman" w:eastAsia="Times New Roman" w:hAnsi="Times New Roman"/>
          <w:sz w:val="14"/>
          <w:szCs w:val="14"/>
          <w:color w:val="auto"/>
        </w:rPr>
        <w:t>The Company has secured water contracts that are encumbered by the Company's land. These water contracts require minimum annual payments, for which $12,495,000 was paid as of September 30, 2024. These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$288,905,000 as of September 30, 2024.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auto"/>
        </w:rPr>
        <w:t>Contracts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determined until the future payment dates. As of September 30, 2024, the Company believes the net savings resulting from exiting the contract during this future time period will more than offset the incentive payment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Community Facilities Districts</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As of September 30, 2024, the TRCC-East CFD has approximately $18,605,000 of additional bond debt authorized by TRPFFA that can be sold in the future.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landowner in each CFD, the Company is obligated to pay its share of the special taxes assessed each year. The secured lands include both the TRCC-West and TRCC-East developments.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the sale of West CFD bonds went to reimburse the Company for public infrastructure costs related to the TRCC-West development. As of September 30, 2024, there were no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improvement funds remaining from the West CFD bonds. As of September 30, 2024, there are $32,284,000 of additional improvement funds remaining within the East CFD bonds for reimbursement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public infrastructure costs during future years. On July 25, 2024, TRPFFA sold bonds which will provide approximately $25,000,000 of improvement funds for the reimbursement of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infrastructure costs at TRCC-East. On October 16, 2024, the Company received $7,284,000 reimbursement proceeds from the East CFD funds, reducing the amount of funds remaining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$25,000,000. During fiscal year 2024, the Company expects to pay approximately $3,282,000 in special taxes. As development continues to occur at TRCC, new owners of land and new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tenants, through triple net leases, will bear an increasing portion of the assessed special tax. This amount could change in the future, based on the amount of bonds outstanding and the amount of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by others. The assessment of each individual property sold or leased is not determinable at this time, because it is based on the current tax rate and assessed value of the property at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 or on its assessed value at the time it is leased to a third-party. Accordingly, the Company was not required to recognize an obligation on September 30,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Centennial</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EIR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CBD and the CNPS filed an action in Los Angeles County Superior Court (the CBD/CNPS Action) against LA County; like the Climate Resolve Action, the CBD/CNPS Action also challenges the Centennial Approvals. The Company, its wholly owned subsidiary Tejon Ranchcorp, and CFL are named as real parties-in-interest in both the Climate Resolve Action and the CBD/CNPS Action.</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while not consolidated under court rules or the rules of civil procedure, the Los Angeles Superior Court judge (or Court) trying both cases determined during early trial management conferences to hold one set of hearings and issue one ruling on the matters as part of the adjudication. The Climate Resolve Action and CBD/CNPS Action seek to invalidate the Centennial Approvals and require LA County to revise the environmental documentation related to the Centennial project. The Court held three hearings for the CBD/CNPS Action and Climate Resolve Action on September 30, 2020, November 13, 2020, and January 8,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20" w:name="page21"/>
    <w:bookmarkEnd w:id="20"/>
    <w:p>
      <w:pPr>
        <w:ind w:right="100"/>
        <w:spacing w:after="0" w:line="258" w:lineRule="auto"/>
        <w:rPr>
          <w:sz w:val="20"/>
          <w:szCs w:val="20"/>
          <w:color w:val="auto"/>
        </w:rPr>
      </w:pPr>
      <w:r>
        <w:rPr>
          <w:rFonts w:ascii="Times New Roman" w:cs="Times New Roman" w:eastAsia="Times New Roman" w:hAnsi="Times New Roman"/>
          <w:sz w:val="14"/>
          <w:szCs w:val="14"/>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its case based on the Court's conclusions in the Climate Resolve Action (“Motion for Reconsideration”). The hearing on the Motion for Reconsideration originally scheduled for August 13, 2021 was rescheduled to December 1, 2021 and further rescheduled as noted below.</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On November 30, 2021, the Company, together with Ranchcorp and CFL, entered into a Settlement Agreement with Climate Resolve. Pursuant to the Settlement Agreement, the Company has agreed as stated and obligated in the Settlement Agreement: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Court. On December 3, 2021, the Court granted and entered Climate Resolve’s dismissal with prejudice concluding the Climate Resolve Action. On December 1, 2021, the Court continued CBD/CNPS Motion for Reconsideration to January 14, 2022, directing CBD/CNPS to evaluate the Settlement Agreement reached in the Climate Resolve Action to address issues surrounding remedies should CBD be granted prevailing party status in its case based on the Court’s conclusions in the Climate Resolve Action, and to evaluate the potential to settle or otherwise address CBD’s objections to the Centennial project. To that end, the Company met and conferred twice on January 4, 2022 and January 20, 2022. On January 14, 2022, the Court heard CBD/CNPS' Motion for Reconsideration and issued its decision granting CBD/CNPS prevailing party status based on the Court’s conclusions in the Climate Resolve Action.</w:t>
      </w:r>
    </w:p>
    <w:p>
      <w:pPr>
        <w:spacing w:after="0" w:line="5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Court set a tentative hearing date of February 25, 2022 concerning the entry of final judgment and awarding of appropriate remedies, which was continued several times in 2022 either on the Court's own motion or at the request of the parties and was ultimately set for hearing on October 26, 2022. At the October 26th hearing, the Court agreed to: (a) hear the Company’s Motion for Reconsideration as to the successful challenges Climate Resolve prevailed upon within the Climate Resolve Action and ordered the Parties to appear on December 14, 2022 to hear the Company’s Motion for Reconsideration and (b) rule on the entry of final judgment and setting of remedies at a February 17, 2023 hearing date.</w:t>
      </w:r>
    </w:p>
    <w:p>
      <w:pPr>
        <w:spacing w:after="0" w:line="4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At the December 14, 2022 hearing, the Court denied the Company’s Motion for Reconsideration (finding that the Company’s motion failed to support the statutory elements necessary to prevail on such motion). At the February 17, 2023 hearing, the Court took into submission the Parties’ legal briefs and oral arguments. On March 22, 2023, the Court decided in favor of CBD/CNPS when the Judge signed CBD/CNPS’s proposed form of judgment, which included a full rescission of the Centennial project approvals previously issued by Los Angeles County. On May 26, 2023, the Company filed a Notice of Appeal with the Superior Court, thereby appealing the Superior Court’s decision to the Second District of the California Court of Appeal. On June 27, 2023, CBD/CNPS cross-appealed the Superior Court’s ruling. Briefing at the Court of Appeal is complete and the parties are awaiting a hearing date. During the appeal process the Superior Court’s order of the rescission of project approvals have been placed on hold.</w:t>
      </w:r>
    </w:p>
    <w:p>
      <w:pPr>
        <w:spacing w:after="0" w:line="40" w:lineRule="exact"/>
        <w:rPr>
          <w:sz w:val="20"/>
          <w:szCs w:val="20"/>
          <w:color w:val="auto"/>
        </w:rPr>
      </w:pPr>
    </w:p>
    <w:p>
      <w:pPr>
        <w:ind w:right="2160"/>
        <w:spacing w:after="0" w:line="363" w:lineRule="auto"/>
        <w:rPr>
          <w:sz w:val="20"/>
          <w:szCs w:val="20"/>
          <w:color w:val="auto"/>
        </w:rPr>
      </w:pPr>
      <w:r>
        <w:rPr>
          <w:rFonts w:ascii="Times New Roman" w:cs="Times New Roman" w:eastAsia="Times New Roman" w:hAnsi="Times New Roman"/>
          <w:sz w:val="14"/>
          <w:szCs w:val="14"/>
          <w:color w:val="auto"/>
        </w:rPr>
        <w:t xml:space="preserve">As the Company’s options to reinstate the project approvals remain pending, the monetary value of any adverse decision, if any, cannot be estimated at this time. </w:t>
      </w:r>
      <w:r>
        <w:rPr>
          <w:rFonts w:ascii="Times New Roman" w:cs="Times New Roman" w:eastAsia="Times New Roman" w:hAnsi="Times New Roman"/>
          <w:sz w:val="14"/>
          <w:szCs w:val="14"/>
          <w:i w:val="1"/>
          <w:iCs w:val="1"/>
          <w:color w:val="auto"/>
        </w:rPr>
        <w:t>Proceedings Incidental to Business</w:t>
      </w:r>
    </w:p>
    <w:p>
      <w:pPr>
        <w:spacing w:after="0" w:line="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1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21" w:name="page22"/>
    <w:bookmarkEnd w:id="21"/>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RETIREMENT PLANS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2024.</w:t>
      </w:r>
    </w:p>
    <w:p>
      <w:pPr>
        <w:spacing w:after="0" w:line="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September 30, 2024, the investment mixes were approximately at 99% debt and 1% money market funds. At December 31, 2023, the investment mixes were approximately 99% debt, and 1% money market funds. The weighted-average discount rate used in determining the periodic pension cost is 4.85% in both 2024 and 2023. The expected long-term rate of return on plan assets is 5.00% for both fiscal 2024 and 2023. The long-term rate of return on Benefit Plan assets is based on the historical returns within the plan and expectations for future returns.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Total pension and retirement earnings for the Benefit Plan was as follows:</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6"/>
        </w:trPr>
        <w:tc>
          <w:tcPr>
            <w:tcW w:w="73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4"/>
          </w:tcPr>
          <w:p>
            <w:pPr>
              <w:jc w:val="right"/>
              <w:ind w:right="86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2023</w:t>
            </w:r>
          </w:p>
        </w:tc>
      </w:tr>
      <w:tr>
        <w:trPr>
          <w:trHeight w:val="160"/>
        </w:trPr>
        <w:tc>
          <w:tcPr>
            <w:tcW w:w="7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(Cost)/earnings components: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80"/>
        </w:trPr>
        <w:tc>
          <w:tcPr>
            <w:tcW w:w="7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0"/>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7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The pension and retirement expense for the SERP was as follows:</w:t>
            </w:r>
          </w:p>
        </w:tc>
        <w:tc>
          <w:tcPr>
            <w:tcW w:w="2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gridSpan w:val="4"/>
          </w:tcPr>
          <w:p>
            <w:pPr>
              <w:jc w:val="right"/>
              <w:ind w:right="88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components:</w:t>
            </w:r>
          </w:p>
        </w:tc>
        <w:tc>
          <w:tcPr>
            <w:tcW w:w="2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31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80"/>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amortization and other</w:t>
            </w:r>
          </w:p>
        </w:tc>
        <w:tc>
          <w:tcPr>
            <w:tcW w:w="27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w:t>
            </w:r>
          </w:p>
        </w:tc>
        <w:tc>
          <w:tcPr>
            <w:tcW w:w="2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Times New Roman" w:cs="Times New Roman" w:eastAsia="Times New Roman" w:hAnsi="Times New Roman"/>
                <w:sz w:val="14"/>
                <w:szCs w:val="14"/>
                <w:color w:val="auto"/>
              </w:rPr>
              <w:t>22</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6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2" w:name="page23"/>
    <w:bookmarkEnd w:id="22"/>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REPORTING SEGMENTS AND RELATED INFORMATION</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Commercial/Industrial Development</w:t>
      </w:r>
    </w:p>
    <w:p>
      <w:pPr>
        <w:spacing w:after="0" w:line="8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Commercial/Industrial real estate development segment revenues consist of leases of land and/or building space to tenants at the Company's commercial retail and industrial developments, base and percentage rents from the PEF power plant lease, communication tower rents, land sales, and payments from easement leases. Refer to Note 14 (Investment in Unconsolidated and Consolidated Joint Ventures) for discussion of unconsolidated joint ventures.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revenues, expenses and operating income from this segment for the periods 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60" w:type="dxa"/>
            <w:vAlign w:val="bottom"/>
          </w:tcPr>
          <w:p>
            <w:pPr>
              <w:spacing w:after="0"/>
              <w:rPr>
                <w:sz w:val="16"/>
                <w:szCs w:val="16"/>
                <w:color w:val="auto"/>
              </w:rPr>
            </w:pPr>
          </w:p>
        </w:tc>
        <w:tc>
          <w:tcPr>
            <w:tcW w:w="290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8,706</w:t>
            </w:r>
          </w:p>
        </w:tc>
      </w:tr>
      <w:tr>
        <w:trPr>
          <w:trHeight w:val="180"/>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4,616</w:t>
            </w:r>
          </w:p>
        </w:tc>
      </w:tr>
      <w:tr>
        <w:trPr>
          <w:trHeight w:val="124"/>
        </w:trPr>
        <w:tc>
          <w:tcPr>
            <w:tcW w:w="45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Commercial/industrial revenues and equity in earnings of unconsolidated joint</w:t>
            </w:r>
          </w:p>
        </w:tc>
        <w:tc>
          <w:tcPr>
            <w:tcW w:w="3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8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ventures</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13,322</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Commercial/industrial expenses</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5,517</w:t>
            </w: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commercial/industrial and unconsolidated joint ventures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Resort/Residential Development</w:t>
      </w:r>
    </w:p>
    <w:p>
      <w:pPr>
        <w:spacing w:after="0" w:line="7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$328,000 and $367,000 for the three months ended September 30, 2024 and 2023, respectively. The segment generated losses of $2,316,000 and $1,079,000 for the nine months ended September 30, 2024 and 2023,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Mineral Resources</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00" w:type="dxa"/>
            <w:vAlign w:val="bottom"/>
          </w:tcPr>
          <w:p>
            <w:pPr>
              <w:spacing w:after="0"/>
              <w:rPr>
                <w:sz w:val="16"/>
                <w:szCs w:val="16"/>
                <w:color w:val="auto"/>
              </w:rPr>
            </w:pPr>
          </w:p>
        </w:tc>
        <w:tc>
          <w:tcPr>
            <w:tcW w:w="3380" w:type="dxa"/>
            <w:vAlign w:val="bottom"/>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11,630</w:t>
            </w:r>
          </w:p>
        </w:tc>
      </w:tr>
      <w:tr>
        <w:trPr>
          <w:trHeight w:val="180"/>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Mineral resources expenses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6,991</w:t>
            </w:r>
          </w:p>
        </w:tc>
      </w:tr>
      <w:tr>
        <w:trPr>
          <w:trHeight w:val="1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mineral resources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Farming</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Farming segment revenues include the sale of almonds, pistachios, wine grapes, and hay. The following table summarizes revenues, expenses and operating results from this segment for the periods ended: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00" w:type="dxa"/>
            <w:vAlign w:val="bottom"/>
          </w:tcPr>
          <w:p>
            <w:pPr>
              <w:spacing w:after="0"/>
              <w:rPr>
                <w:sz w:val="16"/>
                <w:szCs w:val="16"/>
                <w:color w:val="auto"/>
              </w:rPr>
            </w:pPr>
          </w:p>
        </w:tc>
        <w:tc>
          <w:tcPr>
            <w:tcW w:w="30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Farming revenues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center"/>
              <w:ind w:left="869"/>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4,249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w:t>
            </w:r>
          </w:p>
        </w:tc>
      </w:tr>
      <w:tr>
        <w:trPr>
          <w:trHeight w:val="180"/>
        </w:trPr>
        <w:tc>
          <w:tcPr>
            <w:tcW w:w="4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Farming expenses</w:t>
            </w: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869"/>
              <w:spacing w:after="0"/>
              <w:rPr>
                <w:sz w:val="20"/>
                <w:szCs w:val="20"/>
                <w:color w:val="auto"/>
              </w:rPr>
            </w:pPr>
            <w:r>
              <w:rPr>
                <w:rFonts w:ascii="Times New Roman" w:cs="Times New Roman" w:eastAsia="Times New Roman" w:hAnsi="Times New Roman"/>
                <w:sz w:val="14"/>
                <w:szCs w:val="14"/>
                <w:color w:val="auto"/>
              </w:rPr>
              <w:t>6,252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left="849"/>
              <w:spacing w:after="0"/>
              <w:rPr>
                <w:sz w:val="20"/>
                <w:szCs w:val="20"/>
                <w:color w:val="auto"/>
              </w:rPr>
            </w:pPr>
            <w:r>
              <w:rPr>
                <w:rFonts w:ascii="Times New Roman" w:cs="Times New Roman" w:eastAsia="Times New Roman" w:hAnsi="Times New Roman"/>
                <w:sz w:val="14"/>
                <w:szCs w:val="14"/>
                <w:color w:val="auto"/>
              </w:rPr>
              <w:t>9,406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5,644</w:t>
            </w: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farming</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(5,157)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630"/>
        </w:trPr>
        <w:tc>
          <w:tcPr>
            <w:tcW w:w="4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7"/>
        </w:trPr>
        <w:tc>
          <w:tcPr>
            <w:tcW w:w="4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Ranch Operations</w:t>
      </w:r>
    </w:p>
    <w:p>
      <w:pPr>
        <w:spacing w:after="0" w:line="7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12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r>
      <w:tr>
        <w:trPr>
          <w:trHeight w:val="180"/>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Ranch operations expenses</w:t>
            </w: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w:t>
            </w: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results from ranch operations</w:t>
            </w:r>
          </w:p>
        </w:tc>
        <w:tc>
          <w:tcPr>
            <w:tcW w:w="120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INVESTMENT IN UNCONSOLIDATED AND CONSOLIDATED JOINT VENTURES</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2024 was $34,429,000. The equity in the income of unconsolidated joint ventures was $7,611,000 for the nine months ended September 30, 2024. The unconsolidated joint ventures have not been consolidated as of September 30, 2024, because the Company does not control the investments. The Company’s current joint ventures are as follows:</w:t>
      </w:r>
    </w:p>
    <w:p>
      <w:pPr>
        <w:spacing w:after="0" w:line="98" w:lineRule="exact"/>
        <w:rPr>
          <w:sz w:val="20"/>
          <w:szCs w:val="20"/>
          <w:color w:val="auto"/>
        </w:rPr>
      </w:pPr>
    </w:p>
    <w:p>
      <w:pPr>
        <w:ind w:left="360" w:hanging="260"/>
        <w:spacing w:after="0" w:line="261" w:lineRule="auto"/>
        <w:tabs>
          <w:tab w:leader="none" w:pos="3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$25,374,000 as of September 30, 2024.</w:t>
      </w:r>
    </w:p>
    <w:p>
      <w:pPr>
        <w:spacing w:after="0" w:line="100" w:lineRule="exact"/>
        <w:rPr>
          <w:rFonts w:ascii="Times New Roman" w:cs="Times New Roman" w:eastAsia="Times New Roman" w:hAnsi="Times New Roman"/>
          <w:sz w:val="14"/>
          <w:szCs w:val="14"/>
          <w:color w:val="auto"/>
        </w:rPr>
      </w:pPr>
    </w:p>
    <w:p>
      <w:pPr>
        <w:ind w:left="360" w:right="140" w:hanging="260"/>
        <w:spacing w:after="0" w:line="258" w:lineRule="auto"/>
        <w:tabs>
          <w:tab w:leader="none" w:pos="3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Majestic Realty Co. – Majestic Realty Co., or Majestic, is a privately-held developer and owner of industrial and commercial properties throughout the United States. The Company partnered with Majestic to form five active 50/50 joint ventures to acquire, develop, manage, and operate industrial real estate at TRCC. The partners have equal voting rights and equally share in the profit and loss of each joint venture. All outstanding debt attributed to our joint ventures with Majestic have met their respective debt covenants, and hence were not subject to an effective guarantee at September 30, 2024.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51" w:lineRule="exact"/>
        <w:rPr>
          <w:rFonts w:ascii="Times New Roman" w:cs="Times New Roman" w:eastAsia="Times New Roman" w:hAnsi="Times New Roman"/>
          <w:sz w:val="14"/>
          <w:szCs w:val="14"/>
          <w:color w:val="auto"/>
        </w:rPr>
      </w:pPr>
    </w:p>
    <w:p>
      <w:pPr>
        <w:ind w:left="760" w:right="140" w:hanging="246"/>
        <w:spacing w:after="0" w:line="264" w:lineRule="auto"/>
        <w:tabs>
          <w:tab w:leader="none" w:pos="756"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$52,984,000 as of September 30, 2024. Since its inception, the Company has received excess distributions resulting in a deficit balance in its investment of $1,441,000.</w:t>
      </w:r>
    </w:p>
    <w:p>
      <w:pPr>
        <w:spacing w:after="0" w:line="55" w:lineRule="exact"/>
        <w:rPr>
          <w:rFonts w:ascii="Times New Roman" w:cs="Times New Roman" w:eastAsia="Times New Roman" w:hAnsi="Times New Roman"/>
          <w:sz w:val="14"/>
          <w:szCs w:val="14"/>
          <w:color w:val="auto"/>
        </w:rPr>
      </w:pPr>
    </w:p>
    <w:p>
      <w:pPr>
        <w:ind w:left="760" w:right="180" w:hanging="246"/>
        <w:spacing w:after="0" w:line="264" w:lineRule="auto"/>
        <w:tabs>
          <w:tab w:leader="none" w:pos="756"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$61,144,000 as of September 30, 2024. Since its inception, the Company has received excess distributions resulting in a deficit balance in its investment of $6,106,000.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4" w:name="page25"/>
    <w:bookmarkEnd w:id="24"/>
    <w:p>
      <w:pPr>
        <w:ind w:left="760" w:hanging="246"/>
        <w:spacing w:after="0" w:line="261" w:lineRule="auto"/>
        <w:tabs>
          <w:tab w:leader="none" w:pos="75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2018, TRC-MRC 3, LLC was formed to pursue the development, construction, leasing, and management of a 579,040 square foot industrial building on the Company's property at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$32,952,000 as of September 30, 2024. The Company's investment in this joint venture was $242,000 as of September 30, 2024.</w:t>
      </w:r>
    </w:p>
    <w:p>
      <w:pPr>
        <w:spacing w:after="0" w:line="58" w:lineRule="exact"/>
        <w:rPr>
          <w:rFonts w:ascii="Times New Roman" w:cs="Times New Roman" w:eastAsia="Times New Roman" w:hAnsi="Times New Roman"/>
          <w:sz w:val="14"/>
          <w:szCs w:val="14"/>
          <w:color w:val="auto"/>
        </w:rPr>
      </w:pPr>
    </w:p>
    <w:p>
      <w:pPr>
        <w:ind w:left="760" w:right="100" w:hanging="246"/>
        <w:spacing w:after="0" w:line="264" w:lineRule="auto"/>
        <w:tabs>
          <w:tab w:leader="none" w:pos="75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$21,414,000 as of September 30, 2024. The building was 100% leased as of September 30, 2024. Since its inception, the Company has received excess distributions resulting in a deficit balance in its investment of $455,000.</w:t>
      </w:r>
    </w:p>
    <w:p>
      <w:pPr>
        <w:spacing w:after="0" w:line="55" w:lineRule="exact"/>
        <w:rPr>
          <w:rFonts w:ascii="Times New Roman" w:cs="Times New Roman" w:eastAsia="Times New Roman" w:hAnsi="Times New Roman"/>
          <w:sz w:val="14"/>
          <w:szCs w:val="14"/>
          <w:color w:val="auto"/>
        </w:rPr>
      </w:pPr>
    </w:p>
    <w:p>
      <w:pPr>
        <w:ind w:left="760" w:right="100" w:hanging="246"/>
        <w:spacing w:after="0" w:line="264" w:lineRule="auto"/>
        <w:tabs>
          <w:tab w:leader="none" w:pos="75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balance of the mortgage loan was $25,030,000, of which $21,642,000 was outstanding as of September 30, 2024. Since inception of the joint venture, the Company has received excess distributions resulting in a deficit balance in its investment of $1,117,000.</w:t>
      </w:r>
    </w:p>
    <w:p>
      <w:pPr>
        <w:spacing w:after="0" w:line="55" w:lineRule="exact"/>
        <w:rPr>
          <w:rFonts w:ascii="Times New Roman" w:cs="Times New Roman" w:eastAsia="Times New Roman" w:hAnsi="Times New Roman"/>
          <w:sz w:val="14"/>
          <w:szCs w:val="14"/>
          <w:color w:val="auto"/>
        </w:rPr>
      </w:pPr>
    </w:p>
    <w:p>
      <w:pPr>
        <w:ind w:left="260" w:hanging="255"/>
        <w:spacing w:after="0" w:line="256"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 This joint venture was formed in 2013 with Rockefeller Group Development Corporation, or Rockefeller to develop, own, and manage a net leasable 326,000 square foot outlet center on land at TRCC-East. At September 30, 2024, the Company’s equity investment balance in this joint venture was $8,813,000.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August 16, 2023, the TRCC/Rock Outlet Center LLC joint venture successfully extended the maturity date of its term note with a financial institution from May 31, 2024 to June 30, 2025. In connection with the loan extension, the joint venture also reduced the outstanding amount by $6,000,000. As of September 30, 2024, the outstanding balance of the term note was $20,626,000. The Company and Rockefeller guarantee the performance of the debt.</w:t>
      </w:r>
    </w:p>
    <w:p>
      <w:pPr>
        <w:spacing w:after="0" w:line="54" w:lineRule="exact"/>
        <w:rPr>
          <w:rFonts w:ascii="Times New Roman" w:cs="Times New Roman" w:eastAsia="Times New Roman" w:hAnsi="Times New Roman"/>
          <w:sz w:val="14"/>
          <w:szCs w:val="14"/>
          <w:color w:val="auto"/>
        </w:rPr>
      </w:pPr>
    </w:p>
    <w:p>
      <w:pPr>
        <w:ind w:left="260" w:right="720" w:hanging="255"/>
        <w:spacing w:after="0" w:line="271"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 CFL is a joint venture with TRI Pointe Homes to pursue the entitlement and development of land that the Company owns in Los Angeles County. As of September 30, 2024, the Company owned 93.62% of CFL.</w:t>
      </w:r>
    </w:p>
    <w:p>
      <w:pPr>
        <w:spacing w:after="0" w:line="9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Unaudited condensed statements of operations for the three and nine months ended September 30, 2024 and 2023 and condensed balance sheet information of the Company’s unconsolidated joint ventures as of September 30, 2024 and December 31, 2023 are as follows: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04"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40,446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44,976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49,820</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52,357</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00" w:hanging="81"/>
        <w:spacing w:after="0"/>
        <w:tabs>
          <w:tab w:leader="none" w:pos="1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Revenues for TRCC/Rock Outlet Center are presented net of non-cash tenant allowance amortization of $0.3 million for the three months ended September 30, 2024 and September 30,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143,392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140,984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13,221</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7,856</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20" w:right="680" w:hanging="1"/>
        <w:spacing w:after="0" w:line="216" w:lineRule="auto"/>
        <w:tabs>
          <w:tab w:leader="none" w:pos="101"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Revenues for TRCC/Rock Outlet Center are presented net of non-cash tenant allowance amortization of $1.0 million and $0.9 million for the nine months ended September 30, 2024 and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Joint Venture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Joint Venture</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TRC</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62,956</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25,374</w:t>
            </w:r>
          </w:p>
        </w:tc>
        <w:tc>
          <w:tcPr>
            <w:tcW w:w="100" w:type="dxa"/>
            <w:vAlign w:val="bottom"/>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52,950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19,370</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55,181</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(20,626)</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33,275</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58,040</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35,535</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9,943</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25,224</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(22,144)</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(21,939)</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35,101</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35,467</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(33,627)</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(13,601)</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(61,776)</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(12,192)</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51,636</w:t>
            </w: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(52,984)</w:t>
            </w:r>
          </w:p>
        </w:tc>
        <w:tc>
          <w:tcPr>
            <w:tcW w:w="2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49,687</w:t>
            </w: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(35,138)</w:t>
            </w: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171"/>
        </w:trPr>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322,146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(222,746)</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81,667</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34,429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309,897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(208,030)</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85,857</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33,648</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040" w:type="dxa"/>
            <w:vAlign w:val="bottom"/>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106,531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104,979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104,753</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280" w:hanging="240"/>
        <w:spacing w:after="0"/>
        <w:tabs>
          <w:tab w:leader="none" w:pos="2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is consolidated within the Company's financial statements.</w:t>
      </w:r>
    </w:p>
    <w:p>
      <w:pPr>
        <w:spacing w:after="0" w:line="16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3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 is one of nine directors at WRMWSD. As of September 30, 2024, the Company paid $5,434,000 for these water contracts and related costs.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Forward-Looking Statements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the adequacy of future cash flows to fund our operations, the adequacy of current assets and contracts to meet our water and other commitments, market value risks associated with investment and risk management activities and with respect to inventory and accounts receivable, our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OVERVIEW</w:t>
      </w:r>
    </w:p>
    <w:p>
      <w:pPr>
        <w:spacing w:after="0" w:line="7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commercial/industrial and resort/residential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Business Objectives and Strategies</w:t>
      </w:r>
    </w:p>
    <w:p>
      <w:pPr>
        <w:spacing w:after="0" w:line="16"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14"/>
          <w:szCs w:val="14"/>
          <w:color w:val="auto"/>
        </w:rPr>
        <w:t>Our primary business objective is to maximize long-term shareholder value through the improvement and monetization of our land-based assets. A key element of our strategy is to entitle and then develop large-scale mixed-use master planned residential and commercial/industrial real estate development projects to serve the growing populations of Southern and Central California. An active example of this strategy is the TRCC mixed-use development, which was entitled and prevailed in litigation in 2007.</w:t>
      </w:r>
    </w:p>
    <w:p>
      <w:pPr>
        <w:spacing w:after="0" w:line="16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4"/>
          <w:szCs w:val="14"/>
          <w:color w:val="auto"/>
        </w:rPr>
        <w:t>Our mixed-use master planned residential developments include up to 35,278 housing units, and more than 35 million square feet of commercial space. We have obtained entitlements on MV and prevailed in litigation in 2012, and received the first approved final map for the project consisting of 401 residential lots and parcels for hospitality, amenities, and public uses. Grapevine at Tejon Ranch, or Grapevine, was reapproved unanimously by the Kern County Board of Supervisors in 2019 and prevailed in litigation in 2021. Centennial at Tejon Ranch, or Centennial, had entitlements approved in 2019 by the Los Angeles County Board of Supervisors. These approvals were litigated in two lawsuits filed in Los Angeles County Superior Court in May 2019 and we have since worked on defending and addressing the ongoing litigation, including considering all options to address the Superior Court’s January 2022 decision and the Superior Court’s March 22, 2023 final judgment. On May 26, 2023, we filed a Notice of Appeal, thereby appealing the Superior Court’s decision to the Second District of the California Court of Appeal. On June 27, 2023, CBD/CNPS cross-appealed the Superior Court’s ruling. Briefing at the Court of Appeal is complete and the Company is awaiting a hearing date. During the appeals process the Superior Court’s order of the rescission of project approvals has been placed on hold. See Note 11 (Commitments and Contingencies) of the Notes to Unaudited Consolidated Financial Statements for additional information regarding the Centennial litigation.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8" w:name="page29"/>
    <w:bookmarkEnd w:id="28"/>
    <w:p>
      <w:pPr>
        <w:ind w:right="20"/>
        <w:spacing w:after="0" w:line="259" w:lineRule="auto"/>
        <w:rPr>
          <w:sz w:val="20"/>
          <w:szCs w:val="20"/>
          <w:color w:val="auto"/>
        </w:rPr>
      </w:pPr>
      <w:r>
        <w:rPr>
          <w:rFonts w:ascii="Times New Roman" w:cs="Times New Roman" w:eastAsia="Times New Roman" w:hAnsi="Times New Roman"/>
          <w:sz w:val="14"/>
          <w:szCs w:val="14"/>
          <w:color w:val="auto"/>
        </w:rPr>
        <w:t>We are currently executing on value creation as we are engaged in construction, commercial sales, and leasing at our fully operational mixed-use development, TRCC. During the first quarter of 2024, we began construction of the first phase of a multi-family community, Terra Vista at Tejon, within TRCC. The development is located on a 22-acre site located immediately north of the Outlets at Tejon. In this first phase, we are developing 228 units of multi-family residences, in seven apartment buildings, as well as a clubhouse with pool and fitness facilities. The Conditional Use Permit approved by Kern County Board of Supervisors authorized up to a maximum of 495 multi-family residences to be constructed. Our goal is to deliver the first phase on budget and on time, and we are currently meeting both objectives. All of these efforts are supported by diverse revenue streams generated from other operations, including: farming, mineral resources, ranch operations, and our various joint ventures.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operate in five reporting segments: commercial/industrial real estate development; resort/residential real estate development; mineral resources; farming; and ranch operations.</w:t>
      </w:r>
    </w:p>
    <w:p>
      <w:pPr>
        <w:spacing w:after="0" w:line="83"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third-parties for their own development. The commercial/industrial real estate development segment also includes activities related to the power plant lease and communications leases.</w:t>
      </w:r>
    </w:p>
    <w:p>
      <w:pPr>
        <w:spacing w:after="0" w:line="3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At the heart of the commercial/industrial real estate development segment is TRCC, a 20 million square foot mixed-use development on Interstate 5 just north of the Los Angeles basin. Over eight million square feet of industrial, commercial and retail space has already been developed or is under development, including distribution centers for IKEA, Caterpillar, Nestlé, Famous Footwear, L'Oreal, Camping World, Sunrise Brands, Dollar General and RectorSeal. TRCC sits on both sides of Interstate 5, giving distributors immediate access to the west coast’s principal north-south goods movement corridor.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38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with Rockefeller Development Group, or Rockefeller:</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operates the Outlets at Tejon, a net leasable 326,000 square foot shopping experience in TRCC-East.</w:t>
      </w:r>
    </w:p>
    <w:p>
      <w:pPr>
        <w:spacing w:after="0" w:line="83"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Five joint ventures with Majestic Realty Co., or Majestic, to develop, manage, and operate five industrial buildings comprising of 2.8 million square feet of industrial space all within TRCC and all fully leased.</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4, 2024, we entered into a joint venture with Dedeaux Properties to develop, manage, and operate an industrial building of 510,500 square feet of space.</w:t>
      </w:r>
    </w:p>
    <w:p>
      <w:pPr>
        <w:spacing w:after="0" w:line="8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the land entitlement and development process internally and through a joint venture. Our active developments within this segment are MV, Centennial, and Grapevine, with Grapevine North representing a fourth opportunity in this segment.</w:t>
      </w:r>
    </w:p>
    <w:p>
      <w:pPr>
        <w:spacing w:after="0" w:line="29" w:lineRule="exact"/>
        <w:rPr>
          <w:sz w:val="20"/>
          <w:szCs w:val="20"/>
          <w:color w:val="auto"/>
        </w:rPr>
      </w:pPr>
    </w:p>
    <w:p>
      <w:pPr>
        <w:ind w:left="520" w:right="24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encompasses a total of 26,417 acres, of which 5,082 acres is expected to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18" w:lineRule="exact"/>
        <w:rPr>
          <w:rFonts w:ascii="Times New Roman" w:cs="Times New Roman" w:eastAsia="Times New Roman" w:hAnsi="Times New Roman"/>
          <w:sz w:val="14"/>
          <w:szCs w:val="14"/>
          <w:color w:val="auto"/>
        </w:rPr>
      </w:pPr>
    </w:p>
    <w:p>
      <w:pPr>
        <w:ind w:left="520" w:right="80" w:hanging="260"/>
        <w:spacing w:after="0" w:line="25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litigation;</w:t>
      </w:r>
    </w:p>
    <w:p>
      <w:pPr>
        <w:spacing w:after="0" w:line="40" w:lineRule="exact"/>
        <w:rPr>
          <w:rFonts w:ascii="Times New Roman" w:cs="Times New Roman" w:eastAsia="Times New Roman" w:hAnsi="Times New Roman"/>
          <w:sz w:val="14"/>
          <w:szCs w:val="14"/>
          <w:color w:val="auto"/>
        </w:rPr>
      </w:pPr>
    </w:p>
    <w:p>
      <w:pPr>
        <w:ind w:left="520" w:right="40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is an 8,010-acre development area located on the San Joaquin Valley floor area of our lands, adjacent to TRCC. Upon completion of Grapevine, the community will include 12,000 homes, 5.1 million square feet of commercial development, and more than 3,367 acres of open space and parks; and</w:t>
      </w:r>
    </w:p>
    <w:p>
      <w:pPr>
        <w:spacing w:after="0" w:line="18" w:lineRule="exact"/>
        <w:rPr>
          <w:rFonts w:ascii="Times New Roman" w:cs="Times New Roman" w:eastAsia="Times New Roman" w:hAnsi="Times New Roman"/>
          <w:sz w:val="14"/>
          <w:szCs w:val="14"/>
          <w:color w:val="auto"/>
        </w:rPr>
      </w:pPr>
    </w:p>
    <w:p>
      <w:pPr>
        <w:ind w:left="520" w:right="120" w:hanging="260"/>
        <w:spacing w:after="0" w:line="25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29" w:name="page30"/>
    <w:bookmarkEnd w:id="29"/>
    <w:p>
      <w:pPr>
        <w:ind w:right="740"/>
        <w:spacing w:after="0" w:line="287" w:lineRule="auto"/>
        <w:rPr>
          <w:sz w:val="20"/>
          <w:szCs w:val="20"/>
          <w:color w:val="auto"/>
        </w:rPr>
      </w:pPr>
      <w:r>
        <w:rPr>
          <w:rFonts w:ascii="Times New Roman" w:cs="Times New Roman" w:eastAsia="Times New Roman" w:hAnsi="Times New Roman"/>
          <w:sz w:val="14"/>
          <w:szCs w:val="14"/>
          <w:color w:val="auto"/>
        </w:rPr>
        <w:t>Please refer to our Annual Report on Form 10-K for the year ended December 31, 2023, for a more detailed description of our active developments within the resort/residential real estate development segment.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mineral resources segment generates revenues from oil and gas royalty leases, rock and aggregate mining leases, a lease with National Cement Company of California Inc., and water sales.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farming segment produces revenues from the sale of wine grapes, almonds, and pistachios.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Lastly, the ranch operations segment consists of game management revenues and ancillary land uses such as grazing leases and filming.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Summary of Third Quarter 2024 Performance</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For the three months ended September 30, 2024, we had a net loss attributable to common stockholders of $1,836,000 compared to a net loss attributable to common stockholders of $341,000 for the three months ended September 30, 2023. The primary driver of this $1,495,000 increase in net loss was the performance of our farming segment, which experienced a $3,495,000 decrease in operating profit compared to the prior period. This decrease was primarily driven by the lack of pistachio crop yield in the current period, primarily due to insufficient chilling hours, coupled with 2024 being a down-bearing year following a substantial harvest last season. Historically, the pistachio harvest begins in the third quarter, but in the prior year period, the harvest was delayed due to unusual weather conditions. This delay impacted the timing of cost recognition, resulting in lower overall farming costs for the third quarter of 2023. Partially offsetting this decrease was a $2,168,000 increase in equity in earnings of unconsolidated joint ventures, primarily driven by the improved fuel margins of our TA/Petro joint venture. During the quarter, the joint venture experienced a 23.6% decrease in fuel cost of sales compared with the prior quarter, and this translates to an 86.8% improvement in fuel margins.</w:t>
      </w:r>
    </w:p>
    <w:p>
      <w:pPr>
        <w:spacing w:after="0" w:line="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For the nine months ended September 30, 2024, we had a net loss attributable to common stockholders of $1,793,000 compared to a net income attributable to common stockholders of $1,700,000 for the same period in 2023. The primary driver of this change was the $4,365,000 decrease in operating profits within the farming segment, which was primarily due to the lack of pistachio crop yield as stated above. Additionally, operating income for the mineral resources segment decreased by $1,995,000 due to limited opportunities to sell water. We also observed an increase in corporate expenses of $1,970,000 mainly due to higher stock compensation expenses, and higher professional service fees of $1,237,000 within the resort/residential segment. The above unfavorable variances were partially offset by improved equity of earnings of unconsolidated joint ventures of $2,995,000 associated with higher fuel margins of TA/Petro and an increase in tax benefits of $3,905,000 due to a net loss position in the year-to-date results, combined with a lower effective tax rate due to the Internal Revenue Code Section 162(m) adjustments.</w:t>
      </w:r>
    </w:p>
    <w:p>
      <w:pPr>
        <w:spacing w:after="0" w:line="4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13 (Reporting Segments and Related Information) of the Notes to Unaudited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Critical Accounting Estimates</w:t>
      </w:r>
    </w:p>
    <w:p>
      <w:pPr>
        <w:spacing w:after="0" w:line="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2024, our critical accounting policies have not changed since the filing of our Annual Report on Form 10-K for the year ended December 31, 2023. Please refer to that filing for a description of our critical accounting policies. Please also refer to Note 1 (Basis of Presentation) in the Notes to Unaudited Consolidated Financial Statements in this report for a discussion regarding newly adopted accounting principles.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006EBF"/>
        </w:rPr>
        <w:t>Results of Operations by Segment</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Real Estate – Commercial/Industrial:</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51"/>
        </w:trPr>
        <w:tc>
          <w:tcPr>
            <w:tcW w:w="2260" w:type="dxa"/>
            <w:vAlign w:val="bottom"/>
            <w:tcBorders>
              <w:top w:val="single" w:sz="8" w:color="006EBF"/>
            </w:tcBorders>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40" w:type="dxa"/>
            <w:vAlign w:val="bottom"/>
          </w:tcPr>
          <w:p>
            <w:pPr>
              <w:spacing w:after="0"/>
              <w:rPr>
                <w:sz w:val="24"/>
                <w:szCs w:val="24"/>
                <w:color w:val="auto"/>
              </w:rPr>
            </w:pPr>
          </w:p>
        </w:tc>
        <w:tc>
          <w:tcPr>
            <w:tcW w:w="1860" w:type="dxa"/>
            <w:vAlign w:val="bottom"/>
            <w:gridSpan w:val="3"/>
          </w:tcPr>
          <w:p>
            <w:pPr>
              <w:ind w:left="1120"/>
              <w:spacing w:after="0"/>
              <w:rPr>
                <w:sz w:val="20"/>
                <w:szCs w:val="20"/>
                <w:color w:val="auto"/>
              </w:rPr>
            </w:pPr>
            <w:r>
              <w:rPr>
                <w:rFonts w:ascii="Times New Roman" w:cs="Times New Roman" w:eastAsia="Times New Roman" w:hAnsi="Times New Roman"/>
                <w:sz w:val="14"/>
                <w:szCs w:val="14"/>
                <w:color w:val="auto"/>
              </w:rPr>
              <w:t>Change</w:t>
            </w:r>
          </w:p>
        </w:tc>
        <w:tc>
          <w:tcPr>
            <w:tcW w:w="1260" w:type="dxa"/>
            <w:vAlign w:val="bottom"/>
          </w:tcPr>
          <w:p>
            <w:pPr>
              <w:spacing w:after="0"/>
              <w:rPr>
                <w:sz w:val="24"/>
                <w:szCs w:val="24"/>
                <w:color w:val="auto"/>
              </w:rPr>
            </w:pPr>
          </w:p>
        </w:tc>
      </w:tr>
      <w:tr>
        <w:trPr>
          <w:trHeight w:val="171"/>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Pastoria Energy Facility</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TRCC Leasing</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leases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Communication leases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4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Landscaping services and other services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right="40" w:hanging="255"/>
        <w:spacing w:after="0" w:line="261"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$3,002,000 for the three months ended September 30, 2024, a decrease of $395,000, or 12%, from $3,397,000 for the three months ended September 30, 2023. The decrease was primarily attributable to the decreases in landscaping and other revenue of $162,000, TRCC management fees and reimbursements of $149,000 and Pastoria Energy Facility revenues of $104,000 during the period. The decrease in management fees is primarily attributed to the construction completion of the TRC-MRC 5 industrial building in 2023. The decrease in landscaping and other is primarily due to the increase in recoverable fees earned in 2023 due to the additional services provided to tenants triggered by unexpected weather damage that did not occur in 2024.</w:t>
      </w:r>
    </w:p>
    <w:p>
      <w:pPr>
        <w:spacing w:after="0" w:line="47"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expenses were $2,088,000 for the three months ended September 30, 2024, a decrease of $49,000, or 2%, from $2,137,000 for the three months ended September 30, 2023. The decrease was primarily attributable to lower property tax expense partially offset by higher insurance cost over the comparative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color w:val="auto"/>
              </w:rPr>
              <w:t>Change</w:t>
            </w: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260" w:type="dxa"/>
            <w:vAlign w:val="bottom"/>
          </w:tcPr>
          <w:p>
            <w:pPr>
              <w:spacing w:after="0"/>
              <w:rPr>
                <w:sz w:val="14"/>
                <w:szCs w:val="1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0"/>
        </w:trPr>
        <w:tc>
          <w:tcPr>
            <w:tcW w:w="260" w:type="dxa"/>
            <w:vAlign w:val="bottom"/>
          </w:tcPr>
          <w:p>
            <w:pPr>
              <w:spacing w:after="0"/>
              <w:rPr>
                <w:sz w:val="13"/>
                <w:szCs w:val="13"/>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revenues</w:t>
            </w: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260" w:type="dxa"/>
            <w:vAlign w:val="bottom"/>
          </w:tcPr>
          <w:p>
            <w:pPr>
              <w:spacing w:after="0"/>
              <w:rPr>
                <w:sz w:val="15"/>
                <w:szCs w:val="15"/>
                <w:color w:val="auto"/>
              </w:rPr>
            </w:pPr>
          </w:p>
        </w:tc>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Pastoria Energy Facility</w:t>
            </w:r>
          </w:p>
        </w:tc>
        <w:tc>
          <w:tcPr>
            <w:tcW w:w="116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TRCC Leasing</w:t>
            </w:r>
          </w:p>
        </w:tc>
        <w:tc>
          <w:tcPr>
            <w:tcW w:w="1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leases</w:t>
            </w:r>
          </w:p>
        </w:tc>
        <w:tc>
          <w:tcPr>
            <w:tcW w:w="1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Communication leases</w:t>
            </w: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4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4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Landscaping services and other services</w:t>
            </w:r>
          </w:p>
        </w:tc>
        <w:tc>
          <w:tcPr>
            <w:tcW w:w="1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40" w:type="dxa"/>
            <w:vAlign w:val="bottom"/>
          </w:tcPr>
          <w:p>
            <w:pPr>
              <w:spacing w:after="0"/>
              <w:rPr>
                <w:sz w:val="15"/>
                <w:szCs w:val="15"/>
                <w:color w:val="auto"/>
              </w:rPr>
            </w:pPr>
          </w:p>
        </w:tc>
      </w:tr>
      <w:tr>
        <w:trPr>
          <w:trHeight w:val="171"/>
        </w:trPr>
        <w:tc>
          <w:tcPr>
            <w:tcW w:w="260" w:type="dxa"/>
            <w:vAlign w:val="bottom"/>
          </w:tcPr>
          <w:p>
            <w:pPr>
              <w:spacing w:after="0"/>
              <w:rPr>
                <w:sz w:val="14"/>
                <w:szCs w:val="14"/>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revenues</w:t>
            </w:r>
          </w:p>
        </w:tc>
        <w:tc>
          <w:tcPr>
            <w:tcW w:w="116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commercial expenses</w:t>
            </w:r>
          </w:p>
        </w:tc>
        <w:tc>
          <w:tcPr>
            <w:tcW w:w="116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40" w:type="dxa"/>
            <w:vAlign w:val="bottom"/>
          </w:tcPr>
          <w:p>
            <w:pPr>
              <w:spacing w:after="0"/>
              <w:rPr>
                <w:sz w:val="14"/>
                <w:szCs w:val="14"/>
                <w:color w:val="auto"/>
              </w:rPr>
            </w:pPr>
          </w:p>
        </w:tc>
      </w:tr>
      <w:tr>
        <w:trPr>
          <w:trHeight w:val="196"/>
        </w:trPr>
        <w:tc>
          <w:tcPr>
            <w:tcW w:w="26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116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0"/>
        </w:trPr>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1" w:name="page32"/>
    <w:bookmarkEnd w:id="31"/>
    <w:p>
      <w:pPr>
        <w:ind w:left="260" w:right="60" w:hanging="255"/>
        <w:spacing w:after="0" w:line="270"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revenues were $8,497,000 for the nine months ended September 30, 2024, a decrease of $209,000, or 2%, from $8,706,000 for the nine months ended September 30, 2023. The primary driver of this decrease was the decrease of $264,000 in revenue from Pastoria Energy Facility due to lower spark spread payments for the period. Additionally, TRCC management fees decreased by $74,000 or 9%, which were partially offset by an increase in TRCC leasing revenue of $69,000 or 5% due to rent escalations.</w:t>
      </w:r>
    </w:p>
    <w:p>
      <w:pPr>
        <w:spacing w:after="0" w:line="29" w:lineRule="exact"/>
        <w:rPr>
          <w:rFonts w:ascii="Times New Roman" w:cs="Times New Roman" w:eastAsia="Times New Roman" w:hAnsi="Times New Roman"/>
          <w:sz w:val="14"/>
          <w:szCs w:val="14"/>
          <w:color w:val="auto"/>
        </w:rPr>
      </w:pPr>
    </w:p>
    <w:p>
      <w:pPr>
        <w:ind w:left="260" w:right="120" w:hanging="255"/>
        <w:spacing w:after="0" w:line="287" w:lineRule="auto"/>
        <w:tabs>
          <w:tab w:leader="none" w:pos="2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Commercial/industrial real estate development segment expenses were $6,005,000 for the nine months ended September 30, 2024, an increase of $488,000, or 9%, from $5,517,000 for the nine months ended September 30, 2023. The increase was primarily attributable to higher insurance cost of $294,000 and an increase in bad debt reserve of $134,000 due to a tenant in default.</w:t>
      </w:r>
    </w:p>
    <w:p>
      <w:pPr>
        <w:spacing w:after="0" w:line="2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logistics operators currently located within TRCC have demonstrated success in serving all of California and the western region of the United States, and we showcase their success in our marketing efforts. We expect to continue to focus our marketing strategy for TRCC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5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FTZ designation allows businesses to secure the many benefits and cost reductions associated with streamlined movement of goods in and out of the trade zone. This FTZ designation is further supplemented by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3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believe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 We continue to analyze the market and evaluate expansions of industrial buildings for lease either on our own or in partnerships, as we have done with the buildings developed within our joint ventures.</w:t>
      </w:r>
    </w:p>
    <w:p>
      <w:pPr>
        <w:spacing w:after="0" w:line="4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During the quarter ended September 30, 2024, vacancy rates in the Inland Empire continued to climb but at a much slower pace to 6.7% as the construction pipeline posted its lowest quarterly total in eight years. Average asking rents declined for the fifth consecutive quarter. The San Fernando Valley and Ventura County industrial markets continue to experience tight conditions, with historically low vacancy and availability rates. Vacancy increased marginally to 1.9% in San Fernando Valley and remained unchanged at 2.2% in Ventura County, while overall net absorption was negative in both markets. Average asking rent experienced a slight quarter-over-quarter decline in the San Fernando Valley, dropping by $0.06 to $1.62, and by $0.09 in Ventura County to $1.17. See below for the vacancy rates and average asking rent of Inland Empire, San Fernando Valley and Ventura County.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Vacancy Rates</w:t>
            </w: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Asking Rent</w:t>
            </w:r>
          </w:p>
        </w:tc>
        <w:tc>
          <w:tcPr>
            <w:tcW w:w="1440" w:type="dxa"/>
            <w:vAlign w:val="bottom"/>
            <w:tcBorders>
              <w:bottom w:val="single" w:sz="8" w:color="auto"/>
            </w:tcBorders>
          </w:tcPr>
          <w:p>
            <w:pPr>
              <w:spacing w:after="0"/>
              <w:rPr>
                <w:sz w:val="16"/>
                <w:szCs w:val="16"/>
                <w:color w:val="auto"/>
              </w:rPr>
            </w:pPr>
          </w:p>
        </w:tc>
      </w:tr>
      <w:tr>
        <w:trPr>
          <w:trHeight w:val="171"/>
        </w:trPr>
        <w:tc>
          <w:tcPr>
            <w:tcW w:w="23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September 30, 2024</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December 31, 2023</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September 30, 2023</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September 30, 2024</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31, 2023</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September 30, 2023</w:t>
            </w:r>
          </w:p>
        </w:tc>
      </w:tr>
      <w:tr>
        <w:trPr>
          <w:trHeight w:val="22"/>
        </w:trPr>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Inland Empire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1.54</w:t>
            </w:r>
          </w:p>
        </w:tc>
      </w:tr>
      <w:tr>
        <w:trPr>
          <w:trHeight w:val="144"/>
        </w:trPr>
        <w:tc>
          <w:tcPr>
            <w:tcW w:w="23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San Fernando Valley and Ventura</w:t>
            </w: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4"/>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County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1.45</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1.54</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1.61</w:t>
            </w:r>
          </w:p>
        </w:tc>
      </w:tr>
    </w:tbl>
    <w:p>
      <w:pPr>
        <w:spacing w:after="0" w:line="13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Industrial users seeking larger spaces are continuing to go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2" w:name="page33"/>
    <w:bookmarkEnd w:id="32"/>
    <w:p>
      <w:pPr>
        <w:ind w:right="60"/>
        <w:spacing w:after="0" w:line="270" w:lineRule="auto"/>
        <w:rPr>
          <w:sz w:val="20"/>
          <w:szCs w:val="20"/>
          <w:color w:val="auto"/>
        </w:rPr>
      </w:pPr>
      <w:r>
        <w:rPr>
          <w:rFonts w:ascii="Times New Roman" w:cs="Times New Roman" w:eastAsia="Times New Roman" w:hAnsi="Times New Roman"/>
          <w:sz w:val="14"/>
          <w:szCs w:val="14"/>
          <w:color w:val="auto"/>
        </w:rPr>
        <w:t>We expect our commercial/industrial real estate development segment to continue to experience costs, net of amounts capitalized, primarily related to professional service fees, marketing costs, planning costs, and staffing costs, as we continue to pursue development opportunities. From a macroeconomic perspective, the tightening of capital markets may cause a near-term slowdown in new commercial real estate developments.</w:t>
      </w:r>
    </w:p>
    <w:p>
      <w:pPr>
        <w:spacing w:after="0" w:line="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Real Estate – Resort/Residential: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 the preliminary stages of property development for this segment; hence, no revenues or profits are attributed to this segment.</w:t>
      </w:r>
    </w:p>
    <w:p>
      <w:pPr>
        <w:spacing w:after="0" w:line="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Resort/residential real estate development segment expenses were $328,000 for the three months ended September 30, 2024, a decrease of $39,000 from $367,000 for the three months ended September 30, 2023. This decrease was primarily attributable to a decrease of $71,000 in payroll expense recorded over the comparative period, partially offset by higher dues and membership fees of $11,000 and higher insurance cost of $11,000.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Resort/residential real estate development segment expenses were $2,316,000 for the first nine months of 2024, an increase of $1,237,000, or 115%, from $1,079,000 for the first nine months of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was primarily attributable to an additional $1,250,000 of professional service fees and planning costs related to capital efforts tied to our master planned communities.</w:t>
      </w:r>
    </w:p>
    <w:p>
      <w:pPr>
        <w:spacing w:after="0" w:line="5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long-term business plan of developing the communities of MV, Centennial, and Grapevine remains unchanged. Long-term macro fundamentals, primarily California's large population and household formation, will support housing demand in our region. California also has a significant documented housing shortage, which we believe our communities will help ease. A majority of the expenditures and capital investment to be incurred within our resort/residential real estate segment are expected to continue to focus on the mixed-use master planned communities of Centennial, Grapevine, and Mountain Village.</w:t>
      </w:r>
    </w:p>
    <w:p>
      <w:pPr>
        <w:spacing w:after="0" w:line="4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we move forward with our master planned communities, we expect to explore funding opportunities for the future development of our projects. Such funding opportunities could come from a variety of sources, such as joint ventures with financial partners, debt financing, or our issuance of additional common stock.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Mineral Resources: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1180" w:type="dxa"/>
            <w:vAlign w:val="bottom"/>
            <w:tcBorders>
              <w:top w:val="single" w:sz="8" w:color="006EBF"/>
            </w:tcBorders>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Oil and gas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Cement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Rock aggregate</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Exploration leases</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Sales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Reimbursables and other</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260" w:right="80" w:hanging="255"/>
        <w:spacing w:after="0" w:line="270" w:lineRule="auto"/>
        <w:tabs>
          <w:tab w:leader="none" w:pos="2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$3,166,000 for the three months ended September 30, 2024, an increase of $48,000, or 2%, from $3,118,000 for the three months ended September 30, 2023. The increase in revenues was primarily due to an increase in water sales revenue of $84,000 and an increase in cement royalties of $56,000. The increases were partially offset by a decrease of $58,000 in oil and gas revenue due to lower production volume.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3" w:name="page34"/>
    <w:bookmarkEnd w:id="33"/>
    <w:p>
      <w:pPr>
        <w:ind w:left="260" w:right="40" w:hanging="255"/>
        <w:spacing w:after="0" w:line="287" w:lineRule="auto"/>
        <w:tabs>
          <w:tab w:leader="none" w:pos="2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$1,812,000 for the three months ended September 30, 2024, a decrease of $188,000, or 9%, from $2,000,000 for the three months ended September 30, 2023. The decrease was primarily associated with lower property tax expense of $495,000, partially offset by higher water cost of sales of $297,000 recognized during the quarter.</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color w:val="auto"/>
              </w:rPr>
              <w:t>Change</w:t>
            </w:r>
          </w:p>
        </w:tc>
        <w:tc>
          <w:tcPr>
            <w:tcW w:w="1140" w:type="dxa"/>
            <w:vAlign w:val="bottom"/>
            <w:tcBorders>
              <w:bottom w:val="single" w:sz="8" w:color="auto"/>
            </w:tcBorders>
          </w:tcPr>
          <w:p>
            <w:pPr>
              <w:spacing w:after="0"/>
              <w:rPr>
                <w:sz w:val="16"/>
                <w:szCs w:val="16"/>
                <w:color w:val="auto"/>
              </w:rPr>
            </w:pP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3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Oil and gas</w:t>
            </w:r>
          </w:p>
        </w:tc>
        <w:tc>
          <w:tcPr>
            <w:tcW w:w="136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Cement</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Rock aggregate</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Exploration leases</w:t>
            </w:r>
          </w:p>
        </w:tc>
        <w:tc>
          <w:tcPr>
            <w:tcW w:w="1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Water Sales</w:t>
            </w:r>
          </w:p>
        </w:tc>
        <w:tc>
          <w:tcPr>
            <w:tcW w:w="13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Reimbursables and other</w:t>
            </w: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7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136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1"/>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136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5,043</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136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180" w:hanging="255"/>
        <w:spacing w:after="0" w:line="270"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$7,687,000 for the first nine months of 2024, a decrease of $3,943,000, or 34%, from $11,630,000 for the first nine months of 2023. The reduction in revenues was primarily attributable to a decline in water sales revenue of $3,355,000 due to back-to-back above average rainfall years in California, which severely limited water sales opportunities. Reimbursable revenues also decreased $766,000 due to a mineral resources tax reassessment for this segment.</w:t>
      </w:r>
    </w:p>
    <w:p>
      <w:pPr>
        <w:spacing w:after="0" w:line="50" w:lineRule="exact"/>
        <w:rPr>
          <w:rFonts w:ascii="Times New Roman" w:cs="Times New Roman" w:eastAsia="Times New Roman" w:hAnsi="Times New Roman"/>
          <w:sz w:val="14"/>
          <w:szCs w:val="14"/>
          <w:color w:val="auto"/>
        </w:rPr>
      </w:pPr>
    </w:p>
    <w:p>
      <w:pPr>
        <w:ind w:left="260" w:right="560" w:hanging="255"/>
        <w:spacing w:after="0" w:line="287"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$5,043,000 for the first nine months of 2024, a decrease of $1,948,000, or 28%, when compared to the same period in 2023. The decrease was primarily due to lower water cost of sales recognized of $1,097,000, and a decrease in property tax expense of $738,000 when compared to the previous period.</w:t>
      </w:r>
    </w:p>
    <w:p>
      <w:pPr>
        <w:spacing w:after="0" w:line="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anticipated changes arise in the future related to groundwater management in California, such as limits on groundwater pumping, we believe our water assets, including water banking operations, ground water recharge programs, and access to water contracts like those we have purchased in the past, will become even more important and valuable in servicing our projects and providing opportunities for water sales to third-parties.</w:t>
      </w:r>
    </w:p>
    <w:p>
      <w:pPr>
        <w:spacing w:after="0" w:line="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Prices for oil and natural gas fluctuate in response to 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Production has seen an overall decline in California as a result of regulatory conditions.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Farming:</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72"/>
        </w:trPr>
        <w:tc>
          <w:tcPr>
            <w:tcW w:w="580" w:type="dxa"/>
            <w:vAlign w:val="bottom"/>
            <w:tcBorders>
              <w:top w:val="single" w:sz="8" w:color="006EBF"/>
            </w:tcBorders>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Pistachios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Wine grapes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Hay</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(loss) income from farming</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r>
      <w:tr>
        <w:trPr>
          <w:trHeight w:val="20"/>
        </w:trPr>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240" w:hanging="255"/>
        <w:spacing w:after="0" w:line="264"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were $3,242,000 for the three months ended September 30, 2024, an increase of $600,000, or 23%, from $2,642,000 during the same period in 2023. Almond sales revenue increased by $922,000, due to higher pricing and more crops available for sale. Comparatively, we sold 664,000 and 345,000 pounds of almonds during the three months ended September 30, 2024 and 2023, respectively. This increase was partially offset by a decrease in wine grape sales revenue during the same period due to lower production volume for our wine grapes harvested as of September 30, 2024.</w:t>
      </w:r>
    </w:p>
    <w:p>
      <w:pPr>
        <w:spacing w:after="0" w:line="55" w:lineRule="exact"/>
        <w:rPr>
          <w:rFonts w:ascii="Times New Roman" w:cs="Times New Roman" w:eastAsia="Times New Roman" w:hAnsi="Times New Roman"/>
          <w:sz w:val="14"/>
          <w:szCs w:val="14"/>
          <w:color w:val="auto"/>
        </w:rPr>
      </w:pPr>
    </w:p>
    <w:p>
      <w:pPr>
        <w:ind w:left="260" w:right="80" w:hanging="255"/>
        <w:spacing w:after="0" w:line="261"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expenses were $6,252,000 for the three months ended September 30, 2024, an increase of $4,095,000, or 190%, from $2,157,000 during the same period in 2023. This increase was primarily due to higher almond cost of sales recognized in the period associated with higher crop sales volume. Additionally, pistachio crop cost of sales was $2,622,000 higher over the comparative period due to the timing of the harvest of the crop. The late pistachio harvest in the 2023 period delayed the timing of cost recognition, which historically occurred in the third quarter, while in the current year period, all cultural costs related to pistachio crop were written off due to the lack of pistachio yield. In 2024, the pistachio trees did not yield a crop, largely due to the low chilling hours and the off-cycle nature of this year, following a significant crop last season. An insurance claim for this crop has been filed.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344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color w:val="auto"/>
              </w:rPr>
              <w:t>Change</w:t>
            </w:r>
          </w:p>
        </w:tc>
        <w:tc>
          <w:tcPr>
            <w:tcW w:w="1140" w:type="dxa"/>
            <w:vAlign w:val="bottom"/>
            <w:tcBorders>
              <w:bottom w:val="single" w:sz="8" w:color="auto"/>
            </w:tcBorders>
          </w:tcPr>
          <w:p>
            <w:pPr>
              <w:spacing w:after="0"/>
              <w:rPr>
                <w:sz w:val="16"/>
                <w:szCs w:val="16"/>
                <w:color w:val="auto"/>
              </w:rPr>
            </w:pPr>
          </w:p>
        </w:tc>
      </w:tr>
      <w:tr>
        <w:trPr>
          <w:trHeight w:val="17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Farming revenues</w:t>
            </w: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Almonds</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3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Pistachios</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8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Wine grapes</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3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Hay</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71"/>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farming revenues</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farming expenses</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10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17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 from farming</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551 %</w:t>
            </w:r>
          </w:p>
        </w:tc>
      </w:tr>
      <w:tr>
        <w:trPr>
          <w:trHeight w:val="20"/>
        </w:trPr>
        <w:tc>
          <w:tcPr>
            <w:tcW w:w="3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hanging="255"/>
        <w:spacing w:after="0" w:line="287"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were $4,249,000 for the first nine months of 2024, a decrease of $603,000, or 12%, from $4,852,000 during the same period in 2023. The decrease was primarily due to a decrease in wine grapes sales revenue of $620,000 due to lower units sold in the current year. Additionally, hay sales revenue decreased by $124,000, or 65%, due to lower crop sales volume.</w:t>
      </w:r>
    </w:p>
    <w:p>
      <w:pPr>
        <w:spacing w:after="0" w:line="39" w:lineRule="exact"/>
        <w:rPr>
          <w:rFonts w:ascii="Times New Roman" w:cs="Times New Roman" w:eastAsia="Times New Roman" w:hAnsi="Times New Roman"/>
          <w:sz w:val="14"/>
          <w:szCs w:val="14"/>
          <w:color w:val="auto"/>
        </w:rPr>
      </w:pPr>
    </w:p>
    <w:p>
      <w:pPr>
        <w:ind w:left="260" w:right="100" w:hanging="255"/>
        <w:spacing w:after="0" w:line="287"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expenses were $9,406,000 for the first nine months of 2024, an increase of $3,762,000, or 67%, from $5,644,000 compared to the same period in 2023. Increases in the current period expenses were primarily due to the higher cost of pistachio crop over the comparative period associated with the late harvest in prior year mentioned above.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8" w:right="319" w:bottom="1440" w:gutter="0" w:footer="0" w:header="0"/>
        </w:sectPr>
      </w:pPr>
    </w:p>
    <w:bookmarkStart w:id="35" w:name="page36"/>
    <w:bookmarkEnd w:id="35"/>
    <w:p>
      <w:pPr>
        <w:ind w:right="180"/>
        <w:spacing w:after="0" w:line="264" w:lineRule="auto"/>
        <w:rPr>
          <w:sz w:val="20"/>
          <w:szCs w:val="20"/>
          <w:color w:val="auto"/>
        </w:rPr>
      </w:pPr>
      <w:r>
        <w:rPr>
          <w:rFonts w:ascii="Times New Roman" w:cs="Times New Roman" w:eastAsia="Times New Roman" w:hAnsi="Times New Roman"/>
          <w:sz w:val="14"/>
          <w:szCs w:val="14"/>
          <w:color w:val="auto"/>
        </w:rPr>
        <w:t>Our almond, pistachio, and wine grape crop sales are highly seasonal, with most of our sales occurring during the third and fourth quarters. Each year, almonds and pistachios are sold at market prices, while grapes are sold to wineries at contracted prices. Our farming operations during 2024 continued to experience higher costs of production, such as fuel costs, fertilizer costs, pest control costs, and labor costs. The almond industry is estimating the 2024 almond crop at 2.6 billion pounds down from the previous report of over 3.0 billion pounds. This estimate along with a lower inventory carry forward has helped to improve pricing.</w:t>
      </w:r>
    </w:p>
    <w:p>
      <w:pPr>
        <w:spacing w:after="0" w:line="3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4"/>
          <w:szCs w:val="14"/>
          <w:color w:val="auto"/>
        </w:rPr>
        <w:t>Weather conditions can also impact the number of tree and vine dormant hours, which are integral to tree and vine growth. Farmers in California faced a warm winter negatively impacting dormant hours primarily related to pistachios, which can impact production within pistachios. In addition, late spring rains negatively impacted 2024 grape production as the rains occurred during the grape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bloom. The timing of the rains also increased cultural costs within grapes to fight higher levels of mildew in the vineyards.</w:t>
      </w:r>
    </w:p>
    <w:p>
      <w:pPr>
        <w:spacing w:after="0" w:line="8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Labor costs, both internal and through labor contractors, continue to increase and the Company expects this trend to continue over the near future. The Company utilizes external labor contractors, as necessary, for large projects, such as pruning and harvesting, as a way to manage our labor needs. From a broader inflationary standpoint, the Company continues to expect an increase in production costs, most notably chemicals such as herbicides and pesticides, and fuel costs.</w:t>
      </w:r>
    </w:p>
    <w:p>
      <w:pPr>
        <w:spacing w:after="0" w:line="40"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Ranch Operations: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3"/>
        </w:trPr>
        <w:tc>
          <w:tcPr>
            <w:tcW w:w="1160" w:type="dxa"/>
            <w:vAlign w:val="bottom"/>
            <w:tcBorders>
              <w:top w:val="single" w:sz="8" w:color="006EBF"/>
            </w:tcBorders>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Pr>
          <w:p>
            <w:pPr>
              <w:spacing w:after="0"/>
              <w:rPr>
                <w:sz w:val="18"/>
                <w:szCs w:val="18"/>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18"/>
                <w:szCs w:val="18"/>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7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96"/>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 from ranch operations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255 %</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ind w:left="100" w:hanging="81"/>
        <w:spacing w:after="0" w:line="202" w:lineRule="auto"/>
        <w:tabs>
          <w:tab w:leader="none" w:pos="100" w:val="left"/>
        </w:tabs>
        <w:numPr>
          <w:ilvl w:val="1"/>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Game management and other revenues consist of revenues from hunting, filming, High Desert Hunt Club (a premier upland bird hunting club), and other ancillary activities.</w:t>
      </w:r>
    </w:p>
    <w:p>
      <w:pPr>
        <w:spacing w:after="0" w:line="139" w:lineRule="exact"/>
        <w:rPr>
          <w:rFonts w:ascii="Times New Roman" w:cs="Times New Roman" w:eastAsia="Times New Roman" w:hAnsi="Times New Roman"/>
          <w:sz w:val="17"/>
          <w:szCs w:val="17"/>
          <w:color w:val="auto"/>
          <w:vertAlign w:val="superscript"/>
        </w:rPr>
      </w:pPr>
    </w:p>
    <w:p>
      <w:pPr>
        <w:ind w:left="260" w:right="240" w:hanging="255"/>
        <w:spacing w:after="0" w:line="287"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were $1,446,000 for the three months ended September 30, 2024, an increase of $394,000, or 37%, from $1,052,000 for the same period in 2023. The increase was attributable to an increase in grazing lease revenues of $262,000 and an increase in game management and other revenue of $132,000, primarily related to higher filming location revenues.</w:t>
      </w:r>
    </w:p>
    <w:p>
      <w:pPr>
        <w:spacing w:after="0" w:line="1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$1,223,000 for the three months ended September 30, 2024, an increase of $27,000, or 2%, from $1,196,000 for the same period in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color w:val="auto"/>
              </w:rPr>
              <w:t>Change</w:t>
            </w:r>
          </w:p>
        </w:tc>
        <w:tc>
          <w:tcPr>
            <w:tcW w:w="1080" w:type="dxa"/>
            <w:vAlign w:val="bottom"/>
            <w:tcBorders>
              <w:bottom w:val="single" w:sz="8" w:color="auto"/>
            </w:tcBorders>
          </w:tcPr>
          <w:p>
            <w:pPr>
              <w:spacing w:after="0"/>
              <w:rPr>
                <w:sz w:val="16"/>
                <w:szCs w:val="16"/>
                <w:color w:val="auto"/>
              </w:rPr>
            </w:pP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4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8"/>
              </w:rPr>
              <w:t>(288)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1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10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71"/>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w w:val="98"/>
              </w:rPr>
              <w:t>(153)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Ranch Operations</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ind w:left="100" w:hanging="81"/>
        <w:spacing w:after="0" w:line="215" w:lineRule="auto"/>
        <w:tabs>
          <w:tab w:leader="none" w:pos="100" w:val="left"/>
        </w:tabs>
        <w:numPr>
          <w:ilvl w:val="0"/>
          <w:numId w:val="2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Game management and other revenues consist of revenues from hunting, filming, high desert hunt club (a premier upland bird hunting club), and other ancillary activities.</w:t>
      </w:r>
    </w:p>
    <w:p>
      <w:pPr>
        <w:spacing w:after="0" w:line="200" w:lineRule="exact"/>
        <w:rPr>
          <w:rFonts w:ascii="Times New Roman" w:cs="Times New Roman" w:eastAsia="Times New Roman" w:hAnsi="Times New Roman"/>
          <w:sz w:val="17"/>
          <w:szCs w:val="17"/>
          <w:color w:val="auto"/>
          <w:vertAlign w:val="superscript"/>
        </w:rPr>
      </w:pPr>
    </w:p>
    <w:p>
      <w:pPr>
        <w:spacing w:after="0" w:line="299"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6" w:name="page37"/>
    <w:bookmarkEnd w:id="36"/>
    <w:p>
      <w:pPr>
        <w:ind w:left="260" w:right="480" w:hanging="255"/>
        <w:spacing w:after="0" w:line="271"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were $3,518,000 for the first nine months of 2024, an increase of $134,000, or 4%, from $3,384,000 for the same period in 2023. The increase was primarily attributable to an increase in grazing lease revenue of $422,000, partially offset by a decrease in revenue recognized for game management due to lower filming location revenues.</w:t>
      </w:r>
    </w:p>
    <w:p>
      <w:pPr>
        <w:spacing w:after="0" w:line="50" w:lineRule="exact"/>
        <w:rPr>
          <w:rFonts w:ascii="Times New Roman" w:cs="Times New Roman" w:eastAsia="Times New Roman" w:hAnsi="Times New Roman"/>
          <w:sz w:val="14"/>
          <w:szCs w:val="14"/>
          <w:color w:val="auto"/>
        </w:rPr>
      </w:pPr>
    </w:p>
    <w:p>
      <w:pPr>
        <w:ind w:left="260" w:right="460" w:hanging="255"/>
        <w:spacing w:after="0" w:line="287"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$3,711,000 for the first nine months of 2024, a decrease of $153,000, or 4%, from $3,864,000 for the same period in 2023. This decrease was primarily attributable to a decrease in payroll and compensation expense of $156,000.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Corporate and Other:</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Corporate general and administrative costs were $2,945,000 for the three months ended September 30, 2024, an increase of $630,000, or 27%, from $2,315,000 for the same period in 2023. The increase was primarily attributable to higher stock compensation expense of $922,000 over the comparative period, partially offset by lower bonus expense of $198,000.</w:t>
      </w:r>
    </w:p>
    <w:p>
      <w:pPr>
        <w:spacing w:after="0" w:line="2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Corporate general and administrative costs were $8,794,000 for the first nine months of 2024, an increase of $1,970,000, or 29%, from $6,824,000 for the same period in 2023. The increase was primarily due to a $1,717,000 increase in stock compensation expense during the first nine months ended September 30, 2024.</w:t>
      </w:r>
    </w:p>
    <w:p>
      <w:pPr>
        <w:spacing w:after="0" w:line="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Total other income was $459,000 for the three months ended September 30, 2024, a decrease of $211,000 from $670,000 for the same period in 2023, primarily due to lower investment income as a result of a reduction in marketable securities.</w:t>
      </w:r>
    </w:p>
    <w:p>
      <w:pPr>
        <w:spacing w:after="0" w:line="2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Total other income was $1,633,000 for the nine months ended September 30, 2024, a decrease of $414,000, from $2,047,000 for the same period in 2023. The decrease was primarily attributable to the $426,000 employee retention credit received during the first quarter of 2023, which did not reoccur in 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93" w:right="4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Joint Ventures: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5, LLC</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1133 %</w:t>
            </w: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187 %</w:t>
            </w:r>
          </w:p>
        </w:tc>
      </w:tr>
      <w:tr>
        <w:trPr>
          <w:trHeight w:val="20"/>
        </w:trPr>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60" w:right="320" w:hanging="255"/>
        <w:spacing w:after="0" w:line="270"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was $3,329,000 for the three months ended September 30, 2024, an increase of $2,168,000, from $1,161,000 during the same period in 2023. The increase was primarily attributable to an increase in equity in earnings recorded for the TA/Petro joint venture of $1,744,000 as a result of higher fuel margins. Equity in earnings for our various joint ventures with Majestic also increased due to higher rental rates or rental escalations.</w:t>
      </w: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6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Times New Roman" w:cs="Times New Roman" w:eastAsia="Times New Roman" w:hAnsi="Times New Roman"/>
                <w:sz w:val="14"/>
                <w:szCs w:val="14"/>
                <w:color w:val="auto"/>
              </w:rPr>
              <w:t>Change</w:t>
            </w:r>
          </w:p>
        </w:tc>
        <w:tc>
          <w:tcPr>
            <w:tcW w:w="1300" w:type="dxa"/>
            <w:vAlign w:val="bottom"/>
          </w:tcPr>
          <w:p>
            <w:pPr>
              <w:spacing w:after="0"/>
              <w:rPr>
                <w:sz w:val="16"/>
                <w:szCs w:val="16"/>
                <w:color w:val="auto"/>
              </w:rPr>
            </w:pPr>
          </w:p>
        </w:tc>
      </w:tr>
      <w:tr>
        <w:trPr>
          <w:trHeight w:val="171"/>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452 %</w:t>
            </w:r>
          </w:p>
        </w:tc>
      </w:tr>
      <w:tr>
        <w:trPr>
          <w:trHeight w:val="180"/>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TRC-MRC 5, LLC</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976 %</w:t>
            </w:r>
          </w:p>
        </w:tc>
      </w:tr>
      <w:tr>
        <w:trPr>
          <w:trHeight w:val="171"/>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20"/>
        </w:trPr>
        <w:tc>
          <w:tcPr>
            <w:tcW w:w="3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right="120" w:hanging="255"/>
        <w:spacing w:after="0" w:line="261"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were $7,611,000 for the nine months ended September 30, 2024, an increase of $2,995,000, or 65%, from $4,616,000 during the same period in 2023. The primary driver of the increase was the increase in equity in earnings recorded for Petro Travel Plaza Holdings, LLC as a result of higher fuel margins. Equity in earnings for our TRC-MRC LLC joint ventures increased due to higher rental rates or rental escalations, except for a decrease in TRC-MRC 1 LLC equity in earnings due to an increase of repair costs from storm damage over the prior year period, partially offset by related insurance reimbursements, and the new revenue stream generated by the completed industrial building of the TRC-MRC5 joint venture. Additionally, equity in loss from TRCC/Rock Outlet Center joint venture decreased by $126,000 compared to the prior period, and the Outlet Center was over 90% occupied as of September 30,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"Non-GAAP Financial Measures" for further financial discussion of the results of our joint ventures.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General Outlook</w:t>
      </w:r>
    </w:p>
    <w:p>
      <w:pPr>
        <w:spacing w:after="0" w:line="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operations are seasonal and future results of operations cannot reliably be predicted based on quarterly results. Historically, our largest percentage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38" w:name="page39"/>
    <w:bookmarkEnd w:id="38"/>
    <w:p>
      <w:pPr>
        <w:ind w:right="380"/>
        <w:spacing w:after="0" w:line="270" w:lineRule="auto"/>
        <w:rPr>
          <w:sz w:val="20"/>
          <w:szCs w:val="20"/>
          <w:color w:val="auto"/>
        </w:rPr>
      </w:pPr>
      <w:r>
        <w:rPr>
          <w:rFonts w:ascii="Times New Roman" w:cs="Times New Roman" w:eastAsia="Times New Roman" w:hAnsi="Times New Roman"/>
          <w:sz w:val="14"/>
          <w:szCs w:val="14"/>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2023, or Annual Report, and to Part I, Item 1A - "Risk Factors" of our Annual Report. For further discussion, please refer to Note 11 (Commitments and Contingencies) of the Notes to Unaudited Consolidated Financial Statements in this report.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Income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nine months ended September 30, 2024, we had an income tax benefit of $286,000 compared to income tax expense of $3,619,000 for the nine months ended September 30, 2023.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tax rates approximated 14% and 68% for the nine months ended September 30, 2024 and 2023, respectively. As of September 30, 2024, the Company had income taxes receivable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$1,814,000. We classify interest and penalties incurred on tax payments as income tax expenses. Our effective tax rates differ from statutory rates primarily because of permanent differences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Internal Revenue Code Section 162(m). The Internal Revenue Code Section 162(m) compensation deduction limitations occurred due to changes in tax law arising from the 2017 Tax Cuts and Jobs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Cash Flow and Liquidity</w:t>
      </w:r>
    </w:p>
    <w:p>
      <w:pPr>
        <w:spacing w:after="0" w:line="7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Our financial position allows us to pursue our strategies of continued development of TRCC, funding of operating activities,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To enhance shareholder value over the long-term, we expect to continue to make investments in our real estate segments to secure land entitlement approvals, build infrastructure for our developments, invest in to be leased assets,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40" w:lineRule="exact"/>
        <w:rPr>
          <w:sz w:val="20"/>
          <w:szCs w:val="20"/>
          <w:color w:val="auto"/>
        </w:rPr>
      </w:pPr>
    </w:p>
    <w:p>
      <w:pPr>
        <w:ind w:right="720"/>
        <w:spacing w:after="0" w:line="382" w:lineRule="auto"/>
        <w:rPr>
          <w:sz w:val="20"/>
          <w:szCs w:val="20"/>
          <w:color w:val="auto"/>
        </w:rPr>
      </w:pPr>
      <w:r>
        <w:rPr>
          <w:rFonts w:ascii="Times New Roman" w:cs="Times New Roman" w:eastAsia="Times New Roman" w:hAnsi="Times New Roman"/>
          <w:sz w:val="14"/>
          <w:szCs w:val="14"/>
          <w:color w:val="auto"/>
        </w:rPr>
        <w:t>Our cash, cash equivalents and marketable securities totaled approximately $41,261,000 as of September 30, 2024, a decrease of $23,202,000 from $64,463,000 as of December 31, 2023. The following table shows our cash flow activities for the nine months ended September 30,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14,750</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(17,377)</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(6,805)</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(3,915)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8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2024, our operations provided $1,045,000 primarily related to cash generated by a change in our operating assets. Collection of accounts receivables provided $5,200,000 of cash, which was partially offset by cash used in growing our crop inventories of $3,365,000.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nine months of 2023, our operations provided $14,750,000 primarily as a result of distributions of earnings from unconsolidated joint ventures.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2024, investing activities used $17,377,000. The increase in investing activities is related to the construction of the Terra Vista and TRCC infrastructure, and we expect the costs to continue into 2025 for the first phase of this multi-family project.</w:t>
      </w:r>
    </w:p>
    <w:p>
      <w:pPr>
        <w:spacing w:after="0" w:line="2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We made capital expenditures, inclusive of capitalized interest and payroll (exclusive of stock compensation), of $40,995,000, which included predevelopment activities for our master planned communities; $2,088,000 consisting of permitting efforts for MV; $1,014,000 consisting of permitting efforts for Grapevine; and costs related to litigation defense for Centennial of $3,110,000. At TRCC, we spent $16,750,000 of construction cost on Terra Visa at Tejon and $12,341,000 on infrastructure improvements at TRCC-East. Within our farming segment, we spent $4,531,000, which included cultural costs for orchards currently classified as under development and replacement of machinery and equipment. Additionally, we used $4,616,000 to acquire water assets. We had marketable securities of $85,769,000 that matured, and we reinvested $66,640,000. Lastly, we received proceeds of $5,783,000 from joint venture distributions and reimbursements of $3,309,000 from a Community Facilities District.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9" w:name="page40"/>
    <w:bookmarkEnd w:id="39"/>
    <w:p>
      <w:pPr>
        <w:ind w:right="80"/>
        <w:spacing w:after="0" w:line="259" w:lineRule="auto"/>
        <w:rPr>
          <w:sz w:val="20"/>
          <w:szCs w:val="20"/>
          <w:color w:val="auto"/>
        </w:rPr>
      </w:pPr>
      <w:r>
        <w:rPr>
          <w:rFonts w:ascii="Times New Roman" w:cs="Times New Roman" w:eastAsia="Times New Roman" w:hAnsi="Times New Roman"/>
          <w:sz w:val="14"/>
          <w:szCs w:val="14"/>
          <w:color w:val="auto"/>
        </w:rPr>
        <w:t>During the first nine months of 2023, investing activities used $6,805,000. We made capital expenditures, inclusive of capitalized interest and payroll (exclusive of stock compensation), of $13,513,000, which includes predevelopment activities for our master planned communities; $1,444,000 consisting of permitting efforts for MV; $907,000 consisting of permitting efforts for Grapevine; and costs related to litigation defense for Centennial of $2,123,000. At TRCC, we spent $4,492,000 on infrastructure improvements at TRCC-East. Within our farming segment, we spent $3,983,000, which includes cultural costs for orchards currently classified as under development and replacing machinery and equipment. Additionally, we used $6,070,000 to acquire water assets. We had marketable securities of $91,831,000 that matured, and we reinvested $87,272,000. We contributed $3,750,000 into our unconsolidated joint ventures during the period. Lastly, we received proceeds of $10,645,200, and $1,324,000 from joint venture distributions, and water sales, respectively.</w:t>
      </w:r>
    </w:p>
    <w:p>
      <w:pPr>
        <w:spacing w:after="0" w:line="4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estimated capital investment, inclusive of capitalized interest and payroll, for the remainder of 2024 is primarily related to our real estate projects. These estimated investments include approximately $11,488,000 of construction costs for the Terra Vista at Tejon multi-family project phase 1 development and $4,016,000 of infrastructure development at TRCC-East to support the continued commercial retail and industrial development, water treatment system improvements, and expansion of the wastewater treatment plant for future anticipated absorption. We also expect to invest up to $2,307,000 for land planning, litigation/appeals, federal and state agency permitting activities, and development activities at MV, Centennial, and Grapevine during the remainder of 2024.</w:t>
      </w:r>
    </w:p>
    <w:p>
      <w:pPr>
        <w:spacing w:after="0" w:line="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nine months ended September 30, 2024 and 2023, was $3,175,000 and $1,828,000, respectively, and is classified within real estate development. We also capitalized payroll costs related to development, pre-construction, and construction projects, which aggregated $2,179,000 and $1,744,000 for the nine months ended September 30, 2024 and 2023, respectively. Expenditures for repairs and maintenance are expensed as incurred.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8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2024, financing activities provided $11,794,000, which was attributable to borrowings on the line of credit of $12,000,000 to fund construction projects and other ongoing development such as Terra Vista and TRCC infrastructure, partially offset by the tax payments on vested share grants of $206,000.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nine months of 2023, financing activities used $3,915,000, which was attributable to long-term debt service of $1,321,000, and tax payments on vested share grants of $2,594,000.</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may need to secure additional funding through either the issuance of equity and/or by securing other forms of financing such as joint venture equity and debt financing.</w:t>
      </w:r>
    </w:p>
    <w:p>
      <w:pPr>
        <w:spacing w:after="0" w:line="4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regularly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Capital Structure and Financial Condition</w:t>
      </w:r>
    </w:p>
    <w:p>
      <w:pPr>
        <w:spacing w:after="0" w:line="85"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At September 30, 2024, total capitalization at book value was $543,625,000, consisting of $59,942,000 of debt and $483,683,000 of equity, resulting in a debt-to-total-capitalization ratio of approximately 11.0%.</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0" w:name="page41"/>
    <w:bookmarkEnd w:id="40"/>
    <w:p>
      <w:pPr>
        <w:ind w:right="200"/>
        <w:spacing w:after="0" w:line="264" w:lineRule="auto"/>
        <w:rPr>
          <w:sz w:val="20"/>
          <w:szCs w:val="20"/>
          <w:color w:val="auto"/>
        </w:rPr>
      </w:pPr>
      <w:r>
        <w:rPr>
          <w:rFonts w:ascii="Times New Roman" w:cs="Times New Roman" w:eastAsia="Times New Roman" w:hAnsi="Times New Roman"/>
          <w:sz w:val="14"/>
          <w:szCs w:val="14"/>
          <w:color w:val="auto"/>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w:t>
      </w:r>
    </w:p>
    <w:p>
      <w:pPr>
        <w:spacing w:after="0" w:line="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interest rate per annum applicable to the Revolving Credit Facility is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September 30, 2024, the Company's NLER was in tier 3, or less than 35%, and the applicable interest rate spread was 2.25%.</w:t>
      </w:r>
    </w:p>
    <w:p>
      <w:pPr>
        <w:spacing w:after="0" w:line="10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9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82"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The Revolving Credit Facility also contains customary negative covenants that limits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8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Revolving Credit Facility contains customary events of default, including: failure to make required payments; failure to comply with terms of the Credit Facility; bankruptcy and insolvency. The Credit Facility contains other customary terms and conditions, including representations and warranties, which are typical for credit facilities of this type.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September 30, 2024 and December 31, 2023, we were in compliance with all financial covenants.</w:t>
      </w:r>
    </w:p>
    <w:p>
      <w:pPr>
        <w:spacing w:after="0" w:line="7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or issuance of additional common stock.</w:t>
      </w:r>
    </w:p>
    <w:p>
      <w:pPr>
        <w:spacing w:after="0" w:line="9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May 2022, we filed an updated shelf registration statement on Form S-3 that went effective in May 2022.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1" w:name="page42"/>
    <w:bookmarkEnd w:id="41"/>
    <w:p>
      <w:pPr>
        <w:ind w:right="580"/>
        <w:spacing w:after="0" w:line="287" w:lineRule="auto"/>
        <w:rPr>
          <w:sz w:val="20"/>
          <w:szCs w:val="20"/>
          <w:color w:val="auto"/>
        </w:rPr>
      </w:pPr>
      <w:r>
        <w:rPr>
          <w:rFonts w:ascii="Times New Roman" w:cs="Times New Roman" w:eastAsia="Times New Roman" w:hAnsi="Times New Roman"/>
          <w:sz w:val="14"/>
          <w:szCs w:val="14"/>
          <w:color w:val="auto"/>
        </w:rPr>
        <w:t>We had a strong liquidity position at September 30, 2024 with $41,261,000 in cash and securities and $100,058,000 available on our RLC to meet any short-term liquidity needs. See Note 3 (Marketable Securities) and Note 7 (Line of Credit and Long-Term Debt) of the Notes to Unaudited Consolidated Financial Statements for more information.</w:t>
      </w:r>
    </w:p>
    <w:p>
      <w:pPr>
        <w:spacing w:after="0" w:line="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 term as described earlier in the cash flow and liquidity discussions.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Contractual Cash Obligations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contractual cash obligations and commercial commitments as of September 30, 2024, to be paid over the next five years and thereafter:</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Payments Due by Period</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One Year or Less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Years 2-3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Years 4-5</w:t>
            </w:r>
          </w:p>
        </w:tc>
        <w:tc>
          <w:tcPr>
            <w:tcW w:w="240" w:type="dxa"/>
            <w:vAlign w:val="bottom"/>
          </w:tcPr>
          <w:p>
            <w:pPr>
              <w:spacing w:after="0"/>
              <w:rPr>
                <w:sz w:val="14"/>
                <w:szCs w:val="14"/>
                <w:color w:val="auto"/>
              </w:rPr>
            </w:pPr>
          </w:p>
        </w:tc>
        <w:tc>
          <w:tcPr>
            <w:tcW w:w="11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Thereafter</w:t>
            </w:r>
          </w:p>
        </w:tc>
      </w:tr>
      <w:tr>
        <w:trPr>
          <w:trHeight w:val="16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Contractual Obligations: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Estimated water payments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4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28,901</w:t>
            </w:r>
          </w:p>
        </w:tc>
        <w:tc>
          <w:tcPr>
            <w:tcW w:w="4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225,749</w:t>
            </w: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Revolving line-of-credit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contract commitments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5"/>
                <w:szCs w:val="5"/>
                <w:color w:val="auto"/>
                <w:w w:val="78"/>
              </w:rPr>
              <w:t>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1,071</w:t>
            </w: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Defined Benefit Plan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2,851</w:t>
            </w: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SERP</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2,500</w:t>
            </w:r>
          </w:p>
        </w:tc>
      </w:tr>
      <w:tr>
        <w:trPr>
          <w:trHeight w:val="171"/>
        </w:trPr>
        <w:tc>
          <w:tcPr>
            <w:tcW w:w="3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411,404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24,249</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62,025</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92,959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232,171</w:t>
            </w:r>
          </w:p>
        </w:tc>
      </w:tr>
      <w:tr>
        <w:trPr>
          <w:trHeight w:val="20"/>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 The increase represents our contractual commitments related to our multifamily development.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above includes only those contracts that include fixed or minimum obligations. It does not include normal purchases that are made in the ordinary course of business.</w:t>
      </w:r>
    </w:p>
    <w:p>
      <w:pPr>
        <w:spacing w:after="0" w:line="83"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Estimated water payments include the Nickel Family, LLC water contract, which obligates us to purchase 6,693 acre-feet of water annually through 2044 and SWP contracts with WRMWSD,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3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Our cash contract commitments consist of contracts in various stages of completion related to infrastructure development within our industrial and multi-family developments and entitlement costs related to our industrial and residential development projects. Also, included in the cash contract commitments are estimated fees earned in 2014 by a consultant, related to the entitlement of the Grapevine Development Area. We exited a consulting contract in 2014 related to the Grapevine Development and are obligated to pay an earned incentive fee at the time of successful receipt of all project permits and entitlements and at a value measurement date five-years after project permits have been achieved for Grapevine. The final amount of the incentive fees will not be finalized until the future payment dates. We believe that net savings from exiting the contract over this future time period will more than offset the incentive payment costs.</w:t>
      </w:r>
    </w:p>
    <w:p>
      <w:pPr>
        <w:spacing w:after="0" w:line="48"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expect to contribute $165,000 to our defined benefit plan in the fourth quarter of 2024.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Off-Balance Sheet Arrangements</w:t>
      </w:r>
    </w:p>
    <w:p>
      <w:pPr>
        <w:spacing w:after="0" w:line="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TRPFFA is a joint powers authority formed by Kern County and TCWD to finance public infrastructure within our Kern County developments. TRPFFA created two CFDs, the West CFD and the East CFD. The West CFD has placed liens on 420 acres of our land to secure payment of special taxes related to $19,540,000 of bond debt sold by TRPFFA for TRCC-West. The East CFD has placed liens on 1,931 acres of our land to secure payments of special taxes related to $95,660,000 of bond debt sold by TRPFFA for TRCC-East. At TRCC-West, the West CFD has no additional bond debt approved for issuance. At TRCC-East, the East CFD has approximately $18,605,000 of additional bond debt authorized by TRPFFA.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2" w:name="page43"/>
    <w:bookmarkEnd w:id="42"/>
    <w:p>
      <w:pPr>
        <w:ind w:right="60"/>
        <w:spacing w:after="0" w:line="270" w:lineRule="auto"/>
        <w:rPr>
          <w:sz w:val="20"/>
          <w:szCs w:val="20"/>
          <w:color w:val="auto"/>
        </w:rPr>
      </w:pPr>
      <w:r>
        <w:rPr>
          <w:rFonts w:ascii="Times New Roman" w:cs="Times New Roman" w:eastAsia="Times New Roman" w:hAnsi="Times New Roman"/>
          <w:sz w:val="14"/>
          <w:szCs w:val="14"/>
          <w:color w:val="auto"/>
        </w:rPr>
        <w:t>As of September 30, 2024, aggregate outstanding debt of unconsolidated joint ventures was $222,746,000; $20,626,000 was attributable to the loan for TRCC/Rock Outlet joint venture. This loan was 100% guaranteed at September 30, 2024. All other outstanding debt attributed to our joint ventures have met their respective debt covenants, and hence were not subject to an effective guarantee at September 30, 2024. We do not provide a guarantee on the $11,984,000 of debt related to our joint venture with TA/Petro.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Non-GAAP Financial Measures</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(loss) income or cash flows from operations as defined by GAAP. Further, our computation of EBITDA and Adjusted EBITDA may not be comparable to similar measures reported by other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00" w:type="dxa"/>
            <w:vAlign w:val="bottom"/>
          </w:tcPr>
          <w:p>
            <w:pPr>
              <w:spacing w:after="0"/>
              <w:rPr>
                <w:sz w:val="16"/>
                <w:szCs w:val="16"/>
                <w:color w:val="auto"/>
              </w:rPr>
            </w:pPr>
          </w:p>
        </w:tc>
        <w:tc>
          <w:tcPr>
            <w:tcW w:w="3120" w:type="dxa"/>
            <w:vAlign w:val="bottom"/>
            <w:gridSpan w:val="4"/>
          </w:tcPr>
          <w:p>
            <w:pPr>
              <w:jc w:val="right"/>
              <w:ind w:right="68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4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Our share of interest expense from unconsolidated joint ventures</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w:t>
            </w: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net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r>
      <w:tr>
        <w:trPr>
          <w:trHeight w:val="18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r>
      <w:tr>
        <w:trPr>
          <w:trHeight w:val="138"/>
        </w:trPr>
        <w:tc>
          <w:tcPr>
            <w:tcW w:w="420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Our share of depreciation and amortization from unconsolidated joint</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1"/>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ventures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w:t>
            </w:r>
          </w:p>
        </w:tc>
      </w:tr>
      <w:tr>
        <w:trPr>
          <w:trHeight w:val="17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w:t>
            </w: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14,170</w:t>
            </w: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16,539</w:t>
            </w:r>
          </w:p>
        </w:tc>
      </w:tr>
      <w:tr>
        <w:trPr>
          <w:trHeight w:val="20"/>
        </w:trPr>
        <w:tc>
          <w:tcPr>
            <w:tcW w:w="4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commercial real estate assets.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 w:type="dxa"/>
            <w:vAlign w:val="bottom"/>
          </w:tcPr>
          <w:p>
            <w:pPr>
              <w:spacing w:after="0"/>
              <w:rPr>
                <w:sz w:val="14"/>
                <w:szCs w:val="14"/>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Commercial/Industrial operating income</w:t>
            </w:r>
          </w:p>
        </w:tc>
        <w:tc>
          <w:tcPr>
            <w:tcW w:w="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4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Plus: Commercial/Industrial depreciation and amortization</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4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Plus: General, administrative, cost of sales and other expenses</w:t>
            </w: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4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Other revenues including land sales</w:t>
            </w:r>
          </w:p>
        </w:tc>
        <w:tc>
          <w:tcPr>
            <w:tcW w:w="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40" w:type="dxa"/>
            <w:vAlign w:val="bottom"/>
          </w:tcPr>
          <w:p>
            <w:pPr>
              <w:spacing w:after="0"/>
              <w:rPr>
                <w:sz w:val="15"/>
                <w:szCs w:val="15"/>
                <w:color w:val="auto"/>
              </w:rPr>
            </w:pPr>
          </w:p>
        </w:tc>
      </w:tr>
      <w:tr>
        <w:trPr>
          <w:trHeight w:val="196"/>
        </w:trPr>
        <w:tc>
          <w:tcPr>
            <w:tcW w:w="4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2,341</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6,186</w:t>
            </w:r>
          </w:p>
        </w:tc>
        <w:tc>
          <w:tcPr>
            <w:tcW w:w="4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6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6"/>
          </w:tcPr>
          <w:p>
            <w:pPr>
              <w:jc w:val="right"/>
              <w:ind w:right="2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17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Pastoria Energy Facility</w:t>
            </w:r>
          </w:p>
        </w:tc>
        <w:tc>
          <w:tcPr>
            <w:tcW w:w="1120" w:type="dxa"/>
            <w:vAlign w:val="bottom"/>
            <w:tcBorders>
              <w:top w:val="single" w:sz="8" w:color="auto"/>
            </w:tcBorders>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40" w:type="dxa"/>
            <w:vAlign w:val="bottom"/>
            <w:tcBorders>
              <w:top w:val="single" w:sz="8" w:color="auto"/>
            </w:tcBorders>
            <w:shd w:val="clear" w:color="auto" w:fill="CCEEFF"/>
          </w:tcPr>
          <w:p>
            <w:pPr>
              <w:spacing w:after="0"/>
              <w:rPr>
                <w:sz w:val="14"/>
                <w:szCs w:val="14"/>
                <w:color w:val="auto"/>
              </w:rPr>
            </w:pPr>
          </w:p>
        </w:tc>
      </w:tr>
      <w:tr>
        <w:trPr>
          <w:trHeight w:val="18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40" w:type="dxa"/>
            <w:vAlign w:val="bottom"/>
          </w:tcPr>
          <w:p>
            <w:pPr>
              <w:spacing w:after="0"/>
              <w:rPr>
                <w:sz w:val="15"/>
                <w:szCs w:val="15"/>
                <w:color w:val="auto"/>
              </w:rPr>
            </w:pPr>
          </w:p>
        </w:tc>
      </w:tr>
      <w:tr>
        <w:trPr>
          <w:trHeight w:val="18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Communication leases</w:t>
            </w: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40" w:type="dxa"/>
            <w:vAlign w:val="bottom"/>
            <w:shd w:val="clear" w:color="auto" w:fill="CCEEFF"/>
          </w:tcPr>
          <w:p>
            <w:pPr>
              <w:spacing w:after="0"/>
              <w:rPr>
                <w:sz w:val="15"/>
                <w:szCs w:val="15"/>
                <w:color w:val="auto"/>
              </w:rPr>
            </w:pPr>
          </w:p>
        </w:tc>
      </w:tr>
      <w:tr>
        <w:trPr>
          <w:trHeight w:val="18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commercial leases</w:t>
            </w: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40" w:type="dxa"/>
            <w:vAlign w:val="bottom"/>
            <w:tcBorders>
              <w:bottom w:val="single" w:sz="8" w:color="auto"/>
            </w:tcBorders>
          </w:tcPr>
          <w:p>
            <w:pPr>
              <w:spacing w:after="0"/>
              <w:rPr>
                <w:sz w:val="15"/>
                <w:szCs w:val="15"/>
                <w:color w:val="auto"/>
              </w:rPr>
            </w:pPr>
          </w:p>
        </w:tc>
      </w:tr>
      <w:tr>
        <w:trPr>
          <w:trHeight w:val="196"/>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1120" w:type="dxa"/>
            <w:vAlign w:val="bottom"/>
            <w:tcBorders>
              <w:bottom w:val="single" w:sz="8" w:color="auto"/>
            </w:tcBorders>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2,341</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5,893</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6,186</w:t>
            </w:r>
          </w:p>
        </w:tc>
        <w:tc>
          <w:tcPr>
            <w:tcW w:w="40" w:type="dxa"/>
            <w:vAlign w:val="bottom"/>
            <w:tcBorders>
              <w:bottom w:val="single" w:sz="8" w:color="auto"/>
            </w:tcBorders>
            <w:shd w:val="clear" w:color="auto" w:fill="CCEEFF"/>
          </w:tcPr>
          <w:p>
            <w:pPr>
              <w:spacing w:after="0"/>
              <w:rPr>
                <w:sz w:val="16"/>
                <w:szCs w:val="16"/>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4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80" w:type="dxa"/>
            <w:vAlign w:val="bottom"/>
          </w:tcPr>
          <w:p>
            <w:pPr>
              <w:spacing w:after="0"/>
              <w:rPr>
                <w:sz w:val="16"/>
                <w:szCs w:val="16"/>
                <w:color w:val="auto"/>
              </w:rPr>
            </w:pPr>
          </w:p>
        </w:tc>
        <w:tc>
          <w:tcPr>
            <w:tcW w:w="29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2023</w:t>
            </w: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of unconsolidated joint ventures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7,856</w:t>
            </w: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of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7,116</w:t>
            </w: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of unconsolidated joint ventures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r>
      <w:tr>
        <w:trPr>
          <w:trHeight w:val="18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unconsolidated joint ventures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w:t>
            </w:r>
          </w:p>
        </w:tc>
      </w:tr>
      <w:tr>
        <w:trPr>
          <w:trHeight w:val="196"/>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 of unconsolidated joint ventures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7"/>
        </w:trPr>
        <w:tc>
          <w:tcPr>
            <w:tcW w:w="44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QUANTITATIVE AND QUALITATIVE DISCLOSURES ABOUT MARKET RISK</w:t>
      </w:r>
    </w:p>
    <w:p>
      <w:pPr>
        <w:spacing w:after="0" w:line="7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Market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exposure to financial market risks includes changes to interest rates and credit risks related to marketable securities, interest rates related to our outstanding indebtedness and trade receivables.</w:t>
      </w:r>
    </w:p>
    <w:p>
      <w:pPr>
        <w:spacing w:after="0" w:line="13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93"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4"/>
          <w:szCs w:val="14"/>
          <w:color w:val="auto"/>
        </w:rPr>
        <w:t>Our current RCL has a $59,942,000 outstanding balance. The interest rate on this line of credit can float at a rate equal to one-month term SOFR plus 2.25% for an effective rate of 7.45% at September 30, 2024. During the term of this RCL (which matures in January 2029), we can borrow at any time and partially or wholly repay any outstanding borrowings and then re-borrow, as necessary outstanding balances.</w:t>
      </w:r>
    </w:p>
    <w:p>
      <w:pPr>
        <w:spacing w:after="0" w:line="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4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 September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Thereafter</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60"/>
        </w:trPr>
        <w:tc>
          <w:tcPr>
            <w:tcW w:w="294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$6,270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$7,602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$13,872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$13,892</w:t>
            </w:r>
          </w:p>
        </w:tc>
        <w:tc>
          <w:tcPr>
            <w:tcW w:w="0" w:type="dxa"/>
            <w:vAlign w:val="bottom"/>
          </w:tcPr>
          <w:p>
            <w:pPr>
              <w:spacing w:after="0"/>
              <w:rPr>
                <w:sz w:val="1"/>
                <w:szCs w:val="1"/>
                <w:color w:val="auto"/>
              </w:rPr>
            </w:pPr>
          </w:p>
        </w:tc>
      </w:tr>
      <w:tr>
        <w:trPr>
          <w:trHeight w:val="180"/>
        </w:trPr>
        <w:tc>
          <w:tcPr>
            <w:tcW w:w="2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4.98%</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3"/>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4.97%</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Revolving line-of-credit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$59,942</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$59,942</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$59,942</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S+2.25%</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and the rate was 7.45% as of September 30, 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2"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 December 31,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Thereafter</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0"/>
        </w:trPr>
        <w:tc>
          <w:tcPr>
            <w:tcW w:w="2960" w:type="dxa"/>
            <w:vAlign w:val="bottom"/>
            <w:vMerge w:val="continue"/>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$32,576</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5"/>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$32,576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$32,556</w:t>
            </w:r>
          </w:p>
        </w:tc>
        <w:tc>
          <w:tcPr>
            <w:tcW w:w="0" w:type="dxa"/>
            <w:vAlign w:val="bottom"/>
          </w:tcPr>
          <w:p>
            <w:pPr>
              <w:spacing w:after="0"/>
              <w:rPr>
                <w:sz w:val="1"/>
                <w:szCs w:val="1"/>
                <w:color w:val="auto"/>
              </w:rPr>
            </w:pPr>
          </w:p>
        </w:tc>
      </w:tr>
      <w:tr>
        <w:trPr>
          <w:trHeight w:val="180"/>
        </w:trPr>
        <w:tc>
          <w:tcPr>
            <w:tcW w:w="2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5.27%</w:t>
            </w:r>
          </w:p>
        </w:tc>
        <w:tc>
          <w:tcPr>
            <w:tcW w:w="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3"/>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line-of-credit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$47,942</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$47,942</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$47,942</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and the rate was 7.59% as of December 31,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Commodity Price Exposure</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2024, there were no receivables that were subject to commodity price fluctuations given that there were no pistachio crop receivables that were at risk to changing prices.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CONTROLS AND PROCEDURES</w:t>
      </w:r>
    </w:p>
    <w:p>
      <w:pPr>
        <w:spacing w:after="0" w:line="96" w:lineRule="exact"/>
        <w:rPr>
          <w:sz w:val="20"/>
          <w:szCs w:val="20"/>
          <w:color w:val="auto"/>
        </w:rPr>
      </w:pPr>
    </w:p>
    <w:p>
      <w:pPr>
        <w:ind w:left="440" w:hanging="435"/>
        <w:spacing w:after="0"/>
        <w:tabs>
          <w:tab w:leader="none" w:pos="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 of Disclosure Controls and Procedures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the end of the period covered by this report, management conducted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to be disclosed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 required by the rules and regulations of the SEC.</w:t>
      </w:r>
    </w:p>
    <w:p>
      <w:pPr>
        <w:spacing w:after="0" w:line="61" w:lineRule="exact"/>
        <w:rPr>
          <w:sz w:val="20"/>
          <w:szCs w:val="20"/>
          <w:color w:val="auto"/>
        </w:rPr>
      </w:pPr>
    </w:p>
    <w:p>
      <w:pPr>
        <w:ind w:left="440" w:hanging="435"/>
        <w:spacing w:after="0"/>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Internal Control Over Financial Reporting</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have materially affected, or are reasonably likely to materially affect, our internal control over financial reporting.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 Legal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Note 11 (Commitments and Contingencies) in the Notes to Unaudited Consolidated Financial Statements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1A. Risk Factors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in Part I, Item 1A in our most recent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Unregistered Sales of Equity Securities and Use of Proceeds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Defaults Upon Senior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Mine Safety Disclosures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5. Other Information</w:t>
      </w:r>
    </w:p>
    <w:p>
      <w:pPr>
        <w:spacing w:after="0" w:line="25" w:lineRule="exact"/>
        <w:rPr>
          <w:sz w:val="20"/>
          <w:szCs w:val="20"/>
          <w:color w:val="auto"/>
        </w:rPr>
      </w:pPr>
    </w:p>
    <w:p>
      <w:pPr>
        <w:ind w:left="200" w:hanging="195"/>
        <w:spacing w:after="0"/>
        <w:tabs>
          <w:tab w:leader="none" w:pos="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6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006EBF"/>
                <w:w w:val="98"/>
              </w:rPr>
              <w:t>Item 6. Exhibits:</w:t>
            </w:r>
          </w:p>
        </w:tc>
        <w:tc>
          <w:tcPr>
            <w:tcW w:w="89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6EBF"/>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80" w:type="dxa"/>
            <w:vAlign w:val="bottom"/>
            <w:gridSpan w:val="3"/>
          </w:tcPr>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3.1   </w:t>
            </w:r>
            <w:hyperlink r:id="rId68">
              <w:r>
                <w:rPr>
                  <w:rFonts w:ascii="Times New Roman" w:cs="Times New Roman" w:eastAsia="Times New Roman" w:hAnsi="Times New Roman"/>
                  <w:sz w:val="14"/>
                  <w:szCs w:val="14"/>
                  <w:color w:val="auto"/>
                </w:rPr>
                <w:t>Restated Certificate of Incorporation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w:t>
            </w:r>
          </w:p>
        </w:tc>
      </w:tr>
      <w:tr>
        <w:trPr>
          <w:trHeight w:val="180"/>
        </w:trPr>
        <w:tc>
          <w:tcPr>
            <w:tcW w:w="20" w:type="dxa"/>
            <w:vAlign w:val="bottom"/>
          </w:tcPr>
          <w:p>
            <w:pPr>
              <w:spacing w:after="0"/>
              <w:rPr>
                <w:sz w:val="15"/>
                <w:szCs w:val="15"/>
                <w:color w:val="auto"/>
              </w:rPr>
            </w:pPr>
          </w:p>
        </w:tc>
        <w:tc>
          <w:tcPr>
            <w:tcW w:w="10080" w:type="dxa"/>
            <w:vAlign w:val="bottom"/>
            <w:gridSpan w:val="3"/>
          </w:tcPr>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3.2   </w:t>
            </w:r>
            <w:hyperlink r:id="rId69">
              <w:r>
                <w:rPr>
                  <w:rFonts w:ascii="Times New Roman" w:cs="Times New Roman" w:eastAsia="Times New Roman" w:hAnsi="Times New Roman"/>
                  <w:sz w:val="14"/>
                  <w:szCs w:val="14"/>
                  <w:color w:val="auto"/>
                </w:rPr>
                <w:t>Amended and Restated Bylaws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w:t>
            </w:r>
          </w:p>
        </w:tc>
      </w:tr>
      <w:tr>
        <w:trPr>
          <w:trHeight w:val="180"/>
        </w:trPr>
        <w:tc>
          <w:tcPr>
            <w:tcW w:w="20" w:type="dxa"/>
            <w:vAlign w:val="bottom"/>
          </w:tcPr>
          <w:p>
            <w:pPr>
              <w:spacing w:after="0"/>
              <w:rPr>
                <w:sz w:val="15"/>
                <w:szCs w:val="15"/>
                <w:color w:val="auto"/>
              </w:rPr>
            </w:pPr>
          </w:p>
        </w:tc>
        <w:tc>
          <w:tcPr>
            <w:tcW w:w="10080" w:type="dxa"/>
            <w:vAlign w:val="bottom"/>
            <w:gridSpan w:val="3"/>
          </w:tcPr>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4.3   </w:t>
            </w:r>
            <w:hyperlink r:id="rId70">
              <w:r>
                <w:rPr>
                  <w:rFonts w:ascii="Times New Roman" w:cs="Times New Roman" w:eastAsia="Times New Roman" w:hAnsi="Times New Roman"/>
                  <w:sz w:val="14"/>
                  <w:szCs w:val="14"/>
                  <w:color w:val="auto"/>
                </w:rPr>
                <w:t>Registration and Reimbursement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5</w:t>
            </w:r>
          </w:p>
        </w:tc>
      </w:tr>
      <w:tr>
        <w:trPr>
          <w:trHeight w:val="180"/>
        </w:trPr>
        <w:tc>
          <w:tcPr>
            <w:tcW w:w="20" w:type="dxa"/>
            <w:vAlign w:val="bottom"/>
          </w:tcPr>
          <w:p>
            <w:pPr>
              <w:spacing w:after="0"/>
              <w:rPr>
                <w:sz w:val="15"/>
                <w:szCs w:val="15"/>
                <w:color w:val="auto"/>
              </w:rPr>
            </w:pPr>
          </w:p>
        </w:tc>
        <w:tc>
          <w:tcPr>
            <w:tcW w:w="10080" w:type="dxa"/>
            <w:vAlign w:val="bottom"/>
            <w:gridSpan w:val="3"/>
          </w:tcPr>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4.5   </w:t>
            </w:r>
            <w:hyperlink r:id="rId71">
              <w:r>
                <w:rPr>
                  <w:rFonts w:ascii="Times New Roman" w:cs="Times New Roman" w:eastAsia="Times New Roman" w:hAnsi="Times New Roman"/>
                  <w:sz w:val="14"/>
                  <w:szCs w:val="14"/>
                  <w:color w:val="auto"/>
                </w:rPr>
                <w:t>Form of Indenture for Debt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37</w:t>
            </w:r>
          </w:p>
        </w:tc>
      </w:tr>
      <w:tr>
        <w:trPr>
          <w:trHeight w:val="149"/>
        </w:trPr>
        <w:tc>
          <w:tcPr>
            <w:tcW w:w="20" w:type="dxa"/>
            <w:vAlign w:val="bottom"/>
          </w:tcPr>
          <w:p>
            <w:pPr>
              <w:spacing w:after="0"/>
              <w:rPr>
                <w:sz w:val="12"/>
                <w:szCs w:val="12"/>
                <w:color w:val="auto"/>
              </w:rPr>
            </w:pPr>
          </w:p>
        </w:tc>
        <w:tc>
          <w:tcPr>
            <w:tcW w:w="10080" w:type="dxa"/>
            <w:vAlign w:val="bottom"/>
            <w:gridSpan w:val="3"/>
          </w:tcPr>
          <w:p>
            <w:pPr>
              <w:ind w:left="800"/>
              <w:spacing w:after="0" w:line="149" w:lineRule="exact"/>
              <w:rPr>
                <w:sz w:val="20"/>
                <w:szCs w:val="20"/>
                <w:color w:val="auto"/>
              </w:rPr>
            </w:pPr>
            <w:r>
              <w:rPr>
                <w:rFonts w:ascii="Times New Roman" w:cs="Times New Roman" w:eastAsia="Times New Roman" w:hAnsi="Times New Roman"/>
                <w:sz w:val="14"/>
                <w:szCs w:val="14"/>
                <w:color w:val="auto"/>
              </w:rPr>
              <w:t>10.1   Water Service Contract with Wheeler Ridge-Maricopa Water Storage District (without exhibits), amendments originally filed under Item 11 to</w:t>
            </w:r>
          </w:p>
        </w:tc>
        <w:tc>
          <w:tcPr>
            <w:tcW w:w="118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Registrant's Annual Report on Form 10-K</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6</w:t>
            </w:r>
          </w:p>
        </w:tc>
      </w:tr>
      <w:tr>
        <w:trPr>
          <w:trHeight w:val="180"/>
        </w:trPr>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10.7</w:t>
            </w:r>
          </w:p>
        </w:tc>
        <w:tc>
          <w:tcPr>
            <w:tcW w:w="8920" w:type="dxa"/>
            <w:vAlign w:val="bottom"/>
          </w:tcPr>
          <w:p>
            <w:pPr>
              <w:ind w:left="60"/>
              <w:spacing w:after="0"/>
              <w:rPr>
                <w:rFonts w:ascii="Times New Roman" w:cs="Times New Roman" w:eastAsia="Times New Roman" w:hAnsi="Times New Roman"/>
                <w:sz w:val="14"/>
                <w:szCs w:val="14"/>
                <w:color w:val="auto"/>
              </w:rPr>
            </w:pPr>
            <w:hyperlink r:id="rId72">
              <w:r>
                <w:rPr>
                  <w:rFonts w:ascii="Times New Roman" w:cs="Times New Roman" w:eastAsia="Times New Roman" w:hAnsi="Times New Roman"/>
                  <w:sz w:val="14"/>
                  <w:szCs w:val="14"/>
                  <w:color w:val="auto"/>
                </w:rPr>
                <w:t>*Severance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10.8</w:t>
            </w:r>
          </w:p>
        </w:tc>
        <w:tc>
          <w:tcPr>
            <w:tcW w:w="8920" w:type="dxa"/>
            <w:vAlign w:val="bottom"/>
          </w:tcPr>
          <w:p>
            <w:pPr>
              <w:ind w:left="60"/>
              <w:spacing w:after="0"/>
              <w:rPr>
                <w:rFonts w:ascii="Times New Roman" w:cs="Times New Roman" w:eastAsia="Times New Roman" w:hAnsi="Times New Roman"/>
                <w:sz w:val="14"/>
                <w:szCs w:val="14"/>
                <w:color w:val="auto"/>
              </w:rPr>
            </w:pPr>
            <w:hyperlink r:id="rId72">
              <w:r>
                <w:rPr>
                  <w:rFonts w:ascii="Times New Roman" w:cs="Times New Roman" w:eastAsia="Times New Roman" w:hAnsi="Times New Roman"/>
                  <w:sz w:val="14"/>
                  <w:szCs w:val="14"/>
                  <w:color w:val="auto"/>
                </w:rPr>
                <w:t>*Director Compensation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4"/>
        </w:trPr>
        <w:tc>
          <w:tcPr>
            <w:tcW w:w="20" w:type="dxa"/>
            <w:vAlign w:val="bottom"/>
          </w:tcPr>
          <w:p>
            <w:pPr>
              <w:spacing w:after="0"/>
              <w:rPr>
                <w:sz w:val="16"/>
                <w:szCs w:val="16"/>
                <w:color w:val="auto"/>
              </w:rPr>
            </w:pPr>
          </w:p>
        </w:tc>
        <w:tc>
          <w:tcPr>
            <w:tcW w:w="10080" w:type="dxa"/>
            <w:vAlign w:val="bottom"/>
            <w:gridSpan w:val="3"/>
          </w:tcPr>
          <w:p>
            <w:pPr>
              <w:ind w:left="8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10.9   </w:t>
            </w:r>
            <w:hyperlink r:id="rId73">
              <w:r>
                <w:rPr>
                  <w:rFonts w:ascii="Times New Roman" w:cs="Times New Roman" w:eastAsia="Times New Roman" w:hAnsi="Times New Roman"/>
                  <w:sz w:val="14"/>
                  <w:szCs w:val="14"/>
                  <w:color w:val="auto"/>
                </w:rPr>
                <w:t>*Amended and Restated Non-Employee Director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8</w:t>
            </w:r>
          </w:p>
        </w:tc>
      </w:tr>
      <w:tr>
        <w:trPr>
          <w:trHeight w:val="272"/>
        </w:trPr>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10.9(1)</w:t>
            </w:r>
          </w:p>
        </w:tc>
        <w:tc>
          <w:tcPr>
            <w:tcW w:w="8920" w:type="dxa"/>
            <w:vAlign w:val="bottom"/>
          </w:tcPr>
          <w:p>
            <w:pPr>
              <w:ind w:left="80"/>
              <w:spacing w:after="0"/>
              <w:rPr>
                <w:rFonts w:ascii="Times New Roman" w:cs="Times New Roman" w:eastAsia="Times New Roman" w:hAnsi="Times New Roman"/>
                <w:sz w:val="14"/>
                <w:szCs w:val="14"/>
                <w:color w:val="auto"/>
              </w:rPr>
            </w:pPr>
            <w:hyperlink r:id="rId72">
              <w:r>
                <w:rPr>
                  <w:rFonts w:ascii="Times New Roman" w:cs="Times New Roman" w:eastAsia="Times New Roman" w:hAnsi="Times New Roman"/>
                  <w:sz w:val="14"/>
                  <w:szCs w:val="14"/>
                  <w:color w:val="auto"/>
                </w:rPr>
                <w:t>*Stock Option Agreement Pursuant to the Non-Employee Director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10.10</w:t>
            </w:r>
          </w:p>
        </w:tc>
        <w:tc>
          <w:tcPr>
            <w:tcW w:w="8920" w:type="dxa"/>
            <w:vAlign w:val="bottom"/>
          </w:tcPr>
          <w:p>
            <w:pPr>
              <w:ind w:left="80"/>
              <w:spacing w:after="0"/>
              <w:rPr>
                <w:rFonts w:ascii="Times New Roman" w:cs="Times New Roman" w:eastAsia="Times New Roman" w:hAnsi="Times New Roman"/>
                <w:sz w:val="14"/>
                <w:szCs w:val="14"/>
                <w:color w:val="auto"/>
              </w:rPr>
            </w:pPr>
            <w:hyperlink r:id="rId74">
              <w:r>
                <w:rPr>
                  <w:rFonts w:ascii="Times New Roman" w:cs="Times New Roman" w:eastAsia="Times New Roman" w:hAnsi="Times New Roman"/>
                  <w:sz w:val="14"/>
                  <w:szCs w:val="14"/>
                  <w:color w:val="auto"/>
                </w:rPr>
                <w:t>*Amended and Restated 1998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9</w:t>
            </w:r>
          </w:p>
        </w:tc>
      </w:tr>
      <w:tr>
        <w:trPr>
          <w:trHeight w:val="180"/>
        </w:trPr>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10.10(1)</w:t>
            </w:r>
          </w:p>
        </w:tc>
        <w:tc>
          <w:tcPr>
            <w:tcW w:w="8920" w:type="dxa"/>
            <w:vAlign w:val="bottom"/>
          </w:tcPr>
          <w:p>
            <w:pPr>
              <w:ind w:left="80"/>
              <w:spacing w:after="0"/>
              <w:rPr>
                <w:rFonts w:ascii="Times New Roman" w:cs="Times New Roman" w:eastAsia="Times New Roman" w:hAnsi="Times New Roman"/>
                <w:sz w:val="14"/>
                <w:szCs w:val="14"/>
                <w:color w:val="auto"/>
              </w:rPr>
            </w:pPr>
            <w:hyperlink r:id="rId72">
              <w:r>
                <w:rPr>
                  <w:rFonts w:ascii="Times New Roman" w:cs="Times New Roman" w:eastAsia="Times New Roman" w:hAnsi="Times New Roman"/>
                  <w:sz w:val="14"/>
                  <w:szCs w:val="14"/>
                  <w:color w:val="auto"/>
                </w:rPr>
                <w:t>*Stock Option Agreement Pursuant to the 1998 Stock Incentive Plan</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7</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10.12</w:t>
            </w:r>
          </w:p>
        </w:tc>
        <w:tc>
          <w:tcPr>
            <w:tcW w:w="8920" w:type="dxa"/>
            <w:vAlign w:val="bottom"/>
          </w:tcPr>
          <w:p>
            <w:pPr>
              <w:ind w:left="80"/>
              <w:spacing w:after="0"/>
              <w:rPr>
                <w:rFonts w:ascii="Times New Roman" w:cs="Times New Roman" w:eastAsia="Times New Roman" w:hAnsi="Times New Roman"/>
                <w:sz w:val="14"/>
                <w:szCs w:val="14"/>
                <w:color w:val="auto"/>
              </w:rPr>
            </w:pPr>
            <w:hyperlink r:id="rId75">
              <w:r>
                <w:rPr>
                  <w:rFonts w:ascii="Times New Roman" w:cs="Times New Roman" w:eastAsia="Times New Roman" w:hAnsi="Times New Roman"/>
                  <w:sz w:val="14"/>
                  <w:szCs w:val="14"/>
                  <w:color w:val="auto"/>
                </w:rPr>
                <w:t>Ground Lease with Pastoria Energy Facility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10</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10.15</w:t>
            </w:r>
          </w:p>
        </w:tc>
        <w:tc>
          <w:tcPr>
            <w:tcW w:w="8920" w:type="dxa"/>
            <w:vAlign w:val="bottom"/>
          </w:tcPr>
          <w:p>
            <w:pPr>
              <w:ind w:left="80"/>
              <w:spacing w:after="0"/>
              <w:rPr>
                <w:rFonts w:ascii="Times New Roman" w:cs="Times New Roman" w:eastAsia="Times New Roman" w:hAnsi="Times New Roman"/>
                <w:sz w:val="14"/>
                <w:szCs w:val="14"/>
                <w:color w:val="auto"/>
              </w:rPr>
            </w:pPr>
            <w:hyperlink r:id="rId76">
              <w:r>
                <w:rPr>
                  <w:rFonts w:ascii="Times New Roman" w:cs="Times New Roman" w:eastAsia="Times New Roman" w:hAnsi="Times New Roman"/>
                  <w:sz w:val="14"/>
                  <w:szCs w:val="14"/>
                  <w:color w:val="auto"/>
                </w:rPr>
                <w:t>Form of Securities Purchase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11</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10.16</w:t>
            </w:r>
          </w:p>
        </w:tc>
        <w:tc>
          <w:tcPr>
            <w:tcW w:w="8920" w:type="dxa"/>
            <w:vAlign w:val="bottom"/>
          </w:tcPr>
          <w:p>
            <w:pPr>
              <w:ind w:left="80"/>
              <w:spacing w:after="0"/>
              <w:rPr>
                <w:rFonts w:ascii="Times New Roman" w:cs="Times New Roman" w:eastAsia="Times New Roman" w:hAnsi="Times New Roman"/>
                <w:sz w:val="14"/>
                <w:szCs w:val="14"/>
                <w:color w:val="auto"/>
              </w:rPr>
            </w:pPr>
            <w:hyperlink r:id="rId77">
              <w:r>
                <w:rPr>
                  <w:rFonts w:ascii="Times New Roman" w:cs="Times New Roman" w:eastAsia="Times New Roman" w:hAnsi="Times New Roman"/>
                  <w:sz w:val="14"/>
                  <w:szCs w:val="14"/>
                  <w:color w:val="auto"/>
                </w:rPr>
                <w:t>Form of Registration Rights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12</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10.17</w:t>
            </w:r>
          </w:p>
        </w:tc>
        <w:tc>
          <w:tcPr>
            <w:tcW w:w="8920" w:type="dxa"/>
            <w:vAlign w:val="bottom"/>
          </w:tcPr>
          <w:p>
            <w:pPr>
              <w:ind w:left="80"/>
              <w:spacing w:after="0"/>
              <w:rPr>
                <w:rFonts w:ascii="Times New Roman" w:cs="Times New Roman" w:eastAsia="Times New Roman" w:hAnsi="Times New Roman"/>
                <w:sz w:val="14"/>
                <w:szCs w:val="14"/>
                <w:color w:val="auto"/>
              </w:rPr>
            </w:pPr>
            <w:hyperlink r:id="rId78">
              <w:r>
                <w:rPr>
                  <w:rFonts w:ascii="Times New Roman" w:cs="Times New Roman" w:eastAsia="Times New Roman" w:hAnsi="Times New Roman"/>
                  <w:sz w:val="14"/>
                  <w:szCs w:val="14"/>
                  <w:color w:val="auto"/>
                </w:rPr>
                <w:t>*2004 Stock Incentive Program</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10.18</w:t>
            </w:r>
          </w:p>
        </w:tc>
        <w:tc>
          <w:tcPr>
            <w:tcW w:w="8920" w:type="dxa"/>
            <w:vAlign w:val="bottom"/>
          </w:tcPr>
          <w:p>
            <w:pPr>
              <w:ind w:left="80"/>
              <w:spacing w:after="0"/>
              <w:rPr>
                <w:rFonts w:ascii="Times New Roman" w:cs="Times New Roman" w:eastAsia="Times New Roman" w:hAnsi="Times New Roman"/>
                <w:sz w:val="14"/>
                <w:szCs w:val="14"/>
                <w:color w:val="auto"/>
              </w:rPr>
            </w:pPr>
            <w:hyperlink r:id="rId79">
              <w:r>
                <w:rPr>
                  <w:rFonts w:ascii="Times New Roman" w:cs="Times New Roman" w:eastAsia="Times New Roman" w:hAnsi="Times New Roman"/>
                  <w:sz w:val="14"/>
                  <w:szCs w:val="14"/>
                  <w:color w:val="auto"/>
                </w:rPr>
                <w:t>*Form of Restricted Stock Agreement for Directors</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10.19</w:t>
            </w:r>
          </w:p>
        </w:tc>
        <w:tc>
          <w:tcPr>
            <w:tcW w:w="8920" w:type="dxa"/>
            <w:vAlign w:val="bottom"/>
          </w:tcPr>
          <w:p>
            <w:pPr>
              <w:ind w:left="80"/>
              <w:spacing w:after="0"/>
              <w:rPr>
                <w:rFonts w:ascii="Times New Roman" w:cs="Times New Roman" w:eastAsia="Times New Roman" w:hAnsi="Times New Roman"/>
                <w:sz w:val="14"/>
                <w:szCs w:val="14"/>
                <w:color w:val="auto"/>
              </w:rPr>
            </w:pPr>
            <w:hyperlink r:id="rId80">
              <w:r>
                <w:rPr>
                  <w:rFonts w:ascii="Times New Roman" w:cs="Times New Roman" w:eastAsia="Times New Roman" w:hAnsi="Times New Roman"/>
                  <w:sz w:val="14"/>
                  <w:szCs w:val="14"/>
                  <w:color w:val="auto"/>
                </w:rPr>
                <w:t>*Form of Restricted Stock Unit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13</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10.23</w:t>
            </w:r>
          </w:p>
        </w:tc>
        <w:tc>
          <w:tcPr>
            <w:tcW w:w="8920" w:type="dxa"/>
            <w:vAlign w:val="bottom"/>
          </w:tcPr>
          <w:p>
            <w:pPr>
              <w:ind w:left="80"/>
              <w:spacing w:after="0"/>
              <w:rPr>
                <w:rFonts w:ascii="Times New Roman" w:cs="Times New Roman" w:eastAsia="Times New Roman" w:hAnsi="Times New Roman"/>
                <w:sz w:val="14"/>
                <w:szCs w:val="14"/>
                <w:color w:val="auto"/>
              </w:rPr>
            </w:pPr>
            <w:hyperlink r:id="rId81">
              <w:r>
                <w:rPr>
                  <w:rFonts w:ascii="Times New Roman" w:cs="Times New Roman" w:eastAsia="Times New Roman" w:hAnsi="Times New Roman"/>
                  <w:sz w:val="14"/>
                  <w:szCs w:val="14"/>
                  <w:color w:val="auto"/>
                </w:rPr>
                <w:t>Limited Liability Company Agreement of Tejon Mountain Village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14</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10.24</w:t>
            </w:r>
          </w:p>
        </w:tc>
        <w:tc>
          <w:tcPr>
            <w:tcW w:w="8920" w:type="dxa"/>
            <w:vAlign w:val="bottom"/>
          </w:tcPr>
          <w:p>
            <w:pPr>
              <w:ind w:left="80"/>
              <w:spacing w:after="0"/>
              <w:rPr>
                <w:rFonts w:ascii="Times New Roman" w:cs="Times New Roman" w:eastAsia="Times New Roman" w:hAnsi="Times New Roman"/>
                <w:sz w:val="14"/>
                <w:szCs w:val="14"/>
                <w:color w:val="auto"/>
              </w:rPr>
            </w:pPr>
            <w:hyperlink r:id="rId82">
              <w:r>
                <w:rPr>
                  <w:rFonts w:ascii="Times New Roman" w:cs="Times New Roman" w:eastAsia="Times New Roman" w:hAnsi="Times New Roman"/>
                  <w:sz w:val="14"/>
                  <w:szCs w:val="14"/>
                  <w:color w:val="auto"/>
                </w:rPr>
                <w:t>Tejon Ranch Conservation and Land Use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15</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10.25</w:t>
            </w:r>
          </w:p>
        </w:tc>
        <w:tc>
          <w:tcPr>
            <w:tcW w:w="8920" w:type="dxa"/>
            <w:vAlign w:val="bottom"/>
          </w:tcPr>
          <w:p>
            <w:pPr>
              <w:ind w:left="80"/>
              <w:spacing w:after="0"/>
              <w:rPr>
                <w:rFonts w:ascii="Times New Roman" w:cs="Times New Roman" w:eastAsia="Times New Roman" w:hAnsi="Times New Roman"/>
                <w:sz w:val="14"/>
                <w:szCs w:val="14"/>
                <w:color w:val="auto"/>
              </w:rPr>
            </w:pPr>
            <w:hyperlink r:id="rId83">
              <w:r>
                <w:rPr>
                  <w:rFonts w:ascii="Times New Roman" w:cs="Times New Roman" w:eastAsia="Times New Roman" w:hAnsi="Times New Roman"/>
                  <w:sz w:val="14"/>
                  <w:szCs w:val="14"/>
                  <w:color w:val="auto"/>
                </w:rPr>
                <w:t>Second Amended and Restated Limited Liability Agreement of Centennial Founders,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16</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10.26</w:t>
            </w:r>
          </w:p>
        </w:tc>
        <w:tc>
          <w:tcPr>
            <w:tcW w:w="8920" w:type="dxa"/>
            <w:vAlign w:val="bottom"/>
          </w:tcPr>
          <w:p>
            <w:pPr>
              <w:ind w:left="80"/>
              <w:spacing w:after="0"/>
              <w:rPr>
                <w:rFonts w:ascii="Times New Roman" w:cs="Times New Roman" w:eastAsia="Times New Roman" w:hAnsi="Times New Roman"/>
                <w:sz w:val="14"/>
                <w:szCs w:val="14"/>
                <w:color w:val="auto"/>
              </w:rPr>
            </w:pPr>
            <w:hyperlink r:id="rId84">
              <w:r>
                <w:rPr>
                  <w:rFonts w:ascii="Times New Roman" w:cs="Times New Roman" w:eastAsia="Times New Roman" w:hAnsi="Times New Roman"/>
                  <w:sz w:val="14"/>
                  <w:szCs w:val="14"/>
                  <w:color w:val="auto"/>
                </w:rPr>
                <w:t>*Executive Employment Agreement - Allen E. Lyda</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17</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10.27</w:t>
            </w:r>
          </w:p>
        </w:tc>
        <w:tc>
          <w:tcPr>
            <w:tcW w:w="8920" w:type="dxa"/>
            <w:vAlign w:val="bottom"/>
          </w:tcPr>
          <w:p>
            <w:pPr>
              <w:ind w:left="80"/>
              <w:spacing w:after="0"/>
              <w:rPr>
                <w:rFonts w:ascii="Times New Roman" w:cs="Times New Roman" w:eastAsia="Times New Roman" w:hAnsi="Times New Roman"/>
                <w:sz w:val="14"/>
                <w:szCs w:val="14"/>
                <w:color w:val="auto"/>
              </w:rPr>
            </w:pPr>
            <w:hyperlink r:id="rId85">
              <w:r>
                <w:rPr>
                  <w:rFonts w:ascii="Times New Roman" w:cs="Times New Roman" w:eastAsia="Times New Roman" w:hAnsi="Times New Roman"/>
                  <w:sz w:val="14"/>
                  <w:szCs w:val="14"/>
                  <w:color w:val="auto"/>
                </w:rPr>
                <w:t>Limited Liability Company Agreement of TRCC/Rock Outlet Center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18</w:t>
            </w:r>
          </w:p>
        </w:tc>
      </w:tr>
      <w:tr>
        <w:trPr>
          <w:trHeight w:val="180"/>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10.28</w:t>
            </w:r>
          </w:p>
        </w:tc>
        <w:tc>
          <w:tcPr>
            <w:tcW w:w="8920" w:type="dxa"/>
            <w:vAlign w:val="bottom"/>
          </w:tcPr>
          <w:p>
            <w:pPr>
              <w:ind w:left="80"/>
              <w:spacing w:after="0"/>
              <w:rPr>
                <w:rFonts w:ascii="Times New Roman" w:cs="Times New Roman" w:eastAsia="Times New Roman" w:hAnsi="Times New Roman"/>
                <w:sz w:val="14"/>
                <w:szCs w:val="14"/>
                <w:color w:val="auto"/>
              </w:rPr>
            </w:pPr>
            <w:hyperlink r:id="rId86">
              <w:r>
                <w:rPr>
                  <w:rFonts w:ascii="Times New Roman" w:cs="Times New Roman" w:eastAsia="Times New Roman" w:hAnsi="Times New Roman"/>
                  <w:sz w:val="14"/>
                  <w:szCs w:val="14"/>
                  <w:color w:val="auto"/>
                </w:rPr>
                <w:t>Warrant Agreement</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19</w:t>
            </w:r>
          </w:p>
        </w:tc>
      </w:tr>
      <w:tr>
        <w:trPr>
          <w:trHeight w:val="184"/>
        </w:trPr>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10.29</w:t>
            </w:r>
          </w:p>
        </w:tc>
        <w:tc>
          <w:tcPr>
            <w:tcW w:w="8920" w:type="dxa"/>
            <w:vAlign w:val="bottom"/>
          </w:tcPr>
          <w:p>
            <w:pPr>
              <w:ind w:left="80"/>
              <w:spacing w:after="0"/>
              <w:rPr>
                <w:rFonts w:ascii="Times New Roman" w:cs="Times New Roman" w:eastAsia="Times New Roman" w:hAnsi="Times New Roman"/>
                <w:sz w:val="14"/>
                <w:szCs w:val="14"/>
                <w:color w:val="auto"/>
              </w:rPr>
            </w:pPr>
            <w:hyperlink r:id="rId87">
              <w:r>
                <w:rPr>
                  <w:rFonts w:ascii="Times New Roman" w:cs="Times New Roman" w:eastAsia="Times New Roman" w:hAnsi="Times New Roman"/>
                  <w:sz w:val="14"/>
                  <w:szCs w:val="14"/>
                  <w:color w:val="auto"/>
                </w:rPr>
                <w:t>Amendments to Limited Liability Company Agreement of Tejon Mountain Village LLC</w:t>
              </w:r>
            </w:hyperlink>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20</w:t>
            </w:r>
          </w:p>
        </w:tc>
      </w:tr>
      <w:tr>
        <w:trPr>
          <w:trHeight w:val="67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20" w:type="dxa"/>
            <w:vAlign w:val="bottom"/>
          </w:tcPr>
          <w:p>
            <w:pPr>
              <w:ind w:left="4400"/>
              <w:spacing w:after="0"/>
              <w:rPr>
                <w:sz w:val="20"/>
                <w:szCs w:val="20"/>
                <w:color w:val="auto"/>
              </w:rPr>
            </w:pPr>
            <w:r>
              <w:rPr>
                <w:rFonts w:ascii="Times New Roman" w:cs="Times New Roman" w:eastAsia="Times New Roman" w:hAnsi="Times New Roman"/>
                <w:sz w:val="14"/>
                <w:szCs w:val="14"/>
                <w:color w:val="auto"/>
              </w:rPr>
              <w:t>48</w:t>
            </w:r>
          </w:p>
        </w:tc>
        <w:tc>
          <w:tcPr>
            <w:tcW w:w="11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9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8" w:name="page49"/>
    <w:bookmarkEnd w:id="48"/>
    <w:tbl>
      <w:tblPr>
        <w:tblLayout w:type="fixed"/>
        <w:tblInd w:w="600" w:type="dxa"/>
        <w:tblCellMar>
          <w:top w:w="0" w:type="dxa"/>
          <w:left w:w="0" w:type="dxa"/>
          <w:bottom w:w="0" w:type="dxa"/>
          <w:right w:w="0" w:type="dxa"/>
        </w:tblCellMar>
      </w:tblP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10.30</w:t>
            </w:r>
          </w:p>
        </w:tc>
        <w:tc>
          <w:tcPr>
            <w:tcW w:w="8040" w:type="dxa"/>
            <w:vAlign w:val="bottom"/>
          </w:tcPr>
          <w:p>
            <w:pPr>
              <w:ind w:left="60"/>
              <w:spacing w:after="0"/>
              <w:rPr>
                <w:rFonts w:ascii="Times New Roman" w:cs="Times New Roman" w:eastAsia="Times New Roman" w:hAnsi="Times New Roman"/>
                <w:sz w:val="14"/>
                <w:szCs w:val="14"/>
                <w:color w:val="auto"/>
              </w:rPr>
            </w:pPr>
            <w:hyperlink r:id="rId90">
              <w:r>
                <w:rPr>
                  <w:rFonts w:ascii="Times New Roman" w:cs="Times New Roman" w:eastAsia="Times New Roman" w:hAnsi="Times New Roman"/>
                  <w:sz w:val="14"/>
                  <w:szCs w:val="14"/>
                  <w:color w:val="auto"/>
                </w:rPr>
                <w:t>Membership Interest Purchase Agreement - Tejon Mountain Village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10.31</w:t>
            </w:r>
          </w:p>
        </w:tc>
        <w:tc>
          <w:tcPr>
            <w:tcW w:w="8040" w:type="dxa"/>
            <w:vAlign w:val="bottom"/>
          </w:tcPr>
          <w:p>
            <w:pPr>
              <w:ind w:left="60"/>
              <w:spacing w:after="0"/>
              <w:rPr>
                <w:rFonts w:ascii="Times New Roman" w:cs="Times New Roman" w:eastAsia="Times New Roman" w:hAnsi="Times New Roman"/>
                <w:sz w:val="14"/>
                <w:szCs w:val="14"/>
                <w:color w:val="auto"/>
              </w:rPr>
            </w:pPr>
            <w:hyperlink r:id="rId91">
              <w:r>
                <w:rPr>
                  <w:rFonts w:ascii="Times New Roman" w:cs="Times New Roman" w:eastAsia="Times New Roman" w:hAnsi="Times New Roman"/>
                  <w:sz w:val="14"/>
                  <w:szCs w:val="14"/>
                  <w:color w:val="auto"/>
                </w:rPr>
                <w:t>Amended and Restated Credit Agreement</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10.32</w:t>
            </w:r>
          </w:p>
        </w:tc>
        <w:tc>
          <w:tcPr>
            <w:tcW w:w="8040" w:type="dxa"/>
            <w:vAlign w:val="bottom"/>
          </w:tcPr>
          <w:p>
            <w:pPr>
              <w:ind w:left="60"/>
              <w:spacing w:after="0"/>
              <w:rPr>
                <w:rFonts w:ascii="Times New Roman" w:cs="Times New Roman" w:eastAsia="Times New Roman" w:hAnsi="Times New Roman"/>
                <w:sz w:val="14"/>
                <w:szCs w:val="14"/>
                <w:color w:val="auto"/>
              </w:rPr>
            </w:pPr>
            <w:hyperlink r:id="rId92">
              <w:r>
                <w:rPr>
                  <w:rFonts w:ascii="Times New Roman" w:cs="Times New Roman" w:eastAsia="Times New Roman" w:hAnsi="Times New Roman"/>
                  <w:sz w:val="14"/>
                  <w:szCs w:val="14"/>
                  <w:color w:val="auto"/>
                </w:rPr>
                <w:t>Term Note</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25</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10.33</w:t>
            </w:r>
          </w:p>
        </w:tc>
        <w:tc>
          <w:tcPr>
            <w:tcW w:w="8040" w:type="dxa"/>
            <w:vAlign w:val="bottom"/>
          </w:tcPr>
          <w:p>
            <w:pPr>
              <w:ind w:left="60"/>
              <w:spacing w:after="0"/>
              <w:rPr>
                <w:rFonts w:ascii="Times New Roman" w:cs="Times New Roman" w:eastAsia="Times New Roman" w:hAnsi="Times New Roman"/>
                <w:sz w:val="14"/>
                <w:szCs w:val="14"/>
                <w:color w:val="auto"/>
              </w:rPr>
            </w:pPr>
            <w:hyperlink r:id="rId93">
              <w:r>
                <w:rPr>
                  <w:rFonts w:ascii="Times New Roman" w:cs="Times New Roman" w:eastAsia="Times New Roman" w:hAnsi="Times New Roman"/>
                  <w:sz w:val="14"/>
                  <w:szCs w:val="14"/>
                  <w:color w:val="auto"/>
                </w:rPr>
                <w:t>Revolving Line of Credit</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10.34</w:t>
            </w:r>
          </w:p>
        </w:tc>
        <w:tc>
          <w:tcPr>
            <w:tcW w:w="8040" w:type="dxa"/>
            <w:vAlign w:val="bottom"/>
          </w:tcPr>
          <w:p>
            <w:pPr>
              <w:ind w:left="60"/>
              <w:spacing w:after="0"/>
              <w:rPr>
                <w:rFonts w:ascii="Times New Roman" w:cs="Times New Roman" w:eastAsia="Times New Roman" w:hAnsi="Times New Roman"/>
                <w:sz w:val="14"/>
                <w:szCs w:val="14"/>
                <w:color w:val="auto"/>
              </w:rPr>
            </w:pPr>
            <w:hyperlink r:id="rId94">
              <w:r>
                <w:rPr>
                  <w:rFonts w:ascii="Times New Roman" w:cs="Times New Roman" w:eastAsia="Times New Roman" w:hAnsi="Times New Roman"/>
                  <w:sz w:val="14"/>
                  <w:szCs w:val="14"/>
                  <w:color w:val="auto"/>
                </w:rPr>
                <w:t>Amendments to Lease Agreement with Pastoria Energy Facility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10.35</w:t>
            </w:r>
          </w:p>
        </w:tc>
        <w:tc>
          <w:tcPr>
            <w:tcW w:w="8040" w:type="dxa"/>
            <w:vAlign w:val="bottom"/>
          </w:tcPr>
          <w:p>
            <w:pPr>
              <w:ind w:left="60"/>
              <w:spacing w:after="0"/>
              <w:rPr>
                <w:rFonts w:ascii="Times New Roman" w:cs="Times New Roman" w:eastAsia="Times New Roman" w:hAnsi="Times New Roman"/>
                <w:sz w:val="14"/>
                <w:szCs w:val="14"/>
                <w:color w:val="auto"/>
              </w:rPr>
            </w:pPr>
            <w:hyperlink r:id="rId95">
              <w:r>
                <w:rPr>
                  <w:rFonts w:ascii="Times New Roman" w:cs="Times New Roman" w:eastAsia="Times New Roman" w:hAnsi="Times New Roman"/>
                  <w:sz w:val="14"/>
                  <w:szCs w:val="14"/>
                  <w:color w:val="auto"/>
                </w:rPr>
                <w:t>Water Supply Agreement with Pastoria Energy Facility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10.37</w:t>
            </w:r>
          </w:p>
        </w:tc>
        <w:tc>
          <w:tcPr>
            <w:tcW w:w="8040" w:type="dxa"/>
            <w:vAlign w:val="bottom"/>
          </w:tcPr>
          <w:p>
            <w:pPr>
              <w:ind w:left="60"/>
              <w:spacing w:after="0"/>
              <w:rPr>
                <w:rFonts w:ascii="Times New Roman" w:cs="Times New Roman" w:eastAsia="Times New Roman" w:hAnsi="Times New Roman"/>
                <w:sz w:val="14"/>
                <w:szCs w:val="14"/>
                <w:color w:val="auto"/>
              </w:rPr>
            </w:pPr>
            <w:hyperlink r:id="rId96">
              <w:r>
                <w:rPr>
                  <w:rFonts w:ascii="Times New Roman" w:cs="Times New Roman" w:eastAsia="Times New Roman" w:hAnsi="Times New Roman"/>
                  <w:sz w:val="14"/>
                  <w:szCs w:val="14"/>
                  <w:color w:val="auto"/>
                </w:rPr>
                <w:t>Limited Liability Company Agreement of TRC-MRC 2,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10.38</w:t>
            </w:r>
          </w:p>
        </w:tc>
        <w:tc>
          <w:tcPr>
            <w:tcW w:w="8040" w:type="dxa"/>
            <w:vAlign w:val="bottom"/>
          </w:tcPr>
          <w:p>
            <w:pPr>
              <w:ind w:left="60"/>
              <w:spacing w:after="0"/>
              <w:rPr>
                <w:rFonts w:ascii="Times New Roman" w:cs="Times New Roman" w:eastAsia="Times New Roman" w:hAnsi="Times New Roman"/>
                <w:sz w:val="14"/>
                <w:szCs w:val="14"/>
                <w:color w:val="auto"/>
              </w:rPr>
            </w:pPr>
            <w:hyperlink r:id="rId97">
              <w:r>
                <w:rPr>
                  <w:rFonts w:ascii="Times New Roman" w:cs="Times New Roman" w:eastAsia="Times New Roman" w:hAnsi="Times New Roman"/>
                  <w:sz w:val="14"/>
                  <w:szCs w:val="14"/>
                  <w:color w:val="auto"/>
                </w:rPr>
                <w:t>Limited Liability Company Agreement of TRC-MRC 1,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27</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10.39</w:t>
            </w:r>
          </w:p>
        </w:tc>
        <w:tc>
          <w:tcPr>
            <w:tcW w:w="8040" w:type="dxa"/>
            <w:vAlign w:val="bottom"/>
          </w:tcPr>
          <w:p>
            <w:pPr>
              <w:ind w:left="60"/>
              <w:spacing w:after="0"/>
              <w:rPr>
                <w:rFonts w:ascii="Times New Roman" w:cs="Times New Roman" w:eastAsia="Times New Roman" w:hAnsi="Times New Roman"/>
                <w:sz w:val="14"/>
                <w:szCs w:val="14"/>
                <w:color w:val="auto"/>
              </w:rPr>
            </w:pPr>
            <w:hyperlink r:id="rId98">
              <w:r>
                <w:rPr>
                  <w:rFonts w:ascii="Times New Roman" w:cs="Times New Roman" w:eastAsia="Times New Roman" w:hAnsi="Times New Roman"/>
                  <w:sz w:val="14"/>
                  <w:szCs w:val="14"/>
                  <w:color w:val="auto"/>
                </w:rPr>
                <w:t xml:space="preserve">Centennial Founders, LLC Redemption and Withdrawal Agreement </w:t>
              </w:r>
            </w:hyperlink>
            <w:r>
              <w:rPr>
                <w:rFonts w:ascii="Times New Roman" w:cs="Times New Roman" w:eastAsia="Times New Roman" w:hAnsi="Times New Roman"/>
                <w:sz w:val="14"/>
                <w:szCs w:val="14"/>
                <w:color w:val="auto"/>
              </w:rPr>
              <w:t>- Lewis Tejon Member</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10.40</w:t>
            </w:r>
          </w:p>
        </w:tc>
        <w:tc>
          <w:tcPr>
            <w:tcW w:w="8040" w:type="dxa"/>
            <w:vAlign w:val="bottom"/>
          </w:tcPr>
          <w:p>
            <w:pPr>
              <w:ind w:left="60"/>
              <w:spacing w:after="0"/>
              <w:rPr>
                <w:rFonts w:ascii="Times New Roman" w:cs="Times New Roman" w:eastAsia="Times New Roman" w:hAnsi="Times New Roman"/>
                <w:sz w:val="14"/>
                <w:szCs w:val="14"/>
                <w:color w:val="auto"/>
              </w:rPr>
            </w:pPr>
            <w:hyperlink r:id="rId99">
              <w:r>
                <w:rPr>
                  <w:rFonts w:ascii="Times New Roman" w:cs="Times New Roman" w:eastAsia="Times New Roman" w:hAnsi="Times New Roman"/>
                  <w:sz w:val="14"/>
                  <w:szCs w:val="14"/>
                  <w:color w:val="auto"/>
                </w:rPr>
                <w:t>First Amendment to Second Amended and Restated Limited Liability Company Agreement of Centennial Founders,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29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10.41</w:t>
            </w:r>
          </w:p>
        </w:tc>
        <w:tc>
          <w:tcPr>
            <w:tcW w:w="8040" w:type="dxa"/>
            <w:vAlign w:val="bottom"/>
          </w:tcPr>
          <w:p>
            <w:pPr>
              <w:ind w:left="60"/>
              <w:spacing w:after="0"/>
              <w:rPr>
                <w:rFonts w:ascii="Times New Roman" w:cs="Times New Roman" w:eastAsia="Times New Roman" w:hAnsi="Times New Roman"/>
                <w:sz w:val="14"/>
                <w:szCs w:val="14"/>
                <w:color w:val="auto"/>
              </w:rPr>
            </w:pPr>
            <w:hyperlink r:id="rId100">
              <w:r>
                <w:rPr>
                  <w:rFonts w:ascii="Times New Roman" w:cs="Times New Roman" w:eastAsia="Times New Roman" w:hAnsi="Times New Roman"/>
                  <w:sz w:val="14"/>
                  <w:szCs w:val="14"/>
                  <w:color w:val="auto"/>
                </w:rPr>
                <w:t>Second Amendment to Second Amended and Restated Limited Liability Company Agreement of Centennial Founders,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10.42</w:t>
            </w:r>
          </w:p>
        </w:tc>
        <w:tc>
          <w:tcPr>
            <w:tcW w:w="8040" w:type="dxa"/>
            <w:vAlign w:val="bottom"/>
          </w:tcPr>
          <w:p>
            <w:pPr>
              <w:ind w:left="60"/>
              <w:spacing w:after="0"/>
              <w:rPr>
                <w:rFonts w:ascii="Times New Roman" w:cs="Times New Roman" w:eastAsia="Times New Roman" w:hAnsi="Times New Roman"/>
                <w:sz w:val="14"/>
                <w:szCs w:val="14"/>
                <w:color w:val="auto"/>
              </w:rPr>
            </w:pPr>
            <w:hyperlink r:id="rId101">
              <w:r>
                <w:rPr>
                  <w:rFonts w:ascii="Times New Roman" w:cs="Times New Roman" w:eastAsia="Times New Roman" w:hAnsi="Times New Roman"/>
                  <w:sz w:val="14"/>
                  <w:szCs w:val="14"/>
                  <w:color w:val="auto"/>
                </w:rPr>
                <w:t>Limited Liability Company Agreement of TRC-MRC 3,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10.43</w:t>
            </w:r>
          </w:p>
        </w:tc>
        <w:tc>
          <w:tcPr>
            <w:tcW w:w="8040" w:type="dxa"/>
            <w:vAlign w:val="bottom"/>
          </w:tcPr>
          <w:p>
            <w:pPr>
              <w:ind w:left="60"/>
              <w:spacing w:after="0"/>
              <w:rPr>
                <w:rFonts w:ascii="Times New Roman" w:cs="Times New Roman" w:eastAsia="Times New Roman" w:hAnsi="Times New Roman"/>
                <w:sz w:val="14"/>
                <w:szCs w:val="14"/>
                <w:color w:val="auto"/>
              </w:rPr>
            </w:pPr>
            <w:hyperlink r:id="rId102">
              <w:r>
                <w:rPr>
                  <w:rFonts w:ascii="Times New Roman" w:cs="Times New Roman" w:eastAsia="Times New Roman" w:hAnsi="Times New Roman"/>
                  <w:sz w:val="14"/>
                  <w:szCs w:val="14"/>
                  <w:color w:val="auto"/>
                </w:rPr>
                <w:t>Fourth Amendment to Second Amended and Restated Limited Liability Company Agreement of Centennial Founders,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10.44</w:t>
            </w:r>
          </w:p>
        </w:tc>
        <w:tc>
          <w:tcPr>
            <w:tcW w:w="8040" w:type="dxa"/>
            <w:vAlign w:val="bottom"/>
          </w:tcPr>
          <w:p>
            <w:pPr>
              <w:ind w:left="60"/>
              <w:spacing w:after="0"/>
              <w:rPr>
                <w:rFonts w:ascii="Times New Roman" w:cs="Times New Roman" w:eastAsia="Times New Roman" w:hAnsi="Times New Roman"/>
                <w:sz w:val="14"/>
                <w:szCs w:val="14"/>
                <w:color w:val="auto"/>
              </w:rPr>
            </w:pPr>
            <w:hyperlink r:id="rId103">
              <w:r>
                <w:rPr>
                  <w:rFonts w:ascii="Times New Roman" w:cs="Times New Roman" w:eastAsia="Times New Roman" w:hAnsi="Times New Roman"/>
                  <w:sz w:val="14"/>
                  <w:szCs w:val="14"/>
                  <w:color w:val="auto"/>
                </w:rPr>
                <w:t>Centennial Founders, LLC Redemption and Withdrawal Agreement - CalAtlantic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10.45</w:t>
            </w:r>
          </w:p>
        </w:tc>
        <w:tc>
          <w:tcPr>
            <w:tcW w:w="8040" w:type="dxa"/>
            <w:vAlign w:val="bottom"/>
          </w:tcPr>
          <w:p>
            <w:pPr>
              <w:ind w:left="60"/>
              <w:spacing w:after="0"/>
              <w:rPr>
                <w:rFonts w:ascii="Times New Roman" w:cs="Times New Roman" w:eastAsia="Times New Roman" w:hAnsi="Times New Roman"/>
                <w:sz w:val="14"/>
                <w:szCs w:val="14"/>
                <w:color w:val="auto"/>
              </w:rPr>
            </w:pPr>
            <w:hyperlink r:id="rId104">
              <w:r>
                <w:rPr>
                  <w:rFonts w:ascii="Times New Roman" w:cs="Times New Roman" w:eastAsia="Times New Roman" w:hAnsi="Times New Roman"/>
                  <w:sz w:val="14"/>
                  <w:szCs w:val="14"/>
                  <w:color w:val="auto"/>
                </w:rPr>
                <w:t>Amended Revolving Line of Credit</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10.46</w:t>
            </w:r>
          </w:p>
        </w:tc>
        <w:tc>
          <w:tcPr>
            <w:tcW w:w="8040" w:type="dxa"/>
            <w:vAlign w:val="bottom"/>
          </w:tcPr>
          <w:p>
            <w:pPr>
              <w:ind w:left="60"/>
              <w:spacing w:after="0"/>
              <w:rPr>
                <w:rFonts w:ascii="Times New Roman" w:cs="Times New Roman" w:eastAsia="Times New Roman" w:hAnsi="Times New Roman"/>
                <w:sz w:val="14"/>
                <w:szCs w:val="14"/>
                <w:color w:val="auto"/>
              </w:rPr>
            </w:pPr>
            <w:hyperlink r:id="rId105">
              <w:r>
                <w:rPr>
                  <w:rFonts w:ascii="Times New Roman" w:cs="Times New Roman" w:eastAsia="Times New Roman" w:hAnsi="Times New Roman"/>
                  <w:sz w:val="14"/>
                  <w:szCs w:val="14"/>
                  <w:color w:val="auto"/>
                </w:rPr>
                <w:t>Amended Term Note</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35</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10.47</w:t>
            </w:r>
          </w:p>
        </w:tc>
        <w:tc>
          <w:tcPr>
            <w:tcW w:w="8040" w:type="dxa"/>
            <w:vAlign w:val="bottom"/>
          </w:tcPr>
          <w:p>
            <w:pPr>
              <w:ind w:left="60"/>
              <w:spacing w:after="0"/>
              <w:rPr>
                <w:rFonts w:ascii="Times New Roman" w:cs="Times New Roman" w:eastAsia="Times New Roman" w:hAnsi="Times New Roman"/>
                <w:sz w:val="14"/>
                <w:szCs w:val="14"/>
                <w:color w:val="auto"/>
              </w:rPr>
            </w:pPr>
            <w:hyperlink r:id="rId106">
              <w:r>
                <w:rPr>
                  <w:rFonts w:ascii="Times New Roman" w:cs="Times New Roman" w:eastAsia="Times New Roman" w:hAnsi="Times New Roman"/>
                  <w:sz w:val="14"/>
                  <w:szCs w:val="14"/>
                  <w:color w:val="auto"/>
                </w:rPr>
                <w:t>*Executive Severance Agreement - Executive Severance Agreement - Gregory S. Bielli</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38</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10.48</w:t>
            </w:r>
          </w:p>
        </w:tc>
        <w:tc>
          <w:tcPr>
            <w:tcW w:w="8040" w:type="dxa"/>
            <w:vAlign w:val="bottom"/>
          </w:tcPr>
          <w:p>
            <w:pPr>
              <w:ind w:left="60"/>
              <w:spacing w:after="0"/>
              <w:rPr>
                <w:rFonts w:ascii="Times New Roman" w:cs="Times New Roman" w:eastAsia="Times New Roman" w:hAnsi="Times New Roman"/>
                <w:sz w:val="14"/>
                <w:szCs w:val="14"/>
                <w:color w:val="auto"/>
              </w:rPr>
            </w:pPr>
            <w:hyperlink r:id="rId107">
              <w:r>
                <w:rPr>
                  <w:rFonts w:ascii="Times New Roman" w:cs="Times New Roman" w:eastAsia="Times New Roman" w:hAnsi="Times New Roman"/>
                  <w:sz w:val="14"/>
                  <w:szCs w:val="14"/>
                  <w:color w:val="auto"/>
                </w:rPr>
                <w:t>Limited Liability Company Agreement of TRC-MRC 4,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39</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10.49</w:t>
            </w:r>
          </w:p>
        </w:tc>
        <w:tc>
          <w:tcPr>
            <w:tcW w:w="8040" w:type="dxa"/>
            <w:vAlign w:val="bottom"/>
          </w:tcPr>
          <w:p>
            <w:pPr>
              <w:ind w:left="60"/>
              <w:spacing w:after="0"/>
              <w:rPr>
                <w:rFonts w:ascii="Times New Roman" w:cs="Times New Roman" w:eastAsia="Times New Roman" w:hAnsi="Times New Roman"/>
                <w:sz w:val="14"/>
                <w:szCs w:val="14"/>
                <w:color w:val="auto"/>
              </w:rPr>
            </w:pPr>
            <w:hyperlink r:id="rId108">
              <w:r>
                <w:rPr>
                  <w:rFonts w:ascii="Times New Roman" w:cs="Times New Roman" w:eastAsia="Times New Roman" w:hAnsi="Times New Roman"/>
                  <w:sz w:val="14"/>
                  <w:szCs w:val="14"/>
                  <w:color w:val="auto"/>
                </w:rPr>
                <w:t>Settlement Agreement of CEQA litigation with Climate Resolve</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40</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8040" w:type="dxa"/>
            <w:vAlign w:val="bottom"/>
          </w:tcPr>
          <w:p>
            <w:pPr>
              <w:ind w:left="60"/>
              <w:spacing w:after="0"/>
              <w:rPr>
                <w:rFonts w:ascii="Times New Roman" w:cs="Times New Roman" w:eastAsia="Times New Roman" w:hAnsi="Times New Roman"/>
                <w:sz w:val="14"/>
                <w:szCs w:val="14"/>
                <w:color w:val="auto"/>
              </w:rPr>
            </w:pPr>
            <w:hyperlink r:id="rId109">
              <w:r>
                <w:rPr>
                  <w:rFonts w:ascii="Times New Roman" w:cs="Times New Roman" w:eastAsia="Times New Roman" w:hAnsi="Times New Roman"/>
                  <w:sz w:val="14"/>
                  <w:szCs w:val="14"/>
                  <w:color w:val="auto"/>
                </w:rPr>
                <w:t>Limited Liability Company Agreement of TRC-MRC Multi I,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41</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10.51</w:t>
            </w:r>
          </w:p>
        </w:tc>
        <w:tc>
          <w:tcPr>
            <w:tcW w:w="8040" w:type="dxa"/>
            <w:vAlign w:val="bottom"/>
          </w:tcPr>
          <w:p>
            <w:pPr>
              <w:ind w:left="60"/>
              <w:spacing w:after="0"/>
              <w:rPr>
                <w:rFonts w:ascii="Times New Roman" w:cs="Times New Roman" w:eastAsia="Times New Roman" w:hAnsi="Times New Roman"/>
                <w:sz w:val="14"/>
                <w:szCs w:val="14"/>
                <w:color w:val="auto"/>
              </w:rPr>
            </w:pPr>
            <w:hyperlink r:id="rId110">
              <w:r>
                <w:rPr>
                  <w:rFonts w:ascii="Times New Roman" w:cs="Times New Roman" w:eastAsia="Times New Roman" w:hAnsi="Times New Roman"/>
                  <w:sz w:val="14"/>
                  <w:szCs w:val="14"/>
                  <w:color w:val="auto"/>
                </w:rPr>
                <w:t>Limited Liability Company Agreement of TRC-MRC 5, LLC</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42</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10.52</w:t>
            </w:r>
          </w:p>
        </w:tc>
        <w:tc>
          <w:tcPr>
            <w:tcW w:w="8040" w:type="dxa"/>
            <w:vAlign w:val="bottom"/>
          </w:tcPr>
          <w:p>
            <w:pPr>
              <w:ind w:left="60"/>
              <w:spacing w:after="0"/>
              <w:rPr>
                <w:rFonts w:ascii="Times New Roman" w:cs="Times New Roman" w:eastAsia="Times New Roman" w:hAnsi="Times New Roman"/>
                <w:sz w:val="14"/>
                <w:szCs w:val="14"/>
                <w:color w:val="auto"/>
              </w:rPr>
            </w:pPr>
            <w:hyperlink r:id="rId111">
              <w:r>
                <w:rPr>
                  <w:rFonts w:ascii="Times New Roman" w:cs="Times New Roman" w:eastAsia="Times New Roman" w:hAnsi="Times New Roman"/>
                  <w:sz w:val="14"/>
                  <w:szCs w:val="14"/>
                  <w:color w:val="auto"/>
                </w:rPr>
                <w:t>Credit Agreement Between Tejon Ranchcorp and Bank of America, N.A.</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43</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10.53</w:t>
            </w:r>
          </w:p>
        </w:tc>
        <w:tc>
          <w:tcPr>
            <w:tcW w:w="8040" w:type="dxa"/>
            <w:vAlign w:val="bottom"/>
          </w:tcPr>
          <w:p>
            <w:pPr>
              <w:ind w:left="60"/>
              <w:spacing w:after="0"/>
              <w:rPr>
                <w:rFonts w:ascii="Times New Roman" w:cs="Times New Roman" w:eastAsia="Times New Roman" w:hAnsi="Times New Roman"/>
                <w:sz w:val="14"/>
                <w:szCs w:val="14"/>
                <w:color w:val="auto"/>
              </w:rPr>
            </w:pPr>
            <w:hyperlink r:id="rId112">
              <w:r>
                <w:rPr>
                  <w:rFonts w:ascii="Times New Roman" w:cs="Times New Roman" w:eastAsia="Times New Roman" w:hAnsi="Times New Roman"/>
                  <w:sz w:val="14"/>
                  <w:szCs w:val="14"/>
                  <w:color w:val="auto"/>
                </w:rPr>
                <w:t>Executive Officer Severance Agreement – Marc Hardy</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44</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10.54</w:t>
            </w:r>
          </w:p>
        </w:tc>
        <w:tc>
          <w:tcPr>
            <w:tcW w:w="8040" w:type="dxa"/>
            <w:vAlign w:val="bottom"/>
          </w:tcPr>
          <w:p>
            <w:pPr>
              <w:ind w:left="60"/>
              <w:spacing w:after="0"/>
              <w:rPr>
                <w:rFonts w:ascii="Times New Roman" w:cs="Times New Roman" w:eastAsia="Times New Roman" w:hAnsi="Times New Roman"/>
                <w:sz w:val="14"/>
                <w:szCs w:val="14"/>
                <w:color w:val="auto"/>
              </w:rPr>
            </w:pPr>
            <w:hyperlink r:id="rId113">
              <w:r>
                <w:rPr>
                  <w:rFonts w:ascii="Times New Roman" w:cs="Times New Roman" w:eastAsia="Times New Roman" w:hAnsi="Times New Roman"/>
                  <w:sz w:val="14"/>
                  <w:szCs w:val="14"/>
                  <w:color w:val="auto"/>
                </w:rPr>
                <w:t>Credit Agreement Between Tejon Ranchcorp and AgWest Farm Credit, PCA</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45</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10.55</w:t>
            </w:r>
          </w:p>
        </w:tc>
        <w:tc>
          <w:tcPr>
            <w:tcW w:w="8040" w:type="dxa"/>
            <w:vAlign w:val="bottom"/>
          </w:tcPr>
          <w:p>
            <w:pPr>
              <w:ind w:left="60"/>
              <w:spacing w:after="0"/>
              <w:rPr>
                <w:rFonts w:ascii="Times New Roman" w:cs="Times New Roman" w:eastAsia="Times New Roman" w:hAnsi="Times New Roman"/>
                <w:sz w:val="14"/>
                <w:szCs w:val="14"/>
                <w:color w:val="auto"/>
              </w:rPr>
            </w:pPr>
            <w:hyperlink r:id="rId114">
              <w:r>
                <w:rPr>
                  <w:rFonts w:ascii="Times New Roman" w:cs="Times New Roman" w:eastAsia="Times New Roman" w:hAnsi="Times New Roman"/>
                  <w:sz w:val="14"/>
                  <w:szCs w:val="14"/>
                  <w:color w:val="auto"/>
                </w:rPr>
                <w:t>Consulting Letter Agreement between Tejon Ranch Co. and Gregory S. Bielli</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FN 46</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10.56</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Limited Liability Company Agreement of TRC-DP 1, LLC</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31.1</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as adopted pursuant to Section 302 of the Sarbanes-Oxley Act of 2002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as adopted pursuant to Section 302 of the Sarbanes-Oxley Act of 2002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Certifications Pursuant to 18 U.S.C. Section 1350, as Adopted Pursuant to Section 906 of the Sarbanes-Oxley Act of 2002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101.INS</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Instance Document.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101.SCH</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101.CAL</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101.DEF</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0"/>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101.LAB</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101.PRE</w:t>
            </w:r>
          </w:p>
        </w:tc>
        <w:tc>
          <w:tcPr>
            <w:tcW w:w="8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Filed herewith</w:t>
            </w:r>
          </w:p>
        </w:tc>
      </w:tr>
    </w:tbl>
    <w:p>
      <w:pPr>
        <w:ind w:left="1080" w:right="4860" w:hanging="155"/>
        <w:spacing w:after="0" w:line="297" w:lineRule="auto"/>
        <w:tabs>
          <w:tab w:leader="none" w:pos="1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Cover Page Interactive Data File (formatted as Inline XBRL and contained in Exhibit 101). </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Management contract, compensatory plan or arrangement.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1</w:t>
            </w:r>
          </w:p>
        </w:tc>
        <w:tc>
          <w:tcPr>
            <w:tcW w:w="10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3.1 to our Quarterly Report on Form 10-Q for the</w:t>
            </w:r>
          </w:p>
        </w:tc>
      </w:tr>
      <w:tr>
        <w:trPr>
          <w:trHeight w:val="184"/>
        </w:trPr>
        <w:tc>
          <w:tcPr>
            <w:tcW w:w="840" w:type="dxa"/>
            <w:vAlign w:val="bottom"/>
          </w:tcPr>
          <w:p>
            <w:pPr>
              <w:spacing w:after="0"/>
              <w:rPr>
                <w:sz w:val="16"/>
                <w:szCs w:val="16"/>
                <w:color w:val="auto"/>
              </w:rPr>
            </w:pPr>
          </w:p>
        </w:tc>
        <w:tc>
          <w:tcPr>
            <w:tcW w:w="10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period ended June 30, 2021, is incorporated herein by reference.</w:t>
            </w:r>
          </w:p>
        </w:tc>
      </w:tr>
      <w:tr>
        <w:trPr>
          <w:trHeight w:val="145"/>
        </w:trPr>
        <w:tc>
          <w:tcPr>
            <w:tcW w:w="8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w:t>
            </w:r>
          </w:p>
        </w:tc>
        <w:tc>
          <w:tcPr>
            <w:tcW w:w="10440" w:type="dxa"/>
            <w:vAlign w:val="bottom"/>
          </w:tcPr>
          <w:p>
            <w:pPr>
              <w:ind w:left="54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3.1 to our Current Report on Form 8-K filed on</w:t>
            </w:r>
          </w:p>
        </w:tc>
      </w:tr>
      <w:tr>
        <w:trPr>
          <w:trHeight w:val="184"/>
        </w:trPr>
        <w:tc>
          <w:tcPr>
            <w:tcW w:w="840" w:type="dxa"/>
            <w:vAlign w:val="bottom"/>
          </w:tcPr>
          <w:p>
            <w:pPr>
              <w:spacing w:after="0"/>
              <w:rPr>
                <w:sz w:val="16"/>
                <w:szCs w:val="16"/>
                <w:color w:val="auto"/>
              </w:rPr>
            </w:pPr>
          </w:p>
        </w:tc>
        <w:tc>
          <w:tcPr>
            <w:tcW w:w="10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March 24, 2023, is incorporated herein by reference.</w:t>
            </w:r>
          </w:p>
        </w:tc>
      </w:tr>
      <w:tr>
        <w:trPr>
          <w:trHeight w:val="675"/>
        </w:trPr>
        <w:tc>
          <w:tcPr>
            <w:tcW w:w="840" w:type="dxa"/>
            <w:vAlign w:val="bottom"/>
          </w:tcPr>
          <w:p>
            <w:pPr>
              <w:spacing w:after="0"/>
              <w:rPr>
                <w:sz w:val="24"/>
                <w:szCs w:val="24"/>
                <w:color w:val="auto"/>
              </w:rPr>
            </w:pPr>
          </w:p>
        </w:tc>
        <w:tc>
          <w:tcPr>
            <w:tcW w:w="10440" w:type="dxa"/>
            <w:vAlign w:val="bottom"/>
          </w:tcPr>
          <w:p>
            <w:pPr>
              <w:ind w:left="4740"/>
              <w:spacing w:after="0"/>
              <w:rPr>
                <w:sz w:val="20"/>
                <w:szCs w:val="20"/>
                <w:color w:val="auto"/>
              </w:rPr>
            </w:pPr>
            <w:r>
              <w:rPr>
                <w:rFonts w:ascii="Times New Roman" w:cs="Times New Roman" w:eastAsia="Times New Roman" w:hAnsi="Times New Roman"/>
                <w:sz w:val="14"/>
                <w:szCs w:val="14"/>
                <w:color w:val="auto"/>
              </w:rPr>
              <w:t>49</w:t>
            </w:r>
          </w:p>
        </w:tc>
      </w:tr>
      <w:tr>
        <w:trPr>
          <w:trHeight w:val="87"/>
        </w:trPr>
        <w:tc>
          <w:tcPr>
            <w:tcW w:w="840" w:type="dxa"/>
            <w:vAlign w:val="bottom"/>
            <w:tcBorders>
              <w:bottom w:val="single" w:sz="8" w:color="9A9A9A"/>
            </w:tcBorders>
          </w:tcPr>
          <w:p>
            <w:pPr>
              <w:spacing w:after="0"/>
              <w:rPr>
                <w:sz w:val="7"/>
                <w:szCs w:val="7"/>
                <w:color w:val="auto"/>
              </w:rPr>
            </w:pPr>
          </w:p>
        </w:tc>
        <w:tc>
          <w:tcPr>
            <w:tcW w:w="10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5</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December 20, 2005,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1994, is incorporated herein by reference. This Exhibit was not filed with the Securities and Exchange Commission in an electronic format.</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under Item 14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1997,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2008,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10.16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2001,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4.1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7, 2004,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12</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4.2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7, 2004,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10.21-10.23 to our Annual Report on Form 10-K</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for the year ended December 31, 2004,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14</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10.24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24, 2006,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15</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10.28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June 23, 2008,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10.25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2009,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10.26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2013, for the period ended March 31,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10.27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June 4,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19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10.1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August 8,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10.29 to our Amended Annual Report on Form 10-</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K/A for the year ended December 31, 2013,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10.30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July 16,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22</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Exhibits 10.31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24</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10.35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2015,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25</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10.32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686"/>
        </w:trPr>
        <w:tc>
          <w:tcPr>
            <w:tcW w:w="88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Times New Roman" w:cs="Times New Roman" w:eastAsia="Times New Roman" w:hAnsi="Times New Roman"/>
                <w:sz w:val="14"/>
                <w:szCs w:val="14"/>
                <w:color w:val="auto"/>
              </w:rPr>
              <w:t>50</w:t>
            </w:r>
          </w:p>
        </w:tc>
      </w:tr>
      <w:tr>
        <w:trPr>
          <w:trHeight w:val="87"/>
        </w:trPr>
        <w:tc>
          <w:tcPr>
            <w:tcW w:w="880" w:type="dxa"/>
            <w:vAlign w:val="bottom"/>
            <w:tcBorders>
              <w:bottom w:val="single" w:sz="8" w:color="9A9A9A"/>
            </w:tcBorders>
          </w:tcPr>
          <w:p>
            <w:pPr>
              <w:spacing w:after="0"/>
              <w:rPr>
                <w:sz w:val="7"/>
                <w:szCs w:val="7"/>
                <w:color w:val="auto"/>
              </w:rPr>
            </w:pPr>
          </w:p>
        </w:tc>
        <w:tc>
          <w:tcPr>
            <w:tcW w:w="10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26</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10.37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10.38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10.39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29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30</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10.41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2016,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31</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10.42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32</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10.43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33</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10.44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2018,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34</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10.45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35</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10.46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36</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10.33 to our Current Report on Form 8-K filed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October 17, 2014,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37</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333-231032) as Exhibit 4.6 to our Registration Statement on Form S-3</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filed on April 25,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38</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10.47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2019, is incorporated herein by reference.</w:t>
            </w:r>
          </w:p>
        </w:tc>
      </w:tr>
      <w:tr>
        <w:trPr>
          <w:trHeight w:val="145"/>
        </w:trPr>
        <w:tc>
          <w:tcPr>
            <w:tcW w:w="8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FN 39</w:t>
            </w:r>
          </w:p>
        </w:tc>
        <w:tc>
          <w:tcPr>
            <w:tcW w:w="1040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10.48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2021, is incorporated herein by reference.</w:t>
            </w:r>
          </w:p>
        </w:tc>
      </w:tr>
      <w:tr>
        <w:trPr>
          <w:trHeight w:val="16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40</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10.49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2021,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41</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10.50 to our Annual Report on Form 10-K for the</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year ended December 31, 2021,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42</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10.51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March 31, 2022,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43</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10.52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September 30, 2022, is incorporated herein by reference.</w:t>
            </w:r>
          </w:p>
        </w:tc>
      </w:tr>
      <w:tr>
        <w:trPr>
          <w:trHeight w:val="17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44</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10.53 to our Quarterly Report on Form 10-Q for</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period ended June 30, 2023, is incorporated herein by reference.</w:t>
            </w:r>
          </w:p>
        </w:tc>
      </w:tr>
      <w:tr>
        <w:trPr>
          <w:trHeight w:val="160"/>
        </w:trPr>
        <w:tc>
          <w:tcPr>
            <w:tcW w:w="8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FN 45</w:t>
            </w:r>
          </w:p>
        </w:tc>
        <w:tc>
          <w:tcPr>
            <w:tcW w:w="1040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November 20, 2023, is incorporated herein by reference.</w:t>
            </w:r>
          </w:p>
        </w:tc>
      </w:tr>
      <w:tr>
        <w:trPr>
          <w:trHeight w:val="686"/>
        </w:trPr>
        <w:tc>
          <w:tcPr>
            <w:tcW w:w="880" w:type="dxa"/>
            <w:vAlign w:val="bottom"/>
          </w:tcPr>
          <w:p>
            <w:pPr>
              <w:spacing w:after="0"/>
              <w:rPr>
                <w:sz w:val="24"/>
                <w:szCs w:val="24"/>
                <w:color w:val="auto"/>
              </w:rPr>
            </w:pPr>
          </w:p>
        </w:tc>
        <w:tc>
          <w:tcPr>
            <w:tcW w:w="10400" w:type="dxa"/>
            <w:vAlign w:val="bottom"/>
          </w:tcPr>
          <w:p>
            <w:pPr>
              <w:ind w:left="4700"/>
              <w:spacing w:after="0"/>
              <w:rPr>
                <w:sz w:val="20"/>
                <w:szCs w:val="20"/>
                <w:color w:val="auto"/>
              </w:rPr>
            </w:pPr>
            <w:r>
              <w:rPr>
                <w:rFonts w:ascii="Times New Roman" w:cs="Times New Roman" w:eastAsia="Times New Roman" w:hAnsi="Times New Roman"/>
                <w:sz w:val="14"/>
                <w:szCs w:val="14"/>
                <w:color w:val="auto"/>
              </w:rPr>
              <w:t>51</w:t>
            </w:r>
          </w:p>
        </w:tc>
      </w:tr>
      <w:tr>
        <w:trPr>
          <w:trHeight w:val="87"/>
        </w:trPr>
        <w:tc>
          <w:tcPr>
            <w:tcW w:w="880" w:type="dxa"/>
            <w:vAlign w:val="bottom"/>
            <w:tcBorders>
              <w:bottom w:val="single" w:sz="8" w:color="9A9A9A"/>
            </w:tcBorders>
          </w:tcPr>
          <w:p>
            <w:pPr>
              <w:spacing w:after="0"/>
              <w:rPr>
                <w:sz w:val="7"/>
                <w:szCs w:val="7"/>
                <w:color w:val="auto"/>
              </w:rPr>
            </w:pPr>
          </w:p>
        </w:tc>
        <w:tc>
          <w:tcPr>
            <w:tcW w:w="10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FN 46</w:t>
            </w: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document, filed with the Securities and Exchange Commission in Washington, D.C. (file number 1-07183) as Exhibit 10.01 to our Current Report on Form 8-K on</w:t>
            </w:r>
          </w:p>
        </w:tc>
      </w:tr>
      <w:tr>
        <w:trPr>
          <w:trHeight w:val="184"/>
        </w:trPr>
        <w:tc>
          <w:tcPr>
            <w:tcW w:w="880" w:type="dxa"/>
            <w:vAlign w:val="bottom"/>
          </w:tcPr>
          <w:p>
            <w:pPr>
              <w:spacing w:after="0"/>
              <w:rPr>
                <w:sz w:val="16"/>
                <w:szCs w:val="16"/>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March 26, 2024, is incorporated herein by reference.</w:t>
            </w:r>
          </w:p>
        </w:tc>
      </w:tr>
      <w:tr>
        <w:trPr>
          <w:trHeight w:val="686"/>
        </w:trPr>
        <w:tc>
          <w:tcPr>
            <w:tcW w:w="880" w:type="dxa"/>
            <w:vAlign w:val="bottom"/>
          </w:tcPr>
          <w:p>
            <w:pPr>
              <w:spacing w:after="0"/>
              <w:rPr>
                <w:sz w:val="24"/>
                <w:szCs w:val="24"/>
                <w:color w:val="auto"/>
              </w:rPr>
            </w:pPr>
          </w:p>
        </w:tc>
        <w:tc>
          <w:tcPr>
            <w:tcW w:w="10400" w:type="dxa"/>
            <w:vAlign w:val="bottom"/>
          </w:tcPr>
          <w:p>
            <w:pPr>
              <w:jc w:val="right"/>
              <w:ind w:right="5489"/>
              <w:spacing w:after="0"/>
              <w:rPr>
                <w:sz w:val="20"/>
                <w:szCs w:val="20"/>
                <w:color w:val="auto"/>
              </w:rPr>
            </w:pPr>
            <w:r>
              <w:rPr>
                <w:rFonts w:ascii="Times New Roman" w:cs="Times New Roman" w:eastAsia="Times New Roman" w:hAnsi="Times New Roman"/>
                <w:sz w:val="14"/>
                <w:szCs w:val="14"/>
                <w:color w:val="auto"/>
              </w:rPr>
              <w:t>52</w:t>
            </w:r>
          </w:p>
        </w:tc>
      </w:tr>
      <w:tr>
        <w:trPr>
          <w:trHeight w:val="87"/>
        </w:trPr>
        <w:tc>
          <w:tcPr>
            <w:tcW w:w="880" w:type="dxa"/>
            <w:vAlign w:val="bottom"/>
            <w:tcBorders>
              <w:bottom w:val="single" w:sz="8" w:color="9A9A9A"/>
            </w:tcBorders>
          </w:tcPr>
          <w:p>
            <w:pPr>
              <w:spacing w:after="0"/>
              <w:rPr>
                <w:sz w:val="7"/>
                <w:szCs w:val="7"/>
                <w:color w:val="auto"/>
              </w:rPr>
            </w:pPr>
          </w:p>
        </w:tc>
        <w:tc>
          <w:tcPr>
            <w:tcW w:w="10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2" w:right="319" w:bottom="1440" w:gutter="0" w:footer="0" w:header="0"/>
        </w:sectPr>
      </w:pPr>
    </w:p>
    <w:bookmarkStart w:id="52" w:name="page53"/>
    <w:bookmarkEnd w:id="5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TEJON RANCH CO.</w:t>
      </w:r>
    </w:p>
    <w:p>
      <w:pPr>
        <w:sectPr>
          <w:pgSz w:w="11900" w:h="16838" w:orient="portrait"/>
          <w:cols w:equalWidth="0" w:num="1">
            <w:col w:w="10320"/>
          </w:cols>
          <w:pgMar w:left="300" w:top="728" w:right="127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3">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4">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796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5">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tab/>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6">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Gregory S. Bielli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tab/>
        <w:t>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7">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Brett A. Brown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/s/</w:t>
        <w:tab/>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359791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8">
                      <a:extLst>
                        <a:ext uri="{28A0092B-C50C-407E-A947-70E740481C1C}"/>
                      </a:extLst>
                    </a:blip>
                    <a:srcRect/>
                    <a:stretch>
                      <a:fillRect/>
                    </a:stretch>
                  </pic:blipFill>
                  <pic:spPr bwMode="auto">
                    <a:xfrm>
                      <a:off x="0" y="0"/>
                      <a:ext cx="359791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D. Velasquez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Vice President, Finance and Chief Accounting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sectPr>
          <w:pgSz w:w="11900" w:h="16838" w:orient="portrait"/>
          <w:cols w:equalWidth="0" w:num="2">
            <w:col w:w="4900" w:space="720"/>
            <w:col w:w="4700"/>
          </w:cols>
          <w:pgMar w:left="300" w:top="728" w:right="1279" w:bottom="1440" w:gutter="0" w:footer="0" w:header="0"/>
          <w:type w:val="continuous"/>
        </w:sectPr>
      </w:pP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320"/>
          </w:cols>
          <w:pgMar w:left="300" w:top="728" w:right="1279" w:bottom="1440" w:gutter="0" w:footer="0" w:header="0"/>
          <w:type w:val="continuous"/>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Gregory S. Bielli, certify that:</w:t>
      </w:r>
    </w:p>
    <w:p>
      <w:pPr>
        <w:spacing w:after="0" w:line="136" w:lineRule="exact"/>
        <w:rPr>
          <w:sz w:val="20"/>
          <w:szCs w:val="20"/>
          <w:color w:val="auto"/>
        </w:rPr>
      </w:pPr>
    </w:p>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November 7, 2024</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Gregory S. Bielli</w:t>
            </w:r>
          </w:p>
        </w:tc>
      </w:tr>
      <w:tr>
        <w:trPr>
          <w:trHeight w:val="167"/>
        </w:trPr>
        <w:tc>
          <w:tcPr>
            <w:tcW w:w="5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Gregory S. Bielli</w:t>
            </w:r>
          </w:p>
        </w:tc>
      </w:tr>
      <w:tr>
        <w:trPr>
          <w:trHeight w:val="184"/>
        </w:trPr>
        <w:tc>
          <w:tcPr>
            <w:tcW w:w="5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28" w:right="319"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Brett A. Brown, certify that:</w:t>
      </w:r>
    </w:p>
    <w:p>
      <w:pPr>
        <w:spacing w:after="0" w:line="136" w:lineRule="exact"/>
        <w:rPr>
          <w:sz w:val="20"/>
          <w:szCs w:val="20"/>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November 7, 2024</w:t>
            </w:r>
          </w:p>
        </w:tc>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Brett A. Brown</w:t>
            </w:r>
          </w:p>
        </w:tc>
      </w:tr>
      <w:tr>
        <w:trPr>
          <w:trHeight w:val="167"/>
        </w:trPr>
        <w:tc>
          <w:tcPr>
            <w:tcW w:w="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Brett A. Brown</w:t>
            </w:r>
          </w:p>
        </w:tc>
      </w:tr>
      <w:tr>
        <w:trPr>
          <w:trHeight w:val="184"/>
        </w:trPr>
        <w:tc>
          <w:tcPr>
            <w:tcW w:w="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9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bl>
    <w:p>
      <w:pPr>
        <w:sectPr>
          <w:pgSz w:w="11900" w:h="16838" w:orient="portrait"/>
          <w:cols w:equalWidth="0" w:num="1">
            <w:col w:w="11280"/>
          </w:cols>
          <w:pgMar w:left="300" w:top="728" w:right="319" w:bottom="1440" w:gutter="0" w:footer="0" w:header="0"/>
        </w:sectPr>
      </w:pPr>
    </w:p>
    <w:bookmarkStart w:id="194" w:name="page195"/>
    <w:bookmarkEnd w:id="194"/>
    <w:p>
      <w:pPr>
        <w:ind w:left="52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undersigned hereby certifies, in his capacity as an officer of Tejon Ranch Co. (the “Company”), for purposes of 18 U.S.C. Section 1350, as adopted pursuant to Section 906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 to his own knowledge:</w:t>
      </w:r>
    </w:p>
    <w:p>
      <w:pPr>
        <w:spacing w:after="0" w:line="185" w:lineRule="exact"/>
        <w:rPr>
          <w:sz w:val="20"/>
          <w:szCs w:val="20"/>
          <w:color w:val="auto"/>
        </w:rPr>
      </w:pPr>
    </w:p>
    <w:p>
      <w:pPr>
        <w:ind w:left="520" w:hanging="260"/>
        <w:spacing w:after="0" w:line="26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of the Company on Form 10-Q for the period ended September 30, 2024 fully complies with the requirements of Section 13(a) of the Securities Exchange Act of 1934; and</w:t>
      </w: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report fairly presents, in all material respects, the financial condition and results of operation of the Company.</w:t>
      </w:r>
    </w:p>
    <w:p>
      <w:pPr>
        <w:spacing w:after="0" w:line="12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09" w:lineRule="exact"/>
        <w:rPr>
          <w:sz w:val="20"/>
          <w:szCs w:val="20"/>
          <w:color w:val="auto"/>
        </w:rPr>
      </w:pPr>
    </w:p>
    <w:p>
      <w:pPr>
        <w:ind w:left="20"/>
        <w:spacing w:after="0"/>
        <w:tabs>
          <w:tab w:leader="none" w:pos="338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November 7, 2024</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Gregory S. Bielli</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Brett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Brett A. Brown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D. Velasquez</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sectPr>
      <w:pgSz w:w="11900" w:h="16838" w:orient="portrait"/>
      <w:cols w:equalWidth="0" w:num="1">
        <w:col w:w="11220"/>
      </w:cols>
      <w:pgMar w:left="300" w:top="72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5"/>
    </w:lvl>
  </w:abstractNum>
  <w:abstractNum w:abstractNumId="6">
    <w:nsid w:val="2443A858"/>
    <w:multiLevelType w:val="hybridMultilevel"/>
    <w:lvl w:ilvl="0">
      <w:lvlJc w:val="left"/>
      <w:lvlText w:val="1"/>
      <w:numFmt w:val="bullet"/>
      <w:start w:val="1"/>
    </w:lvl>
  </w:abstractNum>
  <w:abstractNum w:abstractNumId="7">
    <w:nsid w:val="2D1D5AE9"/>
    <w:multiLevelType w:val="hybridMultilevel"/>
    <w:lvl w:ilvl="0">
      <w:lvlJc w:val="left"/>
      <w:lvlText w:val="%1."/>
      <w:numFmt w:val="decimal"/>
      <w:start w:val="7"/>
    </w:lvl>
  </w:abstractNum>
  <w:abstractNum w:abstractNumId="8">
    <w:nsid w:val="6763845E"/>
    <w:multiLevelType w:val="hybridMultilevel"/>
    <w:lvl w:ilvl="0">
      <w:lvlJc w:val="left"/>
      <w:lvlText w:val="%1."/>
      <w:numFmt w:val="decimal"/>
      <w:start w:val="8"/>
    </w:lvl>
  </w:abstractNum>
  <w:abstractNum w:abstractNumId="9">
    <w:nsid w:val="75A2A8D4"/>
    <w:multiLevelType w:val="hybridMultilevel"/>
    <w:lvl w:ilvl="0">
      <w:lvlJc w:val="left"/>
      <w:lvlText w:val="%1."/>
      <w:numFmt w:val="decimal"/>
      <w:start w:val="9"/>
    </w:lvl>
  </w:abstractNum>
  <w:abstractNum w:abstractNumId="10">
    <w:nsid w:val="8EDBDAB"/>
    <w:multiLevelType w:val="hybridMultilevel"/>
    <w:lvl w:ilvl="0">
      <w:lvlJc w:val="left"/>
      <w:lvlText w:val="%1."/>
      <w:numFmt w:val="decimal"/>
      <w:start w:val="10"/>
    </w:lvl>
  </w:abstractNum>
  <w:abstractNum w:abstractNumId="11">
    <w:nsid w:val="79838CB2"/>
    <w:multiLevelType w:val="hybridMultilevel"/>
    <w:lvl w:ilvl="0">
      <w:lvlJc w:val="left"/>
      <w:lvlText w:val="%1."/>
      <w:numFmt w:val="decimal"/>
      <w:start w:val="11"/>
    </w:lvl>
  </w:abstractNum>
  <w:abstractNum w:abstractNumId="12">
    <w:nsid w:val="4353D0CD"/>
    <w:multiLevelType w:val="hybridMultilevel"/>
    <w:lvl w:ilvl="0">
      <w:lvlJc w:val="left"/>
      <w:lvlText w:val="•"/>
      <w:numFmt w:val="bullet"/>
      <w:start w:val="1"/>
    </w:lvl>
    <w:lvl w:ilvl="1">
      <w:lvlJc w:val="left"/>
      <w:lvlText w:val="•"/>
      <w:numFmt w:val="bullet"/>
      <w:start w:val="1"/>
    </w:lvl>
  </w:abstractNum>
  <w:abstractNum w:abstractNumId="13">
    <w:nsid w:val="B03E0C6"/>
    <w:multiLevelType w:val="hybridMultilevel"/>
    <w:lvl w:ilvl="0">
      <w:lvlJc w:val="left"/>
      <w:lvlText w:val="•"/>
      <w:numFmt w:val="bullet"/>
      <w:start w:val="1"/>
    </w:lvl>
    <w:lvl w:ilvl="1">
      <w:lvlJc w:val="left"/>
      <w:lvlText w:val="•"/>
      <w:numFmt w:val="bullet"/>
      <w:start w:val="1"/>
    </w:lvl>
  </w:abstractNum>
  <w:abstractNum w:abstractNumId="14">
    <w:nsid w:val="189A769B"/>
    <w:multiLevelType w:val="hybridMultilevel"/>
    <w:lvl w:ilvl="0">
      <w:lvlJc w:val="left"/>
      <w:lvlText w:val="1"/>
      <w:numFmt w:val="bullet"/>
      <w:start w:val="1"/>
    </w:lvl>
  </w:abstractNum>
  <w:abstractNum w:abstractNumId="15">
    <w:nsid w:val="54E49EB4"/>
    <w:multiLevelType w:val="hybridMultilevel"/>
    <w:lvl w:ilvl="0">
      <w:lvlJc w:val="left"/>
      <w:lvlText w:val="1"/>
      <w:numFmt w:val="bullet"/>
      <w:start w:val="1"/>
    </w:lvl>
  </w:abstractNum>
  <w:abstractNum w:abstractNumId="16">
    <w:nsid w:val="71F32454"/>
    <w:multiLevelType w:val="hybridMultilevel"/>
    <w:lvl w:ilvl="0">
      <w:lvlJc w:val="left"/>
      <w:lvlText w:val="%1."/>
      <w:numFmt w:val="decimal"/>
      <w:start w:val="14"/>
    </w:lvl>
    <w:lvl w:ilvl="1">
      <w:lvlJc w:val="left"/>
      <w:lvlText w:val="***"/>
      <w:numFmt w:val="bullet"/>
      <w:start w:val="1"/>
    </w:lvl>
  </w:abstractNum>
  <w:abstractNum w:abstractNumId="17">
    <w:nsid w:val="2CA88611"/>
    <w:multiLevelType w:val="hybridMultilevel"/>
    <w:lvl w:ilvl="0">
      <w:lvlJc w:val="left"/>
      <w:lvlText w:val="•"/>
      <w:numFmt w:val="bullet"/>
      <w:start w:val="1"/>
    </w:lvl>
    <w:lvl w:ilvl="1">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lvl w:ilvl="1">
      <w:lvlJc w:val="left"/>
      <w:lvlText w:val="1"/>
      <w:numFmt w:val="bullet"/>
      <w:start w:val="1"/>
    </w:lvl>
  </w:abstractNum>
  <w:abstractNum w:abstractNumId="27">
    <w:nsid w:val="4516DDE9"/>
    <w:multiLevelType w:val="hybridMultilevel"/>
    <w:lvl w:ilvl="0">
      <w:lvlJc w:val="left"/>
      <w:lvlText w:val="1"/>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04"/>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115" Type="http://schemas.openxmlformats.org/officeDocument/2006/relationships/image" Target="media/image63.png"/><Relationship Id="rId116" Type="http://schemas.openxmlformats.org/officeDocument/2006/relationships/image" Target="media/image64.png"/><Relationship Id="rId117" Type="http://schemas.openxmlformats.org/officeDocument/2006/relationships/image" Target="media/image65.png"/><Relationship Id="rId118" Type="http://schemas.openxmlformats.org/officeDocument/2006/relationships/image" Target="media/image66.png"/><Relationship Id="rId119" Type="http://schemas.openxmlformats.org/officeDocument/2006/relationships/image" Target="media/image67.png"/><Relationship Id="rId120" Type="http://schemas.openxmlformats.org/officeDocument/2006/relationships/image" Target="media/image68.png"/><Relationship Id="rId121" Type="http://schemas.openxmlformats.org/officeDocument/2006/relationships/image" Target="media/image69.png"/><Relationship Id="rId122" Type="http://schemas.openxmlformats.org/officeDocument/2006/relationships/image" Target="media/image70.png"/><Relationship Id="rId123" Type="http://schemas.openxmlformats.org/officeDocument/2006/relationships/image" Target="media/image71.png"/><Relationship Id="rId124" Type="http://schemas.openxmlformats.org/officeDocument/2006/relationships/image" Target="media/image72.png"/><Relationship Id="rId125" Type="http://schemas.openxmlformats.org/officeDocument/2006/relationships/image" Target="media/image73.png"/><Relationship Id="rId126" Type="http://schemas.openxmlformats.org/officeDocument/2006/relationships/image" Target="media/image74.png"/><Relationship Id="rId127" Type="http://schemas.openxmlformats.org/officeDocument/2006/relationships/image" Target="media/image75.png"/><Relationship Id="rId128" Type="http://schemas.openxmlformats.org/officeDocument/2006/relationships/image" Target="media/image76.png"/><Relationship Id="rId129" Type="http://schemas.openxmlformats.org/officeDocument/2006/relationships/image" Target="media/image77.png"/><Relationship Id="rId130" Type="http://schemas.openxmlformats.org/officeDocument/2006/relationships/image" Target="media/image78.png"/><Relationship Id="rId131" Type="http://schemas.openxmlformats.org/officeDocument/2006/relationships/image" Target="media/image79.png"/><Relationship Id="rId132" Type="http://schemas.openxmlformats.org/officeDocument/2006/relationships/image" Target="media/image80.png"/><Relationship Id="rId133" Type="http://schemas.openxmlformats.org/officeDocument/2006/relationships/image" Target="media/image81.png"/><Relationship Id="rId134" Type="http://schemas.openxmlformats.org/officeDocument/2006/relationships/image" Target="media/image82.png"/><Relationship Id="rId135" Type="http://schemas.openxmlformats.org/officeDocument/2006/relationships/image" Target="media/image83.png"/><Relationship Id="rId136" Type="http://schemas.openxmlformats.org/officeDocument/2006/relationships/image" Target="media/image84.png"/><Relationship Id="rId137" Type="http://schemas.openxmlformats.org/officeDocument/2006/relationships/image" Target="media/image85.png"/><Relationship Id="rId138" Type="http://schemas.openxmlformats.org/officeDocument/2006/relationships/image" Target="media/image86.png"/><Relationship Id="rId139" Type="http://schemas.openxmlformats.org/officeDocument/2006/relationships/image" Target="media/image87.png"/><Relationship Id="rId140"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68" Type="http://schemas.openxmlformats.org/officeDocument/2006/relationships/hyperlink" Target="https://www.sec.gov/Archives/edgar/data/96869/000009686921000016/ex31restatedcertificateo.htm" TargetMode="External"/><Relationship Id="rId69" Type="http://schemas.openxmlformats.org/officeDocument/2006/relationships/hyperlink" Target="https://www.sec.gov/Archives/edgar/data/96869/000119312523079260/d487105dex31.htm" TargetMode="External"/><Relationship Id="rId70" Type="http://schemas.openxmlformats.org/officeDocument/2006/relationships/hyperlink" Target="https://www.sec.gov/Archives/edgar/data/96869/000119312505245123/dex41.htm" TargetMode="External"/><Relationship Id="rId71" Type="http://schemas.openxmlformats.org/officeDocument/2006/relationships/hyperlink" Target="https://www.sec.gov/Archives/edgar/data/96869/000119312519119877/d718363dex46.htm" TargetMode="External"/><Relationship Id="rId72" Type="http://schemas.openxmlformats.org/officeDocument/2006/relationships/hyperlink" Target="https://www.sec.gov/Archives/edgar/data/96869/0000096869-98-000002.txt" TargetMode="External"/><Relationship Id="rId73" Type="http://schemas.openxmlformats.org/officeDocument/2006/relationships/hyperlink" Target="https://www.sec.gov/Archives/edgar/data/96869/000119312509042772/dex109.htm" TargetMode="External"/><Relationship Id="rId74" Type="http://schemas.openxmlformats.org/officeDocument/2006/relationships/hyperlink" Target="https://www.sec.gov/Archives/edgar/data/96869/000119312509042772/dex1010.htm" TargetMode="External"/><Relationship Id="rId75" Type="http://schemas.openxmlformats.org/officeDocument/2006/relationships/hyperlink" Target="https://www.sec.gov/Archives/edgar/data/96869/000102140802004535/dex1016.txt" TargetMode="External"/><Relationship Id="rId76" Type="http://schemas.openxmlformats.org/officeDocument/2006/relationships/hyperlink" Target="https://www.sec.gov/Archives/edgar/data/96869/000119312504082310/dex41.htm" TargetMode="External"/><Relationship Id="rId77" Type="http://schemas.openxmlformats.org/officeDocument/2006/relationships/hyperlink" Target="https://www.sec.gov/Archives/edgar/data/96869/000119312504082310/dex42.htm" TargetMode="External"/><Relationship Id="rId78" Type="http://schemas.openxmlformats.org/officeDocument/2006/relationships/hyperlink" Target="https://www.sec.gov/Archives/edgar/data/96869/000119312505051499/dex1021.htm" TargetMode="External"/><Relationship Id="rId79" Type="http://schemas.openxmlformats.org/officeDocument/2006/relationships/hyperlink" Target="https://www.sec.gov/Archives/edgar/data/96869/000119312505051499/dex1023.htm" TargetMode="External"/><Relationship Id="rId80" Type="http://schemas.openxmlformats.org/officeDocument/2006/relationships/hyperlink" Target="https://www.sec.gov/Archives/edgar/data/96869/000119312505051499/dex1022.htm" TargetMode="External"/><Relationship Id="rId81" Type="http://schemas.openxmlformats.org/officeDocument/2006/relationships/hyperlink" Target="https://www.sec.gov/Archives/edgar/data/96869/000119312506118520/dex1024.htm" TargetMode="External"/><Relationship Id="rId82" Type="http://schemas.openxmlformats.org/officeDocument/2006/relationships/hyperlink" Target="https://www.sec.gov/Archives/edgar/data/96869/000119312508138009/dex1028.htm" TargetMode="External"/><Relationship Id="rId83" Type="http://schemas.openxmlformats.org/officeDocument/2006/relationships/hyperlink" Target="https://www.sec.gov/Archives/edgar/data/96869/000119312509170594/dex1025.htm" TargetMode="External"/><Relationship Id="rId84" Type="http://schemas.openxmlformats.org/officeDocument/2006/relationships/hyperlink" Target="https://www.sec.gov/Archives/edgar/data/96869/000144530513001209/exhibit1026-execagreementa.htm" TargetMode="External"/><Relationship Id="rId85" Type="http://schemas.openxmlformats.org/officeDocument/2006/relationships/hyperlink" Target="https://www.sec.gov/Archives/edgar/data/96869/000119312513246605/d549609dex1027.htm" TargetMode="External"/><Relationship Id="rId86" Type="http://schemas.openxmlformats.org/officeDocument/2006/relationships/hyperlink" Target="https://www.sec.gov/Archives/edgar/data/96869/000119312513326495/d581835dex101.htm" TargetMode="External"/><Relationship Id="rId87" Type="http://schemas.openxmlformats.org/officeDocument/2006/relationships/hyperlink" Target="https://www.sec.gov/Archives/edgar/data/96869/000009686914000009/exhibit1029tmvamendments20.htm" TargetMode="External"/><Relationship Id="rId90" Type="http://schemas.openxmlformats.org/officeDocument/2006/relationships/hyperlink" Target="https://www.sec.gov/Archives/edgar/data/96869/000119312514270067/d758856dex1030.htm" TargetMode="External"/><Relationship Id="rId91" Type="http://schemas.openxmlformats.org/officeDocument/2006/relationships/hyperlink" Target="https://www.sec.gov/Archives/edgar/data/96869/000119312514375013/d806135dex1031.htm" TargetMode="External"/><Relationship Id="rId92" Type="http://schemas.openxmlformats.org/officeDocument/2006/relationships/hyperlink" Target="https://www.sec.gov/Archives/edgar/data/96869/000119312514375013/d806135dex1032.htm" TargetMode="External"/><Relationship Id="rId93" Type="http://schemas.openxmlformats.org/officeDocument/2006/relationships/hyperlink" Target="https://www.sec.gov/Archives/edgar/data/96869/000119312514375013/d806135dex1033.htm" TargetMode="External"/><Relationship Id="rId94" Type="http://schemas.openxmlformats.org/officeDocument/2006/relationships/hyperlink" Target="https://www.sec.gov/Archives/edgar/data/96869/000009686915000003/exhibit1034calpineagreemen.htm" TargetMode="External"/><Relationship Id="rId95" Type="http://schemas.openxmlformats.org/officeDocument/2006/relationships/hyperlink" Target="https://www.sec.gov/Archives/edgar/data/96869/000009686915000010/ex1035q32015.htm" TargetMode="External"/><Relationship Id="rId96" Type="http://schemas.openxmlformats.org/officeDocument/2006/relationships/hyperlink" Target="https://www.sec.gov/Archives/edgar/data/96869/000009686916000017/ex1037limitedliabilityagre.htm" TargetMode="External"/><Relationship Id="rId97" Type="http://schemas.openxmlformats.org/officeDocument/2006/relationships/hyperlink" Target="https://www.sec.gov/Archives/edgar/data/96869/000009686916000019/ex1038llagreementoftrc-mrc1.htm" TargetMode="External"/><Relationship Id="rId98" Type="http://schemas.openxmlformats.org/officeDocument/2006/relationships/hyperlink" Target="https://www.sec.gov/Archives/edgar/data/96869/000009686917000002/exhibit1039centennialredem.htm" TargetMode="External"/><Relationship Id="rId99" Type="http://schemas.openxmlformats.org/officeDocument/2006/relationships/hyperlink" Target="https://www.sec.gov/Archives/edgar/data/96869/000009686917000002/exhibit1040firstamendmentt.htm" TargetMode="External"/><Relationship Id="rId100" Type="http://schemas.openxmlformats.org/officeDocument/2006/relationships/hyperlink" Target="https://www.sec.gov/Archives/edgar/data/96869/000009686917000002/exhibit1041secondamendment.htm" TargetMode="External"/><Relationship Id="rId101" Type="http://schemas.openxmlformats.org/officeDocument/2006/relationships/hyperlink" Target="https://www.sec.gov/Archives/edgar/data/96869/000009686918000015/ex1042trcmrc3llc.htm" TargetMode="External"/><Relationship Id="rId102" Type="http://schemas.openxmlformats.org/officeDocument/2006/relationships/hyperlink" Target="https://www.sec.gov/Archives/edgar/data/96869/000009686919000004/exhibit1043201810k.htm" TargetMode="External"/><Relationship Id="rId103" Type="http://schemas.openxmlformats.org/officeDocument/2006/relationships/hyperlink" Target="https://www.sec.gov/Archives/edgar/data/96869/000009686919000004/exhibit1044201810k.htm" TargetMode="External"/><Relationship Id="rId104" Type="http://schemas.openxmlformats.org/officeDocument/2006/relationships/hyperlink" Target="https://www.sec.gov/Archives/edgar/data/96869/000009686919000014/ex1046aloc.htm" TargetMode="External"/><Relationship Id="rId105" Type="http://schemas.openxmlformats.org/officeDocument/2006/relationships/hyperlink" Target="https://www.sec.gov/Archives/edgar/data/96869/000009686919000014/ex1045atn.htm" TargetMode="External"/><Relationship Id="rId106" Type="http://schemas.openxmlformats.org/officeDocument/2006/relationships/hyperlink" Target="https://www.sec.gov/Archives/edgar/data/96869/000009686920000007/exhibit1047-gregbseverance.htm" TargetMode="External"/><Relationship Id="rId107" Type="http://schemas.openxmlformats.org/officeDocument/2006/relationships/hyperlink" Target="https://www.sec.gov/Archives/edgar/data/0000096869/000009686921000011/ex1048mrc4llc.htm" TargetMode="External"/><Relationship Id="rId108" Type="http://schemas.openxmlformats.org/officeDocument/2006/relationships/hyperlink" Target="https://www.sec.gov/Archives/edgar/data/96869/000009686922000005/exhibit1048centennialcrf.htm" TargetMode="External"/><Relationship Id="rId109" Type="http://schemas.openxmlformats.org/officeDocument/2006/relationships/hyperlink" Target="https://www.sec.gov/Archives/edgar/data/96869/000009686922000005/exhibit1050trc-mrcmultii.htm" TargetMode="External"/><Relationship Id="rId110" Type="http://schemas.openxmlformats.org/officeDocument/2006/relationships/hyperlink" Target="https://www.sec.gov/Archives/edgar/data/96869/000009686922000009/ex1051mrc5.htm" TargetMode="External"/><Relationship Id="rId111" Type="http://schemas.openxmlformats.org/officeDocument/2006/relationships/hyperlink" Target="https://www.sec.gov/Archives/edgar/data/96869/000009686922000012/ex1052creditagreementbof.htm" TargetMode="External"/><Relationship Id="rId112" Type="http://schemas.openxmlformats.org/officeDocument/2006/relationships/hyperlink" Target="https://www.sec.gov/Archives/edgar/data/96869/000009686923000014/ex1053mhsevag.htm" TargetMode="External"/><Relationship Id="rId113" Type="http://schemas.openxmlformats.org/officeDocument/2006/relationships/hyperlink" Target="https://www.sec.gov/Archives/edgar/data/96869/000119312523280777/d518195dex1001.htm" TargetMode="External"/><Relationship Id="rId114" Type="http://schemas.openxmlformats.org/officeDocument/2006/relationships/hyperlink" Target="https://www.sec.gov/Archives/edgar/data/96869/000119312524076651/d796643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2024-11-07T12:28:32Z</dcterms:created>
  <dcterms:modified xsi:type="dcterms:W3CDTF">2024-11-07T12:28:32Z</dcterms:modified>
</cp:coreProperties>
</file>