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spacing w:lineRule="auto" w:line="288" w:before="80" w:after="283"/>
        <w:rPr>
          <w:color w:val="000000"/>
        </w:rPr>
      </w:pPr>
      <w:r>
        <w:rPr>
          <w:color w:val="000000"/>
        </w:rPr>
        <w:t> </w:t>
      </w:r>
      <w:r>
        <w:rPr>
          <w:rFonts w:ascii="Times New Roman;sans-serif" w:hAnsi="Times New Roman;sans-serif"/>
          <w:b w:val="false"/>
          <w:color w:val="000000"/>
          <w:sz w:val="18"/>
        </w:rPr>
        <w:t>(Mark One)</w:t>
      </w:r>
    </w:p>
    <w:p>
      <w:pPr>
        <w:pStyle w:val="TextBody"/>
        <w:spacing w:before="0" w:after="0"/>
        <w:rPr/>
      </w:pPr>
      <w:r>
        <w:rPr/>
      </w:r>
    </w:p>
    <w:p>
      <w:pPr>
        <w:pStyle w:val="TextBody"/>
        <w:spacing w:lineRule="auto" w:line="288" w:before="0" w:after="0"/>
        <w:jc w:val="center"/>
        <w:rPr/>
      </w:pPr>
      <w:r>
        <w:rPr>
          <w:color w:val="000000"/>
        </w:rPr>
        <w:t xml:space="preserve">☒ </w:t>
      </w:r>
      <w:r>
        <w:rPr>
          <w:rFonts w:ascii="Times New Roman;sans-serif" w:hAnsi="Times New Roman;sans-serif"/>
          <w:b/>
          <w:color w:val="000000"/>
          <w:sz w:val="18"/>
        </w:rPr>
        <w:t xml:space="preserve">QUARTERLY REPORT PURSUANT TO SECTION 13 OR 15(d) OF THE SECURITIES EXCHANGE ACT OF 1934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1-07183 </w:t>
      </w:r>
    </w:p>
    <w:p>
      <w:pPr>
        <w:pStyle w:val="TextBody"/>
        <w:spacing w:before="180" w:after="283"/>
        <w:jc w:val="center"/>
        <w:rPr/>
      </w:pPr>
      <w:r>
        <w:rPr/>
        <w:drawing>
          <wp:inline distT="0" distB="63500" distL="0" distR="0">
            <wp:extent cx="7048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4850" cy="704850"/>
                    </a:xfrm>
                    <a:prstGeom prst="rect">
                      <a:avLst/>
                    </a:prstGeom>
                  </pic:spPr>
                </pic:pic>
              </a:graphicData>
            </a:graphic>
          </wp:inline>
        </w:drawing>
      </w:r>
    </w:p>
    <w:p>
      <w:pPr>
        <w:pStyle w:val="TextBody"/>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 xml:space="preserve">TEJON RANCH CO.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77-0196136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P.O. Box 1000, Tejon Ranch, California 93243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(661) 248-3000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9616" w:type="dxa"/>
        <w:jc w:val="center"/>
        <w:tblInd w:w="0" w:type="dxa"/>
        <w:tblCellMar>
          <w:top w:w="28" w:type="dxa"/>
          <w:left w:w="28" w:type="dxa"/>
          <w:bottom w:w="28" w:type="dxa"/>
          <w:right w:w="28" w:type="dxa"/>
        </w:tblCellMar>
      </w:tblPr>
      <w:tblGrid>
        <w:gridCol w:w="124"/>
        <w:gridCol w:w="109"/>
        <w:gridCol w:w="109"/>
        <w:gridCol w:w="933"/>
        <w:gridCol w:w="933"/>
        <w:gridCol w:w="938"/>
        <w:gridCol w:w="109"/>
        <w:gridCol w:w="109"/>
        <w:gridCol w:w="109"/>
        <w:gridCol w:w="554"/>
        <w:gridCol w:w="554"/>
        <w:gridCol w:w="556"/>
        <w:gridCol w:w="109"/>
        <w:gridCol w:w="109"/>
        <w:gridCol w:w="109"/>
        <w:gridCol w:w="1259"/>
        <w:gridCol w:w="1259"/>
        <w:gridCol w:w="126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$0.50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434"/>
        <w:gridCol w:w="381"/>
        <w:gridCol w:w="381"/>
        <w:gridCol w:w="1020"/>
        <w:gridCol w:w="387"/>
        <w:gridCol w:w="381"/>
        <w:gridCol w:w="381"/>
        <w:gridCol w:w="381"/>
        <w:gridCol w:w="381"/>
        <w:gridCol w:w="575"/>
        <w:gridCol w:w="381"/>
        <w:gridCol w:w="381"/>
        <w:gridCol w:w="381"/>
        <w:gridCol w:w="381"/>
        <w:gridCol w:w="381"/>
        <w:gridCol w:w="381"/>
        <w:gridCol w:w="381"/>
        <w:gridCol w:w="381"/>
        <w:gridCol w:w="381"/>
        <w:gridCol w:w="381"/>
        <w:gridCol w:w="381"/>
        <w:gridCol w:w="381"/>
        <w:gridCol w:w="381"/>
        <w:gridCol w:w="550"/>
      </w:tblGrid>
      <w:tr>
        <w:trPr/>
        <w:tc>
          <w:tcPr>
            <w:tcW w:w="43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180" w:after="18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 Unicode MS;sans-serif" w:hAnsi="Arial Unicode MS;sans-serif"/>
                <w:b w:val="false"/>
                <w:color w:val="000000"/>
                <w:sz w:val="18"/>
              </w:rPr>
              <w:t>No ☐</w:t>
            </w:r>
          </w:p>
        </w:tc>
      </w:tr>
      <w:tr>
        <w:trPr/>
        <w:tc>
          <w:tcPr>
            <w:tcW w:w="1196" w:type="dxa"/>
            <w:gridSpan w:val="3"/>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60" w:after="18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 Unicode MS;sans-serif" w:hAnsi="Arial Unicode MS;sans-serif"/>
                <w:b w:val="false"/>
                <w:color w:val="000000"/>
                <w:sz w:val="18"/>
              </w:rPr>
              <w:t>No ☐</w:t>
            </w:r>
          </w:p>
        </w:tc>
      </w:tr>
      <w:tr>
        <w:trPr/>
        <w:tc>
          <w:tcPr>
            <w:tcW w:w="1196" w:type="dxa"/>
            <w:gridSpan w:val="3"/>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80"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80"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color w:val="000000"/>
              </w:rPr>
            </w:pPr>
            <w:r>
              <w:rPr>
                <w:color w:val="000000"/>
              </w:rPr>
              <w:t>☒</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60" w:after="283"/>
              <w:jc w:val="left"/>
              <w:rPr>
                <w:color w:val="000000"/>
              </w:rPr>
            </w:pPr>
            <w:r>
              <w:rPr>
                <w:color w:val="000000"/>
              </w:rPr>
              <w:t>☐</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100" w:after="10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r>
        <w:trPr/>
        <w:tc>
          <w:tcPr>
            <w:tcW w:w="10205" w:type="dxa"/>
            <w:gridSpan w:val="24"/>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4"/>
            <w:tcBorders/>
            <w:shd w:fill="auto" w:val="clear"/>
            <w:tcMar>
              <w:top w:w="0" w:type="dxa"/>
              <w:left w:w="0" w:type="dxa"/>
              <w:bottom w:w="0" w:type="dxa"/>
              <w:right w:w="0" w:type="dxa"/>
            </w:tcMar>
            <w:vAlign w:val="center"/>
          </w:tcPr>
          <w:p>
            <w:pPr>
              <w:pStyle w:val="TableContents"/>
              <w:spacing w:lineRule="auto" w:line="240" w:before="100" w:after="10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Arial Unicode MS;sans-serif" w:hAnsi="Arial Unicode MS;sans-serif"/>
                <w:b w:val="false"/>
                <w:color w:val="000000"/>
                <w:sz w:val="18"/>
              </w:rPr>
              <w:t>No ☒</w:t>
            </w:r>
          </w:p>
        </w:tc>
      </w:tr>
      <w:tr>
        <w:trPr/>
        <w:tc>
          <w:tcPr>
            <w:tcW w:w="1196" w:type="dxa"/>
            <w:gridSpan w:val="3"/>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33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val="false"/>
          <w:color w:val="000000"/>
          <w:sz w:val="18"/>
        </w:rPr>
      </w:pPr>
      <w:r>
        <w:rPr>
          <w:rFonts w:ascii="Times New Roman;sans-serif" w:hAnsi="Times New Roman;sans-serif"/>
          <w:b w:val="false"/>
          <w:color w:val="000000"/>
          <w:sz w:val="18"/>
        </w:rPr>
        <w:t>The number of the Company’s outstanding shares of Common Stock on April 30, 2023 was 26,710,432.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299"/>
        <w:gridCol w:w="262"/>
        <w:gridCol w:w="265"/>
        <w:gridCol w:w="2943"/>
        <w:gridCol w:w="2943"/>
        <w:gridCol w:w="2950"/>
        <w:gridCol w:w="158"/>
        <w:gridCol w:w="158"/>
        <w:gridCol w:w="227"/>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c>
          <w:tcPr>
            <w:tcW w:w="29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6">
              <w:r>
                <w:rPr>
                  <w:rStyle w:val="InternetLink"/>
                </w:rPr>
                <w:t xml:space="preserve">Unaudited Consolidated Statements of Operations for the Three </w:t>
              </w:r>
            </w:hyperlink>
            <w:hyperlink w:anchor="i662ed70d6362480fb0d8a1ad9c54b147_16">
              <w:r>
                <w:rPr>
                  <w:rStyle w:val="InternetLink"/>
                </w:rPr>
                <w:t xml:space="preserve">Months Ended </w:t>
              </w:r>
            </w:hyperlink>
            <w:hyperlink w:anchor="i662ed70d6362480fb0d8a1ad9c54b147_16">
              <w:r>
                <w:rPr>
                  <w:rStyle w:val="InternetLink"/>
                </w:rPr>
                <w:t xml:space="preserve">March 31, 2023 </w:t>
              </w:r>
            </w:hyperlink>
            <w:hyperlink w:anchor="i662ed70d6362480fb0d8a1ad9c54b147_16">
              <w:r>
                <w:rPr>
                  <w:rStyle w:val="InternetLink"/>
                </w:rPr>
                <w:t>and 20</w:t>
              </w:r>
            </w:hyperlink>
            <w:r>
              <w:rPr>
                <w:rFonts w:ascii="Times New Roman;sans-serif" w:hAnsi="Times New Roman;sans-serif"/>
                <w:b w:val="false"/>
                <w:color w:val="000000"/>
                <w:sz w:val="20"/>
              </w:rPr>
              <w:t>22</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6">
              <w:r>
                <w:rPr>
                  <w:rStyle w:val="InternetLink"/>
                  <w:rFonts w:ascii="Times New Roman;sans-serif" w:hAnsi="Times New Roman;sans-serif"/>
                  <w:b w:val="false"/>
                  <w:strike w:val="false"/>
                  <w:dstrike w:val="false"/>
                  <w:color w:val="000000"/>
                  <w:sz w:val="20"/>
                  <w:u w:val="none"/>
                  <w:effect w:val="none"/>
                </w:rPr>
                <w:t>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9">
              <w:r>
                <w:rPr>
                  <w:rStyle w:val="InternetLink"/>
                  <w:rFonts w:ascii="Times New Roman;sans-serif" w:hAnsi="Times New Roman;sans-serif"/>
                  <w:b w:val="false"/>
                  <w:strike w:val="false"/>
                  <w:dstrike w:val="false"/>
                  <w:color w:val="000000"/>
                  <w:sz w:val="20"/>
                  <w:u w:val="none"/>
                  <w:effect w:val="none"/>
                </w:rPr>
                <w:t xml:space="preserve">Unaudited Consolidated Statements of Comprehensive Income </w:t>
              </w:r>
            </w:hyperlink>
            <w:r>
              <w:rPr>
                <w:rFonts w:ascii="Times New Roman;sans-serif" w:hAnsi="Times New Roman;sans-serif"/>
                <w:b w:val="false"/>
                <w:color w:val="000000"/>
                <w:sz w:val="20"/>
              </w:rPr>
              <w:t>for the Three Months Ended March 31, 2023 and 2022</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9">
              <w:r>
                <w:rPr>
                  <w:rStyle w:val="InternetLink"/>
                  <w:rFonts w:ascii="Times New Roman;sans-serif" w:hAnsi="Times New Roman;sans-serif"/>
                  <w:b w:val="false"/>
                  <w:strike w:val="false"/>
                  <w:dstrike w:val="false"/>
                  <w:color w:val="000000"/>
                  <w:sz w:val="20"/>
                  <w:u w:val="none"/>
                  <w:effect w:val="none"/>
                </w:rPr>
                <w:t>4</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22">
              <w:r>
                <w:rPr>
                  <w:rStyle w:val="InternetLink"/>
                </w:rPr>
                <w:t xml:space="preserve">Consolidated Balance Sheets as of </w:t>
              </w:r>
            </w:hyperlink>
            <w:hyperlink w:anchor="i662ed70d6362480fb0d8a1ad9c54b147_22">
              <w:r>
                <w:rPr>
                  <w:rStyle w:val="InternetLink"/>
                </w:rPr>
                <w:t>March 31, 2023</w:t>
              </w:r>
            </w:hyperlink>
            <w:hyperlink w:anchor="i662ed70d6362480fb0d8a1ad9c54b147_22">
              <w:r>
                <w:rPr>
                  <w:rStyle w:val="InternetLink"/>
                </w:rPr>
                <w:t xml:space="preserve"> (unaudited) and December 31, 20</w:t>
              </w:r>
            </w:hyperlink>
            <w:r>
              <w:rPr>
                <w:rFonts w:ascii="Times New Roman;sans-serif" w:hAnsi="Times New Roman;sans-serif"/>
                <w:b w:val="false"/>
                <w:color w:val="000000"/>
                <w:sz w:val="20"/>
              </w:rPr>
              <w:t>22</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22">
              <w:r>
                <w:rPr>
                  <w:rStyle w:val="InternetLink"/>
                  <w:rFonts w:ascii="Times New Roman;sans-serif" w:hAnsi="Times New Roman;sans-serif"/>
                  <w:b w:val="false"/>
                  <w:strike w:val="false"/>
                  <w:dstrike w:val="false"/>
                  <w:color w:val="000000"/>
                  <w:sz w:val="20"/>
                  <w:u w:val="none"/>
                  <w:effect w:val="none"/>
                </w:rPr>
                <w:t>5</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25">
              <w:r>
                <w:rPr>
                  <w:rStyle w:val="InternetLink"/>
                </w:rPr>
                <w:t>Unaudited Consolidated Statements of Cash Flows for the</w:t>
              </w:r>
            </w:hyperlink>
            <w:hyperlink w:anchor="i662ed70d6362480fb0d8a1ad9c54b147_25">
              <w:r>
                <w:rPr>
                  <w:rStyle w:val="InternetLink"/>
                </w:rPr>
                <w:t xml:space="preserve"> Three</w:t>
              </w:r>
            </w:hyperlink>
            <w:hyperlink w:anchor="i662ed70d6362480fb0d8a1ad9c54b147_25">
              <w:r>
                <w:rPr>
                  <w:rStyle w:val="InternetLink"/>
                </w:rPr>
                <w:t xml:space="preserve"> Months Ended </w:t>
              </w:r>
            </w:hyperlink>
            <w:r>
              <w:rPr>
                <w:rFonts w:ascii="Times New Roman;sans-serif" w:hAnsi="Times New Roman;sans-serif"/>
                <w:b w:val="false"/>
                <w:color w:val="000000"/>
                <w:sz w:val="20"/>
              </w:rPr>
              <w:t>March 31, 2023 and 2022</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25">
              <w:r>
                <w:rPr>
                  <w:rStyle w:val="InternetLink"/>
                  <w:rFonts w:ascii="Times New Roman;sans-serif" w:hAnsi="Times New Roman;sans-serif"/>
                  <w:b w:val="false"/>
                  <w:strike w:val="false"/>
                  <w:dstrike w:val="false"/>
                  <w:color w:val="000000"/>
                  <w:sz w:val="20"/>
                  <w:u w:val="none"/>
                  <w:effect w:val="none"/>
                </w:rPr>
                <w:t>6</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25">
              <w:r>
                <w:rPr>
                  <w:rStyle w:val="InternetLink"/>
                </w:rPr>
                <w:t>Unaudited Consolidated Statement of Changes in Equity and Noncontrolling Interests for the Three</w:t>
              </w:r>
            </w:hyperlink>
            <w:hyperlink w:anchor="i662ed70d6362480fb0d8a1ad9c54b147_25">
              <w:r>
                <w:rPr>
                  <w:rStyle w:val="InternetLink"/>
                </w:rPr>
                <w:t xml:space="preserve"> </w:t>
              </w:r>
            </w:hyperlink>
            <w:hyperlink w:anchor="i662ed70d6362480fb0d8a1ad9c54b147_25">
              <w:r>
                <w:rPr>
                  <w:rStyle w:val="InternetLink"/>
                </w:rPr>
                <w:t xml:space="preserve">Months </w:t>
              </w:r>
            </w:hyperlink>
            <w:r>
              <w:rPr>
                <w:rFonts w:ascii="Times New Roman;sans-serif" w:hAnsi="Times New Roman;sans-serif"/>
                <w:b w:val="false"/>
                <w:color w:val="000000"/>
                <w:sz w:val="20"/>
              </w:rPr>
              <w:t>Ended March 31, 2023 and 2022</w:t>
            </w:r>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31">
              <w:r>
                <w:rPr>
                  <w:rStyle w:val="InternetLink"/>
                  <w:rFonts w:ascii="Times New Roman;sans-serif" w:hAnsi="Times New Roman;sans-serif"/>
                  <w:b w:val="false"/>
                  <w:strike w:val="false"/>
                  <w:dstrike w:val="false"/>
                  <w:color w:val="000000"/>
                  <w:sz w:val="20"/>
                  <w:u w:val="none"/>
                  <w:effect w:val="none"/>
                </w:rPr>
                <w:t>8</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37">
              <w:r>
                <w:rPr>
                  <w:rStyle w:val="InternetLink"/>
                  <w:rFonts w:ascii="Times New Roman;sans-serif" w:hAnsi="Times New Roman;sans-serif"/>
                  <w:b w:val="false"/>
                  <w:strike w:val="false"/>
                  <w:dstrike w:val="false"/>
                  <w:color w:val="000000"/>
                  <w:sz w:val="20"/>
                  <w:u w:val="none"/>
                  <w:effect w:val="none"/>
                </w:rPr>
                <w:t>Notes to Unaudited Consolidated Financial Statements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37">
              <w:r>
                <w:rPr>
                  <w:rStyle w:val="InternetLink"/>
                  <w:rFonts w:ascii="Times New Roman;sans-serif" w:hAnsi="Times New Roman;sans-serif"/>
                  <w:b w:val="false"/>
                  <w:strike w:val="false"/>
                  <w:dstrike w:val="false"/>
                  <w:color w:val="000000"/>
                  <w:sz w:val="20"/>
                  <w:u w:val="none"/>
                  <w:effect w:val="none"/>
                </w:rPr>
                <w:t>9</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94">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94">
              <w:r>
                <w:rPr>
                  <w:rStyle w:val="InternetLink"/>
                  <w:rFonts w:ascii="Times New Roman;sans-serif" w:hAnsi="Times New Roman;sans-serif"/>
                  <w:b w:val="false"/>
                  <w:strike w:val="false"/>
                  <w:dstrike w:val="false"/>
                  <w:color w:val="000000"/>
                  <w:sz w:val="20"/>
                  <w:u w:val="none"/>
                  <w:effect w:val="none"/>
                </w:rPr>
                <w:t>25</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2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21">
              <w:r>
                <w:rPr>
                  <w:rStyle w:val="InternetLink"/>
                  <w:rFonts w:ascii="Times New Roman;sans-serif" w:hAnsi="Times New Roman;sans-serif"/>
                  <w:b w:val="false"/>
                  <w:strike w:val="false"/>
                  <w:dstrike w:val="false"/>
                  <w:color w:val="000000"/>
                  <w:sz w:val="20"/>
                  <w:u w:val="none"/>
                  <w:effect w:val="none"/>
                </w:rPr>
                <w:t>40</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2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24">
              <w:r>
                <w:rPr>
                  <w:rStyle w:val="InternetLink"/>
                  <w:rFonts w:ascii="Times New Roman;sans-serif" w:hAnsi="Times New Roman;sans-serif"/>
                  <w:b w:val="false"/>
                  <w:strike w:val="false"/>
                  <w:dstrike w:val="false"/>
                  <w:color w:val="000000"/>
                  <w:sz w:val="20"/>
                  <w:u w:val="none"/>
                  <w:effect w:val="none"/>
                </w:rPr>
                <w:t>42</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27">
              <w:r>
                <w:rPr>
                  <w:rStyle w:val="InternetLink"/>
                  <w:rFonts w:ascii="Times New Roman;sans-serif" w:hAnsi="Times New Roman;sans-serif"/>
                  <w:b w:val="false"/>
                  <w:strike w:val="false"/>
                  <w:dstrike w:val="false"/>
                  <w:color w:val="000000"/>
                  <w:sz w:val="20"/>
                  <w:u w:val="none"/>
                  <w:effect w:val="none"/>
                </w:rPr>
                <w:t>OTHER INFORMATION</w:t>
              </w:r>
            </w:hyperlink>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30">
              <w:r>
                <w:rPr>
                  <w:rStyle w:val="InternetLink"/>
                  <w:rFonts w:ascii="Times New Roman;sans-serif" w:hAnsi="Times New Roman;sans-serif"/>
                  <w:b w:val="false"/>
                  <w:strike w:val="false"/>
                  <w:dstrike w:val="false"/>
                  <w:color w:val="000000"/>
                  <w:sz w:val="20"/>
                  <w:u w:val="none"/>
                  <w:effect w:val="none"/>
                </w:rPr>
                <w:t>Legal Proceedings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30">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33">
              <w:r>
                <w:rPr>
                  <w:rStyle w:val="InternetLink"/>
                  <w:rFonts w:ascii="Times New Roman;sans-serif" w:hAnsi="Times New Roman;sans-serif"/>
                  <w:b w:val="false"/>
                  <w:strike w:val="false"/>
                  <w:dstrike w:val="false"/>
                  <w:color w:val="000000"/>
                  <w:sz w:val="20"/>
                  <w:u w:val="none"/>
                  <w:effect w:val="none"/>
                </w:rPr>
                <w:t>Risk Factors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33">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36">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36">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3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39">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4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42">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45">
              <w:r>
                <w:rPr>
                  <w:rStyle w:val="InternetLink"/>
                  <w:rFonts w:ascii="Times New Roman;sans-serif" w:hAnsi="Times New Roman;sans-serif"/>
                  <w:b w:val="false"/>
                  <w:strike w:val="false"/>
                  <w:dstrike w:val="false"/>
                  <w:color w:val="000000"/>
                  <w:sz w:val="20"/>
                  <w:u w:val="none"/>
                  <w:effect w:val="none"/>
                </w:rPr>
                <w:t>Other Information</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45">
              <w:r>
                <w:rPr>
                  <w:rStyle w:val="InternetLink"/>
                  <w:rFonts w:ascii="Times New Roman;sans-serif" w:hAnsi="Times New Roman;sans-serif"/>
                  <w:b w:val="false"/>
                  <w:strike w:val="false"/>
                  <w:dstrike w:val="false"/>
                  <w:color w:val="000000"/>
                  <w:sz w:val="20"/>
                  <w:u w:val="none"/>
                  <w:effect w:val="none"/>
                </w:rPr>
                <w:t>43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48">
              <w:r>
                <w:rPr>
                  <w:rStyle w:val="InternetLink"/>
                  <w:rFonts w:ascii="Times New Roman;sans-serif" w:hAnsi="Times New Roman;sans-serif"/>
                  <w:b w:val="false"/>
                  <w:strike w:val="false"/>
                  <w:dstrike w:val="false"/>
                  <w:color w:val="000000"/>
                  <w:sz w:val="20"/>
                  <w:u w:val="none"/>
                  <w:effect w:val="none"/>
                </w:rPr>
                <w:t>Exhibits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48">
              <w:r>
                <w:rPr>
                  <w:rStyle w:val="InternetLink"/>
                  <w:rFonts w:ascii="Times New Roman;sans-serif" w:hAnsi="Times New Roman;sans-serif"/>
                  <w:b w:val="false"/>
                  <w:strike w:val="false"/>
                  <w:dstrike w:val="false"/>
                  <w:color w:val="000000"/>
                  <w:sz w:val="20"/>
                  <w:u w:val="none"/>
                  <w:effect w:val="none"/>
                </w:rPr>
                <w:t>43</w:t>
              </w:r>
            </w:hyperlink>
          </w:p>
        </w:tc>
      </w:tr>
      <w:tr>
        <w:trPr/>
        <w:tc>
          <w:tcPr>
            <w:tcW w:w="96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6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62ed70d6362480fb0d8a1ad9c54b147_151">
              <w:r>
                <w:rPr>
                  <w:rStyle w:val="InternetLink"/>
                  <w:rFonts w:ascii="Times New Roman;sans-serif" w:hAnsi="Times New Roman;sans-serif"/>
                  <w:b w:val="false"/>
                  <w:strike w:val="false"/>
                  <w:dstrike w:val="false"/>
                  <w:color w:val="000000"/>
                  <w:sz w:val="20"/>
                  <w:u w:val="none"/>
                  <w:effect w:val="none"/>
                </w:rPr>
                <w:t>SIGNATURES</w:t>
              </w:r>
            </w:hyperlink>
          </w:p>
        </w:tc>
        <w:tc>
          <w:tcPr>
            <w:tcW w:w="5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62ed70d6362480fb0d8a1ad9c54b147_151">
              <w:r>
                <w:rPr>
                  <w:rStyle w:val="InternetLink"/>
                  <w:rFonts w:ascii="Times New Roman;sans-serif" w:hAnsi="Times New Roman;sans-serif"/>
                  <w:b w:val="false"/>
                  <w:strike w:val="false"/>
                  <w:dstrike w:val="false"/>
                  <w:color w:val="000000"/>
                  <w:sz w:val="20"/>
                  <w:u w:val="none"/>
                  <w:effect w:val="none"/>
                </w:rPr>
                <w:t>47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ITEM 1.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spacing w:before="0" w:after="0"/>
        <w:jc w:val="center"/>
        <w:rPr/>
      </w:pPr>
      <w:r>
        <w:rPr/>
      </w:r>
    </w:p>
    <w:tbl>
      <w:tblPr>
        <w:tblW w:w="9959" w:type="dxa"/>
        <w:jc w:val="center"/>
        <w:tblInd w:w="0" w:type="dxa"/>
        <w:tblCellMar>
          <w:top w:w="28" w:type="dxa"/>
          <w:left w:w="28" w:type="dxa"/>
          <w:bottom w:w="28" w:type="dxa"/>
          <w:right w:w="28" w:type="dxa"/>
        </w:tblCellMar>
      </w:tblPr>
      <w:tblGrid>
        <w:gridCol w:w="2461"/>
        <w:gridCol w:w="2159"/>
        <w:gridCol w:w="2175"/>
        <w:gridCol w:w="257"/>
        <w:gridCol w:w="752"/>
        <w:gridCol w:w="133"/>
        <w:gridCol w:w="133"/>
        <w:gridCol w:w="133"/>
        <w:gridCol w:w="133"/>
        <w:gridCol w:w="257"/>
        <w:gridCol w:w="752"/>
        <w:gridCol w:w="133"/>
        <w:gridCol w:w="109"/>
        <w:gridCol w:w="109"/>
        <w:gridCol w:w="109"/>
        <w:gridCol w:w="154"/>
      </w:tblGrid>
      <w:tr>
        <w:trPr/>
        <w:tc>
          <w:tcPr>
            <w:tcW w:w="2461"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commercial/industrial</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 resort/residential</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equity in earnings of unconsolidated joint ventures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joint ventures, net</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 expense </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basic</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diluted</w:t>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CONSOLIDATED STATEMENTS OF COMPREHENSIVE INCOME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before="0" w:after="0"/>
        <w:jc w:val="center"/>
        <w:rPr/>
      </w:pPr>
      <w:r>
        <w:rPr/>
      </w:r>
    </w:p>
    <w:tbl>
      <w:tblPr>
        <w:tblW w:w="9764" w:type="dxa"/>
        <w:jc w:val="center"/>
        <w:tblInd w:w="0" w:type="dxa"/>
        <w:tblCellMar>
          <w:top w:w="28" w:type="dxa"/>
          <w:left w:w="28" w:type="dxa"/>
          <w:bottom w:w="28" w:type="dxa"/>
          <w:right w:w="28" w:type="dxa"/>
        </w:tblCellMar>
      </w:tblPr>
      <w:tblGrid>
        <w:gridCol w:w="2389"/>
        <w:gridCol w:w="2096"/>
        <w:gridCol w:w="2115"/>
        <w:gridCol w:w="257"/>
        <w:gridCol w:w="752"/>
        <w:gridCol w:w="133"/>
        <w:gridCol w:w="133"/>
        <w:gridCol w:w="133"/>
        <w:gridCol w:w="133"/>
        <w:gridCol w:w="257"/>
        <w:gridCol w:w="752"/>
        <w:gridCol w:w="133"/>
        <w:gridCol w:w="109"/>
        <w:gridCol w:w="109"/>
        <w:gridCol w:w="109"/>
        <w:gridCol w:w="154"/>
      </w:tblGrid>
      <w:tr>
        <w:trPr/>
        <w:tc>
          <w:tcPr>
            <w:tcW w:w="2389" w:type="dxa"/>
            <w:tcBorders/>
            <w:shd w:fill="auto" w:val="clear"/>
            <w:vAlign w:val="center"/>
          </w:tcPr>
          <w:p>
            <w:pPr>
              <w:pStyle w:val="TableContents"/>
              <w:spacing w:before="0" w:after="283"/>
              <w:rPr>
                <w:sz w:val="4"/>
                <w:szCs w:val="4"/>
              </w:rPr>
            </w:pPr>
            <w:r>
              <w:rPr>
                <w:sz w:val="4"/>
                <w:szCs w:val="4"/>
              </w:rPr>
            </w:r>
          </w:p>
        </w:tc>
        <w:tc>
          <w:tcPr>
            <w:tcW w:w="2096"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gain on interest rate swap </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gain before taxes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(benefit) taxes related to other comprehensive income items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03"/>
        <w:gridCol w:w="2288"/>
        <w:gridCol w:w="2151"/>
        <w:gridCol w:w="234"/>
        <w:gridCol w:w="917"/>
        <w:gridCol w:w="120"/>
        <w:gridCol w:w="109"/>
        <w:gridCol w:w="109"/>
        <w:gridCol w:w="109"/>
        <w:gridCol w:w="258"/>
        <w:gridCol w:w="1014"/>
        <w:gridCol w:w="193"/>
      </w:tblGrid>
      <w:tr>
        <w:trPr/>
        <w:tc>
          <w:tcPr>
            <w:tcW w:w="2703"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7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7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available-for-sale</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improvements - held for lease, net</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development (includes $116,071 at March 31, 2023 and $115,221 at December 31, 2022, attributable to Centennial Founders, LLC, Note 15)</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324,318 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 water assets</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auto" w:val="clear"/>
            <w:vAlign w:val="center"/>
          </w:tcPr>
          <w:p>
            <w:pPr>
              <w:pStyle w:val="TableContents"/>
              <w:spacing w:before="0" w:after="283"/>
              <w:rPr>
                <w:sz w:val="4"/>
                <w:szCs w:val="4"/>
              </w:rPr>
            </w:pPr>
            <w:r>
              <w:rPr>
                <w:sz w:val="4"/>
                <w:szCs w:val="4"/>
              </w:rPr>
            </w:r>
          </w:p>
        </w:tc>
        <w:tc>
          <w:tcPr>
            <w:tcW w:w="1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566,791 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gains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 Stockholders’ Equity</w:t>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$0.50 par value per share:</w:t>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- 50,000,000</w:t>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shares - 26,710,432 at March 31, 2023 and 26,541,553 at December 31, 2022</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343,438 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345,344 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Tejon Ranch Co. Stockholders’ Equity</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462,230 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572,129 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566,791 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9446" w:type="dxa"/>
        <w:jc w:val="center"/>
        <w:tblInd w:w="0" w:type="dxa"/>
        <w:tblCellMar>
          <w:top w:w="28" w:type="dxa"/>
          <w:left w:w="28" w:type="dxa"/>
          <w:bottom w:w="28" w:type="dxa"/>
          <w:right w:w="28" w:type="dxa"/>
        </w:tblCellMar>
      </w:tblPr>
      <w:tblGrid>
        <w:gridCol w:w="2434"/>
        <w:gridCol w:w="2137"/>
        <w:gridCol w:w="2148"/>
        <w:gridCol w:w="234"/>
        <w:gridCol w:w="802"/>
        <w:gridCol w:w="121"/>
        <w:gridCol w:w="121"/>
        <w:gridCol w:w="121"/>
        <w:gridCol w:w="121"/>
        <w:gridCol w:w="234"/>
        <w:gridCol w:w="802"/>
        <w:gridCol w:w="171"/>
      </w:tblGrid>
      <w:tr>
        <w:trPr/>
        <w:tc>
          <w:tcPr>
            <w:tcW w:w="2434"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4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premium of marketable securities</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joint ventures, net</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retirement plan expense</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Profit from water sales</w:t>
            </w:r>
            <w:r>
              <w:rPr>
                <w:rFonts w:ascii="Times New Roman;sans-serif" w:hAnsi="Times New Roman;sans-serif"/>
                <w:b w:val="false"/>
                <w:color w:val="000000"/>
                <w:sz w:val="13"/>
              </w:rPr>
              <w:t>1</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Profit from land sales</w:t>
            </w:r>
            <w:r>
              <w:rPr>
                <w:rFonts w:ascii="Times New Roman;sans-serif" w:hAnsi="Times New Roman;sans-serif"/>
                <w:b w:val="false"/>
                <w:color w:val="000000"/>
                <w:sz w:val="13"/>
              </w:rPr>
              <w:t>2</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property plant and equipment</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compensation expense </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 loss from stock-based compensation</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earnings from unconsolidated joint ventures</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inventories, prepaids and other assets, net</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sales of marketable securities</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invested in marketable securities</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(28,892)</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equipment expenditures</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equity from unconsolidated joint ventures</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Proceeds from water sales</w:t>
            </w:r>
            <w:r>
              <w:rPr>
                <w:rFonts w:ascii="Times New Roman;sans-serif" w:hAnsi="Times New Roman;sans-serif"/>
                <w:b w:val="false"/>
                <w:color w:val="000000"/>
                <w:sz w:val="13"/>
              </w:rPr>
              <w:t>1</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water assets</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proceeds from land sales</w:t>
            </w:r>
            <w:r>
              <w:rPr>
                <w:rFonts w:ascii="Times New Roman;sans-serif" w:hAnsi="Times New Roman;sans-serif"/>
                <w:b w:val="false"/>
                <w:color w:val="000000"/>
                <w:sz w:val="13"/>
              </w:rPr>
              <w:t>2</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vested stock grants</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072"/>
        <w:gridCol w:w="1822"/>
        <w:gridCol w:w="1830"/>
        <w:gridCol w:w="378"/>
        <w:gridCol w:w="1294"/>
        <w:gridCol w:w="195"/>
        <w:gridCol w:w="195"/>
        <w:gridCol w:w="195"/>
        <w:gridCol w:w="195"/>
        <w:gridCol w:w="378"/>
        <w:gridCol w:w="1294"/>
        <w:gridCol w:w="195"/>
        <w:gridCol w:w="162"/>
      </w:tblGrid>
      <w:tr>
        <w:trPr/>
        <w:tc>
          <w:tcPr>
            <w:tcW w:w="2072"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auto" w:val="clear"/>
            <w:vAlign w:val="center"/>
          </w:tcPr>
          <w:p>
            <w:pPr>
              <w:pStyle w:val="TableContents"/>
              <w:spacing w:before="0" w:after="283"/>
              <w:rPr>
                <w:sz w:val="4"/>
                <w:szCs w:val="4"/>
              </w:rPr>
            </w:pPr>
            <w:r>
              <w:rPr>
                <w:sz w:val="4"/>
                <w:szCs w:val="4"/>
              </w:rPr>
            </w:r>
          </w:p>
        </w:tc>
        <w:tc>
          <w:tcPr>
            <w:tcW w:w="1867"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86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to amounts on consolidated balance sheets:</w:t>
            </w:r>
          </w:p>
        </w:tc>
        <w:tc>
          <w:tcPr>
            <w:tcW w:w="18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36,705 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(Shown in Other Assets)</w:t>
            </w:r>
          </w:p>
        </w:tc>
        <w:tc>
          <w:tcPr>
            <w:tcW w:w="16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8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18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current liabilities</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long-term water assets included in current liabilities</w:t>
            </w:r>
          </w:p>
        </w:tc>
        <w:tc>
          <w:tcPr>
            <w:tcW w:w="3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auto" w:val="clear"/>
            <w:vAlign w:val="center"/>
          </w:tcPr>
          <w:p>
            <w:pPr>
              <w:pStyle w:val="TableContents"/>
              <w:spacing w:before="0" w:after="283"/>
              <w:rPr>
                <w:sz w:val="4"/>
                <w:szCs w:val="4"/>
              </w:rPr>
            </w:pPr>
            <w:r>
              <w:rPr>
                <w:sz w:val="4"/>
                <w:szCs w:val="4"/>
              </w:rPr>
            </w:r>
          </w:p>
        </w:tc>
        <w:tc>
          <w:tcPr>
            <w:tcW w:w="1867"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86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auto" w:val="clear"/>
            <w:vAlign w:val="center"/>
          </w:tcPr>
          <w:p>
            <w:pPr>
              <w:pStyle w:val="TableContents"/>
              <w:spacing w:before="0" w:after="283"/>
              <w:rPr>
                <w:sz w:val="4"/>
                <w:szCs w:val="4"/>
              </w:rPr>
            </w:pPr>
            <w:r>
              <w:rPr>
                <w:sz w:val="4"/>
                <w:szCs w:val="4"/>
              </w:rPr>
            </w:r>
          </w:p>
        </w:tc>
        <w:tc>
          <w:tcPr>
            <w:tcW w:w="1867"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86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043"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w:t>
            </w:r>
            <w:r>
              <w:rPr>
                <w:color w:val="000000"/>
              </w:rPr>
              <w:t xml:space="preserve"> </w:t>
            </w:r>
            <w:r>
              <w:rPr>
                <w:rFonts w:ascii="Times New Roman;sans-serif" w:hAnsi="Times New Roman;sans-serif"/>
                <w:b w:val="false"/>
                <w:color w:val="000000"/>
                <w:sz w:val="18"/>
              </w:rPr>
              <w:t>cash</w:t>
            </w:r>
            <w:r>
              <w:rPr>
                <w:color w:val="000000"/>
              </w:rPr>
              <w:t xml:space="preserve"> </w:t>
            </w:r>
            <w:r>
              <w:rPr>
                <w:rFonts w:ascii="Times New Roman;sans-serif" w:hAnsi="Times New Roman;sans-serif"/>
                <w:b w:val="false"/>
                <w:color w:val="000000"/>
                <w:sz w:val="18"/>
              </w:rPr>
              <w:t>flow</w:t>
            </w:r>
            <w:r>
              <w:rPr>
                <w:color w:val="000000"/>
              </w:rPr>
              <w:t xml:space="preserve"> </w:t>
            </w:r>
            <w:r>
              <w:rPr>
                <w:rFonts w:ascii="Times New Roman;sans-serif" w:hAnsi="Times New Roman;sans-serif"/>
                <w:b w:val="false"/>
                <w:color w:val="000000"/>
                <w:sz w:val="18"/>
              </w:rPr>
              <w:t>classification</w:t>
            </w:r>
            <w:r>
              <w:rPr>
                <w:color w:val="000000"/>
              </w:rPr>
              <w:t xml:space="preserve"> </w:t>
            </w:r>
            <w:r>
              <w:rPr>
                <w:rFonts w:ascii="Times New Roman;sans-serif" w:hAnsi="Times New Roman;sans-serif"/>
                <w:b w:val="false"/>
                <w:color w:val="000000"/>
                <w:sz w:val="18"/>
              </w:rPr>
              <w:t>is unclear, registrants must use judgment and analysis that considers the nature of the activity and the predominant source of cash flow for these items.</w:t>
            </w:r>
          </w:p>
          <w:p>
            <w:pPr>
              <w:pStyle w:val="TableContents"/>
              <w:spacing w:before="0" w:after="0"/>
              <w:jc w:val="left"/>
              <w:rPr/>
            </w:pPr>
            <w:r>
              <w:rPr/>
            </w:r>
          </w:p>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tc>
        <w:tc>
          <w:tcPr>
            <w:tcW w:w="162" w:type="dxa"/>
            <w:tcBorders/>
            <w:shd w:fill="auto" w:val="clear"/>
          </w:tcPr>
          <w:p>
            <w:pPr>
              <w:pStyle w:val="TableContents"/>
              <w:spacing w:before="0" w:after="283"/>
              <w:rPr>
                <w:sz w:val="4"/>
                <w:szCs w:val="4"/>
              </w:rPr>
            </w:pPr>
            <w:r>
              <w:rPr>
                <w:sz w:val="4"/>
                <w:szCs w:val="4"/>
              </w:rPr>
            </w:r>
          </w:p>
        </w:tc>
      </w:tr>
      <w:tr>
        <w:trPr/>
        <w:tc>
          <w:tcPr>
            <w:tcW w:w="10043"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In determining the classification of cash inflows and outflows related to land development costs, the Company’s practices are supported by Accounting Standards Codification (“ASC”) 230-10-45-22, which provides that “Certain cash receipts and payments have aspects of more than one class of cash flows…. If so, the appropriate classification 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w:t>
            </w:r>
            <w:r>
              <w:rPr>
                <w:color w:val="000000"/>
              </w:rPr>
              <w:t xml:space="preserve"> </w:t>
            </w:r>
            <w:r>
              <w:rPr>
                <w:rFonts w:ascii="Times New Roman;sans-serif" w:hAnsi="Times New Roman;sans-serif"/>
                <w:b w:val="false"/>
                <w:color w:val="000000"/>
                <w:sz w:val="18"/>
              </w:rPr>
              <w:t>cash</w:t>
            </w:r>
            <w:r>
              <w:rPr>
                <w:color w:val="000000"/>
              </w:rPr>
              <w:t xml:space="preserve"> </w:t>
            </w:r>
            <w:r>
              <w:rPr>
                <w:rFonts w:ascii="Times New Roman;sans-serif" w:hAnsi="Times New Roman;sans-serif"/>
                <w:b w:val="false"/>
                <w:color w:val="000000"/>
                <w:sz w:val="18"/>
              </w:rPr>
              <w:t>flow</w:t>
            </w:r>
            <w:r>
              <w:rPr>
                <w:color w:val="000000"/>
              </w:rPr>
              <w:t xml:space="preserve"> </w:t>
            </w:r>
            <w:r>
              <w:rPr>
                <w:rFonts w:ascii="Times New Roman;sans-serif" w:hAnsi="Times New Roman;sans-serif"/>
                <w:b w:val="false"/>
                <w:color w:val="000000"/>
                <w:sz w:val="18"/>
              </w:rPr>
              <w:t>classification</w:t>
            </w:r>
            <w:r>
              <w:rPr>
                <w:color w:val="000000"/>
              </w:rPr>
              <w:t xml:space="preserve"> </w:t>
            </w:r>
            <w:r>
              <w:rPr>
                <w:rFonts w:ascii="Times New Roman;sans-serif" w:hAnsi="Times New Roman;sans-serif"/>
                <w:b w:val="false"/>
                <w:color w:val="000000"/>
                <w:sz w:val="18"/>
              </w:rPr>
              <w:t>is unclear, registrants must use judgment and analysis that considers the nature of the activity and the predominant source of cash flow for these items.</w:t>
            </w:r>
          </w:p>
          <w:p>
            <w:pPr>
              <w:pStyle w:val="TableContents"/>
              <w:spacing w:before="0" w:after="0"/>
              <w:jc w:val="left"/>
              <w:rPr/>
            </w:pPr>
            <w:r>
              <w:rPr/>
            </w:r>
          </w:p>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$4.7 million in gross proceeds in 2022, this cash inflow is appropriately classified in the Company’s investing activities. The profit of $3.6 million related to land development costs incurred in prior periods is appropriately being deducted from operating activities for the first quarter of 2022. The Company has and will continue to apply this methodology to land sale transactions that meet this fact pattern.</w:t>
            </w:r>
          </w:p>
        </w:tc>
        <w:tc>
          <w:tcPr>
            <w:tcW w:w="162" w:type="dxa"/>
            <w:tcBorders/>
            <w:shd w:fill="auto" w:val="clear"/>
          </w:tcPr>
          <w:p>
            <w:pPr>
              <w:pStyle w:val="TableContents"/>
              <w:spacing w:before="0" w:after="283"/>
              <w:rPr>
                <w:sz w:val="4"/>
                <w:szCs w:val="4"/>
              </w:rPr>
            </w:pPr>
            <w:r>
              <w:rPr>
                <w:sz w:val="4"/>
                <w:szCs w:val="4"/>
              </w:rPr>
            </w:r>
          </w:p>
        </w:tc>
      </w:tr>
      <w:tr>
        <w:trPr/>
        <w:tc>
          <w:tcPr>
            <w:tcW w:w="5724" w:type="dxa"/>
            <w:gridSpan w:val="3"/>
            <w:tcBorders/>
            <w:shd w:fill="auto" w:val="clear"/>
            <w:vAlign w:val="center"/>
          </w:tcPr>
          <w:p>
            <w:pPr>
              <w:pStyle w:val="TableContents"/>
              <w:spacing w:before="0" w:after="283"/>
              <w:rPr>
                <w:sz w:val="4"/>
                <w:szCs w:val="4"/>
              </w:rPr>
            </w:pPr>
            <w:r>
              <w:rPr>
                <w:sz w:val="4"/>
                <w:szCs w:val="4"/>
              </w:rPr>
            </w:r>
          </w:p>
        </w:tc>
        <w:tc>
          <w:tcPr>
            <w:tcW w:w="4481" w:type="dxa"/>
            <w:gridSpan w:val="10"/>
            <w:tcBorders/>
            <w:shd w:fill="auto" w:val="clear"/>
          </w:tcPr>
          <w:p>
            <w:pPr>
              <w:pStyle w:val="TableContents"/>
              <w:spacing w:before="0" w:after="283"/>
              <w:rPr>
                <w:sz w:val="4"/>
                <w:szCs w:val="4"/>
              </w:rPr>
            </w:pPr>
            <w:r>
              <w:rPr>
                <w:sz w:val="4"/>
                <w:szCs w:val="4"/>
              </w:rPr>
            </w:r>
          </w:p>
        </w:tc>
      </w:tr>
      <w:tr>
        <w:trPr/>
        <w:tc>
          <w:tcPr>
            <w:tcW w:w="5724" w:type="dxa"/>
            <w:gridSpan w:val="3"/>
            <w:tcBorders/>
            <w:shd w:fill="auto" w:val="clear"/>
            <w:vAlign w:val="center"/>
          </w:tcPr>
          <w:p>
            <w:pPr>
              <w:pStyle w:val="TableContents"/>
              <w:spacing w:before="0" w:after="283"/>
              <w:rPr>
                <w:sz w:val="4"/>
                <w:szCs w:val="4"/>
              </w:rPr>
            </w:pPr>
            <w:r>
              <w:rPr>
                <w:sz w:val="4"/>
                <w:szCs w:val="4"/>
              </w:rPr>
            </w:r>
          </w:p>
        </w:tc>
        <w:tc>
          <w:tcPr>
            <w:tcW w:w="4481" w:type="dxa"/>
            <w:gridSpan w:val="10"/>
            <w:tcBorders/>
            <w:shd w:fill="auto" w:val="clear"/>
          </w:tcPr>
          <w:p>
            <w:pPr>
              <w:pStyle w:val="TableContents"/>
              <w:spacing w:before="0" w:after="283"/>
              <w:rPr>
                <w:sz w:val="4"/>
                <w:szCs w:val="4"/>
              </w:rPr>
            </w:pPr>
            <w:r>
              <w:rPr>
                <w:sz w:val="4"/>
                <w:szCs w:val="4"/>
              </w:rPr>
            </w:r>
          </w:p>
        </w:tc>
      </w:tr>
      <w:tr>
        <w:trPr/>
        <w:tc>
          <w:tcPr>
            <w:tcW w:w="5724" w:type="dxa"/>
            <w:gridSpan w:val="3"/>
            <w:tcBorders/>
            <w:shd w:fill="auto" w:val="clear"/>
            <w:vAlign w:val="center"/>
          </w:tcPr>
          <w:p>
            <w:pPr>
              <w:pStyle w:val="TableContents"/>
              <w:spacing w:before="0" w:after="283"/>
              <w:rPr>
                <w:sz w:val="4"/>
                <w:szCs w:val="4"/>
              </w:rPr>
            </w:pPr>
            <w:r>
              <w:rPr>
                <w:sz w:val="4"/>
                <w:szCs w:val="4"/>
              </w:rPr>
            </w:r>
          </w:p>
        </w:tc>
        <w:tc>
          <w:tcPr>
            <w:tcW w:w="4481" w:type="dxa"/>
            <w:gridSpan w:val="10"/>
            <w:tcBorders/>
            <w:shd w:fill="auto" w:val="clea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 OF CHANGES IN EQUITY AND NONCONTROLLING INTERESTS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shares outstanding)</w:t>
      </w:r>
    </w:p>
    <w:p>
      <w:pPr>
        <w:pStyle w:val="TextBody"/>
        <w:spacing w:before="0" w:after="0"/>
        <w:jc w:val="center"/>
        <w:rPr/>
      </w:pPr>
      <w:r>
        <w:rPr/>
      </w:r>
    </w:p>
    <w:tbl>
      <w:tblPr>
        <w:tblW w:w="13564" w:type="dxa"/>
        <w:jc w:val="center"/>
        <w:tblInd w:w="0" w:type="dxa"/>
        <w:tblCellMar>
          <w:top w:w="28" w:type="dxa"/>
          <w:left w:w="28" w:type="dxa"/>
          <w:bottom w:w="28" w:type="dxa"/>
          <w:right w:w="28" w:type="dxa"/>
        </w:tblCellMar>
      </w:tblPr>
      <w:tblGrid>
        <w:gridCol w:w="805"/>
        <w:gridCol w:w="272"/>
        <w:gridCol w:w="274"/>
        <w:gridCol w:w="711"/>
        <w:gridCol w:w="370"/>
        <w:gridCol w:w="371"/>
        <w:gridCol w:w="109"/>
        <w:gridCol w:w="109"/>
        <w:gridCol w:w="109"/>
        <w:gridCol w:w="211"/>
        <w:gridCol w:w="721"/>
        <w:gridCol w:w="109"/>
        <w:gridCol w:w="109"/>
        <w:gridCol w:w="109"/>
        <w:gridCol w:w="109"/>
        <w:gridCol w:w="211"/>
        <w:gridCol w:w="826"/>
        <w:gridCol w:w="109"/>
        <w:gridCol w:w="109"/>
        <w:gridCol w:w="109"/>
        <w:gridCol w:w="109"/>
        <w:gridCol w:w="306"/>
        <w:gridCol w:w="916"/>
        <w:gridCol w:w="159"/>
        <w:gridCol w:w="109"/>
        <w:gridCol w:w="109"/>
        <w:gridCol w:w="109"/>
        <w:gridCol w:w="211"/>
        <w:gridCol w:w="826"/>
        <w:gridCol w:w="109"/>
        <w:gridCol w:w="109"/>
        <w:gridCol w:w="109"/>
        <w:gridCol w:w="109"/>
        <w:gridCol w:w="221"/>
        <w:gridCol w:w="865"/>
        <w:gridCol w:w="115"/>
        <w:gridCol w:w="109"/>
        <w:gridCol w:w="109"/>
        <w:gridCol w:w="109"/>
        <w:gridCol w:w="276"/>
        <w:gridCol w:w="946"/>
        <w:gridCol w:w="144"/>
        <w:gridCol w:w="109"/>
        <w:gridCol w:w="109"/>
        <w:gridCol w:w="109"/>
        <w:gridCol w:w="211"/>
        <w:gridCol w:w="826"/>
        <w:gridCol w:w="154"/>
      </w:tblGrid>
      <w:tr>
        <w:trPr/>
        <w:tc>
          <w:tcPr>
            <w:tcW w:w="80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Shares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26,541,553 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4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347,724 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(178,845)</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4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26,710,432 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26,400,921 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441,149 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4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issuance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136,288 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taxes and tax benefit of vested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(63,860)</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14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26,473,349 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80" w:after="283"/>
        <w:jc w:val="center"/>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See accompanying notes. </w:t>
      </w:r>
    </w:p>
    <w:p>
      <w:pPr>
        <w:pStyle w:val="TextBody"/>
        <w:spacing w:before="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TEJON RANCH CO.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spacing w:before="60" w:after="283"/>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1.    BASIS OF PRESENTATION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periods ended March 31, 2023 and 2022 include the consolidation of Centennial Founders, LLC’s statement of operations within the resort/residential real estate development segment, statements of changes in equity and noncontrolling interests, and statements of cash flows. The Company’s March 31, 2023 and December 31, 2022 balance sheets are presented on a consolidated basis, including the consolidation of Centennial Founders, LLC.</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and a summary of significant accounting policies, refer to the Consolidated Financial Statements and notes thereto included in the Company’s Annual Report on Form 10-K for the year ended December 31, 2022.</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Certain financial instruments are carried on the consolidated balance sheet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notes payable also approximates their carrying value as the interest rates are primarily variable and approximate prevailing market interest rates for similar debt arrangements.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Restricted cash is included in Prepaid expenses and other current assets within the Consolidated Balance Sheets and primarily relate to funds held in escrow. The Company had $500,000 of restricted cash as of March 31, 2023.</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 new Accounting Standards Update, or ASU, is applicable to our consolidated financial statements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2.    EQUITY</w:t>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Earnings Per Share (EPS)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common stockholders is based upon the weighted-average number of shares of common stock outstanding during the year. Diluted net income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tbl>
      <w:tblPr>
        <w:tblW w:w="8228" w:type="dxa"/>
        <w:jc w:val="center"/>
        <w:tblInd w:w="0" w:type="dxa"/>
        <w:tblCellMar>
          <w:top w:w="28" w:type="dxa"/>
          <w:left w:w="28" w:type="dxa"/>
          <w:bottom w:w="28" w:type="dxa"/>
          <w:right w:w="28" w:type="dxa"/>
        </w:tblCellMar>
      </w:tblPr>
      <w:tblGrid>
        <w:gridCol w:w="1484"/>
        <w:gridCol w:w="1303"/>
        <w:gridCol w:w="1308"/>
        <w:gridCol w:w="772"/>
        <w:gridCol w:w="309"/>
        <w:gridCol w:w="298"/>
        <w:gridCol w:w="298"/>
        <w:gridCol w:w="298"/>
        <w:gridCol w:w="298"/>
        <w:gridCol w:w="772"/>
        <w:gridCol w:w="309"/>
        <w:gridCol w:w="298"/>
        <w:gridCol w:w="109"/>
        <w:gridCol w:w="109"/>
        <w:gridCol w:w="109"/>
        <w:gridCol w:w="154"/>
      </w:tblGrid>
      <w:tr>
        <w:trPr/>
        <w:tc>
          <w:tcPr>
            <w:tcW w:w="1484"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outstanding:</w:t>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26,647,565 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26,431,989 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47,507 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26,649,348 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26,479,496 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tbl>
      <w:tblPr>
        <w:tblW w:w="10064" w:type="dxa"/>
        <w:jc w:val="left"/>
        <w:tblInd w:w="0" w:type="dxa"/>
        <w:tblCellMar>
          <w:top w:w="28" w:type="dxa"/>
          <w:left w:w="28" w:type="dxa"/>
          <w:bottom w:w="28" w:type="dxa"/>
          <w:right w:w="28" w:type="dxa"/>
        </w:tblCellMar>
      </w:tblPr>
      <w:tblGrid>
        <w:gridCol w:w="1421"/>
        <w:gridCol w:w="1250"/>
        <w:gridCol w:w="1259"/>
        <w:gridCol w:w="314"/>
        <w:gridCol w:w="314"/>
        <w:gridCol w:w="31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21"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br/>
              <w:t>Hierarchy</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agency notes</w:t>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less than 12 months</w:t>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more than 12 months</w:t>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gains</w:t>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Treasury and agency notes</w:t>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less than 12 months</w:t>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losses for more than 12 months</w:t>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unrealized gains</w:t>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Corporate notes</w:t>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ASC Topic 326, "Financial Instruments - Credit Losses," requires the Company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March 31, 2023, the Company has not recorded any credit losses.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fair market value of marketable securities was $104,000 below their cost basis. The Company’s gross unrealized holding gains equaled $19,000 and gross unrealized holding losses equaled $123,000. As of March 31, 2023, the adjustment to accumulated other comprehensive loss reflected a decline in market value of $104,000, including estimated taxes of $29,000.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exclude applicable accrued interest from both the fair value and the amortized cost basis of the available-for-sale debt securities, and separately present the accrued interest receivable balance per ASC Topic 326. The accrued interest receivables balance totaled $223,000 as of March 31, 2023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 </w:t>
      </w:r>
    </w:p>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 Treasury and agency notes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unrealized losses on the Company's investments in U.S. Treasury and agency notes at March 31, 2023 and December 31, 2022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March 31, 2023 and December 31, 2022, the Company did not intend to sell these securities and it is not more-likely-than-not that the Company would be required to sell these securities before recovery of their cost basis. Therefore, these investments did not require an ACL as of March 31, 2023 and December 31, 2022.</w:t>
      </w:r>
    </w:p>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Corporate notes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March 31, 2023 and December 31, 2022, the Company did not intend to sell these securities and it is not more-likely-than-not that the Company would be required to sell these securities before recovery of their cost basis. Therefore, these investments did not require an ACL as of March 31, 2023 and December 31, 2022.</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maturities, at par, of marketable securities as of:</w:t>
      </w:r>
    </w:p>
    <w:tbl>
      <w:tblPr>
        <w:tblW w:w="6807" w:type="dxa"/>
        <w:jc w:val="left"/>
        <w:tblInd w:w="0" w:type="dxa"/>
        <w:tblCellMar>
          <w:top w:w="28" w:type="dxa"/>
          <w:left w:w="28" w:type="dxa"/>
          <w:bottom w:w="28" w:type="dxa"/>
          <w:right w:w="28" w:type="dxa"/>
        </w:tblCellMar>
      </w:tblPr>
      <w:tblGrid>
        <w:gridCol w:w="960"/>
        <w:gridCol w:w="844"/>
        <w:gridCol w:w="850"/>
        <w:gridCol w:w="211"/>
        <w:gridCol w:w="721"/>
        <w:gridCol w:w="109"/>
        <w:gridCol w:w="109"/>
        <w:gridCol w:w="109"/>
        <w:gridCol w:w="109"/>
        <w:gridCol w:w="211"/>
        <w:gridCol w:w="616"/>
        <w:gridCol w:w="109"/>
        <w:gridCol w:w="109"/>
        <w:gridCol w:w="109"/>
        <w:gridCol w:w="109"/>
        <w:gridCol w:w="109"/>
        <w:gridCol w:w="109"/>
        <w:gridCol w:w="109"/>
        <w:gridCol w:w="109"/>
        <w:gridCol w:w="211"/>
        <w:gridCol w:w="721"/>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1631" w:type="dxa"/>
            <w:gridSpan w:val="8"/>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agency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6807" w:type="dxa"/>
        <w:jc w:val="left"/>
        <w:tblInd w:w="0" w:type="dxa"/>
        <w:tblCellMar>
          <w:top w:w="28" w:type="dxa"/>
          <w:left w:w="28" w:type="dxa"/>
          <w:bottom w:w="28" w:type="dxa"/>
          <w:right w:w="28" w:type="dxa"/>
        </w:tblCellMar>
      </w:tblPr>
      <w:tblGrid>
        <w:gridCol w:w="960"/>
        <w:gridCol w:w="844"/>
        <w:gridCol w:w="850"/>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96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2"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413" w:type="dxa"/>
            <w:gridSpan w:val="6"/>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and agency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corporate notes are with companies that have an investment grade rating from Standard &amp; Poor’s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4.     REAL ESTATE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accumulated real estate development costs by project consisted of the following:</w:t>
      </w:r>
    </w:p>
    <w:tbl>
      <w:tblPr>
        <w:tblW w:w="7572" w:type="dxa"/>
        <w:jc w:val="left"/>
        <w:tblInd w:w="0" w:type="dxa"/>
        <w:tblCellMar>
          <w:top w:w="28" w:type="dxa"/>
          <w:left w:w="28" w:type="dxa"/>
          <w:bottom w:w="28" w:type="dxa"/>
          <w:right w:w="28" w:type="dxa"/>
        </w:tblCellMar>
      </w:tblPr>
      <w:tblGrid>
        <w:gridCol w:w="1493"/>
        <w:gridCol w:w="1312"/>
        <w:gridCol w:w="1320"/>
        <w:gridCol w:w="257"/>
        <w:gridCol w:w="1006"/>
        <w:gridCol w:w="132"/>
        <w:gridCol w:w="109"/>
        <w:gridCol w:w="109"/>
        <w:gridCol w:w="109"/>
        <w:gridCol w:w="305"/>
        <w:gridCol w:w="1197"/>
        <w:gridCol w:w="223"/>
      </w:tblGrid>
      <w:tr>
        <w:trPr/>
        <w:tc>
          <w:tcPr>
            <w:tcW w:w="1493"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development</w:t>
            </w:r>
          </w:p>
        </w:tc>
        <w:tc>
          <w:tcPr>
            <w:tcW w:w="1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Village</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153,686 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116,071 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Grapevine</w:t>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Commerce Center</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development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improvements - held for lease</w:t>
            </w:r>
          </w:p>
        </w:tc>
        <w:tc>
          <w:tcPr>
            <w:tcW w:w="1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Tejon Ranch Commerce Center</w:t>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improvements - held for lease,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5.     LONG-TERM WATER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secured State Water Project, or SWP, entitlements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term of the water purchase agreement with Nickel runs to 2044 and includes a Company option to extend the contract for an additional 35 years. The purchase cost of water in 2023 is $928 per acre-foot. The purchase cost is subject to annual cost increases based on the greater of the consumer price index or 3%. </w:t>
      </w:r>
    </w:p>
    <w:p>
      <w:pPr>
        <w:pStyle w:val="TextBody"/>
        <w:spacing w:lineRule="auto" w:line="26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described.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Water revenues and cost of sales were as follows for the three months ended ($ in thousands):</w:t>
      </w:r>
    </w:p>
    <w:tbl>
      <w:tblPr>
        <w:tblW w:w="4479" w:type="dxa"/>
        <w:jc w:val="center"/>
        <w:tblInd w:w="0" w:type="dxa"/>
        <w:tblCellMar>
          <w:top w:w="28" w:type="dxa"/>
          <w:left w:w="28" w:type="dxa"/>
          <w:bottom w:w="28" w:type="dxa"/>
          <w:right w:w="28" w:type="dxa"/>
        </w:tblCellMar>
      </w:tblPr>
      <w:tblGrid>
        <w:gridCol w:w="477"/>
        <w:gridCol w:w="420"/>
        <w:gridCol w:w="422"/>
        <w:gridCol w:w="314"/>
        <w:gridCol w:w="918"/>
        <w:gridCol w:w="162"/>
        <w:gridCol w:w="109"/>
        <w:gridCol w:w="109"/>
        <w:gridCol w:w="109"/>
        <w:gridCol w:w="279"/>
        <w:gridCol w:w="956"/>
        <w:gridCol w:w="204"/>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Acre-Feet Sold</w:t>
            </w:r>
          </w:p>
        </w:tc>
        <w:tc>
          <w:tcPr>
            <w:tcW w:w="12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6,970 </w:t>
            </w:r>
          </w:p>
        </w:tc>
        <w:tc>
          <w:tcPr>
            <w:tcW w:w="20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costs assigned to water assets held for future use were as follows ($ in thousands):</w:t>
      </w:r>
    </w:p>
    <w:tbl>
      <w:tblPr>
        <w:tblW w:w="7015" w:type="dxa"/>
        <w:jc w:val="center"/>
        <w:tblInd w:w="0" w:type="dxa"/>
        <w:tblCellMar>
          <w:top w:w="28" w:type="dxa"/>
          <w:left w:w="28" w:type="dxa"/>
          <w:bottom w:w="28" w:type="dxa"/>
          <w:right w:w="28" w:type="dxa"/>
        </w:tblCellMar>
      </w:tblPr>
      <w:tblGrid>
        <w:gridCol w:w="1292"/>
        <w:gridCol w:w="1135"/>
        <w:gridCol w:w="1143"/>
        <w:gridCol w:w="282"/>
        <w:gridCol w:w="966"/>
        <w:gridCol w:w="146"/>
        <w:gridCol w:w="109"/>
        <w:gridCol w:w="109"/>
        <w:gridCol w:w="109"/>
        <w:gridCol w:w="335"/>
        <w:gridCol w:w="1145"/>
        <w:gridCol w:w="244"/>
      </w:tblGrid>
      <w:tr>
        <w:trPr/>
        <w:tc>
          <w:tcPr>
            <w:tcW w:w="129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Banked water and water for future delivery</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Transferable water</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held for future use at cost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00" w:after="283"/>
        <w:rPr>
          <w:rFonts w:ascii="Times New Roman;sans-serif" w:hAnsi="Times New Roman;sans-serif"/>
          <w:b/>
          <w:i/>
          <w:color w:val="000000"/>
          <w:sz w:val="20"/>
        </w:rPr>
      </w:pPr>
      <w:r>
        <w:rPr>
          <w:rFonts w:ascii="Times New Roman;sans-serif" w:hAnsi="Times New Roman;sans-serif"/>
          <w:b/>
          <w:i/>
          <w:color w:val="000000"/>
          <w:sz w:val="20"/>
        </w:rPr>
        <w:t>Intangible Water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Company’s carrying amounts of its purchased water contracts were as follows ($ in thousands):</w:t>
      </w:r>
    </w:p>
    <w:tbl>
      <w:tblPr>
        <w:tblW w:w="10205" w:type="dxa"/>
        <w:jc w:val="center"/>
        <w:tblInd w:w="0" w:type="dxa"/>
        <w:tblCellMar>
          <w:top w:w="28" w:type="dxa"/>
          <w:left w:w="28" w:type="dxa"/>
          <w:bottom w:w="28" w:type="dxa"/>
          <w:right w:w="28" w:type="dxa"/>
        </w:tblCellMar>
      </w:tblPr>
      <w:tblGrid>
        <w:gridCol w:w="1032"/>
        <w:gridCol w:w="908"/>
        <w:gridCol w:w="912"/>
        <w:gridCol w:w="211"/>
        <w:gridCol w:w="721"/>
        <w:gridCol w:w="109"/>
        <w:gridCol w:w="109"/>
        <w:gridCol w:w="109"/>
        <w:gridCol w:w="109"/>
        <w:gridCol w:w="421"/>
        <w:gridCol w:w="1478"/>
        <w:gridCol w:w="221"/>
        <w:gridCol w:w="109"/>
        <w:gridCol w:w="109"/>
        <w:gridCol w:w="109"/>
        <w:gridCol w:w="211"/>
        <w:gridCol w:w="721"/>
        <w:gridCol w:w="109"/>
        <w:gridCol w:w="109"/>
        <w:gridCol w:w="109"/>
        <w:gridCol w:w="109"/>
        <w:gridCol w:w="413"/>
        <w:gridCol w:w="1447"/>
        <w:gridCol w:w="310"/>
      </w:tblGrid>
      <w:tr>
        <w:trPr/>
        <w:tc>
          <w:tcPr>
            <w:tcW w:w="10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2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2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r>
      <w:tr>
        <w:trPr/>
        <w:tc>
          <w:tcPr>
            <w:tcW w:w="28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Dudley-Ridge water rights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Nickel water rights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Tulare Lake Basin water rights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(15,406)</w:t>
            </w:r>
          </w:p>
        </w:tc>
        <w:tc>
          <w:tcPr>
            <w:tcW w:w="2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cost of purchased water contracts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water held for future use</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investments in water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0" w:type="dxa"/>
            <w:gridSpan w:val="3"/>
            <w:tcBorders/>
            <w:shd w:fill="auto" w:val="clear"/>
            <w:vAlign w:val="center"/>
          </w:tcPr>
          <w:p>
            <w:pPr>
              <w:pStyle w:val="TableContents"/>
              <w:spacing w:before="0" w:after="283"/>
              <w:rPr>
                <w:sz w:val="4"/>
                <w:szCs w:val="4"/>
              </w:rPr>
            </w:pPr>
            <w:r>
              <w:rPr>
                <w:sz w:val="4"/>
                <w:szCs w:val="4"/>
              </w:rPr>
            </w:r>
          </w:p>
        </w:tc>
      </w:tr>
      <w:tr>
        <w:trPr/>
        <w:tc>
          <w:tcPr>
            <w:tcW w:w="28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0" w:type="dxa"/>
            <w:gridSpan w:val="3"/>
            <w:tcBorders/>
            <w:shd w:fill="auto" w:val="clear"/>
            <w:vAlign w:val="center"/>
          </w:tcPr>
          <w:p>
            <w:pPr>
              <w:pStyle w:val="TableContents"/>
              <w:spacing w:before="0" w:after="283"/>
              <w:rPr>
                <w:sz w:val="4"/>
                <w:szCs w:val="4"/>
              </w:rPr>
            </w:pPr>
            <w:r>
              <w:rPr>
                <w:sz w:val="4"/>
                <w:szCs w:val="4"/>
              </w:rPr>
            </w:r>
          </w:p>
        </w:tc>
      </w:tr>
      <w:tr>
        <w:trPr/>
        <w:tc>
          <w:tcPr>
            <w:tcW w:w="28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Water contracts with the Wheeler Ridge Maricopa Water Storage District, or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tbl>
      <w:tblPr>
        <w:tblW w:w="8470" w:type="dxa"/>
        <w:jc w:val="center"/>
        <w:tblInd w:w="0" w:type="dxa"/>
        <w:tblCellMar>
          <w:top w:w="28" w:type="dxa"/>
          <w:left w:w="28" w:type="dxa"/>
          <w:bottom w:w="28" w:type="dxa"/>
          <w:right w:w="28" w:type="dxa"/>
        </w:tblCellMar>
      </w:tblPr>
      <w:tblGrid>
        <w:gridCol w:w="1821"/>
        <w:gridCol w:w="1596"/>
        <w:gridCol w:w="1608"/>
        <w:gridCol w:w="464"/>
        <w:gridCol w:w="464"/>
        <w:gridCol w:w="466"/>
        <w:gridCol w:w="109"/>
        <w:gridCol w:w="109"/>
        <w:gridCol w:w="109"/>
        <w:gridCol w:w="504"/>
        <w:gridCol w:w="504"/>
        <w:gridCol w:w="716"/>
      </w:tblGrid>
      <w:tr>
        <w:trPr/>
        <w:tc>
          <w:tcPr>
            <w:tcW w:w="1821"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acre-feet, unaudited)</w:t>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held for future use</w:t>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TCWD - Banked water owned by the Company</w:t>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53,726 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52,554 </w:t>
            </w:r>
          </w:p>
        </w:tc>
        <w:tc>
          <w:tcPr>
            <w:tcW w:w="7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water bank</w:t>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50,349 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50,349 </w:t>
            </w:r>
          </w:p>
        </w:tc>
        <w:tc>
          <w:tcPr>
            <w:tcW w:w="7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Transferable water</w:t>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7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held for future use</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113,218 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105,451 </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 contracts</w:t>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Contracts (Dudley-Ridge, Nickel and Tulare)</w:t>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10,137 </w:t>
            </w:r>
          </w:p>
        </w:tc>
        <w:tc>
          <w:tcPr>
            <w:tcW w:w="7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WRMWSD - Contracts with the Company</w:t>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15,547 </w:t>
            </w:r>
          </w:p>
        </w:tc>
        <w:tc>
          <w:tcPr>
            <w:tcW w:w="7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TCWD - Contracts with the Company</w:t>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7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purchased water contracts</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31,433 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31,433 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held for future use and purchased water contracts</w:t>
            </w:r>
          </w:p>
        </w:tc>
        <w:tc>
          <w:tcPr>
            <w:tcW w:w="9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144,651 </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136,884 </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from January 1, 2017 through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2023 is $1,261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6.     ACCRUED LIABILITIES AND OTHER</w:t>
      </w:r>
    </w:p>
    <w:p>
      <w:pPr>
        <w:pStyle w:val="TextBody"/>
        <w:spacing w:lineRule="auto" w:line="288" w:before="120" w:after="60"/>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consisted of the following:</w:t>
      </w:r>
    </w:p>
    <w:tbl>
      <w:tblPr>
        <w:tblW w:w="5860" w:type="dxa"/>
        <w:jc w:val="center"/>
        <w:tblInd w:w="0" w:type="dxa"/>
        <w:tblCellMar>
          <w:top w:w="28" w:type="dxa"/>
          <w:left w:w="28" w:type="dxa"/>
          <w:bottom w:w="28" w:type="dxa"/>
          <w:right w:w="28" w:type="dxa"/>
        </w:tblCellMar>
      </w:tblPr>
      <w:tblGrid>
        <w:gridCol w:w="874"/>
        <w:gridCol w:w="767"/>
        <w:gridCol w:w="774"/>
        <w:gridCol w:w="314"/>
        <w:gridCol w:w="918"/>
        <w:gridCol w:w="162"/>
        <w:gridCol w:w="109"/>
        <w:gridCol w:w="109"/>
        <w:gridCol w:w="109"/>
        <w:gridCol w:w="371"/>
        <w:gridCol w:w="1083"/>
        <w:gridCol w:w="270"/>
      </w:tblGrid>
      <w:tr>
        <w:trPr/>
        <w:tc>
          <w:tcPr>
            <w:tcW w:w="87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paid personal leave</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 payable</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3445" w:type="dxa"/>
            <w:gridSpan w:val="9"/>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7.     LINE OF CREDIT AND LONG-TERM 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consisted of the following: </w:t>
      </w:r>
    </w:p>
    <w:tbl>
      <w:tblPr>
        <w:tblW w:w="8364" w:type="dxa"/>
        <w:jc w:val="center"/>
        <w:tblInd w:w="0" w:type="dxa"/>
        <w:tblCellMar>
          <w:top w:w="28" w:type="dxa"/>
          <w:left w:w="28" w:type="dxa"/>
          <w:bottom w:w="28" w:type="dxa"/>
          <w:right w:w="28" w:type="dxa"/>
        </w:tblCellMar>
      </w:tblPr>
      <w:tblGrid>
        <w:gridCol w:w="1779"/>
        <w:gridCol w:w="1565"/>
        <w:gridCol w:w="1575"/>
        <w:gridCol w:w="282"/>
        <w:gridCol w:w="966"/>
        <w:gridCol w:w="146"/>
        <w:gridCol w:w="109"/>
        <w:gridCol w:w="109"/>
        <w:gridCol w:w="109"/>
        <w:gridCol w:w="335"/>
        <w:gridCol w:w="1145"/>
        <w:gridCol w:w="244"/>
      </w:tblGrid>
      <w:tr>
        <w:trPr/>
        <w:tc>
          <w:tcPr>
            <w:tcW w:w="1779"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line-of-credit and current maturities of long-term debt</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loan costs</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48,161 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June 30, 2022, the Company entered into a variable rate term note, or New Term Note, and a new Revolving Line of Credit Note, or New RLC, with Bank of America, N.A, or collectively the New Credit Facility. The New Term Note provided a principal amount of $49,080,000 and a maturity date of June 30, 2032, which was used to pay off the existing Wells Fargo Amended Term Note. The Company evaluated the debt exchange under ASC 470 and determined that the exchange should be treated as a debt extinguishment. The amount available from the New RLC under the New Credit Facility is $40,607,000.</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Term Note had a $48,092,000 balance as of March 31, 2023.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30, 2032. The New Credit Facility is secured by the Company's farmland and farm assets, which include equipment, crops and crop receivables; the PEF power plant lease and lease site; and related accounts and other rights to payment and inventory.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RLC had no outstanding balance as of March 31, 2023. At the Company’s option, the interest rate on this line of credit can float at a rate equal to Daily SOFR plus 1.37% or can be fixed at a rate equal to Term SOFR plus 1.37% above Term SOFR for interest periods elected by the Company. During the term of this RLC (which matures on June 30, 2027), the Company can borrow at any time and partially or wholly repay any outstanding borrowings and then re-borrow, as necessary.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also has a $4,750,000 promissory note agreement whose principal and interest due monthly began October 1, 2013. The promissory note is secured by four commercial properties at TRCC-West that are leased by fast casual restaurant operators. The interest rate on this promissory note is 4.25% per annum, with principal and interest payments ending on September 1, 2028. The balance as of March 31, 2023 was $1,627,000.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8.     OTHER LIABILITIES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w:t>
      </w:r>
    </w:p>
    <w:tbl>
      <w:tblPr>
        <w:tblW w:w="8649" w:type="dxa"/>
        <w:jc w:val="center"/>
        <w:tblInd w:w="0" w:type="dxa"/>
        <w:tblCellMar>
          <w:top w:w="28" w:type="dxa"/>
          <w:left w:w="28" w:type="dxa"/>
          <w:bottom w:w="28" w:type="dxa"/>
          <w:right w:w="28" w:type="dxa"/>
        </w:tblCellMar>
      </w:tblPr>
      <w:tblGrid>
        <w:gridCol w:w="1882"/>
        <w:gridCol w:w="1655"/>
        <w:gridCol w:w="1667"/>
        <w:gridCol w:w="282"/>
        <w:gridCol w:w="966"/>
        <w:gridCol w:w="146"/>
        <w:gridCol w:w="109"/>
        <w:gridCol w:w="109"/>
        <w:gridCol w:w="109"/>
        <w:gridCol w:w="335"/>
        <w:gridCol w:w="1145"/>
        <w:gridCol w:w="244"/>
      </w:tblGrid>
      <w:tr>
        <w:trPr/>
        <w:tc>
          <w:tcPr>
            <w:tcW w:w="1882"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(See Note 13)</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executive retirement plan liability (See Note 13)</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joint venture distributions and other</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3445" w:type="dxa"/>
            <w:gridSpan w:val="9"/>
            <w:tcBorders/>
            <w:shd w:fill="auto" w:val="clea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captions presented in the table above, please refer to the respective Notes to Unaudited Consolidated Financial Statements for further detail.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9.     STOCK COMPENSATION - RESTRICTED STOCK AND PERFORMANCE SHARE GRANTS</w:t>
      </w:r>
    </w:p>
    <w:p>
      <w:pPr>
        <w:pStyle w:val="TextBody"/>
        <w:spacing w:lineRule="auto" w:line="288" w:before="100" w:after="283"/>
        <w:rPr/>
      </w:pPr>
      <w:r>
        <w:rPr>
          <w:rFonts w:ascii="Times New Roman;sans-serif" w:hAnsi="Times New Roman;sans-serif"/>
          <w:b w:val="false"/>
          <w:color w:val="000000"/>
          <w:sz w:val="20"/>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share price, or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fair value for market-based awards is determined using a </w:t>
      </w:r>
      <w:r>
        <w:rPr>
          <w:rFonts w:ascii="Times New Roman;sans-serif" w:hAnsi="Times New Roman;sans-serif"/>
          <w:b w:val="false"/>
          <w:i/>
          <w:color w:val="000000"/>
          <w:sz w:val="20"/>
        </w:rPr>
        <w:t xml:space="preserve">Monte Carlo </w:t>
      </w:r>
      <w:r>
        <w:rPr>
          <w:rFonts w:ascii="Times New Roman;sans-serif" w:hAnsi="Times New Roman;sans-serif"/>
          <w:b w:val="false"/>
          <w:color w:val="000000"/>
          <w:sz w:val="20"/>
        </w:rPr>
        <w:t xml:space="preserve">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 </w:t>
      </w:r>
    </w:p>
    <w:p>
      <w:pPr>
        <w:pStyle w:val="TextBody"/>
        <w:spacing w:before="100" w:after="283"/>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Performance Condition Grants outstanding as of the three months ended March 31, 2023:</w:t>
      </w:r>
    </w:p>
    <w:tbl>
      <w:tblPr>
        <w:tblW w:w="3626" w:type="dxa"/>
        <w:jc w:val="center"/>
        <w:tblInd w:w="0" w:type="dxa"/>
        <w:tblCellMar>
          <w:top w:w="28" w:type="dxa"/>
          <w:left w:w="28" w:type="dxa"/>
          <w:bottom w:w="28" w:type="dxa"/>
          <w:right w:w="28" w:type="dxa"/>
        </w:tblCellMar>
      </w:tblPr>
      <w:tblGrid>
        <w:gridCol w:w="728"/>
        <w:gridCol w:w="641"/>
        <w:gridCol w:w="641"/>
        <w:gridCol w:w="636"/>
        <w:gridCol w:w="412"/>
        <w:gridCol w:w="414"/>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6"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Condition Grants </w:t>
            </w:r>
          </w:p>
        </w:tc>
        <w:tc>
          <w:tcPr>
            <w:tcW w:w="980" w:type="dxa"/>
            <w:gridSpan w:val="3"/>
            <w:tcBorders/>
            <w:shd w:fill="auto" w:val="clea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performance</w:t>
            </w:r>
          </w:p>
        </w:tc>
        <w:tc>
          <w:tcPr>
            <w:tcW w:w="636" w:type="dxa"/>
            <w:tcBorders/>
            <w:shd w:fill="auto" w:val="cle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performance</w:t>
            </w:r>
          </w:p>
        </w:tc>
        <w:tc>
          <w:tcPr>
            <w:tcW w:w="636"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stock grant activity, both time and performance share grants, assuming target achievement for outstanding performance grants for the three months ended March 31, 2023:</w:t>
      </w:r>
    </w:p>
    <w:tbl>
      <w:tblPr>
        <w:tblW w:w="8002" w:type="dxa"/>
        <w:jc w:val="center"/>
        <w:tblInd w:w="0" w:type="dxa"/>
        <w:tblCellMar>
          <w:top w:w="28" w:type="dxa"/>
          <w:left w:w="28" w:type="dxa"/>
          <w:bottom w:w="28" w:type="dxa"/>
          <w:right w:w="28" w:type="dxa"/>
        </w:tblCellMar>
      </w:tblPr>
      <w:tblGrid>
        <w:gridCol w:w="2298"/>
        <w:gridCol w:w="2018"/>
        <w:gridCol w:w="2029"/>
        <w:gridCol w:w="464"/>
        <w:gridCol w:w="464"/>
        <w:gridCol w:w="466"/>
        <w:gridCol w:w="109"/>
        <w:gridCol w:w="154"/>
      </w:tblGrid>
      <w:tr>
        <w:trPr/>
        <w:tc>
          <w:tcPr>
            <w:tcW w:w="2298"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Outstanding Beginning of Period at Target Achievement</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234,899 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Stock Grants/Additional Shares due to Achievement in Excess of Target</w:t>
            </w:r>
          </w:p>
        </w:tc>
        <w:tc>
          <w:tcPr>
            <w:tcW w:w="9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30,318 </w:t>
            </w:r>
          </w:p>
        </w:tc>
        <w:tc>
          <w:tcPr>
            <w:tcW w:w="4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Grants</w:t>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(169,621)</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Outstanding End of Period at Target Achievement</w:t>
            </w:r>
          </w:p>
        </w:tc>
        <w:tc>
          <w:tcPr>
            <w:tcW w:w="9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95,596 </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Thus far in 2023 no new stock grants have been awarded.</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assumptions used to determine the fair value for the Company’s outstanding market-based Performance Condition Grants as of March 31, 2023:</w:t>
      </w:r>
    </w:p>
    <w:tbl>
      <w:tblPr>
        <w:tblW w:w="10205" w:type="dxa"/>
        <w:jc w:val="center"/>
        <w:tblInd w:w="0" w:type="dxa"/>
        <w:tblCellMar>
          <w:top w:w="28" w:type="dxa"/>
          <w:left w:w="28" w:type="dxa"/>
          <w:bottom w:w="28" w:type="dxa"/>
          <w:right w:w="28" w:type="dxa"/>
        </w:tblCellMar>
      </w:tblPr>
      <w:tblGrid>
        <w:gridCol w:w="1104"/>
        <w:gridCol w:w="972"/>
        <w:gridCol w:w="978"/>
        <w:gridCol w:w="109"/>
        <w:gridCol w:w="109"/>
        <w:gridCol w:w="109"/>
        <w:gridCol w:w="109"/>
        <w:gridCol w:w="109"/>
        <w:gridCol w:w="109"/>
        <w:gridCol w:w="351"/>
        <w:gridCol w:w="337"/>
        <w:gridCol w:w="339"/>
        <w:gridCol w:w="109"/>
        <w:gridCol w:w="109"/>
        <w:gridCol w:w="109"/>
        <w:gridCol w:w="351"/>
        <w:gridCol w:w="337"/>
        <w:gridCol w:w="339"/>
        <w:gridCol w:w="109"/>
        <w:gridCol w:w="109"/>
        <w:gridCol w:w="109"/>
        <w:gridCol w:w="351"/>
        <w:gridCol w:w="337"/>
        <w:gridCol w:w="339"/>
        <w:gridCol w:w="109"/>
        <w:gridCol w:w="109"/>
        <w:gridCol w:w="109"/>
        <w:gridCol w:w="351"/>
        <w:gridCol w:w="337"/>
        <w:gridCol w:w="339"/>
        <w:gridCol w:w="109"/>
        <w:gridCol w:w="109"/>
        <w:gridCol w:w="109"/>
        <w:gridCol w:w="323"/>
        <w:gridCol w:w="309"/>
        <w:gridCol w:w="449"/>
      </w:tblGrid>
      <w:tr>
        <w:trPr/>
        <w:tc>
          <w:tcPr>
            <w:tcW w:w="110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r>
      <w:tr>
        <w:trPr/>
        <w:tc>
          <w:tcPr>
            <w:tcW w:w="3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for share prices)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12/16/2021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03/17/2022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12/14/2022</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03/18/2024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12/16/2024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03/17/2025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12/14/2025</w:t>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share price to achieve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$21.99</w:t>
            </w:r>
          </w:p>
        </w:tc>
      </w:tr>
      <w:tr>
        <w:trPr/>
        <w:tc>
          <w:tcPr>
            <w:tcW w:w="3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32.14%</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3.84%</w:t>
            </w:r>
          </w:p>
        </w:tc>
      </w:tr>
      <w:tr>
        <w:trPr/>
        <w:tc>
          <w:tcPr>
            <w:tcW w:w="3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per share at grant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w:t>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4,613</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award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unamortized cost associated with unvested stock grants and the weighted average period over which it is expected to be recognized as of March 31, 2023 were $1,067,000 and 18 months, respectively. The fair value of restricted stock with time-based vesting features is based upon the Company’s share price on the date of grant and is expensed over the service period. The fair value of Performance Milestone Grants that cliff vest based on the achievement of performance conditions is based on the share price of the Company’s stock on the day of grant multiplied by the number of shares probable to vest based on the estimated achievement of specific performance measures.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Non-Employee Director Stock Incentive Plan, or NDSI Plan, each non-employee director receives a portion of his or her annual compensation in stock. The stock is granted at the end of each quarter based on the quarter-end stock price.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compensation costs for the Company's 1998 Stock Incentive Plan, or the Employee Plan, and NDSI Plan for the following periods:</w:t>
      </w:r>
    </w:p>
    <w:tbl>
      <w:tblPr>
        <w:tblW w:w="5517" w:type="dxa"/>
        <w:jc w:val="center"/>
        <w:tblInd w:w="0" w:type="dxa"/>
        <w:tblCellMar>
          <w:top w:w="28" w:type="dxa"/>
          <w:left w:w="28" w:type="dxa"/>
          <w:bottom w:w="28" w:type="dxa"/>
          <w:right w:w="28" w:type="dxa"/>
        </w:tblCellMar>
      </w:tblPr>
      <w:tblGrid>
        <w:gridCol w:w="1009"/>
        <w:gridCol w:w="887"/>
        <w:gridCol w:w="893"/>
        <w:gridCol w:w="275"/>
        <w:gridCol w:w="607"/>
        <w:gridCol w:w="142"/>
        <w:gridCol w:w="142"/>
        <w:gridCol w:w="142"/>
        <w:gridCol w:w="142"/>
        <w:gridCol w:w="275"/>
        <w:gridCol w:w="803"/>
        <w:gridCol w:w="200"/>
      </w:tblGrid>
      <w:tr>
        <w:trPr/>
        <w:tc>
          <w:tcPr>
            <w:tcW w:w="100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7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Plan:</w:t>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Expensed</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Capitalized</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NDSI Plan - Expensed</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Costs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10.     INTEREST RATE SWAP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June 30, 2022, the Company entered into a variable rate term note, or New Term Note, with Bank of America, N.A. On the same day, the Company entered into a new interest rate swap agreement to reduce its exposure to fluctuations in the floating interest rate tied to SOFR under the New Term Note. Per ASC 815, an entity may apply the shortcut method to hedging relationships that meet all of the conditions under ASC 815. The Company performed an initial assessment of the hedging relationship and determined it is appropriate to apply the shortcut method as all conditions were met. The new interest rate swap qualified as an effective cash flow hedge under the guidance of ASC 815. Applying the shortcut method allows the Company to assume that it has a perfectly effective hedging relationship, therefore there is no need for the Company to perform any quantitative assessments of whether the hedge is highly effective.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fair value of the interest rate swap agreement was greater than its cost basis and as such the mark-to-market adjustment is recorded within Other Assets on the Consolidated Balance Sheets. The Company had the following outstanding interest rate swap agreement designated as an interest rate cash flow hedge as of March 31, 2023 and December 31, 2022 ($ in thousands):</w:t>
      </w:r>
    </w:p>
    <w:tbl>
      <w:tblPr>
        <w:tblW w:w="10205" w:type="dxa"/>
        <w:jc w:val="center"/>
        <w:tblInd w:w="0" w:type="dxa"/>
        <w:tblCellMar>
          <w:top w:w="28" w:type="dxa"/>
          <w:left w:w="28" w:type="dxa"/>
          <w:bottom w:w="28" w:type="dxa"/>
          <w:right w:w="28" w:type="dxa"/>
        </w:tblCellMar>
      </w:tblPr>
      <w:tblGrid>
        <w:gridCol w:w="421"/>
        <w:gridCol w:w="369"/>
        <w:gridCol w:w="372"/>
        <w:gridCol w:w="109"/>
        <w:gridCol w:w="109"/>
        <w:gridCol w:w="109"/>
        <w:gridCol w:w="376"/>
        <w:gridCol w:w="376"/>
        <w:gridCol w:w="378"/>
        <w:gridCol w:w="109"/>
        <w:gridCol w:w="109"/>
        <w:gridCol w:w="109"/>
        <w:gridCol w:w="515"/>
        <w:gridCol w:w="515"/>
        <w:gridCol w:w="517"/>
        <w:gridCol w:w="109"/>
        <w:gridCol w:w="109"/>
        <w:gridCol w:w="109"/>
        <w:gridCol w:w="819"/>
        <w:gridCol w:w="819"/>
        <w:gridCol w:w="821"/>
        <w:gridCol w:w="109"/>
        <w:gridCol w:w="109"/>
        <w:gridCol w:w="109"/>
        <w:gridCol w:w="282"/>
        <w:gridCol w:w="282"/>
        <w:gridCol w:w="283"/>
        <w:gridCol w:w="109"/>
        <w:gridCol w:w="109"/>
        <w:gridCol w:w="109"/>
        <w:gridCol w:w="415"/>
        <w:gridCol w:w="415"/>
        <w:gridCol w:w="595"/>
      </w:tblGrid>
      <w:tr>
        <w:trPr/>
        <w:tc>
          <w:tcPr>
            <w:tcW w:w="42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Effective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Hierarchy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Pay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Notional Amount </w:t>
            </w:r>
          </w:p>
        </w:tc>
      </w:tr>
      <w:tr>
        <w:trPr/>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$48,092</w:t>
            </w:r>
          </w:p>
        </w:tc>
      </w:tr>
    </w:tbl>
    <w:tbl>
      <w:tblPr>
        <w:tblW w:w="10205" w:type="dxa"/>
        <w:jc w:val="center"/>
        <w:tblInd w:w="0" w:type="dxa"/>
        <w:tblCellMar>
          <w:top w:w="28" w:type="dxa"/>
          <w:left w:w="28" w:type="dxa"/>
          <w:bottom w:w="28" w:type="dxa"/>
          <w:right w:w="28" w:type="dxa"/>
        </w:tblCellMar>
      </w:tblPr>
      <w:tblGrid>
        <w:gridCol w:w="421"/>
        <w:gridCol w:w="369"/>
        <w:gridCol w:w="372"/>
        <w:gridCol w:w="109"/>
        <w:gridCol w:w="109"/>
        <w:gridCol w:w="109"/>
        <w:gridCol w:w="377"/>
        <w:gridCol w:w="377"/>
        <w:gridCol w:w="378"/>
        <w:gridCol w:w="109"/>
        <w:gridCol w:w="109"/>
        <w:gridCol w:w="109"/>
        <w:gridCol w:w="515"/>
        <w:gridCol w:w="515"/>
        <w:gridCol w:w="517"/>
        <w:gridCol w:w="109"/>
        <w:gridCol w:w="109"/>
        <w:gridCol w:w="109"/>
        <w:gridCol w:w="820"/>
        <w:gridCol w:w="820"/>
        <w:gridCol w:w="822"/>
        <w:gridCol w:w="109"/>
        <w:gridCol w:w="109"/>
        <w:gridCol w:w="109"/>
        <w:gridCol w:w="306"/>
        <w:gridCol w:w="282"/>
        <w:gridCol w:w="284"/>
        <w:gridCol w:w="109"/>
        <w:gridCol w:w="109"/>
        <w:gridCol w:w="109"/>
        <w:gridCol w:w="406"/>
        <w:gridCol w:w="406"/>
        <w:gridCol w:w="583"/>
      </w:tblGrid>
      <w:tr>
        <w:trPr/>
        <w:tc>
          <w:tcPr>
            <w:tcW w:w="42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Effective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Hierarchy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Pay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r>
      <w:tr>
        <w:trPr/>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$48,462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as of March 31, 2023 has been calculated by applying an estimate of the annual effective tax rate for the full year to “ordinary” income or loss (pre-tax income or loss excluding unusual or infrequently occurring discrete items). For the three months ended March 31, 2023, the Company’s income tax expense was $1,013,000 compared to $3,046,000 for the three months ended March 31, 2022. Effective tax rates were 36% and 41% for the three months ended March 31, 2023 and 2022, respectively. As of March 31, 2023, the Company had income tax payables of $482,000. The Company classifies interest and penalties incurred on tax payments as income tax expense.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Company’s effective tax rate was above statutory tax rates as a result of permanent differences related to Section 162(m) limitations. The Section 162(m) compensation deduction limitations occurred as a result of changes in tax law arising from the 2017 Tax Cuts and Jobs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Water Contracts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secured water contracts that are encumbered by the Company's land. These water contracts require minimum annual payments, for which $13,480,000 is expected to be paid in 2023.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$269,079,000 as of March 31, 2023.</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March 31, 2023, the net savings resulting from exiting the contract during this future time period will more than offset the incentive payment costs.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Community Facilities Districts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$60,000.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March 31, 2023, there were no additional improvement funds remaining from the West CFD bonds. There are $9,763,557 of additional improvement funds remaining within the East CFD bonds for reimbursement of public infrastructure costs during future years. During fiscal 2023, the Company expects to pay approximately $2,816,000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March 31, 2023.</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Centennial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April 30, 2019, the Los Angeles County Board of Supervisors granted final entitlement approval for the Centennial project. On May 15, 2019, Climate Resolve filed an action in Los Angeles Superior Court (the Climate Resolve Action), pursuant to the California Environmental Quality Act, or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Center for Biological Diversity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30, 2021, the Company together with Ranchcorp and Centennial, entered into a Settlement Agreement with Climate Resolve. Pursuant to the Settlement Agreement, the Company has agreed: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Los Angeles County Superior Court. On December 3, 2021, the Los Angeles Superior Court granted and entered Climate Resolve’s dismissal with prejudice concluding the Climate Resolve Action. On December 1, 2021, the Los Angeles Superior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2022, the Los Angeles County Superior Court heard CBD/CNPS Motion for Reconsideration and issued its decision granting CBD/CNPS prevailing party status in the Climate Resolve Action.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Los Angeles County Superior Court, or the Court, set a tentative hearing date of February 25, 2022 concerning the entry of final judgment and awarding of appropriate remedies. Upon mutual request of the parties and approval by the Court, the February 25, 2022 hearing date was extended to September 7, 2022. On September 7, 2022, the Parties appeared before the Court concerning the entry of final judgment and the setting of appropriate remedies. The Court upon hearing oral argument ordered the parties to continue to meet and confer for an additional 30 days and continued the September 7th hearing to October 7, 2022. On October 3, 2022, the Court issued an order on the Court’s own continuance to further continue the October 7, 2022 hearing to October 21, 2022. Upon mutual request of the Parties and approval by the Court, the Parties extended the October 21, 2022 hearing date to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The Company is considering options to reinstate the project approvals, such as working with Los Angeles County to complete the additional environmental analysis required by the Court’s ruling.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the Company’s options to reinstate the project approvals remain pending, the monetary value of any adverse decision, if any, cannot be estimated at this time.</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Proceedings Incidental to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other proceedings incidental to its business, including actions relating to employee claims, real estate disputes, contractor disputes and grievance hearings before labor regulatory agencies.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13.    RETIREMENT PLANS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2023.</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March 31, 2023 and December 31, 2022, the investment mix was approximately 21% equity, 78% debt, and 1% money market funds. Equity investments consist of a combination of individual equity securities plus value funds, growth funds, large cap funds and international stock funds. The weighted-average discount rate used in determining the periodic pension cost is 5.00% in 2023 and in 2022. The expected long-term rate of return on plan assets is 5.00% for both fiscal 2023 and 2022. The long-term rate of return on Benefit Plan assets is based on the historical returns within the plan and expectations for future returns.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Total pension and retirement earnings for the Benefit Plan was as follows:</w:t>
      </w:r>
    </w:p>
    <w:tbl>
      <w:tblPr>
        <w:tblW w:w="6235" w:type="dxa"/>
        <w:jc w:val="center"/>
        <w:tblInd w:w="0" w:type="dxa"/>
        <w:tblCellMar>
          <w:top w:w="28" w:type="dxa"/>
          <w:left w:w="28" w:type="dxa"/>
          <w:bottom w:w="28" w:type="dxa"/>
          <w:right w:w="28" w:type="dxa"/>
        </w:tblCellMar>
      </w:tblPr>
      <w:tblGrid>
        <w:gridCol w:w="1270"/>
        <w:gridCol w:w="1116"/>
        <w:gridCol w:w="1124"/>
        <w:gridCol w:w="289"/>
        <w:gridCol w:w="742"/>
        <w:gridCol w:w="149"/>
        <w:gridCol w:w="149"/>
        <w:gridCol w:w="149"/>
        <w:gridCol w:w="149"/>
        <w:gridCol w:w="289"/>
        <w:gridCol w:w="598"/>
        <w:gridCol w:w="211"/>
      </w:tblGrid>
      <w:tr>
        <w:trPr/>
        <w:tc>
          <w:tcPr>
            <w:tcW w:w="127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(Cost)/earnings components:</w:t>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180" w:type="dxa"/>
            <w:gridSpan w:val="3"/>
            <w:tcBorders/>
            <w:shd w:fill="auto" w:val="clear"/>
            <w:vAlign w:val="center"/>
          </w:tcPr>
          <w:p>
            <w:pPr>
              <w:pStyle w:val="TableContents"/>
              <w:spacing w:before="0" w:after="283"/>
              <w:rPr>
                <w:sz w:val="4"/>
                <w:szCs w:val="4"/>
              </w:rPr>
            </w:pPr>
            <w:r>
              <w:rPr>
                <w:sz w:val="4"/>
                <w:szCs w:val="4"/>
              </w:rPr>
            </w:r>
          </w:p>
        </w:tc>
        <w:tc>
          <w:tcPr>
            <w:tcW w:w="44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and deferral</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pension (cost)/earnings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pension and retirement expense for the SERP was as follows: </w:t>
      </w:r>
    </w:p>
    <w:tbl>
      <w:tblPr>
        <w:tblW w:w="5369" w:type="dxa"/>
        <w:jc w:val="center"/>
        <w:tblInd w:w="0" w:type="dxa"/>
        <w:tblCellMar>
          <w:top w:w="28" w:type="dxa"/>
          <w:left w:w="28" w:type="dxa"/>
          <w:bottom w:w="28" w:type="dxa"/>
          <w:right w:w="28" w:type="dxa"/>
        </w:tblCellMar>
      </w:tblPr>
      <w:tblGrid>
        <w:gridCol w:w="955"/>
        <w:gridCol w:w="840"/>
        <w:gridCol w:w="845"/>
        <w:gridCol w:w="305"/>
        <w:gridCol w:w="632"/>
        <w:gridCol w:w="158"/>
        <w:gridCol w:w="158"/>
        <w:gridCol w:w="158"/>
        <w:gridCol w:w="158"/>
        <w:gridCol w:w="305"/>
        <w:gridCol w:w="632"/>
        <w:gridCol w:w="223"/>
      </w:tblGrid>
      <w:tr>
        <w:trPr/>
        <w:tc>
          <w:tcPr>
            <w:tcW w:w="95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components:</w:t>
            </w:r>
          </w:p>
        </w:tc>
        <w:tc>
          <w:tcPr>
            <w:tcW w:w="1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and other</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periodic pension cost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14.    REPORTING SEGMENTS AND RELATED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Real estate - Commercial/Industrial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(Investment in Unconsolidated and Consolidated Joint Ventures) for discussion of unconsolidated joint ventures.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revenues, expenses and operating income from this segment for the periods ended:</w:t>
      </w:r>
    </w:p>
    <w:tbl>
      <w:tblPr>
        <w:tblW w:w="10205" w:type="dxa"/>
        <w:jc w:val="left"/>
        <w:tblInd w:w="0" w:type="dxa"/>
        <w:tblCellMar>
          <w:top w:w="28" w:type="dxa"/>
          <w:left w:w="28" w:type="dxa"/>
          <w:bottom w:w="28" w:type="dxa"/>
          <w:right w:w="28" w:type="dxa"/>
        </w:tblCellMar>
      </w:tblPr>
      <w:tblGrid>
        <w:gridCol w:w="2560"/>
        <w:gridCol w:w="2242"/>
        <w:gridCol w:w="2254"/>
        <w:gridCol w:w="255"/>
        <w:gridCol w:w="747"/>
        <w:gridCol w:w="132"/>
        <w:gridCol w:w="132"/>
        <w:gridCol w:w="132"/>
        <w:gridCol w:w="132"/>
        <w:gridCol w:w="255"/>
        <w:gridCol w:w="747"/>
        <w:gridCol w:w="132"/>
        <w:gridCol w:w="109"/>
        <w:gridCol w:w="109"/>
        <w:gridCol w:w="109"/>
        <w:gridCol w:w="158"/>
      </w:tblGrid>
      <w:tr>
        <w:trPr/>
        <w:tc>
          <w:tcPr>
            <w:tcW w:w="2560" w:type="dxa"/>
            <w:tcBorders/>
            <w:shd w:fill="auto" w:val="clear"/>
            <w:vAlign w:val="center"/>
          </w:tcPr>
          <w:p>
            <w:pPr>
              <w:pStyle w:val="TableContents"/>
              <w:spacing w:before="0" w:after="283"/>
              <w:rPr>
                <w:sz w:val="4"/>
                <w:szCs w:val="4"/>
              </w:rPr>
            </w:pPr>
            <w:r>
              <w:rPr>
                <w:sz w:val="4"/>
                <w:szCs w:val="4"/>
              </w:rPr>
            </w:r>
          </w:p>
        </w:tc>
        <w:tc>
          <w:tcPr>
            <w:tcW w:w="2242"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0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joint ventures</w:t>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revenues and equity in earnings of unconsolidated joint ventures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expenses</w:t>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results from commercial/industrial and unconsolidated joint ventures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Real Estate - Resort/Residential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$388,000 and $423,000 for the three months ended March 31, 2023 and 2022, respectively.</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Mineral Resources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tbl>
      <w:tblPr>
        <w:tblW w:w="6584" w:type="dxa"/>
        <w:jc w:val="left"/>
        <w:tblInd w:w="0" w:type="dxa"/>
        <w:tblCellMar>
          <w:top w:w="28" w:type="dxa"/>
          <w:left w:w="28" w:type="dxa"/>
          <w:bottom w:w="28" w:type="dxa"/>
          <w:right w:w="28" w:type="dxa"/>
        </w:tblCellMar>
      </w:tblPr>
      <w:tblGrid>
        <w:gridCol w:w="1238"/>
        <w:gridCol w:w="1087"/>
        <w:gridCol w:w="1095"/>
        <w:gridCol w:w="245"/>
        <w:gridCol w:w="718"/>
        <w:gridCol w:w="127"/>
        <w:gridCol w:w="127"/>
        <w:gridCol w:w="127"/>
        <w:gridCol w:w="127"/>
        <w:gridCol w:w="245"/>
        <w:gridCol w:w="840"/>
        <w:gridCol w:w="127"/>
        <w:gridCol w:w="109"/>
        <w:gridCol w:w="109"/>
        <w:gridCol w:w="109"/>
        <w:gridCol w:w="154"/>
      </w:tblGrid>
      <w:tr>
        <w:trPr/>
        <w:tc>
          <w:tcPr>
            <w:tcW w:w="123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 expenses</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results from mineral resources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Farming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Farming segment revenues include the sale of almonds, pistachios, wine grapes, and hay. The following table summarizes revenues, expenses and operating results from this segment for the periods ended:</w:t>
      </w:r>
    </w:p>
    <w:tbl>
      <w:tblPr>
        <w:tblW w:w="5756" w:type="dxa"/>
        <w:jc w:val="left"/>
        <w:tblInd w:w="0" w:type="dxa"/>
        <w:tblCellMar>
          <w:top w:w="28" w:type="dxa"/>
          <w:left w:w="28" w:type="dxa"/>
          <w:bottom w:w="28" w:type="dxa"/>
          <w:right w:w="28" w:type="dxa"/>
        </w:tblCellMar>
      </w:tblPr>
      <w:tblGrid>
        <w:gridCol w:w="939"/>
        <w:gridCol w:w="825"/>
        <w:gridCol w:w="830"/>
        <w:gridCol w:w="249"/>
        <w:gridCol w:w="727"/>
        <w:gridCol w:w="128"/>
        <w:gridCol w:w="128"/>
        <w:gridCol w:w="128"/>
        <w:gridCol w:w="128"/>
        <w:gridCol w:w="249"/>
        <w:gridCol w:w="816"/>
        <w:gridCol w:w="128"/>
        <w:gridCol w:w="109"/>
        <w:gridCol w:w="109"/>
        <w:gridCol w:w="109"/>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 revenues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 expenses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from farming</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Ranch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Ranch Operations segment consists of game management revenues and ancillary land uses such as grazing leases and on-location filming. The following table summarizes revenues, expenses and operating results from this segment for the periods ended:</w:t>
      </w:r>
    </w:p>
    <w:tbl>
      <w:tblPr>
        <w:tblW w:w="6479" w:type="dxa"/>
        <w:jc w:val="left"/>
        <w:tblInd w:w="0" w:type="dxa"/>
        <w:tblCellMar>
          <w:top w:w="28" w:type="dxa"/>
          <w:left w:w="28" w:type="dxa"/>
          <w:bottom w:w="28" w:type="dxa"/>
          <w:right w:w="28" w:type="dxa"/>
        </w:tblCellMar>
      </w:tblPr>
      <w:tblGrid>
        <w:gridCol w:w="1198"/>
        <w:gridCol w:w="1055"/>
        <w:gridCol w:w="1062"/>
        <w:gridCol w:w="257"/>
        <w:gridCol w:w="752"/>
        <w:gridCol w:w="133"/>
        <w:gridCol w:w="133"/>
        <w:gridCol w:w="133"/>
        <w:gridCol w:w="133"/>
        <w:gridCol w:w="257"/>
        <w:gridCol w:w="752"/>
        <w:gridCol w:w="133"/>
        <w:gridCol w:w="109"/>
        <w:gridCol w:w="109"/>
        <w:gridCol w:w="109"/>
        <w:gridCol w:w="154"/>
      </w:tblGrid>
      <w:tr>
        <w:trPr/>
        <w:tc>
          <w:tcPr>
            <w:tcW w:w="119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 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 expenses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from ranch operations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3164" w:type="dxa"/>
            <w:gridSpan w:val="13"/>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15.    INVESTMENT IN UNCONSOLIDATED AND CONSOLIDATED JOINT VENTURES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2023 was $36,291,000. Equity in earnings from unconsolidated joint ventures was $1,517,000 for the three months ended March 31, 2023. The unconsolidated joint ventures have not been consolidated as of March 31, 2023, because the Company does not control the investments. The Company’s current joint ventures are as follows: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$25,004,000 as of March 31, 2023.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Majestic Realty Co. – Majestic Realty Co., or Majestic, is a privately-held developer and owner of master planned business parks in the United States. The Company has five active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On March 29, 2022, TRC-MRC 5 LLC was formed to pursue the development, construction, lease-up, and management of an approximately 446,400 square foot industrial building located within TRCC-East. The construction is financed by a $49,226,000 construction loan that had an outstanding balance of $1,419,000 as of March 31, 2023. The construction loan is individually and collectively guaranteed by the Company and Majestic. In December 2022, the Company contributed land with fair value of $8,501,000 to TRC-MRC5, LLC. The total cost of the land was $2,477,000. The Company recognized profit of $3,012,000 and deferred profit of $3,012,000 after applying the five-step revenue recognition model in accordance with ASC Topic 606 - Revenue From Contracts With Customers and ASC Topic 323, Investments - Equity Method and Joint Ventures. The project is currently under construction and is expected to be completed by the winter of 2023/2024. The joint venture has leased 100% of the rentable space.</w:t>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On March 25, 2021, TRC-MRC 4 LLC was formed to pursue the development, construction, lease-up, and management of a 629,274 square foot industrial building located within TRCC-East. The construction was completed in the fourth quarter of 2022, and the Company has leased 100% of the rentable space. The joint venture refinanced its construction loan in March 2023 with a promissory note. The note matures on March 1, 2033, and had an outstanding balance of $62,400,000 as of March 31, 2023. In 2021, the Company contributed land with a fair value of $8,464,000 to TRC-MRC 4, LLC. The total cost of the land was $2,895,000. The Company recognized profit of $2,785,000 and deferred profit of $2,785,000. Since its inception, the Company has received excess distributions resulting in a deficit balance in its investment of $5,760,000.</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building is 100% leased as of March 31, 2023. In March 2019, the joint venture entered into a promissory note with a financial institution to finance the construction of the building. The note matures on May 1, 2030 and had an outstanding principal balance of $34,281,000 as of March 31, 2023. On April 1, 2019, the Company contributed land with a fair value of $5,854,000 to TRC-MRC 3, LLC in accordance with the limited liability agreement. The Company's investment in this joint venture was $209,000 as of March 31, 2023.</w:t>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 xml:space="preserve">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$22,447,000 as of March 31, 2023. The building is 100% leased as of March 31, 2023. Since its inception, the Company has received excess distributions resulting in a deficit balance in its investment of $2,062,000.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 </w:t>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 xml:space="preserve">In September 2016, TRC-MRC 1, LLC was formed to develop and operate an approximately 480,480 square foot industrial building at TRCC-East. The building is 100% leased as of March 31, 2023. Since its inception, the Company has received excess distributions resulting in a deficit balance in its investment of $1,954,000.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$22,629,000 was outstanding as of March 31, 2023. </w:t>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 xml:space="preserve">In February 2022, we formed TRC-MRC Multi I, LLC, to pursue the development, construction, lease-up, and management of approximately 495 multi-family rental units located within TRCC-East. As of March 31, 2023, the Company controlled the joint venture and has consolidated its assets within the Consolidated Balance Sheet. On January 26, 2023, the Company and Majestic entered into a Membership Interest Purchase Agreement, formalizing the purchase of Majestic's interest in this joint venture for $175,000. The entity was dissolved shortly thereafter. The project is currently undergoing final design and engineering of Phase I of the project. </w:t>
      </w:r>
    </w:p>
    <w:p>
      <w:pPr>
        <w:pStyle w:val="TextBody"/>
        <w:spacing w:lineRule="auto" w:line="288" w:before="100" w:after="120"/>
        <w:ind w:left="0" w:right="0" w:hanging="360"/>
        <w:rPr/>
      </w:pPr>
      <w:r>
        <w:rPr>
          <w:color w:val="000000"/>
        </w:rPr>
        <w:t>•</w:t>
      </w:r>
      <w:r>
        <w:rPr>
          <w:rFonts w:ascii="Times New Roman;sans-serif" w:hAnsi="Times New Roman;sans-serif"/>
          <w:b w:val="false"/>
          <w:color w:val="000000"/>
          <w:sz w:val="20"/>
        </w:rPr>
        <w:t>Rockefeller Joint Ventures – The Company has one joint venture with Rockefeller Group Development Corporation, or Rockefeller. At March 31, 2023, the Company’s equity investment balance in these one joint ventures was $6,835,000.</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TRCC/Rock Outlet Center LLC was formed in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March 31, 2023, the outstanding balance of the term note was $27,432,000. The Company and Rockefeller guarantee the performance of the debt.</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Centennial Founders, LLC – Centennial Founders, LLC, or CFL, is a joint venture with TRI Pointe Homes to pursue the entitlement and development of land that the Company owns in Los Angeles County. As of March 31, 2023, the Company owned 93.32% of CFL.</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Unaudited condensed statement of operations for the three months ended March 31, 2023 and condensed balance sheet information of the Company’s unconsolidated joint ventures as of March 31, 2023 and December 31, 2022 are as follows:</w:t>
      </w:r>
    </w:p>
    <w:tbl>
      <w:tblPr>
        <w:tblW w:w="10205" w:type="dxa"/>
        <w:jc w:val="left"/>
        <w:tblInd w:w="0" w:type="dxa"/>
        <w:tblCellMar>
          <w:top w:w="28" w:type="dxa"/>
          <w:left w:w="28" w:type="dxa"/>
          <w:bottom w:w="28" w:type="dxa"/>
          <w:right w:w="28" w:type="dxa"/>
        </w:tblCellMar>
      </w:tblPr>
      <w:tblGrid>
        <w:gridCol w:w="662"/>
        <w:gridCol w:w="528"/>
        <w:gridCol w:w="532"/>
        <w:gridCol w:w="237"/>
        <w:gridCol w:w="812"/>
        <w:gridCol w:w="122"/>
        <w:gridCol w:w="122"/>
        <w:gridCol w:w="122"/>
        <w:gridCol w:w="122"/>
        <w:gridCol w:w="237"/>
        <w:gridCol w:w="812"/>
        <w:gridCol w:w="122"/>
        <w:gridCol w:w="122"/>
        <w:gridCol w:w="122"/>
        <w:gridCol w:w="122"/>
        <w:gridCol w:w="237"/>
        <w:gridCol w:w="694"/>
        <w:gridCol w:w="122"/>
        <w:gridCol w:w="122"/>
        <w:gridCol w:w="122"/>
        <w:gridCol w:w="122"/>
        <w:gridCol w:w="237"/>
        <w:gridCol w:w="694"/>
        <w:gridCol w:w="122"/>
        <w:gridCol w:w="122"/>
        <w:gridCol w:w="122"/>
        <w:gridCol w:w="122"/>
        <w:gridCol w:w="239"/>
        <w:gridCol w:w="700"/>
        <w:gridCol w:w="123"/>
        <w:gridCol w:w="123"/>
        <w:gridCol w:w="123"/>
        <w:gridCol w:w="123"/>
        <w:gridCol w:w="239"/>
        <w:gridCol w:w="700"/>
        <w:gridCol w:w="201"/>
      </w:tblGrid>
      <w:tr>
        <w:trPr/>
        <w:tc>
          <w:tcPr>
            <w:tcW w:w="66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3"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Joint Venture</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r>
      <w:tr>
        <w:trPr/>
        <w:tc>
          <w:tcPr>
            <w:tcW w:w="17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7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 in Earnings (Loss)</w:t>
            </w:r>
          </w:p>
        </w:tc>
      </w:tr>
      <w:tr>
        <w:trPr/>
        <w:tc>
          <w:tcPr>
            <w:tcW w:w="17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Travel Plaza Holdings, LLC</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TRCC/Rock Outlet Center, LLC</w:t>
            </w:r>
            <w:r>
              <w:rPr>
                <w:rFonts w:ascii="Times New Roman;sans-serif" w:hAnsi="Times New Roman;sans-serif"/>
                <w:b w:val="false"/>
                <w:color w:val="000000"/>
                <w:sz w:val="13"/>
              </w:rPr>
              <w:t>1</w:t>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1, LLC</w:t>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2, LLC</w:t>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3, LLC</w:t>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4, LLC</w:t>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5, LLC</w:t>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17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 Founders, LLC</w:t>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Revenues for TRCC/Rock Outlet Center are presented net of non-cash tenant allowance amortization of $0.3 million and $0.3 million for the three months ended March 31, 2023 and March 31, 2022, respectively.</w:t>
            </w:r>
          </w:p>
        </w:tc>
      </w:tr>
      <w:tr>
        <w:trPr/>
        <w:tc>
          <w:tcPr>
            <w:tcW w:w="1722" w:type="dxa"/>
            <w:gridSpan w:val="3"/>
            <w:tcBorders/>
            <w:shd w:fill="auto" w:val="clear"/>
            <w:vAlign w:val="center"/>
          </w:tcPr>
          <w:p>
            <w:pPr>
              <w:pStyle w:val="TableContents"/>
              <w:spacing w:before="0" w:after="283"/>
              <w:rPr>
                <w:sz w:val="4"/>
                <w:szCs w:val="4"/>
              </w:rPr>
            </w:pPr>
            <w:r>
              <w:rPr>
                <w:sz w:val="4"/>
                <w:szCs w:val="4"/>
              </w:rPr>
            </w:r>
          </w:p>
        </w:tc>
        <w:tc>
          <w:tcPr>
            <w:tcW w:w="8483" w:type="dxa"/>
            <w:gridSpan w:val="33"/>
            <w:tcBorders/>
            <w:shd w:fill="auto" w:val="clear"/>
          </w:tcPr>
          <w:p>
            <w:pPr>
              <w:pStyle w:val="TableContents"/>
              <w:spacing w:before="0" w:after="283"/>
              <w:rPr>
                <w:sz w:val="4"/>
                <w:szCs w:val="4"/>
              </w:rPr>
            </w:pPr>
            <w:r>
              <w:rPr>
                <w:sz w:val="4"/>
                <w:szCs w:val="4"/>
              </w:rPr>
            </w:r>
          </w:p>
        </w:tc>
      </w:tr>
      <w:tr>
        <w:trPr/>
        <w:tc>
          <w:tcPr>
            <w:tcW w:w="1722" w:type="dxa"/>
            <w:gridSpan w:val="3"/>
            <w:tcBorders/>
            <w:shd w:fill="auto" w:val="clear"/>
            <w:vAlign w:val="center"/>
          </w:tcPr>
          <w:p>
            <w:pPr>
              <w:pStyle w:val="TableContents"/>
              <w:spacing w:before="0" w:after="283"/>
              <w:rPr>
                <w:sz w:val="4"/>
                <w:szCs w:val="4"/>
              </w:rPr>
            </w:pPr>
            <w:r>
              <w:rPr>
                <w:sz w:val="4"/>
                <w:szCs w:val="4"/>
              </w:rPr>
            </w:r>
          </w:p>
        </w:tc>
        <w:tc>
          <w:tcPr>
            <w:tcW w:w="8483" w:type="dxa"/>
            <w:gridSpan w:val="33"/>
            <w:tcBorders/>
            <w:shd w:fill="auto" w:val="clea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100" w:after="283"/>
        <w:rPr/>
      </w:pPr>
      <w:r>
        <w:rPr/>
      </w:r>
    </w:p>
    <w:tbl>
      <w:tblPr>
        <w:tblW w:w="10381" w:type="dxa"/>
        <w:jc w:val="center"/>
        <w:tblInd w:w="0" w:type="dxa"/>
        <w:tblCellMar>
          <w:top w:w="28" w:type="dxa"/>
          <w:left w:w="28" w:type="dxa"/>
          <w:bottom w:w="28" w:type="dxa"/>
          <w:right w:w="28" w:type="dxa"/>
        </w:tblCellMar>
      </w:tblPr>
      <w:tblGrid>
        <w:gridCol w:w="417"/>
        <w:gridCol w:w="301"/>
        <w:gridCol w:w="303"/>
        <w:gridCol w:w="211"/>
        <w:gridCol w:w="826"/>
        <w:gridCol w:w="109"/>
        <w:gridCol w:w="211"/>
        <w:gridCol w:w="841"/>
        <w:gridCol w:w="109"/>
        <w:gridCol w:w="211"/>
        <w:gridCol w:w="826"/>
        <w:gridCol w:w="109"/>
        <w:gridCol w:w="211"/>
        <w:gridCol w:w="721"/>
        <w:gridCol w:w="109"/>
        <w:gridCol w:w="109"/>
        <w:gridCol w:w="109"/>
        <w:gridCol w:w="109"/>
        <w:gridCol w:w="211"/>
        <w:gridCol w:w="826"/>
        <w:gridCol w:w="109"/>
        <w:gridCol w:w="211"/>
        <w:gridCol w:w="841"/>
        <w:gridCol w:w="109"/>
        <w:gridCol w:w="211"/>
        <w:gridCol w:w="826"/>
        <w:gridCol w:w="109"/>
        <w:gridCol w:w="211"/>
        <w:gridCol w:w="721"/>
        <w:gridCol w:w="154"/>
      </w:tblGrid>
      <w:tr>
        <w:trPr/>
        <w:tc>
          <w:tcPr>
            <w:tcW w:w="41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Joint Venture</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Joint Venture</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TRC</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 (Deficit)</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 (Deficit)</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Equity</w:t>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Travel Plaza Holdings, LLC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TRCC/Rock Outlet Center, LLC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1, LLC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2, LLC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3, LLC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4, LLC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5, LLC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Centennial Founders, LLC</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381" w:type="dxa"/>
            <w:gridSpan w:val="30"/>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Centennial Founders, LLC is consolidated within the Company's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residential,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Officer/Chief Financial Officer is one of nine directors at WRMWSD. As of March 31, 2023, the Company paid $2,363,000 for these water contracts and related costs.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280" w:after="283"/>
        <w:rPr>
          <w:rFonts w:ascii="Times New Roman;sans-serif" w:hAnsi="Times New Roman;sans-serif"/>
          <w:b/>
          <w:color w:val="006EBF"/>
          <w:sz w:val="20"/>
          <w:u w:val="single"/>
        </w:rPr>
      </w:pPr>
      <w:r>
        <w:rPr>
          <w:rFonts w:ascii="Times New Roman;sans-serif" w:hAnsi="Times New Roman;sans-serif"/>
          <w:b/>
          <w:color w:val="006EBF"/>
          <w:sz w:val="20"/>
          <w:u w:val="single"/>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10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Forward-Looking Statements</w:t>
      </w:r>
    </w:p>
    <w:p>
      <w:pPr>
        <w:pStyle w:val="TextBody"/>
        <w:spacing w:lineRule="auto" w:line="288" w:before="60" w:after="100"/>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OVERVIEW</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Business Objectives and Strategies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include up to 35,278 housing units, and more than 35 million square feet of commercial space. We have obtained entitlements on Mountain Village at Tejon Ranch, or MV, and the first approved final map for the project consisting of 401 residential lots and parcels for hospitality, amenities, and public uses. In 2019, the Kern County Board of Supervisors unanimously reapproved the Grapevine at Tejon Ranch project, or Grapevine. Centennial at Tejon Ranch, or Centennial, had entitlements approved in 2018, and received legislative approvals in 2019 from the Los Angeles County Board of Supervisors. The approvals were litigated in May 2019 and the Company has since worked on addressing the ongoing litigation, including considering all options to address the Court’s January 2022 decision and the Court’s March 22, 2023 judgment. See Note 12 (Commitments and Contingencies) of the Notes to Unaudited Consolidated Financial Statements for additional information regarding the Centennial litigation.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currently executing on value creation as we are engaged in construction, commercial sales, and leasing at our fully operational commercial/industrial center Tejon Ranch Commerce Center, or TRCC. As previously reported, the Company received approval from Kern County allowing for development of multi-family apartment uses within the TRCC, on a 27-acre site located immediately north of the Outlets at Tejon. This authorization allows the Company to develop up to a maximum of 495 multi-family residences, in thirteen apartment buildings, as well as approximately 6,500 square feet of community amenity space and up to 8,000 square feet of community serving retail. All of these efforts are supported by diverse revenue streams generated from other operations including: farming, mineral resources, ranch operations, and our various joint ventures.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Our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currently operate in five reporting segments: commercial/industrial real estate development; resort/residential real estate development; mineral resources; farming; and ranch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the power plant lease and communications leases.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At the heart of the commercial/industrial real estate development segment is TRCC, a 20 million square foot commercial/industrial development on Interstate 5 just north of the Los Angeles basin. Over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also involved in multiple joint ventures within TRCC with several partners that help us expand our commercial/industrial business activities:</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A joint venture with TravelCenters of America that owns and operates two travel and truck stop facilities, comprised of five separate gas stations with convenience stores and fast-food restaurants within TRCC-West and TRCC-East.</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A joint venture with Rockefeller Development Group, or Rockefeller: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TRCC/Rock Outlet Center LLC operates the Outlets at Tejon, a net leasable 326,000 square foot shopping experience in TRCC-East;</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Five joint ventures with Majestic Realty Co., or Majestic, to develop, manage, and operate industrial buildings within TRCC: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TRC-MRC 1, LLC operates a 480,480 square foot industrial building in TRCC-East, which was completed during 2017 and is fully leased;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TRC-MRC 2, LLC owns and operates a 651,909 square foot building in TRCC-West that is fully leased;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TRC-MRC 3, LLC operates a 579,040 square foot industrial building in TRCC-East that is fully leased;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TRC-MRC 4, LLC was formed in 2021 to pursue the development, construction, leasing and management of a 629,274 square foot industrial building in TRCC-East that is fully leased;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TRC-MRC 5 LLC was formed on March 29, 2022, to pursue the development, construction, lease-up, and management of an approximately 446,400 square foot industrial building located within TRCC-East. The project is currently under construction and is expected to be completed by the winter of 2023/2024. The building is also fully leased.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resort/residential real estate development segment is actively involved in the land entitlement and development process internally and through a joint venture. Our active developments within this segment are Mountain Village at Tejon Ranch, or MV, Centennial at Tejon Ranch, or Centennial, and Grapevine at Tejon Ranch, or Grapevine.</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pStyle w:val="TextBody"/>
        <w:spacing w:lineRule="auto" w:line="268" w:before="100" w:after="283"/>
        <w:ind w:left="0" w:right="0" w:hanging="360"/>
        <w:rPr/>
      </w:pPr>
      <w:r>
        <w:rPr>
          <w:color w:val="000000"/>
        </w:rPr>
        <w:t>•</w:t>
      </w:r>
      <w:r>
        <w:rPr>
          <w:rFonts w:ascii="Times New Roman;sans-serif" w:hAnsi="Times New Roman;sans-serif"/>
          <w:b w:val="false"/>
          <w:color w:val="000000"/>
          <w:sz w:val="20"/>
        </w:rPr>
        <w:t xml:space="preserve">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Centennial had entitlements approved in December 2018 and received legislative approvals in April 2019 from the Los Angeles County Board of Supervisors. See Note 12 (Commitments and Contingencies) of the Notes to Unaudited Consolidated Financial Statements for additional information related to current litigation; </w:t>
      </w:r>
    </w:p>
    <w:p>
      <w:pPr>
        <w:pStyle w:val="TextBody"/>
        <w:spacing w:lineRule="auto" w:line="268" w:before="100" w:after="283"/>
        <w:ind w:left="0" w:right="0" w:hanging="360"/>
        <w:rPr/>
      </w:pPr>
      <w:r>
        <w:rPr>
          <w:color w:val="000000"/>
        </w:rPr>
        <w:t>•</w:t>
      </w:r>
      <w:r>
        <w:rPr>
          <w:rFonts w:ascii="Times New Roman;sans-serif" w:hAnsi="Times New Roman;sans-serif"/>
          <w:b w:val="false"/>
          <w:color w:val="000000"/>
          <w:sz w:val="20"/>
        </w:rPr>
        <w:t xml:space="preserve">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and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68" w:before="100" w:after="283"/>
        <w:ind w:left="0" w:right="0" w:hanging="360"/>
        <w:rPr/>
      </w:pPr>
      <w:r>
        <w:rPr>
          <w:color w:val="000000"/>
        </w:rPr>
        <w:t>•</w:t>
      </w:r>
      <w:r>
        <w:rPr>
          <w:rFonts w:ascii="Times New Roman;sans-serif" w:hAnsi="Times New Roman;sans-serif"/>
          <w:b w:val="false"/>
          <w:color w:val="000000"/>
          <w:sz w:val="20"/>
        </w:rPr>
        <w:t>Immediately northeast of Grapevine is Grapevine North, a 7,655-acre development area, which is currently used for agricultural purposes. Identified as a development area in the Tejon Ranch Conservation and Land Use Agreement, or RWA, Grapevine North presents a significant opportunity for future development. Grapevine North may feature mixed use community development similar to Grapevine at Tejon Ranch, or other development uses as appropriate based upon market conditions at the time.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our Annual Report on Form 10-K for the year ended December 31, 2022, for a more detailed description of our active developments within the resort/residential real estate development segment.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mineral resources segment generates revenues from oil and gas royalty leases, rock and aggregate mining leases, a lease with National Cement Company of California Inc., and water sales.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farming segment produces revenues from the sale of wine grapes, almonds, and pistachios.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Lastly, the ranch operations segment consists of game management revenues and ancillary land uses such as grazing leases and filming.</w:t>
      </w:r>
    </w:p>
    <w:p>
      <w:pPr>
        <w:pStyle w:val="TextBody"/>
        <w:spacing w:lineRule="auto" w:line="268" w:before="100" w:after="283"/>
        <w:rPr/>
      </w:pPr>
      <w:r>
        <w:rPr>
          <w:rFonts w:ascii="Times New Roman;sans-serif" w:hAnsi="Times New Roman;sans-serif"/>
          <w:b/>
          <w:color w:val="006EBF"/>
          <w:sz w:val="20"/>
        </w:rPr>
        <w:t>Summary of 2023</w:t>
      </w:r>
      <w:r>
        <w:rPr>
          <w:color w:val="000000"/>
        </w:rPr>
        <w:t xml:space="preserve"> </w:t>
      </w:r>
      <w:r>
        <w:rPr>
          <w:rFonts w:ascii="Times New Roman;sans-serif" w:hAnsi="Times New Roman;sans-serif"/>
          <w:b/>
          <w:color w:val="006EBF"/>
          <w:sz w:val="20"/>
        </w:rPr>
        <w:t>Performance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had net income attributable to common stockholders of $1,774,000 compared to net income of $4,307,000 for the three months ended March 31, 2022. Heavy California winter rainfalls have severely limited water sales opportunities over the comparative period resulting in a $1,965,000 decline in mineral resources operating profits. In addition, in the absence of having a 2023 first quarter land sale, the Company's commercial/industrial real estate segment saw a $3,632,000 decline in operating profits. These declines were offset by an increase in the equity in earnings from unconsolidated joint ventures of $304,000, an increase in ranch operations operating profits of $429,000 as a result of additional filming revenues, and a decline in income taxes of $2,033,000.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6EBF"/>
          <w:sz w:val="20"/>
        </w:rPr>
      </w:pPr>
      <w:r>
        <w:rPr>
          <w:rFonts w:ascii="Times New Roman;sans-serif" w:hAnsi="Times New Roman;sans-serif"/>
          <w:b/>
          <w:color w:val="006EBF"/>
          <w:sz w:val="20"/>
        </w:rPr>
        <w:t>Critical Accounting Estimates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our critical accounting policies have not changed since the filing of our Annual Report on Form 10-K for the year ended December 31, 2022. Please refer to that filing for a description of our critical accounting policies. Please also refer to Note 1 (Basis of Presentation) in the Notes to Unaudited Consolidated Financial Statements in this report for newly adopted accounting principles.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6EBF"/>
          <w:sz w:val="20"/>
        </w:rPr>
      </w:pPr>
      <w:r>
        <w:rPr>
          <w:rFonts w:ascii="Times New Roman;sans-serif" w:hAnsi="Times New Roman;sans-serif"/>
          <w:b/>
          <w:color w:val="006EBF"/>
          <w:sz w:val="20"/>
        </w:rPr>
        <w:t>Results of Operations by Segment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pStyle w:val="TextBody"/>
        <w:spacing w:lineRule="auto" w:line="288" w:before="180" w:after="283"/>
        <w:rPr>
          <w:rFonts w:ascii="Times New Roman;sans-serif" w:hAnsi="Times New Roman;sans-serif"/>
          <w:b/>
          <w:color w:val="006EBF"/>
          <w:sz w:val="20"/>
          <w:u w:val="single"/>
        </w:rPr>
      </w:pPr>
      <w:r>
        <w:rPr>
          <w:rFonts w:ascii="Times New Roman;sans-serif" w:hAnsi="Times New Roman;sans-serif"/>
          <w:b/>
          <w:color w:val="006EBF"/>
          <w:sz w:val="20"/>
          <w:u w:val="single"/>
        </w:rPr>
        <w:t>Real Estate – Commercial/Industrial:</w:t>
      </w:r>
    </w:p>
    <w:tbl>
      <w:tblPr>
        <w:tblW w:w="9028" w:type="dxa"/>
        <w:jc w:val="center"/>
        <w:tblInd w:w="0" w:type="dxa"/>
        <w:tblCellMar>
          <w:top w:w="28" w:type="dxa"/>
          <w:left w:w="28" w:type="dxa"/>
          <w:bottom w:w="28" w:type="dxa"/>
          <w:right w:w="28" w:type="dxa"/>
        </w:tblCellMar>
      </w:tblPr>
      <w:tblGrid>
        <w:gridCol w:w="1383"/>
        <w:gridCol w:w="1217"/>
        <w:gridCol w:w="1224"/>
        <w:gridCol w:w="257"/>
        <w:gridCol w:w="752"/>
        <w:gridCol w:w="133"/>
        <w:gridCol w:w="133"/>
        <w:gridCol w:w="133"/>
        <w:gridCol w:w="133"/>
        <w:gridCol w:w="257"/>
        <w:gridCol w:w="752"/>
        <w:gridCol w:w="133"/>
        <w:gridCol w:w="109"/>
        <w:gridCol w:w="109"/>
        <w:gridCol w:w="109"/>
        <w:gridCol w:w="211"/>
        <w:gridCol w:w="691"/>
        <w:gridCol w:w="109"/>
        <w:gridCol w:w="109"/>
        <w:gridCol w:w="109"/>
        <w:gridCol w:w="109"/>
        <w:gridCol w:w="286"/>
        <w:gridCol w:w="254"/>
        <w:gridCol w:w="316"/>
      </w:tblGrid>
      <w:tr>
        <w:trPr/>
        <w:tc>
          <w:tcPr>
            <w:tcW w:w="1383"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revenues</w:t>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Pastoria Energy Facility</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 Leasing</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 management fees and reimbursements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 leases</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Landscaping and other</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sale</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commercial/industrial revenues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commercial/industrial expenses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from commercial/industrial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center"/>
        <w:rPr/>
      </w:pPr>
      <w:r>
        <w:rPr/>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Commercial/industrial real estate development segment revenues were $2,676,000 for the three months ended March 31, 2023, a decrease of $4,673,000, or 64%, from $7,349,000 for the three months ended March 31, 2022. This was primarily because the Company did not have any land sales during the first quarter of 2023 when compared to the previous year where it had sold a 12.3 acre parcel of land for $4,681,000. </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Commercial/industrial real estate development segment expenses were $1,695,000 for the three months ended March 31, 2023, a decrease of $1,041,000, or 38%, from $2,736,000 for the three months ended March 31, 2022. This decrease is attributed to having no land cost of sales in the absence of a land sale during the first quarter of 2023.</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logistics operators currently located within TRCC have demonstrated success in serving all of California and the western region of the United States, and the Company showcases their success in its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Foreign Trade Zone, or FTZ, designation allows businesses to secure the many benefits and cost reductions associated with streamlined movement of goods in and out of the trade zone. This FTZ designation is further supplemented by the Advance Kern Incentive Program, or AKIP, adopted by the Kern County Board of Supervisors. AKIP is aimed to expand and enhance the County's competitiveness by taking affirmative steps to attract new businesses and to encourage the growth and resilience of existing businesses. AKIP provides incentives such as assistance in obtaining tax incentives, building supporting infrastructure, and workforce development.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within our joint ventures.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Beaumont. As development in the Inland Empire continues to move east and farther away from the ports, the potential disadvantage of our distance from the ports is being mitigated. Strong demand for large distribution facilities is driving development farther east in a search for large, entitled parcels.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vacancy rates in the Inland Empire ticked up 100 basis points to 1.9% and net absorption failed to surpass new supply. However, average asking rents posted a new record-high rate of $1.63 per square foot, a 28% jump from 12 months ago. As lease rates increase in the Inland Empire, we may experience greater pricing advantages due to our lower land basis. The San Fernando Valley and Ventura County industrial markets continue to see tight conditions as vacancy and availability sit well below the historical average of 2.1%. Net absorption posted 179,854 square foot of positive demand despite vacancy climbing 20 basis points to 0.9%. Vacancy increased 10 basis points to 0.6% in the San Fernando Valley and up 10 basis points to 1.3% in Ventura County. Average asking rates continued to climb with a $0.02 bump in the San Fernando Valley and a $0.10 bump in Ventura County.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 The Company's TRC-MRC 5 LLC joint venture with Majestic Realty Co., or Majestic, a Los Angeles-based commercial industrial developer, was formed to pursue the development, construction, lease-up, and management of an approximately 446,400 square foot industrial building located within TRCC-East. Construction began in 2023 with completion expected during the winter of 2023/2024. A lease was secured, in advance of construction, for the entirety of this space by Sunrise Brands, a leading designer, producer, distributor, and retailer of both branded and private-label apparel.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expect our commercial/industrial real estate development segment to continue to experience costs, net of amounts capitalized, primarily related to professional service fees, marketing costs, commissions, planning costs, and staffing costs as we continue to pursue development opportunities. We continue to see the impact of inflation within our construction costs and expect our costs to be impacted by inflation throughout 2023.</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pStyle w:val="TextBody"/>
        <w:spacing w:lineRule="auto" w:line="288" w:before="80" w:after="283"/>
        <w:rPr>
          <w:rFonts w:ascii="Times New Roman;sans-serif" w:hAnsi="Times New Roman;sans-serif"/>
          <w:b/>
          <w:color w:val="006EBF"/>
          <w:sz w:val="20"/>
          <w:u w:val="single"/>
        </w:rPr>
      </w:pPr>
      <w:r>
        <w:rPr>
          <w:rFonts w:ascii="Times New Roman;sans-serif" w:hAnsi="Times New Roman;sans-serif"/>
          <w:b/>
          <w:color w:val="006EBF"/>
          <w:sz w:val="20"/>
          <w:u w:val="single"/>
        </w:rPr>
        <w:t>Real Estate – Resort/Residential: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are in the preliminary stages of property development for this segment; hence, no revenues or profits are attributed to this segment.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Resort/residential real estate development segment expenses were $388,000 for the three months ended March 31, 2023, a decrease of $35,000, or 8%, from $423,000 for the three months ended March 31, 2022. The decrease is namely attributed to a small decrease in professional service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Most of the expenditures and capital investment to be incurred within our resort/residential real estate segment are expected to continue to focus on the mixed use master planned communities of Centennial, Grapevine, and Mountain Village.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we move forward with our master planned communities,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6EBF"/>
          <w:sz w:val="20"/>
          <w:u w:val="single"/>
        </w:rPr>
      </w:pPr>
      <w:r>
        <w:rPr>
          <w:rFonts w:ascii="Times New Roman;sans-serif" w:hAnsi="Times New Roman;sans-serif"/>
          <w:b/>
          <w:color w:val="006EBF"/>
          <w:sz w:val="20"/>
          <w:u w:val="single"/>
        </w:rPr>
        <w:t>Mineral Resources:</w:t>
      </w:r>
    </w:p>
    <w:tbl>
      <w:tblPr>
        <w:tblW w:w="8550" w:type="dxa"/>
        <w:jc w:val="center"/>
        <w:tblInd w:w="0" w:type="dxa"/>
        <w:tblCellMar>
          <w:top w:w="28" w:type="dxa"/>
          <w:left w:w="28" w:type="dxa"/>
          <w:bottom w:w="28" w:type="dxa"/>
          <w:right w:w="28" w:type="dxa"/>
        </w:tblCellMar>
      </w:tblPr>
      <w:tblGrid>
        <w:gridCol w:w="1249"/>
        <w:gridCol w:w="1097"/>
        <w:gridCol w:w="1104"/>
        <w:gridCol w:w="245"/>
        <w:gridCol w:w="718"/>
        <w:gridCol w:w="127"/>
        <w:gridCol w:w="127"/>
        <w:gridCol w:w="127"/>
        <w:gridCol w:w="127"/>
        <w:gridCol w:w="245"/>
        <w:gridCol w:w="840"/>
        <w:gridCol w:w="127"/>
        <w:gridCol w:w="109"/>
        <w:gridCol w:w="109"/>
        <w:gridCol w:w="109"/>
        <w:gridCol w:w="211"/>
        <w:gridCol w:w="691"/>
        <w:gridCol w:w="109"/>
        <w:gridCol w:w="109"/>
        <w:gridCol w:w="109"/>
        <w:gridCol w:w="109"/>
        <w:gridCol w:w="218"/>
        <w:gridCol w:w="218"/>
        <w:gridCol w:w="316"/>
      </w:tblGrid>
      <w:tr>
        <w:trPr/>
        <w:tc>
          <w:tcPr>
            <w:tcW w:w="124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resources revenues</w:t>
            </w:r>
          </w:p>
        </w:tc>
        <w:tc>
          <w:tcPr>
            <w:tcW w:w="10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Cement</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 aggregate</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leases</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Sales</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Reimbursables and other</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mineral resources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mineral resources expenses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from mineral resources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center"/>
        <w:rPr/>
      </w:pPr>
      <w:r>
        <w:rPr/>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Mineral resources segment revenues were $6,912,000 for the three months ended March 31, 2023, a decrease of $5,056,000, or 42%, from $11,968,000 for the three months ended March 31, 2022. The reduction in revenues is primarily attributed to increased water availability. The State Water Project allocation is currently at 100%, whereas in 2022 it was at 5%, which severely limits the Company's water sales opportunities. We do not expect there to be meaningful water sales for the remainder of 2023.</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Mineral resources segment expenses were $4,066,000 for the three months ended March 31, 2023, a decrease of $3,091,000, or 43%, from $7,157,000 for the three months ended March 31, 2022. This decrease is consistent with the reduced water sales volume compared to the previous year.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anticipated changes arise in the future related to groundwater management in California, such as limits on groundwater pumping, we believe that our water assets, including water banking operations, ground water recharge programs, and access to water contracts like those we have purchased in the past, will become even more important and valuable in servicing our projects and providing opportunities for water sales to third parties. </w:t>
      </w:r>
    </w:p>
    <w:p>
      <w:pPr>
        <w:pStyle w:val="TextBody"/>
        <w:spacing w:lineRule="auto" w:line="26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price per barrel of oil has decreased from the first quarter of 2022 levels leading to declines in production. Prices for oil,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such as current conflicts in Eastern Europe.</w:t>
      </w:r>
    </w:p>
    <w:p>
      <w:pPr>
        <w:pStyle w:val="TextBody"/>
        <w:spacing w:lineRule="auto" w:line="288" w:before="180" w:after="283"/>
        <w:rPr>
          <w:rFonts w:ascii="Times New Roman;sans-serif" w:hAnsi="Times New Roman;sans-serif"/>
          <w:b/>
          <w:color w:val="006EBF"/>
          <w:sz w:val="20"/>
          <w:u w:val="single"/>
        </w:rPr>
      </w:pPr>
      <w:r>
        <w:rPr>
          <w:rFonts w:ascii="Times New Roman;sans-serif" w:hAnsi="Times New Roman;sans-serif"/>
          <w:b/>
          <w:color w:val="006EBF"/>
          <w:sz w:val="20"/>
          <w:u w:val="single"/>
        </w:rPr>
        <w:t>Farming:</w:t>
      </w:r>
    </w:p>
    <w:tbl>
      <w:tblPr>
        <w:tblW w:w="7287" w:type="dxa"/>
        <w:jc w:val="center"/>
        <w:tblInd w:w="0" w:type="dxa"/>
        <w:tblCellMar>
          <w:top w:w="28" w:type="dxa"/>
          <w:left w:w="28" w:type="dxa"/>
          <w:bottom w:w="28" w:type="dxa"/>
          <w:right w:w="28" w:type="dxa"/>
        </w:tblCellMar>
      </w:tblPr>
      <w:tblGrid>
        <w:gridCol w:w="862"/>
        <w:gridCol w:w="759"/>
        <w:gridCol w:w="763"/>
        <w:gridCol w:w="249"/>
        <w:gridCol w:w="727"/>
        <w:gridCol w:w="128"/>
        <w:gridCol w:w="128"/>
        <w:gridCol w:w="128"/>
        <w:gridCol w:w="128"/>
        <w:gridCol w:w="249"/>
        <w:gridCol w:w="816"/>
        <w:gridCol w:w="128"/>
        <w:gridCol w:w="109"/>
        <w:gridCol w:w="109"/>
        <w:gridCol w:w="109"/>
        <w:gridCol w:w="211"/>
        <w:gridCol w:w="466"/>
        <w:gridCol w:w="109"/>
        <w:gridCol w:w="109"/>
        <w:gridCol w:w="109"/>
        <w:gridCol w:w="109"/>
        <w:gridCol w:w="232"/>
        <w:gridCol w:w="234"/>
        <w:gridCol w:w="316"/>
      </w:tblGrid>
      <w:tr>
        <w:trPr/>
        <w:tc>
          <w:tcPr>
            <w:tcW w:w="8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Farming revenues</w:t>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Almonds</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Pistachios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Wine grapes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farming revenues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farming expenses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from farming</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Farming segment revenues were $1,185,000 for the three months ended March 31, 2023, an increase of $530,000, or 81%, from $655,000 during the same period in 2022. The increase is attributed to an increase in almond sales and water usage reimbursements. Comparatively we sold 444,000 and 269,000 pounds of almonds during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Farming segment expenses were $2,013,000 for the three months ended March 31, 2023, an increase of $251,000, or 14%, from $1,762,000 during the same period in 2022. The increase in expenses resulted from an increase in insurance costs, increase in cost of sales related to additional almond sales and the additional cost of sales for farming water sold in 2023, there was no farm water sold in the first quarter of 2022.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almond, pistachio, and wine grape crop sales are highly seasonal with most of our sales occurring during the third and fourth quarters. Almonds and pistachios each year are sold at market prices while grapes are sold to wineries at contracted prices. Our farming operations during 2023 will continue to be impacted by higher costs of production such as fuel costs, fertilizer costs, pest control costs, and labor costs. Almond prices have shown slight improvement in the first quarter, however the higher than historically normal inventory levels are anticipated to have an adverse effect on prices for the remainder of 2023. It is too early in the production cycle for 2023 to have a subjective estimate of potential production for almonds, grapes, and pistachios.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Weather conditions can also impact the number of tree and vine dormant hours, which are integral to tree and vine growth. We will not know the impact of 2022/2023 winter weather conditions on 2023 production until the summer of 2023.</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pStyle w:val="TextBody"/>
        <w:spacing w:lineRule="auto" w:line="288" w:before="180" w:after="283"/>
        <w:rPr>
          <w:rFonts w:ascii="Times New Roman;sans-serif" w:hAnsi="Times New Roman;sans-serif"/>
          <w:b/>
          <w:color w:val="006EBF"/>
          <w:sz w:val="20"/>
          <w:u w:val="single"/>
        </w:rPr>
      </w:pPr>
      <w:r>
        <w:rPr>
          <w:rFonts w:ascii="Times New Roman;sans-serif" w:hAnsi="Times New Roman;sans-serif"/>
          <w:b/>
          <w:color w:val="006EBF"/>
          <w:sz w:val="20"/>
          <w:u w:val="single"/>
        </w:rPr>
        <w:t>Ranch Operations:</w:t>
      </w:r>
    </w:p>
    <w:tbl>
      <w:tblPr>
        <w:tblW w:w="10205" w:type="dxa"/>
        <w:jc w:val="center"/>
        <w:tblInd w:w="0" w:type="dxa"/>
        <w:tblCellMar>
          <w:top w:w="28" w:type="dxa"/>
          <w:left w:w="28" w:type="dxa"/>
          <w:bottom w:w="28" w:type="dxa"/>
          <w:right w:w="28" w:type="dxa"/>
        </w:tblCellMar>
      </w:tblPr>
      <w:tblGrid>
        <w:gridCol w:w="1531"/>
        <w:gridCol w:w="1291"/>
        <w:gridCol w:w="1299"/>
        <w:gridCol w:w="308"/>
        <w:gridCol w:w="902"/>
        <w:gridCol w:w="159"/>
        <w:gridCol w:w="159"/>
        <w:gridCol w:w="159"/>
        <w:gridCol w:w="159"/>
        <w:gridCol w:w="308"/>
        <w:gridCol w:w="902"/>
        <w:gridCol w:w="159"/>
        <w:gridCol w:w="136"/>
        <w:gridCol w:w="136"/>
        <w:gridCol w:w="136"/>
        <w:gridCol w:w="264"/>
        <w:gridCol w:w="585"/>
        <w:gridCol w:w="136"/>
        <w:gridCol w:w="136"/>
        <w:gridCol w:w="136"/>
        <w:gridCol w:w="136"/>
        <w:gridCol w:w="327"/>
        <w:gridCol w:w="332"/>
        <w:gridCol w:w="409"/>
      </w:tblGrid>
      <w:tr>
        <w:trPr/>
        <w:tc>
          <w:tcPr>
            <w:tcW w:w="1531"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r>
      <w:tr>
        <w:trPr/>
        <w:tc>
          <w:tcPr>
            <w:tcW w:w="4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41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 Operations revenues</w:t>
            </w:r>
          </w:p>
        </w:tc>
        <w:tc>
          <w:tcPr>
            <w:tcW w:w="1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Game management and other </w:t>
            </w:r>
            <w:r>
              <w:rPr>
                <w:rFonts w:ascii="Times New Roman;sans-serif" w:hAnsi="Times New Roman;sans-serif"/>
                <w:b w:val="false"/>
                <w:color w:val="000000"/>
                <w:sz w:val="13"/>
              </w:rPr>
              <w:t>1</w:t>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Grazing</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Ranch Operations revenues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Ranch Operations expenses</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 from Ranch Operations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Game management and other revenues consist of revenues from hunting, filming, high desert hunt club (a premier upland bird hunting club), and other ancillary activities.</w:t>
            </w:r>
          </w:p>
        </w:tc>
      </w:tr>
    </w:tbl>
    <w:p>
      <w:pPr>
        <w:pStyle w:val="TextBody"/>
        <w:spacing w:before="0" w:after="0"/>
        <w:jc w:val="center"/>
        <w:rPr/>
      </w:pPr>
      <w:r>
        <w:rPr/>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 xml:space="preserve">Ranch operations revenues were $1,492,000 for the three months ended March 31, 2023, an increase of $444,000, or 42%, from $1,048,000 for the same period in 2022. The increase is primarily attributed to higher filming location revenues that resulted from a major television series that temporarily relocated its filming operations, as a result of adverse weather conditions at their normal filming site. </w:t>
      </w:r>
    </w:p>
    <w:p>
      <w:pPr>
        <w:pStyle w:val="TextBody"/>
        <w:spacing w:lineRule="auto" w:line="268" w:before="100" w:after="283"/>
        <w:ind w:left="0" w:right="0" w:hanging="360"/>
        <w:rPr/>
      </w:pPr>
      <w:r>
        <w:rPr>
          <w:color w:val="000000"/>
        </w:rPr>
        <w:t>•</w:t>
      </w:r>
      <w:r>
        <w:rPr>
          <w:rFonts w:ascii="Times New Roman;sans-serif" w:hAnsi="Times New Roman;sans-serif"/>
          <w:b w:val="false"/>
          <w:color w:val="000000"/>
          <w:sz w:val="20"/>
        </w:rPr>
        <w:t>Ranch operations expenses were $1,330,000 for the three months ended March 31, 2023, an increase of $15,000, or 1%, from $1,315,000 for the same period in 2022. This slight increase is attributed to an increase in insurance costs when compared to the prior period.</w:t>
      </w:r>
    </w:p>
    <w:p>
      <w:pPr>
        <w:pStyle w:val="TextBody"/>
        <w:spacing w:lineRule="auto" w:line="288" w:before="240" w:after="283"/>
        <w:rPr>
          <w:rFonts w:ascii="Times New Roman;sans-serif" w:hAnsi="Times New Roman;sans-serif"/>
          <w:b/>
          <w:color w:val="006EBF"/>
          <w:sz w:val="20"/>
          <w:u w:val="single"/>
        </w:rPr>
      </w:pPr>
      <w:r>
        <w:rPr>
          <w:rFonts w:ascii="Times New Roman;sans-serif" w:hAnsi="Times New Roman;sans-serif"/>
          <w:b/>
          <w:color w:val="006EBF"/>
          <w:sz w:val="20"/>
          <w:u w:val="single"/>
        </w:rPr>
        <w:t>Corporate and Other: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Corporate general and administrative costs were $2,287,000 for the three months ended March 31, 2023, a decrease of $128,000, or 5%, from $2,415,000 for the same period in 2022. The decline is primarily attributed to a reduction in stock compensation expense as the Company did not grant any stock awards during the three months ended March 31, 2023. This decline was offset by an increase in professional service costs.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color w:val="006EBF"/>
          <w:sz w:val="20"/>
          <w:u w:val="single"/>
        </w:rPr>
      </w:pPr>
      <w:r>
        <w:rPr>
          <w:rFonts w:ascii="Times New Roman;sans-serif" w:hAnsi="Times New Roman;sans-serif"/>
          <w:b/>
          <w:color w:val="006EBF"/>
          <w:sz w:val="20"/>
          <w:u w:val="single"/>
        </w:rPr>
        <w:t>Joint Ventures:</w:t>
      </w:r>
    </w:p>
    <w:tbl>
      <w:tblPr>
        <w:tblW w:w="7755" w:type="dxa"/>
        <w:jc w:val="center"/>
        <w:tblInd w:w="0" w:type="dxa"/>
        <w:tblCellMar>
          <w:top w:w="28" w:type="dxa"/>
          <w:left w:w="28" w:type="dxa"/>
          <w:bottom w:w="28" w:type="dxa"/>
          <w:right w:w="28" w:type="dxa"/>
        </w:tblCellMar>
      </w:tblPr>
      <w:tblGrid>
        <w:gridCol w:w="1031"/>
        <w:gridCol w:w="906"/>
        <w:gridCol w:w="913"/>
        <w:gridCol w:w="257"/>
        <w:gridCol w:w="752"/>
        <w:gridCol w:w="133"/>
        <w:gridCol w:w="133"/>
        <w:gridCol w:w="133"/>
        <w:gridCol w:w="133"/>
        <w:gridCol w:w="257"/>
        <w:gridCol w:w="752"/>
        <w:gridCol w:w="133"/>
        <w:gridCol w:w="109"/>
        <w:gridCol w:w="109"/>
        <w:gridCol w:w="109"/>
        <w:gridCol w:w="211"/>
        <w:gridCol w:w="466"/>
        <w:gridCol w:w="109"/>
        <w:gridCol w:w="109"/>
        <w:gridCol w:w="109"/>
        <w:gridCol w:w="109"/>
        <w:gridCol w:w="232"/>
        <w:gridCol w:w="234"/>
        <w:gridCol w:w="316"/>
      </w:tblGrid>
      <w:tr>
        <w:trPr/>
        <w:tc>
          <w:tcPr>
            <w:tcW w:w="10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(loss) </w:t>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Petro Travel Plaza Holdings, LLC</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TRCC/Rock Outlet Center, LLC</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1, LLC</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2, LLC</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3, LLC</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4, LLC</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TRC-MRC 5, LLC</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 earnings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*Percentage change not meaningful</w:t>
            </w:r>
          </w:p>
        </w:tc>
        <w:tc>
          <w:tcPr>
            <w:tcW w:w="11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Equity in earnings were $1,517,000 for the three months ended March 31, 2023, an increase of $304,000, from $1,213,000 during the same period in 2022. The improvement is primarily attributed to the following:</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Petro Travel Plaza experienced higher fuel margins and lower depreciation and amortization expense.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TRC-MRC 2 entered into a new lease in 2023 at a higher lease rate.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TRC-MRC 4 commenced a new lease during the fourth quarter of 2022.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Please refer to "Non-GAAP Financial Measures" for further financial discussion of the results of our joint ventures.</w:t>
      </w:r>
    </w:p>
    <w:p>
      <w:pPr>
        <w:pStyle w:val="TextBody"/>
        <w:spacing w:lineRule="auto" w:line="288" w:before="100" w:after="283"/>
        <w:rPr>
          <w:rFonts w:ascii="Times New Roman;sans-serif" w:hAnsi="Times New Roman;sans-serif"/>
          <w:b/>
          <w:color w:val="006EBF"/>
          <w:sz w:val="20"/>
          <w:u w:val="single"/>
        </w:rPr>
      </w:pPr>
      <w:r>
        <w:rPr>
          <w:rFonts w:ascii="Times New Roman;sans-serif" w:hAnsi="Times New Roman;sans-serif"/>
          <w:b/>
          <w:color w:val="006EBF"/>
          <w:sz w:val="20"/>
          <w:u w:val="single"/>
        </w:rPr>
        <w:t>General Outlook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2022,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pStyle w:val="TextBody"/>
        <w:spacing w:lineRule="auto" w:line="288" w:before="100" w:after="283"/>
        <w:rPr>
          <w:rFonts w:ascii="Times New Roman;sans-serif" w:hAnsi="Times New Roman;sans-serif"/>
          <w:b/>
          <w:color w:val="006EBF"/>
          <w:sz w:val="20"/>
          <w:u w:val="single"/>
        </w:rPr>
      </w:pPr>
      <w:r>
        <w:rPr>
          <w:rFonts w:ascii="Times New Roman;sans-serif" w:hAnsi="Times New Roman;sans-serif"/>
          <w:b/>
          <w:color w:val="006EBF"/>
          <w:sz w:val="20"/>
          <w:u w:val="single"/>
        </w:rPr>
        <w:t>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had net income tax expense of $1,013,000 compared to $3,046,000 for the three months ended March 31, 2022. The effective tax rates approximated 36% and 41% for the three months ended March 31, 2023 and 2022, respectively. As of March 31, 2023, income tax payables were $482,000. The Company classifies interest and penalties incurred on tax payments as income tax expenses. The Company's effective tax rates were higher than statutory rates primarily because of permanent differences related to Section 162(m). The Section 162(m) compensation deduction limitations occurred due to changes in tax law arising from the 2017 Tax Cuts and Jobs Act.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Cash Flow and Liquidity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To enhance shareholder value over the long-term, we expect to continue to make investments in our real estate segments to secure land entitlement approvals, build infrastructure for our developments, provide adequate water supplies, and provide funds for general land development activities. Within our farming segment, we intend to make investments as needed to improve efficiency and add capacity to its operations when it is profitable to do so.</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cash, cash equivalents and marketable securities totaled $75,700,000 as of March 31, 2023, an increase of $3,137,000 from $72,563,000 as of December 31, 2022.</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cash flow activities for the three months ended March 31, </w:t>
      </w:r>
    </w:p>
    <w:tbl>
      <w:tblPr>
        <w:tblW w:w="4243" w:type="dxa"/>
        <w:jc w:val="left"/>
        <w:tblInd w:w="0" w:type="dxa"/>
        <w:tblCellMar>
          <w:top w:w="28" w:type="dxa"/>
          <w:left w:w="28" w:type="dxa"/>
          <w:bottom w:w="28" w:type="dxa"/>
          <w:right w:w="28" w:type="dxa"/>
        </w:tblCellMar>
      </w:tblPr>
      <w:tblGrid>
        <w:gridCol w:w="630"/>
        <w:gridCol w:w="554"/>
        <w:gridCol w:w="556"/>
        <w:gridCol w:w="109"/>
        <w:gridCol w:w="211"/>
        <w:gridCol w:w="691"/>
        <w:gridCol w:w="109"/>
        <w:gridCol w:w="109"/>
        <w:gridCol w:w="109"/>
        <w:gridCol w:w="109"/>
        <w:gridCol w:w="211"/>
        <w:gridCol w:w="691"/>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2023, the Company's operations provided $3,413,000 primarily as a result of distributions of earnings from unconsolidated joint ventures and in net income from operations.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2022, the Company's operations provided $7,984,000 primarily as a result distributions of earnings from unconsolidated joint ventures and growth in net income.</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2023, investing activities provided $877,000. The Company made capital expenditures, inclusive of capitalized interest and payroll (exclusive of stock compensation), of $5,037,000, which includes predevelopment activities for our master planned communities; $524,000 consisting of permitting efforts for MV; $326,000 consisting of permitting efforts for Grapevine; and costs related to litigation defense for Centennial of $700,000. At TRCC, we spent $1,286,000 on infrastructure improvements at TRCC-East. Within our farming segment, we spent $1,659,000, which includes cultural costs for orchards currently classified as under development and replacing machinery and equipment. Lastly, the Company used $4,355,000 to acquire water assets. The Company had marketable securities maturities of $27,193,000 and reinvested $28,892,000. Lastly, the Company received proceeds of $10,644,000, and $1,324,000 from joint venture distributions, and water sales, respectively.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2022, investing activities used $5,243,000. The Company made capital expenditures, inclusive of capitalized interest and payroll (exclusive of stock compensation), of $4,432,000, which includes predevelopment activities for our master planned communities; $517,000 consisting of permitting efforts for MV; $156,000 consisting of permitting efforts for Grapevine; and costs related to litigation defense for Centennial of $1,274,000. At TRCC, we spent $642,000 on infrastructure improvements, related to land development and the residential community at TRCC-East. Within our farming segment, we spent $1,673,000, which includes cultural costs for orchards not currently in production and replacing machinery and equipment. Lastly, the Company used $941,000 to acquire water assets.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we move forward, we anticipate we will continue to use cash from operations, proceeds from the maturity of securities, and anticipated distributions from joint ventures to fund real estate project investments, including the investments summarized below.</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estimated capital investment, inclusive of capitalized interest and payroll, for the remainder of 2023 is primarily related to our real estate projects. These estimated investments include approximately $19,437,000 of infrastructure development at TRCC-East to support continued commercial retail and industrial development and to design and construct water facilities to support future anticipated absorption. We also plan to continue to invest in cultural costs tied to new almond orchards and vineyards, and to replace farm equipment. The farm investments are part of a long-term farm management program to redevelop declining orchards and vineyards to maintain and improve future farm revenues. Lastly, we expect to invest up to $6,290,000 for land planning, litigation/appeals, federal and state agency permitting activities, and development activities at MV, Centennial, and Grapevine during the remainder of 2023.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three months ended March 31, 2023 and 2022, was $621,000 and $579,000, respectively, and is classified within real estate development. We also capitalized payroll costs related to development, pre-construction, and construction projects which aggregated $668,000 and $719,000 for the three months ended March 31, 2023 and 2022, respectively. Expenditures for repairs and maintenance are expensed as incurred.</w:t>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2023, financing activities used $3,030,000, which was attributable to long-term debt service of $436,000, and tax payments on vested share grants of $2,594,000.</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2022, financing activities used $2,231,000, which was attributable to long-term debt service of $1,109,000 and tax payments on vested share grants of $1,122,000.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the Company's experience, the Company believes it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 xml:space="preserve">Capital Structure and Financial Condition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total capitalization at book value was $526,771,000, consisting of $49,719,000 of debt and $477,052,000 of equity, resulting in a debt-to-total-capitalization ratio of approximately 9.4%.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June 30, 2022, the Company entered into a variable rate term note, or New Term Note, and a New Revolving Line of Credit Note, or New RLC, with Bank of America, N.A, (Lender) or collectively the New Credit Facility. The New Term Loan provides a principal amount of $49,080,000 and a maturity date of June 30, 2032, which was used to pay off the existing Wells Fargo Amended Term Note. The Company evaluated the exchange under ASC 470 and determined that the exchange should be treated as a debt extinguishment. The amount of New RLC under the New Credit Facility is $40,607,000. As a subfacility under the New RLC, the Lender agrees to provide up to $10,000,000 of capacity to issue standby letters of credit. The Company currently has $4,393,000 outstanding on a standby letter of credit (see Off-Balance Sheet Arrangements section below for further discussion). The Company can issue an additional $5,607,000 in standby letters of credit. The allocation of the credit availability to a letter of credit does not incur an interest cost.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Term Note had a $48,092,000 balance as of March 31, 2023.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28, 2032. The New Credit Facility is secured by the Company's farmland and farm assets, which include equipment, crops and crop receivables; the PEF power plant lease and lease site; and related accounts and other rights to payment and inventory.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RLC had no outstanding balance as of March 31, 2023. At the Company’s option, the interest rate on this line of credit can float at a rate equal to Daily SOFR plus 1.37% or can be fixed at a rate equal to Term SOFR plus 1.37% for interest periods elected by the Company. During the term of the New RLC (which matures in June 2032), the Company can borrow at any time and partially or wholly repay any outstanding borrowings and then re-borrow, as necessary.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Any future borrowings under the New RLC are expected to be used for ongoing working capital requirements and other general corporate purposes. To maintain availability of funds under the New RLC, undrawn amounts under the New RLC will accrue a commitment fee of 10 basis points per annum. The Company's ability to borrow additional funds in the future under the New RLC is subject to compliance with certain financial covenants and making certain representations and warranties, which are typical in this type of borrowing arrangement.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Credit Facility requires compliance with two financial covenants: (a) total liabilities divided by tangible net worth not greater than 0.75 to 1.0 at each quarter end; and (b) a debt service coverage ratio not less than 1.25 to 1.00 as of each quarter end on a rolling four quarter basis.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 was in compliance with all financial covenants.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New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make a change in capital ownership, or incur liens on any assets.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New Credit Facility contains customary events of default, including: failure to make required payments; failure to comply with terms of the New Credit Facility; bankruptcy and insolvency. The New Credit Facility contains other customary terms and conditions, including representations and warranties, which are typical for credit facilities of this type.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also has a $4,750,000 promissory note agreement whose principal and interest due monthly began October 1, 2013. The interest rate on this promissory note is 4.25% per annum, with principal and interest payments ending on September 1, 2028. The balance as of March 31, 2023 was $1,627,000.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May 2022, we filed an updated shelf registration statement on Form S-3, which went effective in May 2022. Under the shelf registration statement, we may offer and sell in the future one or more offerings not to exceed $200,000,000,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Although we have a strong liquidity position at March 31, 2023 with $75,700,000 in cash and securities and $40,607,000 available on our New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Contractual Cash Obligations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cash obligations and commercial commitments as of March 31, 2023, to be paid over the next five years and thereafter:</w:t>
      </w:r>
    </w:p>
    <w:tbl>
      <w:tblPr>
        <w:tblW w:w="9686" w:type="dxa"/>
        <w:jc w:val="center"/>
        <w:tblInd w:w="0" w:type="dxa"/>
        <w:tblCellMar>
          <w:top w:w="28" w:type="dxa"/>
          <w:left w:w="28" w:type="dxa"/>
          <w:bottom w:w="28" w:type="dxa"/>
          <w:right w:w="28" w:type="dxa"/>
        </w:tblCellMar>
      </w:tblPr>
      <w:tblGrid>
        <w:gridCol w:w="900"/>
        <w:gridCol w:w="793"/>
        <w:gridCol w:w="796"/>
        <w:gridCol w:w="211"/>
        <w:gridCol w:w="826"/>
        <w:gridCol w:w="109"/>
        <w:gridCol w:w="109"/>
        <w:gridCol w:w="109"/>
        <w:gridCol w:w="109"/>
        <w:gridCol w:w="298"/>
        <w:gridCol w:w="1018"/>
        <w:gridCol w:w="154"/>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900"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9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 Due by Period</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4-5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Obligations:</w:t>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water payments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contract commitments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Defined Benefit Plan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SERP</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fees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table above includes only those contracts that include fixed or minimum obligations. It does not include normal purchases that are made in the ordinary course of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Off-Balance Sheet Arrangements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contingent obligations we have with respect to certain bonds issued by the CFDs: </w:t>
      </w:r>
    </w:p>
    <w:tbl>
      <w:tblPr>
        <w:tblW w:w="9361" w:type="dxa"/>
        <w:jc w:val="left"/>
        <w:tblInd w:w="0" w:type="dxa"/>
        <w:tblCellMar>
          <w:top w:w="28" w:type="dxa"/>
          <w:left w:w="28" w:type="dxa"/>
          <w:bottom w:w="28" w:type="dxa"/>
          <w:right w:w="28" w:type="dxa"/>
        </w:tblCellMar>
      </w:tblPr>
      <w:tblGrid>
        <w:gridCol w:w="1140"/>
        <w:gridCol w:w="1002"/>
        <w:gridCol w:w="1008"/>
        <w:gridCol w:w="211"/>
        <w:gridCol w:w="616"/>
        <w:gridCol w:w="109"/>
        <w:gridCol w:w="109"/>
        <w:gridCol w:w="109"/>
        <w:gridCol w:w="109"/>
        <w:gridCol w:w="211"/>
        <w:gridCol w:w="616"/>
        <w:gridCol w:w="109"/>
        <w:gridCol w:w="109"/>
        <w:gridCol w:w="109"/>
        <w:gridCol w:w="109"/>
        <w:gridCol w:w="266"/>
        <w:gridCol w:w="512"/>
        <w:gridCol w:w="138"/>
        <w:gridCol w:w="109"/>
        <w:gridCol w:w="109"/>
        <w:gridCol w:w="109"/>
        <w:gridCol w:w="266"/>
        <w:gridCol w:w="512"/>
        <w:gridCol w:w="138"/>
        <w:gridCol w:w="109"/>
        <w:gridCol w:w="109"/>
        <w:gridCol w:w="109"/>
        <w:gridCol w:w="328"/>
        <w:gridCol w:w="632"/>
        <w:gridCol w:w="239"/>
      </w:tblGrid>
      <w:tr>
        <w:trPr/>
        <w:tc>
          <w:tcPr>
            <w:tcW w:w="1140"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1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Commitment Expiration Per Period</w:t>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2 -3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After 5 Years</w:t>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 Commitments:</w:t>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Standby letter of credit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commercial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$19,540,000 of bond debt sold by TRPFFA for TRCC-West. The East CFD has placed liens on 1,931 acres of the Company’s land to secure payments of special taxes related to $72,055,000 of bond debt sold by TRPFFA for TRCC-East. At TRCC-West, the West CFD has no additional bond debt approved for issuance. At TRCC-East, the East CFD has approximately $44,035,000 of additional bond debt authorized by TRPFFA.</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March 31, 2023, that the letter of credit will likely never be drawn upon. This letter of credit is for a two-year period and will be renewed in two-year intervals as necessary. The annual cost related to the letter of credit is approximately $60,000. The tax assessment of each individual property sold or leased within each CFD is not determinable at this time because it is based on the current tax rate of the property at the time of sale or at the time it is leased to a third-party. Accordingly, the Company is not required to recognize an obligation as of March 31, 2023.</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aggregate outstanding debt of unconsolidated joint ventures was $183,736,000; $170,608,000 of this debt is subject to various degrees of guarantees ranging from 0% to 100% of the total debt outstanding, with construction loans generally being 100% guaranteed. As of March 31, 2023, only $27,500,000 of outstanding debt is subject to guarantees. Because of positive cash flow generation within the Rockefeller and Majestic joint ventures, we, as of March 31, 2023, do not expect any guarantee to be called upon. We do not provide a guarantee on the $13,128,000 of debt related to our joint venture with TA/Petro.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color w:val="006EBF"/>
          <w:sz w:val="20"/>
        </w:rPr>
      </w:pPr>
      <w:r>
        <w:rPr>
          <w:rFonts w:ascii="Times New Roman;sans-serif" w:hAnsi="Times New Roman;sans-serif"/>
          <w:b/>
          <w:color w:val="006EBF"/>
          <w:sz w:val="20"/>
        </w:rPr>
        <w:t>Non-GAAP Financial Measures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tbl>
      <w:tblPr>
        <w:tblW w:w="10079" w:type="dxa"/>
        <w:jc w:val="left"/>
        <w:tblInd w:w="0" w:type="dxa"/>
        <w:tblCellMar>
          <w:top w:w="28" w:type="dxa"/>
          <w:left w:w="28" w:type="dxa"/>
          <w:bottom w:w="28" w:type="dxa"/>
          <w:right w:w="28" w:type="dxa"/>
        </w:tblCellMar>
      </w:tblPr>
      <w:tblGrid>
        <w:gridCol w:w="2344"/>
        <w:gridCol w:w="2060"/>
        <w:gridCol w:w="2075"/>
        <w:gridCol w:w="245"/>
        <w:gridCol w:w="718"/>
        <w:gridCol w:w="127"/>
        <w:gridCol w:w="127"/>
        <w:gridCol w:w="127"/>
        <w:gridCol w:w="127"/>
        <w:gridCol w:w="245"/>
        <w:gridCol w:w="840"/>
        <w:gridCol w:w="127"/>
        <w:gridCol w:w="109"/>
        <w:gridCol w:w="109"/>
        <w:gridCol w:w="109"/>
        <w:gridCol w:w="109"/>
        <w:gridCol w:w="109"/>
        <w:gridCol w:w="109"/>
        <w:gridCol w:w="109"/>
        <w:gridCol w:w="154"/>
      </w:tblGrid>
      <w:tr>
        <w:trPr/>
        <w:tc>
          <w:tcPr>
            <w:tcW w:w="2344"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w:t>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share of interest expense from unconsolidated joint ventures</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net</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share of depreciation and amortization from unconsolidated joint ventures</w:t>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tbl>
      <w:tblPr>
        <w:tblW w:w="8279" w:type="dxa"/>
        <w:jc w:val="center"/>
        <w:tblInd w:w="0" w:type="dxa"/>
        <w:tblCellMar>
          <w:top w:w="28" w:type="dxa"/>
          <w:left w:w="28" w:type="dxa"/>
          <w:bottom w:w="28" w:type="dxa"/>
          <w:right w:w="28" w:type="dxa"/>
        </w:tblCellMar>
      </w:tblPr>
      <w:tblGrid>
        <w:gridCol w:w="1851"/>
        <w:gridCol w:w="1627"/>
        <w:gridCol w:w="1637"/>
        <w:gridCol w:w="254"/>
        <w:gridCol w:w="760"/>
        <w:gridCol w:w="131"/>
        <w:gridCol w:w="131"/>
        <w:gridCol w:w="131"/>
        <w:gridCol w:w="131"/>
        <w:gridCol w:w="254"/>
        <w:gridCol w:w="760"/>
        <w:gridCol w:w="131"/>
        <w:gridCol w:w="109"/>
        <w:gridCol w:w="109"/>
        <w:gridCol w:w="109"/>
        <w:gridCol w:w="154"/>
      </w:tblGrid>
      <w:tr>
        <w:trPr/>
        <w:tc>
          <w:tcPr>
            <w:tcW w:w="1851"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Commercial/Industrial operating income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Commercial/Industrial depreciation and amortization</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General, administrative, cost of sales and other expenses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revenues including land sales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Commercial/Industrial net operating income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1,982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1,688</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tbl>
      <w:tblPr>
        <w:tblW w:w="7589" w:type="dxa"/>
        <w:jc w:val="left"/>
        <w:tblInd w:w="0" w:type="dxa"/>
        <w:tblCellMar>
          <w:top w:w="28" w:type="dxa"/>
          <w:left w:w="28" w:type="dxa"/>
          <w:bottom w:w="28" w:type="dxa"/>
          <w:right w:w="28" w:type="dxa"/>
        </w:tblCellMar>
      </w:tblPr>
      <w:tblGrid>
        <w:gridCol w:w="1600"/>
        <w:gridCol w:w="1407"/>
        <w:gridCol w:w="1418"/>
        <w:gridCol w:w="254"/>
        <w:gridCol w:w="760"/>
        <w:gridCol w:w="131"/>
        <w:gridCol w:w="131"/>
        <w:gridCol w:w="131"/>
        <w:gridCol w:w="131"/>
        <w:gridCol w:w="254"/>
        <w:gridCol w:w="760"/>
        <w:gridCol w:w="131"/>
        <w:gridCol w:w="109"/>
        <w:gridCol w:w="109"/>
        <w:gridCol w:w="109"/>
        <w:gridCol w:w="154"/>
      </w:tblGrid>
      <w:tr>
        <w:trPr/>
        <w:tc>
          <w:tcPr>
            <w:tcW w:w="1600"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w:t>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Pastoria Energy Facility</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TRCC</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 leases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 leases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Commercial/Industrial net operating income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1,982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1,688</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tbl>
      <w:tblPr>
        <w:tblW w:w="8443" w:type="dxa"/>
        <w:jc w:val="left"/>
        <w:tblInd w:w="0" w:type="dxa"/>
        <w:tblCellMar>
          <w:top w:w="28" w:type="dxa"/>
          <w:left w:w="28" w:type="dxa"/>
          <w:bottom w:w="28" w:type="dxa"/>
          <w:right w:w="28" w:type="dxa"/>
        </w:tblCellMar>
      </w:tblPr>
      <w:tblGrid>
        <w:gridCol w:w="1911"/>
        <w:gridCol w:w="1680"/>
        <w:gridCol w:w="1688"/>
        <w:gridCol w:w="257"/>
        <w:gridCol w:w="752"/>
        <w:gridCol w:w="133"/>
        <w:gridCol w:w="133"/>
        <w:gridCol w:w="133"/>
        <w:gridCol w:w="133"/>
        <w:gridCol w:w="257"/>
        <w:gridCol w:w="752"/>
        <w:gridCol w:w="133"/>
        <w:gridCol w:w="109"/>
        <w:gridCol w:w="109"/>
        <w:gridCol w:w="109"/>
        <w:gridCol w:w="154"/>
      </w:tblGrid>
      <w:tr>
        <w:trPr/>
        <w:tc>
          <w:tcPr>
            <w:tcW w:w="1911" w:type="dxa"/>
            <w:tcBorders/>
            <w:shd w:fill="auto" w:val="clear"/>
            <w:vAlign w:val="center"/>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unconsolidated joint ventures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of unconsolidated joint ventures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of unconsolidated joint ventures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joint ventures</w:t>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income of unconsolidated joint ventures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color w:val="006EBF"/>
          <w:sz w:val="20"/>
          <w:u w:val="single"/>
        </w:rPr>
      </w:pPr>
      <w:r>
        <w:rPr>
          <w:rFonts w:ascii="Times New Roman;sans-serif" w:hAnsi="Times New Roman;sans-serif"/>
          <w:b/>
          <w:color w:val="006EBF"/>
          <w:sz w:val="20"/>
          <w:u w:val="single"/>
        </w:rPr>
        <w:t>ITEM 3. QUANTITATIVE AND QUALITATIVE DISCLOSURES ABOUT MARKET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Market Risks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exposure to financial market risks includes changes to interest rates and credit risks related to marketable securities, interest rates related to our outstanding indebtedness and trade receivables.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RLC had no outstanding balance as of March 31, 2023. At the Company’s option, the interest rate on this line of credit can float at a rate equal to Daily SOFR plus 1.37% or can be fixed at a rate equal to Term SOFR plus1.37% above Term SOFR for interest periods elected by the Company. During the term of the New RLC (which matures on June 30, 2032), the Company can borrow at any time and partially or wholly repay any outstanding borrowings and then re-borrow, as necessary.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interest rate risk on our long-term debt. Long-term debt consists of two term loans, one of which has a balance of $48,092,000 as of March 31, 2023 and is tied to the daily secured overnight financing rate, or SOFR, plus a margin of 1.55 percentage points. The interest rate for the term of the New Term Note has been fixed through the use of an interest rate swap at a rate of 4.62%. The outstanding balance on the second term loan as of March 31, 2023 was $1,627,000 and has a fixed rate of 4.25%. We believe it is prudent at times to limit the variability of floating-rate interest payments and have from time to time entered into interest rate swap arrangements to manage those fluctuations, as we did with the first term loan (discussed here).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pStyle w:val="TextBody"/>
        <w:spacing w:before="100" w:after="283"/>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Sensitivity Financial Market Risks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Amount by Expected Maturity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At March 31, 2023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 data)</w:t>
      </w:r>
    </w:p>
    <w:tbl>
      <w:tblPr>
        <w:tblW w:w="10205" w:type="dxa"/>
        <w:jc w:val="center"/>
        <w:tblInd w:w="0" w:type="dxa"/>
        <w:tblCellMar>
          <w:top w:w="28" w:type="dxa"/>
          <w:left w:w="28" w:type="dxa"/>
          <w:bottom w:w="28" w:type="dxa"/>
          <w:right w:w="28" w:type="dxa"/>
        </w:tblCellMar>
      </w:tblPr>
      <w:tblGrid>
        <w:gridCol w:w="653"/>
        <w:gridCol w:w="576"/>
        <w:gridCol w:w="582"/>
        <w:gridCol w:w="259"/>
        <w:gridCol w:w="259"/>
        <w:gridCol w:w="263"/>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310"/>
        <w:gridCol w:w="310"/>
        <w:gridCol w:w="311"/>
        <w:gridCol w:w="109"/>
        <w:gridCol w:w="109"/>
        <w:gridCol w:w="109"/>
        <w:gridCol w:w="259"/>
        <w:gridCol w:w="259"/>
        <w:gridCol w:w="263"/>
        <w:gridCol w:w="109"/>
        <w:gridCol w:w="109"/>
        <w:gridCol w:w="109"/>
        <w:gridCol w:w="288"/>
        <w:gridCol w:w="281"/>
        <w:gridCol w:w="339"/>
      </w:tblGrid>
      <w:tr>
        <w:trPr/>
        <w:tc>
          <w:tcPr>
            <w:tcW w:w="65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$35,321</w:t>
            </w:r>
          </w:p>
        </w:tc>
      </w:tr>
      <w:tr>
        <w:trPr/>
        <w:tc>
          <w:tcPr>
            <w:tcW w:w="1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($4.75M note)</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$1,627</w:t>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($49.1M note)</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$48,092</w:t>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Sensitivity Financial Market Risks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Amount by Expected Maturity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At December 31, 2022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 data)</w:t>
      </w:r>
    </w:p>
    <w:tbl>
      <w:tblPr>
        <w:tblW w:w="10205" w:type="dxa"/>
        <w:jc w:val="center"/>
        <w:tblInd w:w="0" w:type="dxa"/>
        <w:tblCellMar>
          <w:top w:w="28" w:type="dxa"/>
          <w:left w:w="28" w:type="dxa"/>
          <w:bottom w:w="28" w:type="dxa"/>
          <w:right w:w="28" w:type="dxa"/>
        </w:tblCellMar>
      </w:tblPr>
      <w:tblGrid>
        <w:gridCol w:w="653"/>
        <w:gridCol w:w="576"/>
        <w:gridCol w:w="582"/>
        <w:gridCol w:w="259"/>
        <w:gridCol w:w="259"/>
        <w:gridCol w:w="263"/>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310"/>
        <w:gridCol w:w="310"/>
        <w:gridCol w:w="311"/>
        <w:gridCol w:w="109"/>
        <w:gridCol w:w="109"/>
        <w:gridCol w:w="109"/>
        <w:gridCol w:w="259"/>
        <w:gridCol w:w="259"/>
        <w:gridCol w:w="263"/>
        <w:gridCol w:w="109"/>
        <w:gridCol w:w="109"/>
        <w:gridCol w:w="109"/>
        <w:gridCol w:w="288"/>
        <w:gridCol w:w="281"/>
        <w:gridCol w:w="339"/>
      </w:tblGrid>
      <w:tr>
        <w:trPr/>
        <w:tc>
          <w:tcPr>
            <w:tcW w:w="653"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$32,652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$33,652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$33,444</w:t>
            </w:r>
          </w:p>
        </w:tc>
      </w:tr>
      <w:tr>
        <w:trPr/>
        <w:tc>
          <w:tcPr>
            <w:tcW w:w="1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($4.75M note)</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$1,692</w:t>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($49.1M note)</w:t>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$48,462</w:t>
            </w:r>
          </w:p>
        </w:tc>
      </w:tr>
      <w:tr>
        <w:trPr/>
        <w:tc>
          <w:tcPr>
            <w:tcW w:w="1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1"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1811"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Commodity Price Exposure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 As of the date of this report there are no receivables that are subject to commodity price fluctuations given that there were no pistachio yields in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80" w:after="283"/>
        <w:rPr>
          <w:rFonts w:ascii="Times New Roman;sans-serif" w:hAnsi="Times New Roman;sans-serif"/>
          <w:b/>
          <w:color w:val="006EBF"/>
          <w:sz w:val="20"/>
          <w:u w:val="single"/>
        </w:rPr>
      </w:pPr>
      <w:r>
        <w:rPr>
          <w:rFonts w:ascii="Times New Roman;sans-serif" w:hAnsi="Times New Roman;sans-serif"/>
          <w:b/>
          <w:color w:val="006EBF"/>
          <w:sz w:val="20"/>
          <w:u w:val="single"/>
        </w:rPr>
        <w:t>ITEM 4. CONTROLS AND PROCEDURES</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(a)Evaluation of Disclosure Controls and Procedures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pStyle w:val="TextBody"/>
        <w:spacing w:lineRule="auto" w:line="288" w:before="120" w:after="283"/>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(b)Changes in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color w:val="006EBF"/>
          <w:sz w:val="20"/>
          <w:u w:val="single"/>
        </w:rPr>
      </w:pPr>
      <w:r>
        <w:rPr>
          <w:rFonts w:ascii="Times New Roman;sans-serif" w:hAnsi="Times New Roman;sans-serif"/>
          <w:b/>
          <w:color w:val="006EBF"/>
          <w:sz w:val="20"/>
          <w:u w:val="single"/>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6EBF"/>
          <w:sz w:val="20"/>
          <w:u w:val="single"/>
        </w:rPr>
      </w:pPr>
      <w:r>
        <w:rPr>
          <w:rFonts w:ascii="Times New Roman;sans-serif" w:hAnsi="Times New Roman;sans-serif"/>
          <w:b/>
          <w:color w:val="006EBF"/>
          <w:sz w:val="20"/>
          <w:u w:val="single"/>
        </w:rPr>
        <w:t>Item 1. Legal Proceedings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Please refer to Note 12 (Commitments and Contingencies) in the Notes to Unaudited Consolidated Financial Statements in this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6EBF"/>
          <w:sz w:val="20"/>
          <w:u w:val="single"/>
        </w:rPr>
      </w:pPr>
      <w:r>
        <w:rPr>
          <w:rFonts w:ascii="Times New Roman;sans-serif" w:hAnsi="Times New Roman;sans-serif"/>
          <w:b/>
          <w:color w:val="006EBF"/>
          <w:sz w:val="20"/>
          <w:u w:val="single"/>
        </w:rPr>
        <w:t>Item 1A. Risk Factors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Part I, Item 1A in our most recent Annual Report on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6EBF"/>
          <w:sz w:val="20"/>
          <w:u w:val="single"/>
        </w:rPr>
      </w:pPr>
      <w:r>
        <w:rPr>
          <w:rFonts w:ascii="Times New Roman;sans-serif" w:hAnsi="Times New Roman;sans-serif"/>
          <w:b/>
          <w:color w:val="006EBF"/>
          <w:sz w:val="20"/>
          <w:u w:val="single"/>
        </w:rPr>
        <w:t>Item 2. Unregistered Sales of Equity Securities and Use of Proceeds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6EBF"/>
          <w:sz w:val="20"/>
          <w:u w:val="single"/>
        </w:rPr>
      </w:pPr>
      <w:r>
        <w:rPr>
          <w:rFonts w:ascii="Times New Roman;sans-serif" w:hAnsi="Times New Roman;sans-serif"/>
          <w:b/>
          <w:color w:val="006EBF"/>
          <w:sz w:val="20"/>
          <w:u w:val="single"/>
        </w:rPr>
        <w:t>Item 3. Defaults Upon Senior Securities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6EBF"/>
          <w:sz w:val="20"/>
          <w:u w:val="single"/>
        </w:rPr>
      </w:pPr>
      <w:r>
        <w:rPr>
          <w:rFonts w:ascii="Times New Roman;sans-serif" w:hAnsi="Times New Roman;sans-serif"/>
          <w:b/>
          <w:color w:val="006EBF"/>
          <w:sz w:val="20"/>
          <w:u w:val="single"/>
        </w:rPr>
        <w:t>Item 4. Mine Safety Disclosures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6EBF"/>
          <w:sz w:val="20"/>
          <w:u w:val="single"/>
        </w:rPr>
      </w:pPr>
      <w:r>
        <w:rPr>
          <w:rFonts w:ascii="Times New Roman;sans-serif" w:hAnsi="Times New Roman;sans-serif"/>
          <w:b/>
          <w:color w:val="006EBF"/>
          <w:sz w:val="20"/>
          <w:u w:val="single"/>
        </w:rPr>
        <w:t>Item 5. Other Information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280"/>
        <w:gridCol w:w="246"/>
        <w:gridCol w:w="121"/>
        <w:gridCol w:w="109"/>
        <w:gridCol w:w="109"/>
        <w:gridCol w:w="109"/>
        <w:gridCol w:w="2865"/>
        <w:gridCol w:w="2755"/>
        <w:gridCol w:w="2762"/>
        <w:gridCol w:w="109"/>
        <w:gridCol w:w="109"/>
        <w:gridCol w:w="109"/>
        <w:gridCol w:w="151"/>
        <w:gridCol w:w="151"/>
        <w:gridCol w:w="220"/>
      </w:tblGrid>
      <w:tr>
        <w:trPr/>
        <w:tc>
          <w:tcPr>
            <w:tcW w:w="28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2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6EBF"/>
                <w:sz w:val="20"/>
                <w:u w:val="single"/>
              </w:rPr>
            </w:pPr>
            <w:r>
              <w:rPr>
                <w:rFonts w:ascii="Times New Roman;sans-serif" w:hAnsi="Times New Roman;sans-serif"/>
                <w:b/>
                <w:color w:val="006EBF"/>
                <w:sz w:val="20"/>
                <w:u w:val="single"/>
              </w:rPr>
              <w:t>Item 6. Exhibits:</w:t>
            </w:r>
          </w:p>
        </w:tc>
      </w:tr>
      <w:tr>
        <w:trPr/>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00"/>
                  <w:sz w:val="20"/>
                </w:rPr>
                <w:t>Restated Certificate of Incorporation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w:t>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00"/>
                  <w:sz w:val="20"/>
                </w:rPr>
                <w:t>Amended and 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w:t>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00"/>
                  <w:sz w:val="20"/>
                </w:rPr>
                <w:t>Registration and Reimbursement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5</w:t>
            </w:r>
          </w:p>
        </w:tc>
      </w:tr>
      <w:tr>
        <w:trPr/>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00"/>
                  <w:sz w:val="20"/>
                </w:rPr>
                <w:t>Form of Indenture for Debt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37</w:t>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Service Contract with Wheeler Ridge-Maricopa Water Storage District (without exhibits), amendments originally filed under Item 11 to Registrant's Annual Report on Form 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6</w:t>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00"/>
                  <w:sz w:val="20"/>
                </w:rPr>
                <w:t>*Severance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00"/>
                  <w:sz w:val="20"/>
                </w:rPr>
                <w:t>*Director Compensation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vAlign w:val="center"/>
          </w:tcPr>
          <w:p>
            <w:pPr>
              <w:pStyle w:val="TableContents"/>
              <w:spacing w:before="0" w:after="283"/>
              <w:rPr>
                <w:sz w:val="4"/>
                <w:szCs w:val="4"/>
              </w:rPr>
            </w:pPr>
            <w:r>
              <w:rPr>
                <w:sz w:val="4"/>
                <w:szCs w:val="4"/>
              </w:rPr>
            </w:r>
          </w:p>
        </w:tc>
      </w:tr>
      <w:tr>
        <w:trPr/>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00"/>
                  <w:sz w:val="20"/>
                </w:rPr>
                <w:t>*Amended and Restated Non-Employee Director Stock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8</w:t>
            </w:r>
          </w:p>
        </w:tc>
      </w:tr>
    </w:tbl>
    <w:tbl>
      <w:tblPr>
        <w:tblW w:w="9579" w:type="dxa"/>
        <w:jc w:val="left"/>
        <w:tblInd w:w="0" w:type="dxa"/>
        <w:tblCellMar>
          <w:top w:w="28" w:type="dxa"/>
          <w:left w:w="28" w:type="dxa"/>
          <w:bottom w:w="28" w:type="dxa"/>
          <w:right w:w="28" w:type="dxa"/>
        </w:tblCellMar>
      </w:tblPr>
      <w:tblGrid>
        <w:gridCol w:w="336"/>
        <w:gridCol w:w="295"/>
        <w:gridCol w:w="225"/>
        <w:gridCol w:w="109"/>
        <w:gridCol w:w="109"/>
        <w:gridCol w:w="109"/>
        <w:gridCol w:w="2473"/>
        <w:gridCol w:w="2473"/>
        <w:gridCol w:w="2478"/>
        <w:gridCol w:w="109"/>
        <w:gridCol w:w="109"/>
        <w:gridCol w:w="109"/>
        <w:gridCol w:w="188"/>
        <w:gridCol w:w="188"/>
        <w:gridCol w:w="269"/>
      </w:tblGrid>
      <w:tr>
        <w:trPr/>
        <w:tc>
          <w:tcPr>
            <w:tcW w:w="3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3" w:type="dxa"/>
            <w:tcBorders/>
            <w:shd w:fill="auto" w:val="clear"/>
            <w:vAlign w:val="center"/>
          </w:tcPr>
          <w:p>
            <w:pPr>
              <w:pStyle w:val="TableContents"/>
              <w:spacing w:before="0" w:after="283"/>
              <w:rPr>
                <w:sz w:val="4"/>
                <w:szCs w:val="4"/>
              </w:rPr>
            </w:pPr>
            <w:r>
              <w:rPr>
                <w:sz w:val="4"/>
                <w:szCs w:val="4"/>
              </w:rPr>
            </w:r>
          </w:p>
        </w:tc>
        <w:tc>
          <w:tcPr>
            <w:tcW w:w="2473"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00"/>
                  <w:sz w:val="20"/>
                </w:rPr>
                <w:t>*Stock Option Agreement Pursuant to the Non-Employee Director Stock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00"/>
                  <w:sz w:val="20"/>
                </w:rPr>
                <w:t>*Amended and Restated 1998 Stock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9</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00"/>
                  <w:sz w:val="20"/>
                </w:rPr>
                <w:t>*Stock Option Agreement Pursuant to the 1998 Stock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7</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00"/>
                  <w:sz w:val="20"/>
                </w:rPr>
                <w:t>Ground Lease with Pastoria Energy Facility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10</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00"/>
                  <w:sz w:val="20"/>
                </w:rPr>
                <w:t>Form of Securities Purchase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11</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00"/>
                  <w:sz w:val="20"/>
                </w:rPr>
                <w:t>Form of Registration Rights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12</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00"/>
                  <w:sz w:val="20"/>
                </w:rPr>
                <w:t>*2004 Stock Incentive Program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13</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00"/>
                  <w:sz w:val="20"/>
                </w:rPr>
                <w:t>*Form of Restricted Stock Agreement for Directors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13</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00"/>
                  <w:sz w:val="20"/>
                </w:rPr>
                <w:t>*Form of Restricted Stock Unit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13</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00"/>
                  <w:sz w:val="20"/>
                </w:rPr>
                <w:t>Limited Liability Company Agreement of Tejon Mountain Village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14</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00"/>
                  <w:sz w:val="20"/>
                </w:rPr>
                <w:t>Tejon Ranch Conservation and Land Use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15</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00"/>
                  <w:sz w:val="20"/>
                </w:rPr>
                <w:t>Second Amended and Restated Limited Liability Agreement of Centennial Founders,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16</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00"/>
                  <w:sz w:val="20"/>
                </w:rPr>
                <w:t>*Executive Employment Agreement - Allen E. Lyda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17</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00"/>
                  <w:sz w:val="20"/>
                </w:rPr>
                <w:t>Limited Liability Company Agreement of TRCC/Rock Outlet Center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18</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00"/>
                  <w:sz w:val="20"/>
                </w:rPr>
                <w:t>Warrant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19</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00"/>
                  <w:sz w:val="20"/>
                </w:rPr>
                <w:t>Amendments to Limited Liability Company Agreement of Tejon Mountain Village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20</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00"/>
                  <w:sz w:val="20"/>
                </w:rPr>
                <w:t>Membership Interest Purchase Agreement - Tejon Mountain Village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21</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00"/>
                  <w:sz w:val="20"/>
                </w:rPr>
                <w:t>Amended and Restated Credit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22</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00"/>
                  <w:sz w:val="20"/>
                </w:rPr>
                <w:t>Term Note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25</w:t>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64"/>
        <w:gridCol w:w="322"/>
        <w:gridCol w:w="118"/>
        <w:gridCol w:w="109"/>
        <w:gridCol w:w="109"/>
        <w:gridCol w:w="109"/>
        <w:gridCol w:w="2665"/>
        <w:gridCol w:w="2465"/>
        <w:gridCol w:w="2471"/>
        <w:gridCol w:w="109"/>
        <w:gridCol w:w="109"/>
        <w:gridCol w:w="109"/>
        <w:gridCol w:w="369"/>
        <w:gridCol w:w="317"/>
        <w:gridCol w:w="460"/>
      </w:tblGrid>
      <w:tr>
        <w:trPr/>
        <w:tc>
          <w:tcPr>
            <w:tcW w:w="36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5"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00"/>
                  <w:sz w:val="20"/>
                </w:rPr>
                <w:t>Revolving Line of Credit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36</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00"/>
                  <w:sz w:val="20"/>
                </w:rPr>
                <w:t xml:space="preserve">Amendments to Lease Agreement with Pastoria Energy Facility L.L.C.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23</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00"/>
                  <w:sz w:val="20"/>
                </w:rPr>
                <w:t>Water Supply Agreement with Pastoria Energy Facility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24</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00"/>
                  <w:sz w:val="20"/>
                </w:rPr>
                <w:t>Limited Liability Company Agreement of TRC-MRC 2,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26</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00"/>
                  <w:sz w:val="20"/>
                </w:rPr>
                <w:t>Limited Liability Company Agreement of TRC-MRC 1,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27</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00"/>
                  <w:sz w:val="20"/>
                </w:rPr>
                <w:t>Centennial Founders LLC, Redemption and Withdrawal Agreement - Lewis Tejon Member,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28</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00"/>
                  <w:sz w:val="20"/>
                </w:rPr>
                <w:t>First Amendment to Second Amended and Restated Limited Liability Company Agreement of Centennial Founders,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29</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00"/>
                  <w:sz w:val="20"/>
                </w:rPr>
                <w:t>Second Amendment to Second Amended and Restated Limited Liability Company Agreement of Centennial Founders,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30</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00"/>
                  <w:sz w:val="20"/>
                </w:rPr>
                <w:t>Limited Liability Company Agreement of TRC-MRC 3,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31</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00"/>
                  <w:sz w:val="20"/>
                </w:rPr>
                <w:t>Fourth Amendment to Second Amended and Restated Limited Liability Company Agreement of Centennial Founders,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32</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00"/>
                  <w:sz w:val="20"/>
                </w:rPr>
                <w:t>Centennial Founders, LLC Redemption and Withdrawal Agreement - CalAtlantic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33</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00"/>
                  <w:sz w:val="20"/>
                </w:rPr>
                <w:t>Amended Revolving Line of Credit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34</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00"/>
                  <w:sz w:val="20"/>
                </w:rPr>
                <w:t>Amended Term Note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35</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t>
            </w:r>
            <w:hyperlink r:id="rId42">
              <w:r>
                <w:rPr>
                  <w:rStyle w:val="InternetLink"/>
                </w:rPr>
                <w:t>Executive Officer Severance Agreement - Gregory S. Bielli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38</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00"/>
                  <w:sz w:val="20"/>
                </w:rPr>
                <w:t>Limited Liability Company Agreement of TRC-MRC 4,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39</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Times New Roman;sans-serif" w:hAnsi="Times New Roman;sans-serif"/>
                  <w:b w:val="false"/>
                  <w:color w:val="000000"/>
                  <w:sz w:val="20"/>
                </w:rPr>
                <w:t>Settlement Agreement of CEQA litigation with Climate Resolve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40</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Times New Roman;sans-serif" w:hAnsi="Times New Roman;sans-serif"/>
                  <w:b w:val="false"/>
                  <w:color w:val="000000"/>
                  <w:sz w:val="20"/>
                </w:rPr>
                <w:t>Limited Liability Company Agreement of TRC-MRC Multi I,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41</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00"/>
                  <w:sz w:val="20"/>
                </w:rPr>
                <w:t>Limited Liability Company Agreement of TRC-MRC 5,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42</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Times New Roman;sans-serif" w:hAnsi="Times New Roman;sans-serif"/>
                  <w:b w:val="false"/>
                  <w:color w:val="000000"/>
                  <w:sz w:val="20"/>
                </w:rPr>
                <w:t>Credit Agreement Between Tejon Ranchcorp and Bank of America, N.A.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FN 43</w:t>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section302certceoq120.htm">
              <w:r>
                <w:rPr>
                  <w:rStyle w:val="InternetLink"/>
                  <w:rFonts w:ascii="Times New Roman;sans-serif" w:hAnsi="Times New Roman;sans-serif"/>
                  <w:b w:val="false"/>
                  <w:color w:val="000000"/>
                  <w:sz w:val="20"/>
                </w:rPr>
                <w:t>Certification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2section302cfoq12023.htm">
              <w:r>
                <w:rPr>
                  <w:rStyle w:val="InternetLink"/>
                  <w:rFonts w:ascii="Times New Roman;sans-serif" w:hAnsi="Times New Roman;sans-serif"/>
                  <w:b w:val="false"/>
                  <w:color w:val="000000"/>
                  <w:sz w:val="20"/>
                </w:rPr>
                <w:t>Certification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6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section906ceocfoq12023.htm">
              <w:r>
                <w:rPr>
                  <w:rStyle w:val="InternetLink"/>
                  <w:rFonts w:ascii="Times New Roman;sans-serif" w:hAnsi="Times New Roman;sans-serif"/>
                  <w:b w:val="false"/>
                  <w:color w:val="000000"/>
                  <w:sz w:val="20"/>
                </w:rPr>
                <w:t>Certification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7"/>
        <w:gridCol w:w="129"/>
        <w:gridCol w:w="131"/>
        <w:gridCol w:w="109"/>
        <w:gridCol w:w="109"/>
        <w:gridCol w:w="109"/>
        <w:gridCol w:w="2806"/>
        <w:gridCol w:w="2755"/>
        <w:gridCol w:w="3910"/>
      </w:tblGrid>
      <w:tr>
        <w:trPr/>
        <w:tc>
          <w:tcPr>
            <w:tcW w:w="14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6"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3910" w:type="dxa"/>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1" w:type="dxa"/>
            <w:gridSpan w:val="3"/>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3.1 to our Quarterly Report on Form 10-Q for the period ended June 30, 2021, is incorporated herein by reference.</w:t>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Fonts w:ascii="Times New Roman;sans-serif" w:hAnsi="Times New Roman;sans-serif"/>
                  <w:b w:val="false"/>
                  <w:color w:val="000000"/>
                  <w:sz w:val="20"/>
                </w:rPr>
                <w:t>This document, filed with the Securities and Exchange Commission in Washington, D.C. (file number 1-07183) as Exhibit 3.1 to our Current Report on Form 8-K filed on March 24, 2023, is incorporated herein by reference.</w:t>
              </w:r>
            </w:hyperlink>
          </w:p>
        </w:tc>
      </w:tr>
      <w:tr>
        <w:trPr/>
        <w:tc>
          <w:tcPr>
            <w:tcW w:w="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1" w:type="dxa"/>
            <w:gridSpan w:val="3"/>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1" w:type="dxa"/>
            <w:gridSpan w:val="3"/>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4.1 to our Current Report on Form 8-K filed on December 20, 2005, is incorporated herein by reference.</w:t>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under Item 14 to our Annual Report on Form 10-K for the year ended December 31, 1994, is incorporated herein by reference. This Exhibit was not filed with the Securities and Exchange Commission in an electronic format.</w:t>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under Item 14 to our Annual Report on Form 10-K for the year ended December 31, 1997, is incorporated herein by reference.</w:t>
            </w:r>
          </w:p>
        </w:tc>
      </w:tr>
    </w:tbl>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5"/>
        <w:gridCol w:w="145"/>
        <w:gridCol w:w="147"/>
        <w:gridCol w:w="109"/>
        <w:gridCol w:w="109"/>
        <w:gridCol w:w="109"/>
        <w:gridCol w:w="2756"/>
        <w:gridCol w:w="2756"/>
        <w:gridCol w:w="3909"/>
      </w:tblGrid>
      <w:tr>
        <w:trPr/>
        <w:tc>
          <w:tcPr>
            <w:tcW w:w="16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3909" w:type="dxa"/>
            <w:tcBorders/>
            <w:shd w:fill="auto" w:val="clear"/>
            <w:vAlign w:val="center"/>
          </w:tcPr>
          <w:p>
            <w:pPr>
              <w:pStyle w:val="TableContents"/>
              <w:spacing w:before="0" w:after="283"/>
              <w:rPr>
                <w:sz w:val="4"/>
                <w:szCs w:val="4"/>
              </w:rPr>
            </w:pPr>
            <w:r>
              <w:rPr>
                <w:sz w:val="4"/>
                <w:szCs w:val="4"/>
              </w:rPr>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8</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10.9 to our Annual Report on Form 10-K for the year ended December 31, 2008,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10.10 to our Annual Report on Form 10-K for the year ended December 31, 2008,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10.16 to our Annual Report on Form 10-K for the year ended December 31, 2001,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4.1 to our Current Report on Form 8-K filed on May 7, 2004,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4.2 to our Current Report on Form 8-K filed on May 7, 2004,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Exhibits 10.21-10.23 to our Annual Report on Form 10-K for the year ended December 31, 2004,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10.24 to our Current Report on Form 8-K filed on May 24, 2006,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10.28 to our Current Report on Form 8-K filed on June 23, 2008,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10.25 to our Quarterly Report on Form 10-Q for the period ended June 30, 2009,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10.26 to our Quarterly Report on Form 10-Q for the period ended March 31, 2013, for the period ended March 31, 2013,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10.27 to our Current Report on Form 8-K filed on June 4, 2013,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10.1 to our Current Report on Form 8-K filed on August 8, 2013,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10.29 to our Amended Annual Report on Form 10-K/A for the year ended December 31, 2013,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10.30 to our Current Report on Form 8-K filed on July 16, 2014,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Exhibits 10.31 to our Current Report on Form 8-K filed on October 17, 2014,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10.34 to our Annual Report on Form 10-K for the year ended December 31, 2014,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10.35 to our Quarterly Report on Form 10-Q for the period ended June 30, 2015,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10.32 to our Current Report on Form 8-K filed on October 17, 2014,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10.37 to our Quarterly Report on Form 10-Q for the period ended June 30, 2016,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10.38 to our Quarterly Report on Form 10-Q for the period ended September 30, 2016,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10.39 to our Annual Report on Form 10-K for the year ended December 31, 2016, is incorporated herein by reference.</w:t>
            </w:r>
          </w:p>
        </w:tc>
      </w:tr>
      <w:tr>
        <w:trPr/>
        <w:tc>
          <w:tcPr>
            <w:tcW w:w="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10.40 to our Annual Report on Form 10-K for the year ended December 31, 2016, is incorporated herein by reference.</w:t>
            </w:r>
          </w:p>
        </w:tc>
      </w:tr>
    </w:tbl>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6"/>
        <w:gridCol w:w="156"/>
        <w:gridCol w:w="157"/>
        <w:gridCol w:w="109"/>
        <w:gridCol w:w="109"/>
        <w:gridCol w:w="109"/>
        <w:gridCol w:w="2746"/>
        <w:gridCol w:w="2746"/>
        <w:gridCol w:w="3897"/>
      </w:tblGrid>
      <w:tr>
        <w:trPr/>
        <w:tc>
          <w:tcPr>
            <w:tcW w:w="1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3897" w:type="dxa"/>
            <w:tcBorders/>
            <w:shd w:fill="auto" w:val="clear"/>
            <w:vAlign w:val="center"/>
          </w:tcPr>
          <w:p>
            <w:pPr>
              <w:pStyle w:val="TableContents"/>
              <w:spacing w:before="0" w:after="283"/>
              <w:rPr>
                <w:sz w:val="4"/>
                <w:szCs w:val="4"/>
              </w:rPr>
            </w:pPr>
            <w:r>
              <w:rPr>
                <w:sz w:val="4"/>
                <w:szCs w:val="4"/>
              </w:rPr>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10.41 to our Annual Report on Form 10-K for the year ended December 31, 2016,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10.42 to our Quarterly Report on Form 10-Q for the period ended September 30, 2018,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10.43 to our Annual Report on Form 10-K for the year ended December 31, 2018,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10.44 to our Annual Report on Form 10-K for the year ended December 31, 2018,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10.45 to our Quarterly Report on Form 10-Q for the period ended September 30, 2019,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10.46 to our Quarterly Report on Form 10-Q for the period ended September 30, 2019,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10.33 to our Current Report on Form 8-K filed on October 17, 2014,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333-231032) as Exhibit 4.6 to our Registration Statement on Form S-3 filed on April 25, 2019,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10.47 to our Annual Report on Form 10-K for the year ended December 31, 2019,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10.48 to our Quarterly Report on Form 10-Q for the period ended March 31, 2021,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FN 40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10.49 to our Annual Report on Form 10-K for the year ended December 31, 2021,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10.50 to our Annual Report on Form 10-K for the year ended December 31, 2021,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10.51 to our Quarterly Report on Form 10-Q for the year ended March 31, 2022, is incorporated herein by reference.</w:t>
            </w:r>
          </w:p>
        </w:tc>
      </w:tr>
      <w:tr>
        <w:trPr/>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FN 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document, filed with the Securities and Exchange Commission in Washington, D.C. (file number 1-07183) as Exhibit 10.51 to our Quarterly Report on Form 10-Q for the year ended September 30, 2022, is incorporated herein by reference.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5457" w:type="dxa"/>
        <w:jc w:val="left"/>
        <w:tblInd w:w="0" w:type="dxa"/>
        <w:tblCellMar>
          <w:top w:w="28" w:type="dxa"/>
          <w:left w:w="28" w:type="dxa"/>
          <w:bottom w:w="28" w:type="dxa"/>
          <w:right w:w="28" w:type="dxa"/>
        </w:tblCellMar>
      </w:tblPr>
      <w:tblGrid>
        <w:gridCol w:w="417"/>
        <w:gridCol w:w="368"/>
        <w:gridCol w:w="370"/>
        <w:gridCol w:w="109"/>
        <w:gridCol w:w="109"/>
        <w:gridCol w:w="109"/>
        <w:gridCol w:w="1162"/>
        <w:gridCol w:w="1162"/>
        <w:gridCol w:w="1651"/>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TEJON RANCH CO.</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7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S. Bielli</w:t>
            </w:r>
          </w:p>
        </w:tc>
      </w:tr>
      <w:tr>
        <w:trPr/>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Bielli</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Allen E. Lyda</w:t>
            </w:r>
          </w:p>
        </w:tc>
      </w:tr>
      <w:tr>
        <w:trPr/>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Allen E. Lyda</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Officer/Chief Financial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D. Velasquez</w:t>
            </w:r>
          </w:p>
        </w:tc>
      </w:tr>
      <w:tr>
        <w:trPr/>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D. Velasquez</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spacing w:before="0" w:after="0"/>
        <w:jc w:val="center"/>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Gregory S. Bielli, certify that: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Tejon Ranch Co.;</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5828" w:type="dxa"/>
        <w:jc w:val="left"/>
        <w:tblInd w:w="0" w:type="dxa"/>
        <w:tblCellMar>
          <w:top w:w="28" w:type="dxa"/>
          <w:left w:w="28" w:type="dxa"/>
          <w:bottom w:w="28" w:type="dxa"/>
          <w:right w:w="28" w:type="dxa"/>
        </w:tblCellMar>
      </w:tblPr>
      <w:tblGrid>
        <w:gridCol w:w="238"/>
        <w:gridCol w:w="210"/>
        <w:gridCol w:w="212"/>
        <w:gridCol w:w="379"/>
        <w:gridCol w:w="379"/>
        <w:gridCol w:w="381"/>
        <w:gridCol w:w="273"/>
        <w:gridCol w:w="273"/>
        <w:gridCol w:w="273"/>
        <w:gridCol w:w="941"/>
        <w:gridCol w:w="941"/>
        <w:gridCol w:w="1328"/>
      </w:tblGrid>
      <w:tr>
        <w:trPr/>
        <w:tc>
          <w:tcPr>
            <w:tcW w:w="2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402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S. Bielli</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Bielli</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Allen E. Lyda, certify that: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Tejon Ranch Co.;</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6526" w:type="dxa"/>
        <w:jc w:val="left"/>
        <w:tblInd w:w="0" w:type="dxa"/>
        <w:tblCellMar>
          <w:top w:w="28" w:type="dxa"/>
          <w:left w:w="28" w:type="dxa"/>
          <w:bottom w:w="28" w:type="dxa"/>
          <w:right w:w="28" w:type="dxa"/>
        </w:tblCellMar>
      </w:tblPr>
      <w:tblGrid>
        <w:gridCol w:w="254"/>
        <w:gridCol w:w="224"/>
        <w:gridCol w:w="226"/>
        <w:gridCol w:w="379"/>
        <w:gridCol w:w="379"/>
        <w:gridCol w:w="381"/>
        <w:gridCol w:w="236"/>
        <w:gridCol w:w="236"/>
        <w:gridCol w:w="236"/>
        <w:gridCol w:w="1163"/>
        <w:gridCol w:w="1163"/>
        <w:gridCol w:w="1649"/>
      </w:tblGrid>
      <w:tr>
        <w:trPr/>
        <w:tc>
          <w:tcPr>
            <w:tcW w:w="2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468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Allen E. Lyda</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Allen E. Lyda</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Each of the undersigned hereby certifies, in his capacity as an officer of Tejon Ranch Co. (the “Company”), for purposes of 18 U.S.C. Section 1350, as adopted pursuant to Section 906 of the Sarbanes-Oxley Act of 2002, that to his own knowledge: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Quarterly Report of the Company on Form 10-Q for the period ended March 31, 2023 fully complies with the requirements of Section 13(a) of the Securities Exchange Act of 1934;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information contained in such report fairly presents, in all material respects, the financial condition and results of operation of the Company.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Tejon Ranch Co. and will be retained by Tejon Ranch Co., and furnished to the Securities and Exchange Commission or its staff upon request.</w:t>
      </w:r>
    </w:p>
    <w:p>
      <w:pPr>
        <w:pStyle w:val="TextBody"/>
        <w:spacing w:lineRule="auto" w:line="288" w:before="0" w:after="0"/>
        <w:rPr>
          <w:color w:val="000000"/>
        </w:rPr>
      </w:pPr>
      <w:r>
        <w:rPr>
          <w:color w:val="000000"/>
        </w:rPr>
        <w:t> </w:t>
      </w:r>
    </w:p>
    <w:tbl>
      <w:tblPr>
        <w:tblW w:w="4315" w:type="dxa"/>
        <w:jc w:val="left"/>
        <w:tblInd w:w="0" w:type="dxa"/>
        <w:tblCellMar>
          <w:top w:w="28" w:type="dxa"/>
          <w:left w:w="28" w:type="dxa"/>
          <w:bottom w:w="28" w:type="dxa"/>
          <w:right w:w="28" w:type="dxa"/>
        </w:tblCellMar>
      </w:tblPr>
      <w:tblGrid>
        <w:gridCol w:w="543"/>
        <w:gridCol w:w="479"/>
        <w:gridCol w:w="484"/>
        <w:gridCol w:w="811"/>
        <w:gridCol w:w="811"/>
        <w:gridCol w:w="815"/>
        <w:gridCol w:w="109"/>
        <w:gridCol w:w="109"/>
        <w:gridCol w:w="154"/>
      </w:tblGrid>
      <w:tr>
        <w:trPr/>
        <w:tc>
          <w:tcPr>
            <w:tcW w:w="54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24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S. Bielli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Bielli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Allen E. Lyda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Allen E. Lyda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Unicode M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6869/000009686921000016/ex31restatedcertificateo.htm" TargetMode="External"/><Relationship Id="rId4" Type="http://schemas.openxmlformats.org/officeDocument/2006/relationships/hyperlink" Target="http://www.sec.gov/Archives/edgar/data/96869/000119312520151616/d937443dex991.htm" TargetMode="External"/><Relationship Id="rId5" Type="http://schemas.openxmlformats.org/officeDocument/2006/relationships/hyperlink" Target="http://www.sec.gov/Archives/edgar/data/96869/000119312505245123/dex41.htm" TargetMode="External"/><Relationship Id="rId6" Type="http://schemas.openxmlformats.org/officeDocument/2006/relationships/hyperlink" Target="http://www.sec.gov/Archives/edgar/data/96869/000119312519119877/d718363dex46.htm" TargetMode="External"/><Relationship Id="rId7" Type="http://schemas.openxmlformats.org/officeDocument/2006/relationships/hyperlink" Target="http://www.sec.gov/Archives/edgar/data/96869/0000096869-98-000002.txt" TargetMode="External"/><Relationship Id="rId8" Type="http://schemas.openxmlformats.org/officeDocument/2006/relationships/hyperlink" Target="http://www.sec.gov/Archives/edgar/data/96869/0000096869-98-000002.txt" TargetMode="External"/><Relationship Id="rId9" Type="http://schemas.openxmlformats.org/officeDocument/2006/relationships/hyperlink" Target="http://www.sec.gov/Archives/edgar/data/96869/000119312509042772/dex109.htm" TargetMode="External"/><Relationship Id="rId10" Type="http://schemas.openxmlformats.org/officeDocument/2006/relationships/hyperlink" Target="http://www.sec.gov/Archives/edgar/data/96869/0000096869-98-000002.txt" TargetMode="External"/><Relationship Id="rId11" Type="http://schemas.openxmlformats.org/officeDocument/2006/relationships/hyperlink" Target="http://www.sec.gov/Archives/edgar/data/96869/000119312509042772/dex1010.htm" TargetMode="External"/><Relationship Id="rId12" Type="http://schemas.openxmlformats.org/officeDocument/2006/relationships/hyperlink" Target="http://www.sec.gov/Archives/edgar/data/96869/0000096869-98-000002.txt" TargetMode="External"/><Relationship Id="rId13" Type="http://schemas.openxmlformats.org/officeDocument/2006/relationships/hyperlink" Target="http://www.sec.gov/Archives/edgar/data/96869/000102140802004535/dex1016.txt" TargetMode="External"/><Relationship Id="rId14" Type="http://schemas.openxmlformats.org/officeDocument/2006/relationships/hyperlink" Target="http://www.sec.gov/Archives/edgar/data/96869/000119312504082310/dex41.htm" TargetMode="External"/><Relationship Id="rId15" Type="http://schemas.openxmlformats.org/officeDocument/2006/relationships/hyperlink" Target="http://www.sec.gov/Archives/edgar/data/96869/000119312504082310/dex42.htm" TargetMode="External"/><Relationship Id="rId16" Type="http://schemas.openxmlformats.org/officeDocument/2006/relationships/hyperlink" Target="http://www.sec.gov/Archives/edgar/data/96869/000119312505051499/dex1021.htm" TargetMode="External"/><Relationship Id="rId17" Type="http://schemas.openxmlformats.org/officeDocument/2006/relationships/hyperlink" Target="http://www.sec.gov/Archives/edgar/data/96869/000119312505051499/dex1023.htm" TargetMode="External"/><Relationship Id="rId18" Type="http://schemas.openxmlformats.org/officeDocument/2006/relationships/hyperlink" Target="http://www.sec.gov/Archives/edgar/data/96869/000119312505051499/dex1022.htm" TargetMode="External"/><Relationship Id="rId19" Type="http://schemas.openxmlformats.org/officeDocument/2006/relationships/hyperlink" Target="http://www.sec.gov/Archives/edgar/data/96869/000119312506118520/dex1024.htm" TargetMode="External"/><Relationship Id="rId20" Type="http://schemas.openxmlformats.org/officeDocument/2006/relationships/hyperlink" Target="http://www.sec.gov/Archives/edgar/data/96869/000119312508138009/dex1028.htm" TargetMode="External"/><Relationship Id="rId21" Type="http://schemas.openxmlformats.org/officeDocument/2006/relationships/hyperlink" Target="http://www.sec.gov/Archives/edgar/data/96869/000119312509170594/dex1025.htm" TargetMode="External"/><Relationship Id="rId22" Type="http://schemas.openxmlformats.org/officeDocument/2006/relationships/hyperlink" Target="http://www.sec.gov/Archives/edgar/data/96869/000144530513001209/exhibit1026-execagreementa.htm" TargetMode="External"/><Relationship Id="rId23" Type="http://schemas.openxmlformats.org/officeDocument/2006/relationships/hyperlink" Target="http://www.sec.gov/Archives/edgar/data/96869/000119312513246605/d549609dex1027.htm" TargetMode="External"/><Relationship Id="rId24" Type="http://schemas.openxmlformats.org/officeDocument/2006/relationships/hyperlink" Target="http://www.sec.gov/Archives/edgar/data/96869/000119312513326495/d581835dex101.htm" TargetMode="External"/><Relationship Id="rId25" Type="http://schemas.openxmlformats.org/officeDocument/2006/relationships/hyperlink" Target="http://www.sec.gov/Archives/edgar/data/96869/000009686914000009/exhibit1029tmvamendments20.htm" TargetMode="External"/><Relationship Id="rId26" Type="http://schemas.openxmlformats.org/officeDocument/2006/relationships/hyperlink" Target="http://www.sec.gov/Archives/edgar/data/96869/000119312514270067/d758856dex1030.htm" TargetMode="External"/><Relationship Id="rId27" Type="http://schemas.openxmlformats.org/officeDocument/2006/relationships/hyperlink" Target="http://www.sec.gov/Archives/edgar/data/96869/000119312514375013/d806135dex1031.htm" TargetMode="External"/><Relationship Id="rId28" Type="http://schemas.openxmlformats.org/officeDocument/2006/relationships/hyperlink" Target="http://www.sec.gov/Archives/edgar/data/96869/000119312514375013/d806135dex1032.htm" TargetMode="External"/><Relationship Id="rId29" Type="http://schemas.openxmlformats.org/officeDocument/2006/relationships/hyperlink" Target="http://www.sec.gov/Archives/edgar/data/96869/000119312514375013/d806135dex1033.htm" TargetMode="External"/><Relationship Id="rId30" Type="http://schemas.openxmlformats.org/officeDocument/2006/relationships/hyperlink" Target="http://www.sec.gov/Archives/edgar/data/96869/000009686915000003/exhibit1034calpineagreemen.htm" TargetMode="External"/><Relationship Id="rId31" Type="http://schemas.openxmlformats.org/officeDocument/2006/relationships/hyperlink" Target="http://www.sec.gov/Archives/edgar/data/96869/000009686915000010/ex1035q32015.htm" TargetMode="External"/><Relationship Id="rId32" Type="http://schemas.openxmlformats.org/officeDocument/2006/relationships/hyperlink" Target="http://www.sec.gov/Archives/edgar/data/96869/000009686916000017/ex1037limitedliabilityagre.htm" TargetMode="External"/><Relationship Id="rId33" Type="http://schemas.openxmlformats.org/officeDocument/2006/relationships/hyperlink" Target="http://www.sec.gov/Archives/edgar/data/96869/000009686916000019/ex1038llagreementoftrc-mrc1.htm" TargetMode="External"/><Relationship Id="rId34" Type="http://schemas.openxmlformats.org/officeDocument/2006/relationships/hyperlink" Target="http://www.sec.gov/Archives/edgar/data/96869/000009686917000002/exhibit1039centennialredem.htm" TargetMode="External"/><Relationship Id="rId35" Type="http://schemas.openxmlformats.org/officeDocument/2006/relationships/hyperlink" Target="http://www.sec.gov/Archives/edgar/data/96869/000009686917000002/exhibit1040firstamendmentt.htm" TargetMode="External"/><Relationship Id="rId36" Type="http://schemas.openxmlformats.org/officeDocument/2006/relationships/hyperlink" Target="http://www.sec.gov/Archives/edgar/data/96869/000009686917000002/exhibit1041secondamendment.htm" TargetMode="External"/><Relationship Id="rId37" Type="http://schemas.openxmlformats.org/officeDocument/2006/relationships/hyperlink" Target="http://www.sec.gov/Archives/edgar/data/96869/000009686918000015/ex1042trcmrc3llc.htm" TargetMode="External"/><Relationship Id="rId38" Type="http://schemas.openxmlformats.org/officeDocument/2006/relationships/hyperlink" Target="http://www.sec.gov/Archives/edgar/data/96869/000009686919000004/exhibit1043201810k.htm" TargetMode="External"/><Relationship Id="rId39" Type="http://schemas.openxmlformats.org/officeDocument/2006/relationships/hyperlink" Target="http://www.sec.gov/Archives/edgar/data/96869/000009686919000004/exhibit1044201810k.htm" TargetMode="External"/><Relationship Id="rId40" Type="http://schemas.openxmlformats.org/officeDocument/2006/relationships/hyperlink" Target="http://www.sec.gov/Archives/edgar/data/96869/000009686919000014/ex1046aloc.htm" TargetMode="External"/><Relationship Id="rId41" Type="http://schemas.openxmlformats.org/officeDocument/2006/relationships/hyperlink" Target="http://www.sec.gov/Archives/edgar/data/96869/000009686919000014/ex1045atn.htm" TargetMode="External"/><Relationship Id="rId42" Type="http://schemas.openxmlformats.org/officeDocument/2006/relationships/hyperlink" Target="http://www.sec.gov/Archives/edgar/data/96869/000009686920000007/exhibit1047-gregbseverance.htm" TargetMode="External"/><Relationship Id="rId43" Type="http://schemas.openxmlformats.org/officeDocument/2006/relationships/hyperlink" Target="http://www.sec.gov/Archives/edgar/data/96869/000009686921000011/ex1048mrc4llc.htm" TargetMode="External"/><Relationship Id="rId44" Type="http://schemas.openxmlformats.org/officeDocument/2006/relationships/hyperlink" Target="http://www.sec.gov/Archives/edgar/data/96869/000009686922000005/exhibit1048centennialcrf.htm" TargetMode="External"/><Relationship Id="rId45" Type="http://schemas.openxmlformats.org/officeDocument/2006/relationships/hyperlink" Target="http://www.sec.gov/Archives/edgar/data/96869/000009686922000005/exhibit1050trc-mrcmultii.htm" TargetMode="External"/><Relationship Id="rId46" Type="http://schemas.openxmlformats.org/officeDocument/2006/relationships/hyperlink" Target="http://www.sec.gov/Archives/edgar/data/96869/000009686922000009/ex1051mrc5.htm" TargetMode="External"/><Relationship Id="rId47" Type="http://schemas.openxmlformats.org/officeDocument/2006/relationships/hyperlink" Target="http://www.sec.gov/Archives/edgar/data/96869/000009686922000012/ex1052creditagreementbof.htm" TargetMode="External"/><Relationship Id="rId48" Type="http://schemas.openxmlformats.org/officeDocument/2006/relationships/hyperlink" Target="http://www.sec.gov/ix?doc=/Archives/edgar/data/96869/000119312523079260/d487105d8k.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24842</Words>
  <CharactersWithSpaces>158485</CharactersWithSpaces>
  <Paragraphs>2807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