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260" w:lineRule="exact"/>
        <w:rPr>
          <w:sz w:val="24"/>
          <w:szCs w:val="24"/>
          <w:color w:val="auto"/>
        </w:rPr>
      </w:pPr>
    </w:p>
    <w:p>
      <w:pPr>
        <w:jc w:val="center"/>
        <w:ind w:left="3860" w:right="1300" w:hanging="2450"/>
        <w:spacing w:after="0" w:line="283" w:lineRule="auto"/>
        <w:tabs>
          <w:tab w:leader="none" w:pos="161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109855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TEJON RANCH CO.</w:t>
      </w:r>
    </w:p>
    <w:p>
      <w:pPr>
        <w:spacing w:after="0" w:line="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77-0196136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 Box 1000, Tejon Ranch, California 93243</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(661) 248-3000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$0.50 par value</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55" w:lineRule="exact"/>
        <w:rPr>
          <w:sz w:val="24"/>
          <w:szCs w:val="24"/>
          <w:color w:val="auto"/>
        </w:rPr>
      </w:pPr>
    </w:p>
    <w:p>
      <w:pPr>
        <w:ind w:left="20" w:right="2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6" w:lineRule="exact"/>
        <w:rPr>
          <w:sz w:val="24"/>
          <w:szCs w:val="24"/>
          <w:color w:val="auto"/>
        </w:rPr>
      </w:pPr>
    </w:p>
    <w:p>
      <w:pPr>
        <w:ind w:left="20" w:right="28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44" w:lineRule="exact"/>
        <w:rPr>
          <w:sz w:val="24"/>
          <w:szCs w:val="24"/>
          <w:color w:val="auto"/>
        </w:rPr>
      </w:pPr>
    </w:p>
    <w:p>
      <w:pPr>
        <w:ind w:left="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954" w:right="439" w:bottom="1440" w:gutter="0" w:footer="0" w:header="0"/>
        </w:sectPr>
      </w:pPr>
    </w:p>
    <w:p>
      <w:pPr>
        <w:spacing w:after="0" w:line="115" w:lineRule="exact"/>
        <w:rPr>
          <w:sz w:val="24"/>
          <w:szCs w:val="24"/>
          <w:color w:val="auto"/>
        </w:rPr>
      </w:pPr>
    </w:p>
    <w:p>
      <w:pPr>
        <w:ind w:left="20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2">
            <w:col w:w="4540" w:space="720"/>
            <w:col w:w="5880"/>
          </w:cols>
          <w:pgMar w:left="320" w:top="954" w:right="439" w:bottom="1440" w:gutter="0" w:footer="0" w:header="0"/>
          <w:type w:val="continuous"/>
        </w:sectPr>
      </w:pPr>
    </w:p>
    <w:p>
      <w:pPr>
        <w:ind w:left="212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3840" w:space="720"/>
            <w:col w:w="6580"/>
          </w:cols>
          <w:pgMar w:left="320" w:top="954" w:right="439" w:bottom="1440" w:gutter="0" w:footer="0" w:header="0"/>
          <w:type w:val="continuous"/>
        </w:sectPr>
      </w:pPr>
    </w:p>
    <w:p>
      <w:pPr>
        <w:jc w:val="center"/>
        <w:ind w:righ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140"/>
          </w:cols>
          <w:pgMar w:left="320" w:top="954" w:right="439" w:bottom="1440" w:gutter="0" w:footer="0" w:header="0"/>
          <w:type w:val="continuous"/>
        </w:sectPr>
      </w:pPr>
    </w:p>
    <w:p>
      <w:pPr>
        <w:spacing w:after="0" w:line="207" w:lineRule="exact"/>
        <w:rPr>
          <w:sz w:val="24"/>
          <w:szCs w:val="24"/>
          <w:color w:val="auto"/>
        </w:rPr>
      </w:pPr>
    </w:p>
    <w:p>
      <w:pPr>
        <w:ind w:left="20" w:right="460"/>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2" w:lineRule="exact"/>
        <w:rPr>
          <w:sz w:val="24"/>
          <w:szCs w:val="24"/>
          <w:color w:val="auto"/>
        </w:rPr>
      </w:pPr>
    </w:p>
    <w:p>
      <w:pPr>
        <w:ind w:left="20"/>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the Company’s outstanding shares of Common Stock on October 31, 2022 was 26,499,626.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9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00" w:type="dxa"/>
            <w:vAlign w:val="bottom"/>
            <w:vMerge w:val="continue"/>
          </w:tcPr>
          <w:p>
            <w:pPr>
              <w:spacing w:after="0"/>
              <w:rPr>
                <w:sz w:val="18"/>
                <w:szCs w:val="18"/>
                <w:color w:val="auto"/>
              </w:rPr>
            </w:pPr>
          </w:p>
        </w:tc>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and Nine Months Ended September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Comprehensive Income for the Three and Nine Months Ended September 30, 2022 and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Balance Sheets as of September 30, 2022 (unaudited) and December 31,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Nine Months Ended September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Consolidated Statement of Changes in Equity and Noncontrolling Interests for the Three and Nine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2022 and 2021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391"/>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46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1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Mineral resources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Farming</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Ranch operations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 commercial/industrial</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 resort/residential</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Mineral resources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Farming</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Ranch operations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expenses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42,398</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(loss) from operations before equity in earnings of</w:t>
            </w: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10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10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share attributable to common stockholders,</w:t>
            </w:r>
          </w:p>
        </w:tc>
        <w:tc>
          <w:tcPr>
            <w:tcW w:w="1040" w:type="dxa"/>
            <w:vAlign w:val="bottom"/>
            <w:vMerge w:val="restart"/>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TEJON RANCH CO. AND SUBSIDIARIES UNAUDITED CONSOLIDATED STATEMENTS OF COMPREHENSIVE INCOME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8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2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Unrealized gain on interest rate swap</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gain before taxes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176"/>
        </w:trPr>
        <w:tc>
          <w:tcPr>
            <w:tcW w:w="42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Expense for income taxes related to other</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income items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(loss) income attributable to non-</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0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42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common</w:t>
            </w:r>
          </w:p>
        </w:tc>
        <w:tc>
          <w:tcPr>
            <w:tcW w:w="10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2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0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19"/>
                <w:szCs w:val="19"/>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34"/>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2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Marketable securities - available-for-sale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9"/>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175"/>
        </w:trPr>
        <w:tc>
          <w:tcPr>
            <w:tcW w:w="7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Real estate development (includes $114,284 at September 30, 2022 and $112,063 at December 31,</w:t>
            </w: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attributable to Centennial Founders, LLC, Note 15)</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50,699</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water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gains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89,525</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Tejon Ranch Co. Stockholders’ Equity</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 stock, $0.50 par value per share: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Authorized shares - 50,000,000</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Issued and outstanding shares - 26,491,770 at September 30, 2022 and 26,400,921 at</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0" w:type="dxa"/>
            <w:vAlign w:val="bottom"/>
          </w:tcPr>
          <w:p>
            <w:pPr>
              <w:spacing w:after="0"/>
              <w:rPr>
                <w:sz w:val="1"/>
                <w:szCs w:val="1"/>
                <w:color w:val="auto"/>
              </w:rPr>
            </w:pPr>
          </w:p>
        </w:tc>
      </w:tr>
      <w:tr>
        <w:trPr>
          <w:trHeight w:val="230"/>
        </w:trPr>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344,936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Tejon Ranch Co. Stockholders’ Equity</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441,149</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456,511</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546,036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used by operating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premium/discount of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earnings of unconsolidated joint ventures,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retirement plan expense (benefit)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profits recognized from land contribution</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29"/>
        </w:trPr>
        <w:tc>
          <w:tcPr>
            <w:tcW w:w="772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Profit from water sales</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Profit from land sales</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Excess tax shortfall from stock-based compensation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 fee write-off</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earnings from unconsolidated joint ventures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 inventories, prepaids and other assets,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invested in marketable securities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and equipment expenditures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Reimbursement proceeds from Community Facilities District</w:t>
            </w:r>
          </w:p>
        </w:tc>
        <w:tc>
          <w:tcPr>
            <w:tcW w:w="10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estate/assets</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equity from unconsolidated joint ventures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Proceeds from water sales</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water assets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proceeds from land sales</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Interest rate swap settlement</w:t>
            </w:r>
            <w:r>
              <w:rPr>
                <w:rFonts w:ascii="Times New Roman" w:cs="Times New Roman" w:eastAsia="Times New Roman" w:hAnsi="Times New Roman"/>
                <w:sz w:val="23"/>
                <w:szCs w:val="23"/>
                <w:color w:val="auto"/>
                <w:vertAlign w:val="superscript"/>
              </w:rPr>
              <w:t>3</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on vested stock grants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7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(Shown in Other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 included in current liabilities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long-term water assets included in current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vMerge w:val="restart"/>
          </w:tcPr>
          <w:p>
            <w:pPr>
              <w:ind w:left="360"/>
              <w:spacing w:after="0" w:line="243" w:lineRule="exact"/>
              <w:rPr>
                <w:sz w:val="20"/>
                <w:szCs w:val="20"/>
                <w:color w:val="auto"/>
              </w:rPr>
            </w:pPr>
            <w:r>
              <w:rPr>
                <w:rFonts w:ascii="Times New Roman" w:cs="Times New Roman" w:eastAsia="Times New Roman" w:hAnsi="Times New Roman"/>
                <w:sz w:val="18"/>
                <w:szCs w:val="18"/>
                <w:color w:val="auto"/>
              </w:rPr>
              <w:t>Contribution to unconsolidated joint venture</w:t>
            </w:r>
            <w:r>
              <w:rPr>
                <w:rFonts w:ascii="Times New Roman" w:cs="Times New Roman" w:eastAsia="Times New Roman" w:hAnsi="Times New Roman"/>
                <w:sz w:val="23"/>
                <w:szCs w:val="23"/>
                <w:color w:val="auto"/>
                <w:vertAlign w:val="superscript"/>
              </w:rPr>
              <w:t>2</w:t>
            </w: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tcBorders>
              <w:top w:val="single" w:sz="8" w:color="CCEEFF"/>
            </w:tcBorders>
            <w:vMerge w:val="continue"/>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Long term deferred profit on land contribution</w:t>
            </w:r>
            <w:r>
              <w:rPr>
                <w:rFonts w:ascii="Times New Roman" w:cs="Times New Roman" w:eastAsia="Times New Roman" w:hAnsi="Times New Roman"/>
                <w:sz w:val="23"/>
                <w:szCs w:val="23"/>
                <w:color w:val="auto"/>
                <w:vertAlign w:val="superscript"/>
              </w:rPr>
              <w:t>2</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0" w:right="120"/>
        <w:spacing w:after="0" w:line="21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 determining the classification of cash inflows and outflows related to water asset activity, the Company’s practices are supported by Accounting Standards Codification (“ASC”) 230-10-45-22, which provides that “Certain cash receipts and payments have aspects of more than one class of cash flows…. If so, the appropriate classification</w:t>
      </w:r>
    </w:p>
    <w:p>
      <w:pPr>
        <w:spacing w:after="0" w:line="1" w:lineRule="exact"/>
        <w:rPr>
          <w:sz w:val="20"/>
          <w:szCs w:val="20"/>
          <w:color w:val="auto"/>
        </w:rPr>
      </w:pPr>
    </w:p>
    <w:p>
      <w:pPr>
        <w:ind w:left="20" w:right="220"/>
        <w:spacing w:after="0" w:line="238" w:lineRule="auto"/>
        <w:rPr>
          <w:sz w:val="20"/>
          <w:szCs w:val="20"/>
          <w:color w:val="auto"/>
        </w:rPr>
      </w:pPr>
      <w:r>
        <w:rPr>
          <w:rFonts w:ascii="Times New Roman" w:cs="Times New Roman" w:eastAsia="Times New Roman" w:hAnsi="Times New Roman"/>
          <w:sz w:val="16"/>
          <w:szCs w:val="16"/>
          <w:color w:val="auto"/>
        </w:rPr>
        <w:t>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4" w:lineRule="exact"/>
        <w:rPr>
          <w:sz w:val="20"/>
          <w:szCs w:val="20"/>
          <w:color w:val="auto"/>
        </w:rPr>
      </w:pPr>
    </w:p>
    <w:p>
      <w:pPr>
        <w:ind w:left="20" w:right="20"/>
        <w:spacing w:after="0" w:line="246" w:lineRule="auto"/>
        <w:rPr>
          <w:sz w:val="20"/>
          <w:szCs w:val="20"/>
          <w:color w:val="auto"/>
        </w:rPr>
      </w:pPr>
      <w:r>
        <w:rPr>
          <w:rFonts w:ascii="Times New Roman" w:cs="Times New Roman" w:eastAsia="Times New Roman" w:hAnsi="Times New Roman"/>
          <w:sz w:val="16"/>
          <w:szCs w:val="16"/>
          <w:color w:val="auto"/>
        </w:rPr>
        <w:t>Given the nature of our water assets and the aforementioned authoritative guidance, the Company estimates the appropriate classification of water assets purchased based on the timing of the sale of the water. Water purchased in prior periods that was classified as investing was sold for $5.2 million in 2022, this cash inflow is appropriately classified in the Company’s investing activities. The profit of $1.9 million related to the water purchased in prior periods is appropriately being deducted from operating activities for the current period. The Company has and will continue to apply this methodology to water asset transactions that meet this fact pattern.</w:t>
      </w:r>
    </w:p>
    <w:p>
      <w:pPr>
        <w:spacing w:after="0" w:line="15" w:lineRule="exact"/>
        <w:rPr>
          <w:sz w:val="20"/>
          <w:szCs w:val="20"/>
          <w:color w:val="auto"/>
        </w:rPr>
      </w:pPr>
    </w:p>
    <w:p>
      <w:pPr>
        <w:ind w:left="20" w:right="260"/>
        <w:spacing w:after="0" w:line="215"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In determining the classification of cash inflows and outflows related to land development costs, the Company’s practices are supported by Accounting Standards Codification (“ASC”) 230-10-45-22, which provides that “Certain cash receipts and payments have aspects of more than one class of cash flows…. If so, the appropriate</w:t>
      </w:r>
    </w:p>
    <w:p>
      <w:pPr>
        <w:spacing w:after="0" w:line="1" w:lineRule="exact"/>
        <w:rPr>
          <w:sz w:val="20"/>
          <w:szCs w:val="20"/>
          <w:color w:val="auto"/>
        </w:rPr>
      </w:pPr>
    </w:p>
    <w:p>
      <w:pPr>
        <w:jc w:val="both"/>
        <w:ind w:left="20" w:right="160"/>
        <w:spacing w:after="0" w:line="238" w:lineRule="auto"/>
        <w:rPr>
          <w:sz w:val="20"/>
          <w:szCs w:val="20"/>
          <w:color w:val="auto"/>
        </w:rPr>
      </w:pPr>
      <w:r>
        <w:rPr>
          <w:rFonts w:ascii="Times New Roman" w:cs="Times New Roman" w:eastAsia="Times New Roman" w:hAnsi="Times New Roman"/>
          <w:sz w:val="16"/>
          <w:szCs w:val="16"/>
          <w:color w:val="auto"/>
        </w:rPr>
        <w:t>classification shall depend on the activity that is likely to be the predominant source of cash flows for the item.” Also, at the 2006 American Institution of Certified Public Accountants Conference on Current SEC and PCAOB Developments, the Securities and Exchange Commission, or SEC staff discussed that an entity should be consistent in how it classifies cash outflows and inflows related to an asset’s purchase and sale and noted that when cash flow classification is unclear, registrants must use judgment and analysis that considers the nature of the activity and the predominant source of cash flow for these items.</w:t>
      </w:r>
    </w:p>
    <w:p>
      <w:pPr>
        <w:spacing w:after="0" w:line="224"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6"/>
          <w:szCs w:val="16"/>
          <w:color w:val="auto"/>
        </w:rPr>
        <w:t>Given the nature of our land development costs and the aforementioned authoritative guidance, the Company estimates the appropriate classification of land development costs based on the timing of the sale of land. Land development costs incurred during prior periods that were classified as investing were sold for $26.7 million in gross proceeds in 2022, this cash inflow is appropriately classified in the Company’s investing activities. The profit of $18.4 million related to land development costs incurred in prior periods is appropriately being deducted from operating activities for the current period. The Company has and will continue to apply this methodology to land sale transactions that meet this fact pattern.</w:t>
      </w:r>
    </w:p>
    <w:p>
      <w:pPr>
        <w:spacing w:after="0" w:line="224" w:lineRule="exact"/>
        <w:rPr>
          <w:sz w:val="20"/>
          <w:szCs w:val="20"/>
          <w:color w:val="auto"/>
        </w:rPr>
      </w:pPr>
    </w:p>
    <w:p>
      <w:pPr>
        <w:ind w:left="20" w:right="40"/>
        <w:spacing w:after="0" w:line="242" w:lineRule="auto"/>
        <w:rPr>
          <w:sz w:val="20"/>
          <w:szCs w:val="20"/>
          <w:color w:val="auto"/>
        </w:rPr>
      </w:pPr>
      <w:r>
        <w:rPr>
          <w:rFonts w:ascii="Times New Roman" w:cs="Times New Roman" w:eastAsia="Times New Roman" w:hAnsi="Times New Roman"/>
          <w:sz w:val="16"/>
          <w:szCs w:val="16"/>
          <w:color w:val="auto"/>
        </w:rPr>
        <w:t>In June 2021, the Company contributed land with a fair value of $8.5 million to TRC-MRC 4, LLC an unconsolidated joint venture formed to pursue the development, construction, leasing, and management of a 630,000 square foot industrial building on the Company's property at TRCC-East. The total cost of the land was $2.9 million. The Company recognized $2.8 million in profit and deferred $2.8 million of profit after applying the five-step revenue recognition model in accordance with Accounting Standards Codification (ASC) Topic 606 — Revenue From Contracts With Customers and ASC Topic 323, Investments — Equity Method and Joint Ventures. 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264" w:lineRule="exact"/>
        <w:rPr>
          <w:sz w:val="20"/>
          <w:szCs w:val="20"/>
          <w:color w:val="auto"/>
        </w:rPr>
      </w:pPr>
    </w:p>
    <w:p>
      <w:pPr>
        <w:jc w:val="both"/>
        <w:ind w:left="20" w:right="60"/>
        <w:spacing w:after="0" w:line="210"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The Company had an interest rate swap agreement with Wells Fargo Bank, N.A. to reduce its exposure to fluctuations in the floating interest rate tied to the London Inter-Bank Offered Rate, or LIBOR, under a term note with Wells Fargo. The hedging relationship qualified as an effective cash flow hedge at the initial assessment, based upon a regression analysis, and is recorded at fair value. On June 27, 2022, the Company terminated the interest rate swap agreement with Wells Fargo and received a $1,123,200 cash termination fee from Wells Fargo. See Interest Rate Swap (Note 10) for further discussion.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shares outstanding)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Stock Shares</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3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880" w:type="dxa"/>
            <w:vAlign w:val="bottom"/>
            <w:gridSpan w:val="3"/>
            <w:vMerge w:val="continue"/>
          </w:tcPr>
          <w:p>
            <w:pPr>
              <w:spacing w:after="0"/>
              <w:rPr>
                <w:sz w:val="15"/>
                <w:szCs w:val="15"/>
                <w:color w:val="auto"/>
              </w:rPr>
            </w:pPr>
          </w:p>
        </w:tc>
        <w:tc>
          <w:tcPr>
            <w:tcW w:w="11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1"/>
                <w:szCs w:val="2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(Loss) Income</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21"/>
                <w:szCs w:val="2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21"/>
                <w:szCs w:val="21"/>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Interest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26,484,947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346,137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464,309</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5"/>
        </w:trPr>
        <w:tc>
          <w:tcPr>
            <w:tcW w:w="2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103,659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26,343,864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449,758</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176"/>
        </w:trPr>
        <w:tc>
          <w:tcPr>
            <w:tcW w:w="2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Additional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Common</w:t>
            </w: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Stock Shares</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Comprehensive</w:t>
            </w:r>
          </w:p>
        </w:tc>
        <w:tc>
          <w:tcPr>
            <w:tcW w:w="880" w:type="dxa"/>
            <w:vAlign w:val="bottom"/>
            <w:gridSpan w:val="3"/>
            <w:vMerge w:val="continue"/>
          </w:tcPr>
          <w:p>
            <w:pPr>
              <w:spacing w:after="0"/>
              <w:rPr>
                <w:sz w:val="15"/>
                <w:szCs w:val="15"/>
                <w:color w:val="auto"/>
              </w:rPr>
            </w:pPr>
          </w:p>
        </w:tc>
        <w:tc>
          <w:tcPr>
            <w:tcW w:w="11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1280" w:type="dxa"/>
            <w:vAlign w:val="bottom"/>
            <w:gridSpan w:val="3"/>
            <w:vMerge w:val="continue"/>
          </w:tcPr>
          <w:p>
            <w:pPr>
              <w:spacing w:after="0"/>
              <w:rPr>
                <w:sz w:val="15"/>
                <w:szCs w:val="15"/>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(Loss) Income</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Interest</w:t>
            </w:r>
          </w:p>
        </w:tc>
        <w:tc>
          <w:tcPr>
            <w:tcW w:w="9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26,400,921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103,659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26,276,830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Shares withheld for taxes and tax</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benefit of 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26,352,193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TEJON RANCH CO.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4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periods ended September 30, 2022 and 2021 include the consolidation of Centennial Founders, LLC’s statement of operations within the resort/residential real estate development segment, statements of changes in equity and noncontrolling interests, and statements of cash flows. The Company’s September 30, 2022 and December 31, 2021 balance sheets are presented on a consolidated basis, including the consolidation of Centennial Founders, LLC.</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Historically, the Company’s largest percentages of farming revenues are recognized during the third and fourth quarters of the fiscal year.</w:t>
      </w:r>
    </w:p>
    <w:p>
      <w:pPr>
        <w:spacing w:after="0" w:line="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information and a summary of significant accounting policies, refer to the Consolidated Financial Statements and notes thereto included in the Company’s Annual Report on Form 10-K for the year ended December 31,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Restricted cash is included in Prepaid expenses and other current assets within the Consolidated Balance Sheets and primarily relate to funds held in escrow. The Company had $1,203,000 of restricted cash as of September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new Accounting Standards Update, or ASU, is applicable to our consolidated financial statements as of September 30, 2022.</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based upon the weighted-average number of shares of common stock outstanding during the year. Diluted net income (loss) per share attributable to common stockholders is based upon the weighted average number of shares of common stock outstanding and the weighted average number of shares outstanding assuming the issuance of common stock upon exercise of stock options, warrants to purchase common stock, and the vesting of restricted stock grants per ASC Topic 260,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5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3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26,491,251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26,351,254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26,468,099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26,336,247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163,689</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164,364</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26,538,758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26,514,943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26,632,463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26,471,511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360" w:type="dxa"/>
            <w:vAlign w:val="bottom"/>
          </w:tcPr>
          <w:p>
            <w:pPr>
              <w:spacing w:after="0"/>
              <w:rPr>
                <w:sz w:val="24"/>
                <w:szCs w:val="24"/>
                <w:color w:val="auto"/>
              </w:rPr>
            </w:pP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6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Fair Value</w:t>
            </w:r>
          </w:p>
        </w:tc>
        <w:tc>
          <w:tcPr>
            <w:tcW w:w="260" w:type="dxa"/>
            <w:vAlign w:val="bottom"/>
          </w:tcPr>
          <w:p>
            <w:pPr>
              <w:spacing w:after="0"/>
              <w:rPr>
                <w:sz w:val="20"/>
                <w:szCs w:val="20"/>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1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Hierarchy</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Pr>
          <w:p>
            <w:pPr>
              <w:spacing w:after="0"/>
              <w:rPr>
                <w:sz w:val="21"/>
                <w:szCs w:val="21"/>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Certificates of deposit</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gains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U.S. Treasury and agency notes</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unrealized losses for less than 12 months</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unrealized losses for more than 12 months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Corporate notes</w:t>
            </w:r>
          </w:p>
        </w:tc>
        <w:tc>
          <w:tcPr>
            <w:tcW w:w="1860" w:type="dxa"/>
            <w:vAlign w:val="bottom"/>
            <w:tcBorders>
              <w:top w:val="single" w:sz="8" w:color="CCEEFF"/>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ASC Topic 326, "Financial Instruments - Credit Losses," requires the Company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2022, the Company has not recorded any credit losses.</w:t>
      </w:r>
    </w:p>
    <w:p>
      <w:pPr>
        <w:spacing w:after="0" w:line="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2022, the fair market value of marketable securities was $287,000 below their cost basis. The Company’s gross unrealized holding gains equaled $1,000 and gross unrealized holding losses equaled $288,000. As of September 30, 2022, the adjustment to accumulated other comprehensive loss reflected a decline in market value of $278,000, including estimated taxes of $78,000.</w:t>
      </w:r>
    </w:p>
    <w:p>
      <w:pPr>
        <w:spacing w:after="0" w:line="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elected to exclude applicable accrued interest from both the fair value and the amortized cost basis of the available-for-sale debt securities, and separately present the accrued interest receivable balance per ASC Topic 326. The accrued interest receivables balance totaled $151,000 as of September 30, 2022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Treasury and agency notes</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unrealized losses on the Company's investments in U.S. Treasury and agency notes at September 30, 2022 and December 31, 2021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September 30, 2022 and December 31, 2021, the Company did not intend to sell these securities and it is not more-likely-than-not that the Company would be required to sell these securities before recovery of their cost basis. Therefore, these investments did not require an ACL as of September 30, 2022 and December 31,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Corporate notes</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September 30, 2022 and December 31, 2021, the Company did not intend to sell these securities and it is not more-likely-than-not that the Company would be required to sell these securities before recovery of their cost basis. Therefore, these investments did not require an ACL as of September 30, 2022 and 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 the maturities, at par, of marketable securities as of:</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1"/>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2022</w:t>
            </w: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w:t>
            </w:r>
          </w:p>
        </w:tc>
      </w:tr>
      <w:tr>
        <w:trPr>
          <w:trHeight w:val="223"/>
        </w:trPr>
        <w:tc>
          <w:tcPr>
            <w:tcW w:w="7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31,535</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42"/>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2021</w:t>
            </w:r>
          </w:p>
        </w:tc>
        <w:tc>
          <w:tcPr>
            <w:tcW w:w="82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agency notes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r>
      <w:tr>
        <w:trPr>
          <w:trHeight w:val="223"/>
        </w:trPr>
        <w:tc>
          <w:tcPr>
            <w:tcW w:w="79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corporate notes are with companies that have an investment grade rating from Standard &amp; Poor’s as of September 30, 2022.</w:t>
      </w:r>
    </w:p>
    <w:p>
      <w:pPr>
        <w:spacing w:after="0" w:line="1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accumulated real estate development costs by project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 Village</w:t>
            </w:r>
          </w:p>
        </w:tc>
        <w:tc>
          <w:tcPr>
            <w:tcW w:w="2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150,668</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Centennial</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319,030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w:t>
            </w:r>
          </w:p>
        </w:tc>
        <w:tc>
          <w:tcPr>
            <w:tcW w:w="2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Tejon Ranch Commerce Center</w:t>
            </w:r>
          </w:p>
        </w:tc>
        <w:tc>
          <w:tcPr>
            <w:tcW w:w="2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and improvements - held for lease, net</w:t>
            </w:r>
          </w:p>
        </w:tc>
        <w:tc>
          <w:tcPr>
            <w:tcW w:w="2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WATER ASSETS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secured State Water Project, or SWP, entitlements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the Company's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initial term of the water purchase agreement with Nickel runs to 2044 and includes a Company option to extend the contract for an additional 35 years. The purchase cost of water in 2022 is $861 per acre-foot. The purchase cost is subject to annual cost increases based on the greater of the consumer price index or 3%.</w:t>
      </w:r>
    </w:p>
    <w:p>
      <w:pPr>
        <w:spacing w:after="0" w:line="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Water assets will ultimately be sold to water districts servicing the Company’s commercial/industrial and resort/residential real estate developments, and for the Company's own use in its agricultural operations. Interim uses may include the sale of the temporary “right-of-use” of portions of this water to third-party users on an annual basis until this water is fully allocated to Company uses, as previously described.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Water revenues and cost of sales were as follows for the nine months ended ($ in thousands):</w:t>
            </w: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2021</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Acre-Feet Sold</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6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costs assigned to water assets held for future use were as follows ($ in thousands):</w:t>
            </w: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6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Banked water and water for future delivery</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Water available for banking, sales, or internal use</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water held for future use at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Water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of its purchased water contracts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September 30, 2022</w:t>
            </w:r>
          </w:p>
        </w:tc>
        <w:tc>
          <w:tcPr>
            <w:tcW w:w="360" w:type="dxa"/>
            <w:vAlign w:val="bottom"/>
          </w:tcPr>
          <w:p>
            <w:pPr>
              <w:spacing w:after="0"/>
              <w:rPr>
                <w:sz w:val="20"/>
                <w:szCs w:val="20"/>
                <w:color w:val="auto"/>
              </w:rPr>
            </w:pPr>
          </w:p>
        </w:tc>
        <w:tc>
          <w:tcPr>
            <w:tcW w:w="302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69"/>
        </w:trPr>
        <w:tc>
          <w:tcPr>
            <w:tcW w:w="4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Accumulated</w:t>
            </w:r>
          </w:p>
        </w:tc>
      </w:tr>
      <w:tr>
        <w:trPr>
          <w:trHeight w:val="243"/>
        </w:trPr>
        <w:tc>
          <w:tcPr>
            <w:tcW w:w="4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Depreciation</w:t>
            </w: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Nickel water rights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w:t>
            </w:r>
          </w:p>
        </w:tc>
      </w:tr>
      <w:tr>
        <w:trPr>
          <w:trHeight w:val="223"/>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water held for future use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 w:name="page14"/>
    <w:bookmarkEnd w:id="13"/>
    <w:p>
      <w:pPr>
        <w:ind w:right="60"/>
        <w:spacing w:after="0" w:line="266" w:lineRule="auto"/>
        <w:rPr>
          <w:sz w:val="20"/>
          <w:szCs w:val="20"/>
          <w:color w:val="auto"/>
        </w:rPr>
      </w:pPr>
      <w:r>
        <w:rPr>
          <w:rFonts w:ascii="Times New Roman" w:cs="Times New Roman" w:eastAsia="Times New Roman" w:hAnsi="Times New Roman"/>
          <w:sz w:val="18"/>
          <w:szCs w:val="18"/>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acre-feet, unaudited)</w:t>
            </w:r>
          </w:p>
        </w:tc>
        <w:tc>
          <w:tcPr>
            <w:tcW w:w="2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September 30, 2022</w:t>
            </w: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held for future use</w:t>
            </w:r>
          </w:p>
        </w:tc>
        <w:tc>
          <w:tcPr>
            <w:tcW w:w="2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TCWD - Banked water owned by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56,189</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water bank</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50,349</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50,349</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available for banking, sales, or internal use</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water held for future use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106,671</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110,741</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 contracts</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Contracts (Dudley-Ridge, Nickel and Tulare)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WRMWSD - Contracts with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TCWD - Contracts with the Company</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r>
      <w:tr>
        <w:trPr>
          <w:trHeight w:val="223"/>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purchased water contracts</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water held for future use and purchased water contracts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138,104</w:t>
            </w:r>
          </w:p>
        </w:tc>
        <w:tc>
          <w:tcPr>
            <w:tcW w:w="10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142,174</w:t>
            </w:r>
          </w:p>
        </w:tc>
      </w:tr>
      <w:tr>
        <w:trPr>
          <w:trHeight w:val="21"/>
        </w:trPr>
        <w:tc>
          <w:tcPr>
            <w:tcW w:w="62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Tejon Ranchcorp, or Ranchcorp, a wholly-owned subsidiary of Tejon Ranch Co., entered into a Water Supply Agreement with Pastoria Energy Facility, L.L.C., or PEF, in 2015. PEF is a current lessee of the Company in a land lease for the operation of a power plant.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2022 is $1,224 per acre-foot, subject to 3% annual increases over the life of the contract. The Water Supply Agreement contains other customary terms and conditions, including representations and warranties that are typical for agreements of this type. The Company's commitments to sell water can be met through current water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 AND OTHER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paid personal leave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Property tax payable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LINE OF CREDIT AND LONG-TERM DEBT</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line-of-credit and current maturities of long-term debt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loan costs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48,612</w:t>
            </w: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On June 30, 2022, the Company entered into a variable rate term note, or New Term Note, and a new Revolving Line of Credit Note, or New RLC, with Bank of America, N.A, or collectively the New Credit Facility. The New Term Loan provided a principal amount of $49,080,000 and a maturity date of June 28, 2032, which was used to pay off the existing Wells Fargo Amended Term Note. The Company evaluated the debt exchange under Accounting Standards Codification (ASC) 470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determined that the exchange should be treated as a debt extinguishment. The amount of New RLC under the New Credit Facility is $40,607,000.</w:t>
      </w:r>
    </w:p>
    <w:p>
      <w:pPr>
        <w:spacing w:after="0" w:line="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New Term Note had a $48,833,000 balance as of September 30,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28, 2032. The New Credit Facility is secured by the Company's farmland and farm assets, which include equipment, crops and crop receivables; the PEF power plant lease and lease site; and related accounts and other rights to payment and inventory.</w:t>
      </w:r>
    </w:p>
    <w:p>
      <w:pPr>
        <w:spacing w:after="0" w:line="13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New RLC had no outstanding balance as of September 30, 2022. At the Company’s option, the interest rate on this line of credit can float at 1.37% over a selected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36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September 30, 2022</w:t>
            </w:r>
          </w:p>
        </w:tc>
        <w:tc>
          <w:tcPr>
            <w:tcW w:w="260" w:type="dxa"/>
            <w:vAlign w:val="bottom"/>
          </w:tcPr>
          <w:p>
            <w:pPr>
              <w:spacing w:after="0"/>
              <w:rPr>
                <w:sz w:val="20"/>
                <w:szCs w:val="20"/>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liability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4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Interest rate swap liability (Note 10)</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executive retirement plan liability</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Excess joint venture distributions and other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48"/>
        </w:trPr>
        <w:tc>
          <w:tcPr>
            <w:tcW w:w="6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 w:right="300"/>
        <w:spacing w:after="0" w:line="21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Company's interest rate swap had an asset balance of $1.6 million as of September 30, 2022 and is recorded under the caption Other Assets on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captions presented in the table above, please refer to the respective Notes to Unaudited Consolidated Financial Statements for further detail.</w:t>
      </w:r>
    </w:p>
    <w:p>
      <w:pPr>
        <w:spacing w:after="0" w:line="16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 RESTRICTED STOCK AND PERFORMANCE SHARE GRANTS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share price, or as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Times New Roman" w:cs="Times New Roman" w:eastAsia="Times New Roman" w:hAnsi="Times New Roman"/>
          <w:sz w:val="18"/>
          <w:szCs w:val="18"/>
          <w:i w:val="1"/>
          <w:iCs w:val="1"/>
          <w:color w:val="auto"/>
        </w:rPr>
        <w:t>Monte Carlo</w:t>
      </w:r>
      <w:r>
        <w:rPr>
          <w:rFonts w:ascii="Times New Roman" w:cs="Times New Roman" w:eastAsia="Times New Roman" w:hAnsi="Times New Roman"/>
          <w:sz w:val="18"/>
          <w:szCs w:val="18"/>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Performance Condition Grants as of the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1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Performance Condition Grants</w:t>
            </w:r>
          </w:p>
        </w:tc>
      </w:tr>
      <w:tr>
        <w:trPr>
          <w:trHeight w:val="223"/>
        </w:trPr>
        <w:tc>
          <w:tcPr>
            <w:tcW w:w="4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performance</w:t>
            </w:r>
          </w:p>
        </w:tc>
        <w:tc>
          <w:tcPr>
            <w:tcW w:w="8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453,747</w:t>
            </w:r>
          </w:p>
        </w:tc>
        <w:tc>
          <w:tcPr>
            <w:tcW w:w="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Maximum performance</w:t>
            </w:r>
          </w:p>
        </w:tc>
        <w:tc>
          <w:tcPr>
            <w:tcW w:w="8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342,411</w:t>
            </w:r>
          </w:p>
        </w:tc>
        <w:tc>
          <w:tcPr>
            <w:tcW w:w="20" w:type="dxa"/>
            <w:vAlign w:val="bottom"/>
          </w:tcPr>
          <w:p>
            <w:pPr>
              <w:spacing w:after="0"/>
              <w:rPr>
                <w:sz w:val="20"/>
                <w:szCs w:val="20"/>
                <w:color w:val="auto"/>
              </w:rPr>
            </w:pPr>
          </w:p>
        </w:tc>
      </w:tr>
      <w:tr>
        <w:trPr>
          <w:trHeight w:val="859"/>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80" w:type="dxa"/>
            <w:vAlign w:val="bottom"/>
          </w:tcPr>
          <w:p>
            <w:pPr>
              <w:jc w:val="right"/>
              <w:ind w:right="54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8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stock grant activity, both time and performance share grants, assuming target achievement for outstanding performance grants for the nine months ended September 30, 2022:</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Beginning of Period at Target Achievement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683,645</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Stock Grants/Additional Shares due to Achievement in Excess of Target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60,078</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Grants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(128,893)</w:t>
            </w:r>
          </w:p>
        </w:tc>
      </w:tr>
      <w:tr>
        <w:trPr>
          <w:trHeight w:val="22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Expired/Forfeited Grants</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(240,710)</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Outstanding End of Period at Target Achievement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assumptions used to determine the price for the Company’s market-based Performance Condition Grants for the nine months ended September 30,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 except for share prices)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12/12/2019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03/11/2020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12/11/2020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03/18/2021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03/17/2022</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03/18/2024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at target achievement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$20.43</w:t>
            </w:r>
          </w:p>
        </w:tc>
      </w:tr>
      <w:tr>
        <w:trPr>
          <w:trHeight w:val="270"/>
        </w:trPr>
        <w:tc>
          <w:tcPr>
            <w:tcW w:w="4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0.19%</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r>
      <w:tr>
        <w:trPr>
          <w:trHeight w:val="270"/>
        </w:trPr>
        <w:tc>
          <w:tcPr>
            <w:tcW w:w="40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Simulated Monte Carlo share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$21.75</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6,327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81,716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3,628</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10,905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3,536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13,338</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w:t>
            </w:r>
          </w:p>
        </w:tc>
      </w:tr>
    </w:tbl>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unamortized cost associated with unvested stock grants and the weighted average period over which it is expected to be recognized as of September 30, 2022 were $1,406,000 and 16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Non-Employee Director Stock Incentive Plan, or NDSI Plan, each non-employee director receives a portion of his or her annual compensation in stock. The stock is granted at the end of each quarter based on the quarter-end stock price.</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compensation costs for the Company's 1998 Stock Incentive Plan, or the Employee Plan, and NDSI Plan for the following periods: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Plan:</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30"/>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Capitalized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7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NDSI Plan - Expensed</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6" w:name="page17"/>
    <w:bookmarkEnd w:id="16"/>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SWAP</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2014, the Company entered into an interest rate swap agreement to reduce its exposure to fluctuations in the floating interest rate tied to the London Inter-Bank Offered Rate, or LIBOR, under the term note with Wells Fargo, or the Term Note.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 Changes in fair value, including accrued interest and adjustments for non-performance risk, that qualify as cash flow hedges are classified in accumulated other comprehensive income, or AOCI. Amounts classified in AOCI are subsequently reclassified into earnings in the period during which the hedged transactions affect earnings.</w:t>
      </w:r>
    </w:p>
    <w:p>
      <w:pPr>
        <w:spacing w:after="0" w:line="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27, 2022, the Company terminated the related amended interest rate swap agreement with Wells Fargo and received a $1,123,000 cash termination fee from Wells Fargo. The amounts in AOCI were not reclassified into earnings upon the termination of the interest rate swap but will be released into earnings over the depreciable life of the constructed asset or when the asset is sold.</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30, 2022, the Company entered into a variable rate term note, or New Term Note, with Bank of America, N.A. On the same day, the Company entered into a new interest rate swap agreement to reduce its exposure to fluctuations in the floating interest rate tied to SOFR under the New Term Note. Per ASC 815, an entity may apply the shortcut method to hedging relationships that meet all of the conditions under ASC 815. The Company performed an initial assessment of the hedging relationship and determined it is appropriate to apply the shortcut method as all conditions were met. The new interest rate swap qualified as an effective cash flow hedge under the guidance of ASC 815. Applying the shortcut method allows the Company to assume that it has a perfectly effective hedging relationship, therefore there is no need for the Company to perform any quantitative assessments of whether the hedge is highly effective.</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 fair value of the interest rate swap agreement was greater than its cost basis and as such the mark-to-market adjustment is recorded within Other Assets on the Consolidated Balance Sheets. The Company had the following outstanding interest rate swap agreement designated as an interest rate cash flow hedge as of September 30, 2022 and December 31, 2021 ($ in thousands):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4"/>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r>
      <w:tr>
        <w:trPr>
          <w:trHeight w:val="243"/>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Effective Date</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Maturity Date</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Fair Value Hierarchy</w:t>
            </w: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Interest Pay Rate</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Notional Amount</w:t>
            </w: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June 28, 2032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$48,833</w:t>
            </w:r>
          </w:p>
        </w:tc>
      </w:tr>
      <w:tr>
        <w:trPr>
          <w:trHeight w:val="432"/>
        </w:trPr>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8"/>
                <w:szCs w:val="18"/>
                <w:color w:val="auto"/>
              </w:rPr>
              <w:t>December 31, 2021</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178"/>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4"/>
          </w:tcPr>
          <w:p>
            <w:pPr>
              <w:jc w:val="center"/>
              <w:ind w:right="160"/>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34"/>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Effective Date</w:t>
            </w:r>
          </w:p>
        </w:tc>
        <w:tc>
          <w:tcPr>
            <w:tcW w:w="19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Maturity Date</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Fair Value Hierarchy</w:t>
            </w: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Interest Pay Rate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Notional Amount</w:t>
            </w:r>
          </w:p>
        </w:tc>
      </w:tr>
      <w:tr>
        <w:trPr>
          <w:trHeight w:val="223"/>
        </w:trPr>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5, 2029</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$50,837</w:t>
            </w:r>
          </w:p>
        </w:tc>
      </w:tr>
    </w:tbl>
    <w:p>
      <w:pPr>
        <w:spacing w:after="0" w:line="234"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provision for income taxes as of September 30, 2022 has been calculated by applying an estimate of the annual effective tax rate for the full year to “ordinary” income or loss (pre-tax income or loss excluding unusual or infrequently occurring discrete items). For the nine months</w:t>
      </w:r>
    </w:p>
    <w:p>
      <w:pPr>
        <w:ind w:right="60"/>
        <w:spacing w:after="0" w:line="255" w:lineRule="auto"/>
        <w:rPr>
          <w:sz w:val="20"/>
          <w:szCs w:val="20"/>
          <w:color w:val="auto"/>
        </w:rPr>
      </w:pPr>
      <w:r>
        <w:rPr>
          <w:rFonts w:ascii="Times New Roman" w:cs="Times New Roman" w:eastAsia="Times New Roman" w:hAnsi="Times New Roman"/>
          <w:sz w:val="18"/>
          <w:szCs w:val="18"/>
          <w:color w:val="auto"/>
        </w:rPr>
        <w:t>ended September 30, 2022, the Company’s income tax expense was $6,262,000 compared to $1,237,000 for the nine months ended September 30, 2021. Effective tax rates were 31% and 38% for the nine months ended September 30, 2022 and 2021, respectively. As of September 30, 2022, the Company had income tax payables of $843,000. The Company classifies interest and penalties incurred on tax payments as income tax expense.</w:t>
      </w:r>
    </w:p>
    <w:p>
      <w:pPr>
        <w:spacing w:after="0" w:line="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Company’s effective tax rate was above statutory tax rates as a result of permanent differences related to Section 162(m) limitations. The Section 162(m) compensation deduction limitations occurred as a result of changes in tax law arising from the 2017 Tax Cuts Jobs Act.</w:t>
      </w:r>
    </w:p>
    <w:p>
      <w:pPr>
        <w:spacing w:after="0" w:line="118" w:lineRule="exact"/>
        <w:rPr>
          <w:sz w:val="20"/>
          <w:szCs w:val="20"/>
          <w:color w:val="auto"/>
        </w:rPr>
      </w:pPr>
    </w:p>
    <w:p>
      <w:pPr>
        <w:ind w:right="7320" w:firstLine="8"/>
        <w:spacing w:after="0" w:line="362" w:lineRule="auto"/>
        <w:tabs>
          <w:tab w:leader="none" w:pos="45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Water Contracts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secured water contracts that are encumbered by the Company's land. These water contracts require minimum annual payments, for which $13,249,000 is expected to be paid in 2022.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$277,663,000 as of September 30,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Conservancy Payments</w:t>
      </w:r>
    </w:p>
    <w:p>
      <w:pPr>
        <w:spacing w:after="0" w:line="9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has fulfilled its financial obligations to the Tejon Ranch Conservancy as prescribed in the Conservation Agreement that was entered into with five major environmental organizations in 2008.</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 will not be finalized until the future payment dates. The Company believes as of September 30, 2022, the net savings resulting from exiting the contract during this future time period will more than offset the incentive payment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Facilities Districts</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$4,393,000 related to the issuance of East CFD bonds. The standby letter of credit is in place to provide additional credit enhancement and cover approximately two years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$10,000.</w:t>
      </w:r>
    </w:p>
    <w:p>
      <w:pPr>
        <w:spacing w:after="0" w:line="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As of September 30, 2022, there were no additional improvement funds remaining from the West CFD bonds. There are $15,647,940 of additional improvement funds remaining within the East CFD bonds for reimbursement of public infrastructure costs during future years. During fiscal 2022, the Company expects to pay approximately $2,899,000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tax assessment of each individual property sold or leased is not determinable at this time because it is based on the current tax rate of the property at the time of sale or at the time it is leased to a third-party. Accordingly, the Company was not required to recognize an obligation on September 30, 2022.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Centennial</w:t>
      </w:r>
    </w:p>
    <w:p>
      <w:pPr>
        <w:spacing w:after="0" w:line="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April 30, 2019, the Los Angeles County Board of Supervisors granted final entitlement approval for the Centennial project. On May 15, 2019, Climate Resolve filed an action in Los Angeles Superior Court (the Climate Resolve Action), pursuant to the California Environmental Quality Act, or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the Center for Biological Diversity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73"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w:t>
      </w:r>
    </w:p>
    <w:p>
      <w:pPr>
        <w:spacing w:after="0" w:line="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April 5, 2021 the court issued its decision denying the petition for writ of mandate by CBD/CNPS and granting the petition for writ of mandate filed by Climate Resolve. In granting Climate Resolve’s petition, the court found three specific areas where the EIR for the project was lacking. The court ruled that California’s Cap-and-Trade Program cannot be used as a compliance pathway for mitigating greenhouse gas (GHG) impacts for the project and therefore further ruled that additional analysis will be required related to all feasible mitigation of GHG impacts. The court also found that the EIR must provide additional analysis and explanation of how wildland fire risk on lands outside of the project site, posed by on-site ignition sources, is mitigated to less than significant. On April 19, 2021 CBD filed a motion for reconsideration with the court on the denial of their petition for writ of mandate to be granted prevailing party status in the Climate Resolve Action (“Motion for Reconsideration”). The hearing on the Motion for Reconsideration originally scheduled for August 13, 2021, was rescheduled to December 1, 2021.</w:t>
      </w:r>
    </w:p>
    <w:p>
      <w:pPr>
        <w:spacing w:after="0" w:line="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On November 30, 2021, the Company together with Ranchcorp and Centennial, entered into a Settlement Agreement with Climate Resolve. Pursuant to the Settlement Agreement, the Company has agreed: (1) to make Centennial a net zero GHG emissions project through various on-site and off-site measures, including but not limited to installing electric vehicle chargers and establishing and funding incentive programs for the purchase of electric vehicles; (2) to fund certain on-site and off-site fire protection and prevention measures; and (3) to provide annual public reports and create an organization to monitor progress towards these commitments. The foregoing is only a summary of the material terms of the Settlement Agreement and does not purport to be a complete description of the rights and obligations of the parties thereunder and is qualified in its entirety by reference to the Settlement Agreement. In exchange, Climate Resolve filed a request for dismissal of the Climate Resolve Action with prejudice from the Los Angeles County Superior Court. On December 3, 2021, the Los Angeles Superior Court granted and entered Climate Resolve’s dismissal with prejudice concluding the Climate Resolve Action. On December 1, 2021, the Los Angeles Superior Court continued CBD/CNPS Motion for Reconsideration to January 14, 2022, directing CBD/CNPS to evaluate the Settlement Agreement reached in the Climate Resolve Action to address issues surrounding remedies should CBD be granted prevailing party status in the Climate Resolve Action, and to evaluate the potential to settle or otherwise address CBD’s objections to the Centennial project. To that end, the Company met and conferred twice on January 4, 2022 and January 20, 2022. On January 14, the Los Angeles County Superior Court heard CBD/CNPS Motion for Reconsideration and issued its decision granting CBD/CNPS prevailing party status in the Climate Resolve Action. The Los Angeles County Superior Court set a tentative hearing date of February 25, 2022 concerning the entry of final judgment and awarding of appropriate remedies. Upon mutual request of the parties and approval by the Court, the February 25, 2022 hearing date has been extended on four separate occasions, originally to March 30, 2022, and then again to May 13, 2022, July 1, 2022 and most recently to September 7, 2022. On September 7, 2022, the Parties appeared before the Court concerning the entry of final judgment and the setting of appropriate remedies. The Court upon hearing oral argument</w:t>
      </w:r>
    </w:p>
    <w:p>
      <w:pPr>
        <w:spacing w:after="0" w:line="2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ordered the parties to continue to meet and confer for an additional 30 days and continued the September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hearing to October 7, 2022. On October 3, 2022, the Court issued an order on the Court’s own continuance to further continue the October 7, 2022 hearing to October 21, 2022. Upon mutual request of the Parties and approval by the Court, the Parties extended the October 21, 2022 hearing date to October 26, 2022. At the October 26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hearing, the Court agreed to: (a) hear the Company’s Motion for Reconsideration as to the successful challenges Climate Resolve prevailed upon within the Climate Resolve Action, and ordered the Parties to appear on December 14, 2022 to hear the Company’s Motion to Reconsider and (b) rule on the entry of final judgment and setting of remedies at a February 17, 2023 hearing date. Prior to and subsequent of final judgment being entered, appellate litigation may follow. To the extent there may be an adverse outcome of the claims still pending as described above, the monetary value cannot be estimated at this time.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Proceedings Incidental to Business</w:t>
      </w:r>
    </w:p>
    <w:p>
      <w:pPr>
        <w:spacing w:after="0" w:line="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expects to contribute $165,000 to the Benefit Plan in 2022.</w:t>
      </w:r>
    </w:p>
    <w:p>
      <w:pPr>
        <w:spacing w:after="0" w:line="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September 30, 2022, the investment mix was approximately 19% equity, 80% debt, and 1% money market funds. At December 31, 2021, the investment mix was approximately 35% equity, 64% debt, and 1% money market funds. Equity investments comprise of value, growth, large cap, small cap and international stock funds. Debt investments consist of U.S. Treasury securities and investment grade corporate debt. A weighted average discount rate of 2.8% was used in determining the net periodic pension cost for fiscal 2022 and 2021. The assumed expected long-term rate of return on plan assets is 7.3% for both fiscal 2022 and 2021. The long-term rate of return on Benefit Plan assets is based on the historical returns within the plan and expectations for future returns.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pension and retirement earnings for the Benefit Plan was as follows:</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7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(cost) components:</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periodic pension earnings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 pension and retirement expense for the SERP was as follows:</w:t>
            </w:r>
          </w:p>
        </w:tc>
        <w:tc>
          <w:tcPr>
            <w:tcW w:w="2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components:</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amortization and other</w:t>
            </w:r>
          </w:p>
        </w:tc>
        <w:tc>
          <w:tcPr>
            <w:tcW w:w="2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2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1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0" w:name="page21"/>
    <w:bookmarkEnd w:id="20"/>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REPORTING SEGMENTS AND RELATED INFORMATION</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currently operates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Commercial/Industrial</w:t>
      </w:r>
    </w:p>
    <w:p>
      <w:pPr>
        <w:spacing w:after="0" w:line="10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Commercial/Industrial real estate development segment revenues consist of land sale revenues, leases of land and/or building space to tenants at the Company's commercial retail and industrial developments, base and percentage rents from the PEF power plant lease, communication tower rents, land sales, and payments from easement leases. Refer to Note 15 for discussion of unconsolidated joint ventures.</w:t>
      </w:r>
    </w:p>
    <w:p>
      <w:pPr>
        <w:spacing w:after="0" w:line="4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In the first quarter of 2022, the Company sold 12.3 acres of industrial land located at TRCC West to a third party for $4,680,000 and recognize the amount as land sales revenue. In the third quarter of 2022, the Company sold 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expenses and operating income from this segment for the periods ended:</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Pr>
          <w:p>
            <w:pPr>
              <w:spacing w:after="0"/>
              <w:rPr>
                <w:sz w:val="20"/>
                <w:szCs w:val="20"/>
                <w:color w:val="auto"/>
              </w:rPr>
            </w:pPr>
          </w:p>
        </w:tc>
        <w:tc>
          <w:tcPr>
            <w:tcW w:w="30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Commercial/industrial revenues and equity in earnings of</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Commercial/industrial expenses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Operating results from commercial/industrial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 Resort/Residential</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pursuing land entitlement and development processes both internally and through joint ventures. The segment incurs costs and expenses related to land management activities on land held for future development, but currently generates no revenue. The segment generated losses of $372,000 and $322,000 for the three months ended September 30, 2022 and 2021, respectively, and $1,218,000 and $1,314,000 for the nine months ended September 30, 2022 and 2021.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Mineral Resources</w:t>
      </w:r>
    </w:p>
    <w:p>
      <w:pPr>
        <w:spacing w:after="0" w:line="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results from this segment for the periods ended: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60" w:type="dxa"/>
            <w:vAlign w:val="bottom"/>
          </w:tcPr>
          <w:p>
            <w:pPr>
              <w:spacing w:after="0"/>
              <w:rPr>
                <w:sz w:val="20"/>
                <w:szCs w:val="20"/>
                <w:color w:val="auto"/>
              </w:rPr>
            </w:pPr>
          </w:p>
        </w:tc>
        <w:tc>
          <w:tcPr>
            <w:tcW w:w="340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r>
      <w:tr>
        <w:trPr>
          <w:trHeight w:val="230"/>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Mineral resources expenses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mineral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Farming</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Farming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4,776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8"/>
              </w:rPr>
              <w:t>7,612</w:t>
            </w:r>
          </w:p>
        </w:tc>
      </w:tr>
      <w:tr>
        <w:trPr>
          <w:trHeight w:val="22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Farming expenses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8,752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8"/>
              </w:rPr>
              <w:t>9,977</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farming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(2,365)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Ranch Operations</w:t>
      </w:r>
    </w:p>
    <w:p>
      <w:pPr>
        <w:spacing w:after="0" w:line="10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Ranch Operations segment consists of game management revenues and ancillary land uses such as grazing leases and on-location filming. The following table summarizes revenues, expenses and operating results from this segment for the periods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3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Ranch operations expenses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results from ranch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INVESTMENT IN UNCONSOLIDATED AND CONSOLIDATED JOINT VENTURES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2022 was $38,605,000. Equity in earnings from unconsolidated joint ventures was $4,867,000 for the nine months ended September 30, 2022. The unconsolidated joint ventures have not been consolidated as of September 30, 2022, because the Company does not control the investments. The Company’s current joint ventures are as follows:</w:t>
      </w:r>
    </w:p>
    <w:p>
      <w:pPr>
        <w:spacing w:after="0" w:line="129" w:lineRule="exact"/>
        <w:rPr>
          <w:sz w:val="20"/>
          <w:szCs w:val="20"/>
          <w:color w:val="auto"/>
        </w:rPr>
      </w:pPr>
    </w:p>
    <w:p>
      <w:pPr>
        <w:ind w:left="460" w:hanging="331"/>
        <w:spacing w:after="0" w:line="256"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 Travel Plaza Holdings LLC – Petro Travel Plaza Holdings LLC, or Petro, is an unconsolidated joint venture with TravelCenters of America that develops and manages travel plazas, gas stations, convenience stores, and fast-food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$26,421,000 as of September 30, 2022.</w:t>
      </w:r>
    </w:p>
    <w:p>
      <w:pPr>
        <w:spacing w:after="0" w:line="133" w:lineRule="exact"/>
        <w:rPr>
          <w:rFonts w:ascii="Times New Roman" w:cs="Times New Roman" w:eastAsia="Times New Roman" w:hAnsi="Times New Roman"/>
          <w:sz w:val="18"/>
          <w:szCs w:val="18"/>
          <w:color w:val="auto"/>
        </w:rPr>
      </w:pPr>
    </w:p>
    <w:p>
      <w:pPr>
        <w:ind w:left="460" w:right="60" w:hanging="331"/>
        <w:spacing w:after="0" w:line="261"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Majestic Realty Co. – Majestic Realty Co., or Majestic, is a privately-held developer and owner of real estate projects throughout the United States. The Company has formed six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44"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29, 2022, TRC-MRC 5 LLC was formed to pursue the development, construction, lease-up, and management of an approximately 446,400 square foot industrial building located within TRCC-East.</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formed TRC-MRC Multi I, LLC, to pursue the development, construction, lease-up, and management of approximately 495 multi-family rental units located within TRCC-East. The Company's investment in this joint venture was $175,000 as of September 30, 2022. The project is currently in its initial planning and design phases with construction set to commence in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2" w:name="page23"/>
    <w:bookmarkEnd w:id="22"/>
    <w:p>
      <w:pPr>
        <w:ind w:left="972" w:hanging="324"/>
        <w:spacing w:after="0" w:line="254" w:lineRule="auto"/>
        <w:tabs>
          <w:tab w:leader="none" w:pos="9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2021, TRC-MRC 4 LLC was formed to pursue the development, construction, lease-up, and management of a 629,274 square foot industrial building located within TRCC-East. On October 20, 2022, the industrial building received the Certificate of Occupancy. The construction was financed by a $47,500,000 construction loan that had an outstanding balance of $35,752,000 as of September 30, 2022. The construction loan is individually and collectively guaranteed by the Company and Majestic. In 2021, the Company contributed land with a fair value of $8,464,000 to TRC-MRC 4, LLC. The total cost of the land was $2,895,000. The Company recognized profit of $2,785,000 and deferred profit of $2,785,000 after applying the five-step revenue recognition model in accordance with ASC Topic 606 — Revenue From Contracts With Customers and ASC Topic 323, Investments — Equity Method and Joint Ventures. The Company's investment in this joint venture was $4,663,000 as of September 30, 2022. The building is 100% leased.</w:t>
      </w:r>
    </w:p>
    <w:p>
      <w:pPr>
        <w:spacing w:after="0" w:line="83" w:lineRule="exact"/>
        <w:rPr>
          <w:rFonts w:ascii="Times New Roman" w:cs="Times New Roman" w:eastAsia="Times New Roman" w:hAnsi="Times New Roman"/>
          <w:sz w:val="18"/>
          <w:szCs w:val="18"/>
          <w:color w:val="auto"/>
        </w:rPr>
      </w:pPr>
    </w:p>
    <w:p>
      <w:pPr>
        <w:ind w:left="972" w:right="80" w:hanging="324"/>
        <w:spacing w:after="0" w:line="255" w:lineRule="auto"/>
        <w:tabs>
          <w:tab w:leader="none" w:pos="9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building is 100% leased as of September 30, 2022. In March 2019, the joint venture entered into a promissory note with a financial institution to finance the construction of the building. The note matures on May 1, 2030 and had an outstanding principal balance of $34,705,000 as of September 30, 2022. On April 1, 2019, the Company contributed land with a fair value of $5,854,000 to TRC-MRC 3, LLC in accordance with the limited liability agreement. The Company's investment in this joint venture was $409,000 as of September 30, 2022.</w:t>
      </w:r>
    </w:p>
    <w:p>
      <w:pPr>
        <w:spacing w:after="0" w:line="80" w:lineRule="exact"/>
        <w:rPr>
          <w:rFonts w:ascii="Times New Roman" w:cs="Times New Roman" w:eastAsia="Times New Roman" w:hAnsi="Times New Roman"/>
          <w:sz w:val="18"/>
          <w:szCs w:val="18"/>
          <w:color w:val="auto"/>
        </w:rPr>
      </w:pPr>
    </w:p>
    <w:p>
      <w:pPr>
        <w:ind w:left="972" w:right="20" w:hanging="324"/>
        <w:spacing w:after="0" w:line="254" w:lineRule="auto"/>
        <w:tabs>
          <w:tab w:leader="none" w:pos="9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2016, the Company partnered with Majestic to form TRC-MRC 2, LLC to acquire, lease, and maintain a fully occupied warehouse at TRCC-West. The partnership acquired the 651,909 square foot building for $24,773,000, which was largely financed through a promissory note guaranteed by both partners. The promissory note was refinanced on June 1, 2018 with a $25,240,000 promissory note. The note matures on July 1, 2028 and has an outstanding principal balance of $22,776,000 as of September 30, 2022. The building is 100% leased as of September 30, 2022. Since its inception, the Company has received excess distributions resulting in a deficit balance in its investment of $2,470,000.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80" w:lineRule="exact"/>
        <w:rPr>
          <w:rFonts w:ascii="Times New Roman" w:cs="Times New Roman" w:eastAsia="Times New Roman" w:hAnsi="Times New Roman"/>
          <w:sz w:val="18"/>
          <w:szCs w:val="18"/>
          <w:color w:val="auto"/>
        </w:rPr>
      </w:pPr>
    </w:p>
    <w:p>
      <w:pPr>
        <w:ind w:left="972" w:right="20" w:hanging="324"/>
        <w:spacing w:after="0" w:line="254" w:lineRule="auto"/>
        <w:tabs>
          <w:tab w:leader="none" w:pos="9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TRC-MRC 1, LLC was formed to develop and operate an approximately 480,480 square foot industrial building at TRCC-East. The building is 100% leased as of September 30, 2022. Since its inception, the Company has received excess distributions resulting in a deficit balance in its investment of $1,747,000.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$22,943,000 was outstanding as of September 30, 2022. Currently 240,000 square feet of industrial space is under negotiations.</w:t>
      </w:r>
    </w:p>
    <w:p>
      <w:pPr>
        <w:spacing w:after="0" w:line="80" w:lineRule="exact"/>
        <w:rPr>
          <w:rFonts w:ascii="Times New Roman" w:cs="Times New Roman" w:eastAsia="Times New Roman" w:hAnsi="Times New Roman"/>
          <w:sz w:val="18"/>
          <w:szCs w:val="18"/>
          <w:color w:val="auto"/>
        </w:rPr>
      </w:pPr>
    </w:p>
    <w:p>
      <w:pPr>
        <w:ind w:left="332" w:right="100" w:hanging="332"/>
        <w:spacing w:after="0" w:line="282"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Rockefeller Joint Ventures – The Company has one joint venture with Rockefeller Group Development Corporation, or Rockefeller. At September 30, 2022, the Company’s combined equity investment balance in these one joint ventures was $6,937,000.</w:t>
      </w:r>
    </w:p>
    <w:p>
      <w:pPr>
        <w:spacing w:after="0" w:line="53" w:lineRule="exact"/>
        <w:rPr>
          <w:rFonts w:ascii="Times New Roman" w:cs="Times New Roman" w:eastAsia="Times New Roman" w:hAnsi="Times New Roman"/>
          <w:sz w:val="18"/>
          <w:szCs w:val="18"/>
          <w:color w:val="auto"/>
        </w:rPr>
      </w:pPr>
    </w:p>
    <w:p>
      <w:pPr>
        <w:ind w:left="972" w:right="120" w:hanging="324"/>
        <w:spacing w:after="0" w:line="277" w:lineRule="auto"/>
        <w:tabs>
          <w:tab w:leader="none" w:pos="96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18-19 West LLC was formed in August 2009 through the contribution of 61.5 acres of land by the Company that is being held for future development. The Company owns a 50% interest in this joint venture, and the joint venture is being accounted for under the equity method due to both members having significant participating rights in the management of the venture. In 2021, a third-party purchased the land from the joint venture for $15,213,000. The cash proceeds from the sale were distributed to the partners in the first quarter of 2022. On August 18, 2022, the final cash distribution of $386,000 was made by the joint venture and the entity was subsequently dissolved on August 24,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5" w:right="339" w:bottom="1440" w:gutter="0" w:footer="0" w:header="0"/>
        </w:sectPr>
      </w:pPr>
    </w:p>
    <w:bookmarkStart w:id="23" w:name="page24"/>
    <w:bookmarkEnd w:id="23"/>
    <w:p>
      <w:pPr>
        <w:ind w:left="980" w:right="80" w:hanging="324"/>
        <w:spacing w:after="0" w:line="236" w:lineRule="auto"/>
        <w:tabs>
          <w:tab w:leader="none" w:pos="9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was formed in 2013 to develop, own, and manage a net leasable 326,000 square foot outlet center on land at TRCC-East.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As a result, the investment in TRCC/Rock Outlet Center LLC is being accounted for under the equity method. On September 7, 2021, the TRCC/Rock Outlet Center LLC joint venture successfully extended the maturity date of its term note with a financial institution from September 5, 2021 to May 31, 2024. In connection with the loan extension, the joint venture also reduced the outstanding amount by $4,600,000. As of September 30, 2022, the outstanding balance of the term note was $27,982,000. The Company and Rockefeller guarantee the performance of the debt.</w:t>
      </w:r>
    </w:p>
    <w:p>
      <w:pPr>
        <w:spacing w:after="0" w:line="218"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 Centennial Founders, LLC, or CFL, is a joint venture with TRI Pointe Homes to pursue the entitlement and development of land that the Company owns in Los Angeles County. As of September 30, 2022, the Company owned 93.20% of CFL.</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Unaudited condensed statement of operations for the nine months ended September 30, 2022 and condensed balance sheet information of the Company’s unconsolidated joint ventures as of September 30, 2022 and December 31, 2021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340" w:type="dxa"/>
            <w:vAlign w:val="bottom"/>
          </w:tcPr>
          <w:p>
            <w:pPr>
              <w:spacing w:after="0"/>
              <w:rPr>
                <w:sz w:val="20"/>
                <w:szCs w:val="20"/>
                <w:color w:val="auto"/>
              </w:rPr>
            </w:pPr>
          </w:p>
        </w:tc>
        <w:tc>
          <w:tcPr>
            <w:tcW w:w="25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49,108</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18-19 West,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0" w:right="400" w:firstLine="6"/>
        <w:spacing w:after="0" w:line="250" w:lineRule="auto"/>
        <w:tabs>
          <w:tab w:leader="none" w:pos="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TRCC/Rock Outlet Center are presented net of non-cash tenant allowance amortization of $0.3 million and $0.3 million for the three months ended September 30, 2022 and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TRC</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320" w:type="dxa"/>
            <w:vAlign w:val="bottom"/>
          </w:tcPr>
          <w:p>
            <w:pPr>
              <w:spacing w:after="0"/>
              <w:rPr>
                <w:sz w:val="20"/>
                <w:szCs w:val="20"/>
                <w:color w:val="auto"/>
              </w:rPr>
            </w:pPr>
          </w:p>
        </w:tc>
        <w:tc>
          <w:tcPr>
            <w:tcW w:w="25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Equity in Earnings (Loss)</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136,905</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18-19 West, LLC</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TRCC/Rock Outlet Center, LLC</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1,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TRC-MRC 2, LLC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TRC-MRC 3, LLC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TRC-MRC 4, LLC</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24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Consolidated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right="460" w:firstLine="6"/>
        <w:spacing w:after="0" w:line="237" w:lineRule="auto"/>
        <w:tabs>
          <w:tab w:leader="none" w:pos="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TRCC/Rock Outlet Center are presented net of non-cash tenant allowance amortization of $0.9 million and $0.9 million for the nine months ended September 30, 2022 and September 30, 2021, respectively.</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120" w:type="dxa"/>
            <w:vAlign w:val="bottom"/>
          </w:tcPr>
          <w:p>
            <w:pPr>
              <w:spacing w:after="0"/>
              <w:rPr>
                <w:sz w:val="20"/>
                <w:szCs w:val="20"/>
                <w:color w:val="auto"/>
              </w:rPr>
            </w:pP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Joint Venture</w:t>
            </w:r>
          </w:p>
        </w:tc>
        <w:tc>
          <w:tcPr>
            <w:tcW w:w="140" w:type="dxa"/>
            <w:vAlign w:val="bottom"/>
          </w:tcPr>
          <w:p>
            <w:pPr>
              <w:spacing w:after="0"/>
              <w:rPr>
                <w:sz w:val="20"/>
                <w:szCs w:val="2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TRC</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4"/>
                <w:szCs w:val="14"/>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78,064</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18-19 West,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TRC-MRC 1,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2, LLC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TRC-MRC 3, LLC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TRC-MRC 4, LLC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TRC-MRC Multi I, LLC</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263,667</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Centennial Founders, LLC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940" w:type="dxa"/>
            <w:vAlign w:val="bottom"/>
            <w:tcBorders>
              <w:bottom w:val="single" w:sz="8" w:color="CCEEFF"/>
            </w:tcBorders>
            <w:vMerge w:val="continue"/>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102,385</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101,979</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60" w:hanging="314"/>
        <w:spacing w:after="0"/>
        <w:tabs>
          <w:tab w:leader="none" w:pos="3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Founders, LLC is consolidated within the Company's financial statements.</w:t>
      </w:r>
    </w:p>
    <w:p>
      <w:pPr>
        <w:spacing w:after="0" w:line="20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residential,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15,547 acre-feet of water, subject to SWP allocations. The Company's Executive Vice President and Chief Operating Officer/Chief Financial Officer is one of nine directors at WRMWSD. As of September 30, 2022, the Company paid $6,091,000 for these water contracts and related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potential losses to Tejon Ranch Co. and its subsidiaries (the Company, Tejon, we, us, and our)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several reasons, including those described above and in the section entitled “Risk Factors” in our most recent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OVERVIEW</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Business Objectives and Strategies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development projects to serve the growing populations of Southern and Central California. Our mixed-use master planned residential developments have been approved to collectively include up to 35,278 housing units, and more than 35 million square feet of commercial space. Over the next few years, it is possible that we will be engaged in continuous litigation defending the entitlements of our master planned developments.</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currently executing on value creation as we are engaged in construction, commercial sales, and leasing at our fully operational commercial/industrial center Tejon Ranch Commerce Center, or TRCC. As previously reported, the Company received approval from Kern County allowing for development of multi-family apartment uses within the Tejon Ranch Commerce Center, on a 27-acre site located immediately north of the Outlets at Tejon. This authorization allows the Company to develop up to a maximum of 495 multi-family residences and we anticipate construction beginning in 2023. All of these efforts are supported by diverse revenue streams generated from other operations including: farming, mineral resources, and our various joint ventures.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Our Business</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currently operate in five reporting segments: commercial/industrial real estate development; resort/residential real estate development; mineral resources; farming; and ranch operations.</w:t>
      </w:r>
    </w:p>
    <w:p>
      <w:pPr>
        <w:spacing w:after="0" w:line="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the power plant lease and communications leases.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6" w:name="page27"/>
    <w:bookmarkEnd w:id="26"/>
    <w:p>
      <w:pPr>
        <w:ind w:right="80"/>
        <w:spacing w:after="0" w:line="261" w:lineRule="auto"/>
        <w:rPr>
          <w:sz w:val="20"/>
          <w:szCs w:val="20"/>
          <w:color w:val="auto"/>
        </w:rPr>
      </w:pPr>
      <w:r>
        <w:rPr>
          <w:rFonts w:ascii="Times New Roman" w:cs="Times New Roman" w:eastAsia="Times New Roman" w:hAnsi="Times New Roman"/>
          <w:sz w:val="18"/>
          <w:szCs w:val="18"/>
          <w:color w:val="auto"/>
        </w:rPr>
        <w:t>At the heart of the commercial/industrial real estate development segment is TRCC, a 20 million square foot commercial/industrial development on Interstate 5 just north of the Los Angeles basin. Over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involved in multiple joint ventures within TRCC with several partners that help us expand our commercial/industrial business activities:</w:t>
      </w:r>
    </w:p>
    <w:p>
      <w:pPr>
        <w:spacing w:after="0" w:line="104" w:lineRule="exact"/>
        <w:rPr>
          <w:sz w:val="20"/>
          <w:szCs w:val="20"/>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with Rockefeller Development Group, or Rockefeller:</w:t>
      </w:r>
    </w:p>
    <w:p>
      <w:pPr>
        <w:spacing w:after="0" w:line="15" w:lineRule="exact"/>
        <w:rPr>
          <w:rFonts w:ascii="Times New Roman" w:cs="Times New Roman" w:eastAsia="Times New Roman" w:hAnsi="Times New Roman"/>
          <w:sz w:val="18"/>
          <w:szCs w:val="18"/>
          <w:color w:val="auto"/>
        </w:rPr>
      </w:pPr>
    </w:p>
    <w:p>
      <w:pPr>
        <w:ind w:left="1300" w:right="20" w:hanging="320"/>
        <w:spacing w:after="0" w:line="234"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our 18-19 West LLC joint venture entered into a land purchase option on 61.5 acres with the same third-party who purchased the Five West building and land in 2019. In November 2021, the third-party exercised the land option and purchased the land from the joint venture for $15,213,000. This entity was dissolved on August 24, 2022; and</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TRCC/Rock Outlet Center LLC operates the Outlets at Tejon, a net leasable 326,000 square foot shopping experience in TRCC-East;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joint ventures with Majestic Realty Co., or Majestic, to develop, manage, and operate industrial buildings within TRCC:</w:t>
      </w:r>
    </w:p>
    <w:p>
      <w:pPr>
        <w:spacing w:after="0" w:line="90"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1, LLC operates a 480,480 square foot industrial building in TRCC-East, which was completed during 2017 and is fully leased;</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2, LLC owns and operates a 651,909 square foot building in TRCC-West that is fully leased;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3, LLC operates a 579,040 square foot industrial building in TRCC-East that is fully leased; and</w:t>
      </w:r>
    </w:p>
    <w:p>
      <w:pPr>
        <w:spacing w:after="0" w:line="90"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4, LLC was formed in 2021 to pursue the development, construction, leasing and management of a 629,274 square foot industrial building in TRCC-East that is fully leased;</w:t>
      </w:r>
    </w:p>
    <w:p>
      <w:pPr>
        <w:spacing w:after="0" w:line="40" w:lineRule="exact"/>
        <w:rPr>
          <w:rFonts w:ascii="Times New Roman" w:cs="Times New Roman" w:eastAsia="Times New Roman" w:hAnsi="Times New Roman"/>
          <w:sz w:val="18"/>
          <w:szCs w:val="18"/>
          <w:color w:val="auto"/>
        </w:rPr>
      </w:pPr>
    </w:p>
    <w:p>
      <w:pPr>
        <w:ind w:left="1300" w:right="480" w:hanging="320"/>
        <w:spacing w:after="0" w:line="266"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TRC-MRC 5 LLC was formed in March 29, 2022 to pursue the development, construction, lease-up, and management of an approximately 446,400 square foot industrial building located within TRCC-East. The project is currently in its initial planning and design phases with construction set to commence in 2023.</w:t>
      </w:r>
    </w:p>
    <w:p>
      <w:pPr>
        <w:spacing w:after="0" w:line="54"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6" w:val="left"/>
        </w:tabs>
        <w:numPr>
          <w:ilvl w:val="1"/>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TRC-MRC Multi I, LLC was formed in February 2022 with Majestic for the development, leasing and management of approximately 495 multi-family residential community. The development would be located on an approximately 23-acre site located immediately north of the Outlets at Tejon.</w:t>
      </w:r>
    </w:p>
    <w:p>
      <w:pPr>
        <w:spacing w:after="0" w:line="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resort/residential real estate development segment is actively involved in the land entitlement and development process internally and through a joint venture. Our active developments within this segment are Mountain Village at Tejon Ranch, or MV, Centennial at Tejon Ranch, or Centennial, and Grapevine at Tejon Ranch, or Grapevine.</w:t>
      </w:r>
    </w:p>
    <w:p>
      <w:pPr>
        <w:spacing w:after="0" w:line="54" w:lineRule="exact"/>
        <w:rPr>
          <w:sz w:val="20"/>
          <w:szCs w:val="20"/>
          <w:color w:val="auto"/>
        </w:rPr>
      </w:pPr>
    </w:p>
    <w:p>
      <w:pPr>
        <w:ind w:left="660" w:right="8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 encompasses a total of 26,417 acres, of which 5,082 acres will be used for a mixed-use development that will include housing, retail, and commercial components. MV is entitled for 3,450 homes, 160,000 square feet of commercial development, 750 hotel keys, and more than 21,335 acres of open space. The first final map for the project consisting of 401 residential lots and parcels for hospitality, amenities, and public uses was approved by Kern County in December 2021;</w:t>
      </w:r>
    </w:p>
    <w:p>
      <w:pPr>
        <w:spacing w:after="0" w:line="44" w:lineRule="exact"/>
        <w:rPr>
          <w:rFonts w:ascii="Times New Roman" w:cs="Times New Roman" w:eastAsia="Times New Roman" w:hAnsi="Times New Roman"/>
          <w:sz w:val="18"/>
          <w:szCs w:val="18"/>
          <w:color w:val="auto"/>
        </w:rPr>
      </w:pPr>
    </w:p>
    <w:p>
      <w:pPr>
        <w:ind w:left="660" w:right="8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Centennial had entitlements approved in December 2018 and received legislative approvals in April 2019 from the Los Angeles County Board of Supervisors. See Note 12 (Commitments and Contingencies) of the Notes to Unaudited Consolidated Financial Statements for additional information related to current litigation;</w:t>
      </w:r>
    </w:p>
    <w:p>
      <w:pPr>
        <w:spacing w:after="0" w:line="62" w:lineRule="exact"/>
        <w:rPr>
          <w:rFonts w:ascii="Times New Roman" w:cs="Times New Roman" w:eastAsia="Times New Roman" w:hAnsi="Times New Roman"/>
          <w:sz w:val="18"/>
          <w:szCs w:val="18"/>
          <w:color w:val="auto"/>
        </w:rPr>
      </w:pPr>
    </w:p>
    <w:p>
      <w:pPr>
        <w:jc w:val="both"/>
        <w:ind w:left="660" w:right="28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is an 8,010-acre development area located on the San Joaquin Valley floor area of our lands, adjacent to TRCC. Upon completion of Grapevine, the community will include 12,000 homes, 5.1 million square feet for commercial development, and more than 3,367 acres of open space and parks; and</w:t>
      </w:r>
    </w:p>
    <w:p>
      <w:pPr>
        <w:spacing w:after="0" w:line="41"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northeast of Grapevine is Grapevine North, a 7,655-acre development area, that is currently used for agricultural purposes. Identified as a development area in the Tejon Ranch Conservation and Land Use Agreement, or RWA, Grapevine North presents a significant opportunity for future development. Grapevine North may feature mixed use community development similar to Grapevine at Tejon Ranch, or other development uses as appropriate based upon market conditions at the time.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right="120"/>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2021, for a more detailed description of our active developments within the resort/residential real estate development segment.</w:t>
      </w:r>
    </w:p>
    <w:p>
      <w:pPr>
        <w:spacing w:after="0" w:line="2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mineral resources segment generates revenues from oil and gas royalty leases, rock and aggregate mining leases, a lease with National Cement Company of California Inc., and water sales.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farming segment produces revenues from the sale of wine grapes, almonds, and pistachios.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the ranch operations segment consists of game management revenues and ancillary land uses such as grazing leases and filming.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Summary of 2022 Performance</w:t>
      </w:r>
    </w:p>
    <w:p>
      <w:pPr>
        <w:spacing w:after="0" w:line="108"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net income attributable to common stockholders of $10,184,000 compared to net income of $219,000 for the three months ended September 30, 2021. Because of the timing of a 58-acre land sale during the three-month period, the Company's commercial real estate segment experienced a significant increase in operating profit, over the comparative period, of $15,372,000. The Company's farming segment partially offset the improvement in operating profit with a loss of $3,406,000.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2022, we had net income attributable to common stockholders of $13,824,000 compared to $1,986,000 during the first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2021. The Company's mineral resources and commercial real estate segments experienced operating profit improvements of $862,000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$16,535,000, respectively, resulting from stronger margins associated with water and land sales. For the nine-month period the Company's farming segment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experienced an operating loss of $4,259,000.</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Critical Accounting Estimates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our critical accounting policies have not changed since the filing of our Annual Report on Form 10-K for the year ended December 31, 2021.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006EBF"/>
        </w:rPr>
        <w:t>Results of Operations by Segment</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Real Estate – Commercial/Industrial:</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2880" w:type="dxa"/>
            <w:vAlign w:val="bottom"/>
            <w:tcBorders>
              <w:top w:val="single" w:sz="8" w:color="006EBF"/>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40" w:type="dxa"/>
            <w:vAlign w:val="bottom"/>
          </w:tcPr>
          <w:p>
            <w:pPr>
              <w:spacing w:after="0"/>
              <w:rPr>
                <w:sz w:val="24"/>
                <w:szCs w:val="24"/>
                <w:color w:val="auto"/>
              </w:rPr>
            </w:pPr>
          </w:p>
        </w:tc>
        <w:tc>
          <w:tcPr>
            <w:tcW w:w="19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1240" w:type="dxa"/>
            <w:vAlign w:val="bottom"/>
          </w:tcPr>
          <w:p>
            <w:pPr>
              <w:spacing w:after="0"/>
              <w:rPr>
                <w:sz w:val="24"/>
                <w:szCs w:val="24"/>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Commercial/industrial revenues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sale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commercial/industrial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commercial/industrial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11,387 %</w:t>
            </w:r>
          </w:p>
        </w:tc>
      </w:tr>
      <w:tr>
        <w:trPr>
          <w:trHeight w:val="21"/>
        </w:trPr>
        <w:tc>
          <w:tcPr>
            <w:tcW w:w="2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100" w:hanging="332"/>
        <w:spacing w:after="0" w:line="254"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$22,352,000 for the three months ended September 30, 2022, an increase of $19,886,000, or 806%, from $2,466,000 for the three months ended September 30, 2021. During the third quarter of 2022, the Company sold 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 The Company views land sales as a strategic opportunity to expand TRCC and the timing of such sales are driven by external forces such as the current increase in demand for industrial space and the buyer of the land. The Company has the ability and intent to hold land for development and will deploy capital resources to further build its portfolio of wholly-owned operating properties based on market demand.</w:t>
      </w:r>
    </w:p>
    <w:p>
      <w:pPr>
        <w:spacing w:after="0" w:line="70"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$6,845,000 for the three months ended September 30, 2022, an increase of $4,514,000, or 194%, from $2,331,000 for the three months ended September 30, 2021. This increase is primarily attributed to the cost of land sales during the third quarter of 2022.</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Change</w:t>
            </w:r>
          </w:p>
        </w:tc>
        <w:tc>
          <w:tcPr>
            <w:tcW w:w="100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revenues</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TRCC Leasing</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 management fees and reimbursements</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leases</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Communication leases</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Landscaping and other</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sale</w:t>
            </w:r>
          </w:p>
        </w:tc>
        <w:tc>
          <w:tcPr>
            <w:tcW w:w="1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commercial revenues</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expenses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from commercial/industrial</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0"/>
        </w:trPr>
        <w:tc>
          <w:tcPr>
            <w:tcW w:w="4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ind w:left="340" w:right="120" w:hanging="332"/>
        <w:spacing w:after="0" w:line="255"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revenues were $32,163,000 for the first nine months of 2022, an increase of $19,343,000, or 151%, from $12,820,000 for the first nine months of 2021. During the third quarter of 2022, the Company sold 58.0 acres of industrial land located at TRCC East to a major multinational corporation for $22,000,000. The Company recognized land sales revenue of $19,627,000 and deferred revenues of $2,373,000 attributable to a performance obligation within the contract after applying the five-step revenue recognition model in accordance with ASC Topic 606 - Revenue From Contracts With Customers. During the first quarter of 2022, the Company also sold 12.3 acres of industrial land located at TRCC West to a third party for $4,680,000. Comparatively, during the nine months ended 2021, the Company had only sold 38.86 acres of land, which was a contribution of land to a joint venture.</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Commercial/industrial real estate development segment expenses were $11,403,000 during the first nine months of 2022, an increase of $2,808,000, or 33%, from $8,595,000 during the first nine months of 2021. The increase is attributed to the fact that there were more land sales in 2022 when compared to 2021.</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logistics operators currently located within TRCC have demonstrated success in serving all of California and the western region of the United States, and the Company showcases their success in its marketing efforts. We expect to continue to focus our marketing strategy for TRCC on the significant labor and logistical benefits of our site, the pro-business approach of Kern County, and the demonstrated success of the current tenants and owners within our development. Our location fits within the logistics model that many companies are using, which favors large, centralized distribution facilities which have been strategically located to maximize the balance of inbound and outbound efficiencies, rather than many decentralized smaller distribution centers. The world-class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Foreign Trade Zone, or FTZ, designation allows businesses to secure the many benefits and cost reductions associated with streamlined movement of goods in and out of the trade zone. This FTZ designation is further supplemented by the Advance Kern Incentive Program, or AKIP, adopted by the Kern County Board of Supervisors. AKIP is aimed to expand and enhance the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that the FTZ and AKIP, along with our ability to provide fully entitled, shovel-ready land parcels to support buildings of any size, including buildings one million square feet or larger, can provide us with a potential marketing advantage. Our marketing efforts target the Inland Empire region of Southern California, the Santa Clarita Valley of northern Los Angeles County, the northern part of the San Fernando Valley - due to the limited availability of new product and high real estate costs in these locations, and the San Joaquin Valley of California. The Company continues to analyze the market and evaluate expansions of industrial buildings for lease either on our own or in partnerships, as we have done with the buildings developed within our joint ventures.</w:t>
      </w:r>
    </w:p>
    <w:p>
      <w:pPr>
        <w:spacing w:after="0" w:line="6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the potential disadvantage of our distance from the ports is being mitigated. Strong demand for large distribution facilities is driving development farther east in a search for large, entitled parcels.</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2022, historically tight market conditions continued to exist throughout the Inland Empire despite overall economic uncertainty. Vacancy rates ticked up 20 basis points to 0.7% but are still 10 basis points below the mark from one year ago. Average asking rents posted a new record-high rate, a 58% jump from 12 months ago. Demand for Inland Empire logistics space continues to be strong, as net absorption reached 2.9 million square feet. As lease rates increase in the Inland Empire, we may experience greater pricing advantages due to our lower land basis.</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2022, the overall vacancy rate was unchanged at 0.4% in the San Fernando Valley and up 40 basis points to 1.1% in Ventura County. Average asking rates continued to climb with a 5.8% bump in the Valley and 2.9% bump in Ventura. Development activity remains strong in this market with 844,000 square feet under construction.</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Industrial vacancy rates are expected to remain low, and industrial users seeking larger spaces are going further north into neighboring Kern County, and particularly, TRCC, which has attracted increased attention as market conditions continue to tighten. Additionally, TRCC is in a position to capture tenant awareness due to our ability to provide a competitive alternative for users in the Inland Empire and the Santa Clarita Valley. The Company's TRC-MRC 4 joint venture completed construction of a 629,274 square foot industrial building and received its Certificate of Occupancy while Scannell Properties, a third-party commercial real estate development firm, has fully leased its 252,000 square foot industrial building at TRCC-East.</w:t>
      </w:r>
    </w:p>
    <w:p>
      <w:pPr>
        <w:spacing w:after="0" w:line="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expect our commercial/industrial real estate development segment to continue to experience costs, net of amounts capitalized, primarily related to professional service fees, marketing costs, commissions, planning costs, and staffing costs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360"/>
        <w:spacing w:after="0" w:line="282" w:lineRule="auto"/>
        <w:rPr>
          <w:sz w:val="20"/>
          <w:szCs w:val="20"/>
          <w:color w:val="auto"/>
        </w:rPr>
      </w:pPr>
      <w:r>
        <w:rPr>
          <w:rFonts w:ascii="Times New Roman" w:cs="Times New Roman" w:eastAsia="Times New Roman" w:hAnsi="Times New Roman"/>
          <w:sz w:val="18"/>
          <w:szCs w:val="18"/>
          <w:color w:val="auto"/>
        </w:rPr>
        <w:t>we continue to pursue development opportunities. These costs are expected to remain consistent with current levels of expense with any variability in future costs tied to specific absorption transactions in any given year.</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Real Estate – Resort/Residential: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the preliminary stages of property development for this segment; hence, no revenues or profits are attributed to this segment.</w:t>
      </w:r>
    </w:p>
    <w:p>
      <w:pPr>
        <w:spacing w:after="0" w:line="10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$372,000 for the three months ended September 30, 2022, an increase of $50,000, or 16%, from $322,000 for the three months ended September 30, 2021. The increase is attributed the true-up during the quarter of previously capitalized stock compensation triggered by the Company not meeting certain performance milestones tied to the share-based compensation program.</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Resort/residential real estate development segment expenses were $1,218,000 for the first nine months of 2022, a decrease of $96,000, or 7%, from $1,314,000 for the first nine months of 2021. The decrease is attributed to less general and administrative and professional service costs.</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long-term business plan of developing the communities of MV, Centennial, and Grapevine remains unchanged. As home buyer trends change in California to a more suburban orientation and the economy stabilizes, we believe the perception of land values will continue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 Most of the expenditures and capital investment to be incurred within our resort/residential real estate segment are expected to continue to focus on the mixed use master planned communities of Centennial, Grapevine, and Mountain Village.</w:t>
      </w:r>
    </w:p>
    <w:p>
      <w:pPr>
        <w:spacing w:after="0" w:line="66" w:lineRule="exact"/>
        <w:rPr>
          <w:sz w:val="20"/>
          <w:szCs w:val="20"/>
          <w:color w:val="auto"/>
        </w:rPr>
      </w:pPr>
    </w:p>
    <w:p>
      <w:pPr>
        <w:ind w:left="660" w:right="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Centennial – the approved Centennial specific plan includes 19,333 residential units and more than 10.1 million square feet of commercial space. The Company is working with the County of Los Angeles to address litigation filed in the Los Angeles Superior Court. See Note 12 (Commitments and Contingencies) of the Notes to Unaudited Consolidated Financial Statements for further discussion.</w:t>
      </w:r>
    </w:p>
    <w:p>
      <w:pPr>
        <w:spacing w:after="0" w:line="54"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Grapevine – an 8,010-acre development area located on the San Joaquin Valley floor area of our lands, adjacent to TRCC. Upon completion of Grapevine, the community will include 12,000 homes, 5.1 million square feet for commercial development, and more than 3,367 acres of open space and parks.</w:t>
      </w:r>
    </w:p>
    <w:p>
      <w:pPr>
        <w:spacing w:after="0" w:line="40"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MV – a fully entitled project that obtained final map approvals in 2021 for 401 residential lots and parcels for hospitality, amenities, and public uses. The timing of the MV development in the coming years will depend on the strength of both the economy and the real estate market, including both primary and second home markets.</w:t>
      </w:r>
    </w:p>
    <w:p>
      <w:pPr>
        <w:spacing w:after="0" w:line="54"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move these projects forward,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Mineral Resources: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500" w:type="dxa"/>
            <w:vAlign w:val="bottom"/>
            <w:tcBorders>
              <w:top w:val="single" w:sz="8" w:color="006EBF"/>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500" w:hanging="332"/>
        <w:spacing w:after="0" w:line="289" w:lineRule="auto"/>
        <w:tabs>
          <w:tab w:leader="none" w:pos="3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resources segment revenues were $3,139,000 for the three months ended September 30, 2022, a decrease of $1,635,000, or 34%, from $4,774,000 for the three months ended September 30, 2021. The reduction in revenues is primarily attributed to the timing of water sales. Comparatively, the Company sold 1,130 and 2,603 acre-feet of water during the three months ended September 30, 2022 and 2021, respectively.</w:t>
      </w:r>
    </w:p>
    <w:p>
      <w:pPr>
        <w:spacing w:after="0" w:line="49"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$1,745,000 for the three months ended September 30, 2022, a decrease of $1,280,000, or 42%, from</w:t>
      </w:r>
    </w:p>
    <w:p>
      <w:pPr>
        <w:spacing w:after="0" w:line="27" w:lineRule="exact"/>
        <w:rPr>
          <w:rFonts w:ascii="Times New Roman" w:cs="Times New Roman" w:eastAsia="Times New Roman" w:hAnsi="Times New Roman"/>
          <w:sz w:val="18"/>
          <w:szCs w:val="18"/>
          <w:color w:val="auto"/>
        </w:rPr>
      </w:pPr>
    </w:p>
    <w:p>
      <w:pPr>
        <w:ind w:left="3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$3,025,000 for the three months ended September 30, 2021. This decrease is consistent with reduced water sales volume when compared to the prior period.</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Mineral resources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Oil and gas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Cement</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Rock aggregate</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leases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Sales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Reimbursables and other</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mineral resources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mineral resources expenses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from mineral resources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right="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revenues were $19,238,000 for the first nine months of 2022, a decrease of $116,000, or 1%, from $19,354,000 for the first nine months of 2021. The Company saw a $1,351,000 decline in water sales revenues as a result of lower water sales volumes. Comparatively, the Company sold 9,600 and 13,199 acre feet of water as of September 30, 2022 and 2021, respectively. The decrease in water sales was partially offset by a combined increase in oil and cement royalties of $1,037,000 primarily driven by increase in demand for both of these resources.</w:t>
      </w:r>
    </w:p>
    <w:p>
      <w:pPr>
        <w:spacing w:after="0" w:line="7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resources segment expenses were $11,347,000 for the first nine months of 2022, a decrease of $978,000, or 8%, when compared to the same period in 2021. The decrease is primarily attributed to less water sales when compared to prior year offset by an increase in property taxes.</w:t>
      </w:r>
    </w:p>
    <w:p>
      <w:pPr>
        <w:spacing w:after="0" w:line="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anticipated changes arise in the future related to groundwater management in California, such as limits on groundwater pumping, we believe that our water assets, including water banking operations, ground water recharge programs, and access to water contracts like those we have purchased in the past, will become even more important and valuable in servicing our projects and providing opportunities for water sales to third parties.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price per barrel of oil has increased over 14% from December 31, 2021 levels leading to increases in production, with the expectation of more wells returning into production in the near future. Prices for oil, natural gas fluctuate in response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2" w:name="page33"/>
    <w:bookmarkEnd w:id="32"/>
    <w:p>
      <w:pPr>
        <w:ind w:right="140"/>
        <w:spacing w:after="0" w:line="250" w:lineRule="auto"/>
        <w:rPr>
          <w:sz w:val="20"/>
          <w:szCs w:val="20"/>
          <w:color w:val="auto"/>
        </w:rPr>
      </w:pPr>
      <w:r>
        <w:rPr>
          <w:rFonts w:ascii="Times New Roman" w:cs="Times New Roman" w:eastAsia="Times New Roman" w:hAnsi="Times New Roman"/>
          <w:sz w:val="18"/>
          <w:szCs w:val="18"/>
          <w:color w:val="auto"/>
        </w:rPr>
        <w:t>relatively minor changes in supply and demand, market uncertainty and a variety of additional factors that are beyond our control, such as: changes in domestic and global supply and demand, domestic and global inventory levels, political and regulatory conditions in California, and international disputes such as current conflicts in Eastern Europe.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Farming:</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66"/>
        </w:trPr>
        <w:tc>
          <w:tcPr>
            <w:tcW w:w="740" w:type="dxa"/>
            <w:vAlign w:val="bottom"/>
            <w:tcBorders>
              <w:top w:val="single" w:sz="8" w:color="006EBF"/>
            </w:tcBorders>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80" w:type="dxa"/>
            <w:vAlign w:val="bottom"/>
          </w:tcPr>
          <w:p>
            <w:pPr>
              <w:spacing w:after="0"/>
              <w:rPr>
                <w:sz w:val="24"/>
                <w:szCs w:val="24"/>
                <w:color w:val="auto"/>
              </w:rPr>
            </w:pPr>
          </w:p>
        </w:tc>
        <w:tc>
          <w:tcPr>
            <w:tcW w:w="19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Change</w:t>
            </w:r>
          </w:p>
        </w:tc>
        <w:tc>
          <w:tcPr>
            <w:tcW w:w="1320" w:type="dxa"/>
            <w:vAlign w:val="bottom"/>
          </w:tcPr>
          <w:p>
            <w:pPr>
              <w:spacing w:after="0"/>
              <w:rPr>
                <w:sz w:val="24"/>
                <w:szCs w:val="24"/>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3"/>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598 %</w:t>
            </w:r>
          </w:p>
        </w:tc>
      </w:tr>
      <w:tr>
        <w:trPr>
          <w:trHeight w:val="21"/>
        </w:trPr>
        <w:tc>
          <w:tcPr>
            <w:tcW w:w="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40" w:hanging="332"/>
        <w:spacing w:after="0" w:line="255"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$4,776,000 for the three months ended September 30, 2022, a decrease of $1,950,000, or 29%, from $6,726,000 during the same period in 2021. The decline is primarily attributed to a significantly lower than expected pistachio yield given the alternate bearing nature of pistachios. Pistachio production for 2022 did not warrant the expenditure of harvest costs. The Company has filed crop insurance claims for the 2022 crop and expects to receive a payment during the fourth quarter. Pistachio revenues recorded for 2022 primarily pertain to marketing bonuses associated with the 2021 crop. The decrease is partially offset by the timing of almond crop sales. Comparatively we sold 863,000 and 337,000 pounds of almonds during the three months ended September 30, 2022 and 2021, respectively. Additionally, the Company's winegrapes saw an improvement due to timing of sales when compared to the same period in 2021.</w:t>
      </w:r>
    </w:p>
    <w:p>
      <w:pPr>
        <w:spacing w:after="0" w:line="80" w:lineRule="exact"/>
        <w:rPr>
          <w:rFonts w:ascii="Times New Roman" w:cs="Times New Roman" w:eastAsia="Times New Roman" w:hAnsi="Times New Roman"/>
          <w:sz w:val="18"/>
          <w:szCs w:val="18"/>
          <w:color w:val="auto"/>
        </w:rPr>
      </w:pPr>
    </w:p>
    <w:p>
      <w:pPr>
        <w:ind w:left="340" w:right="40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$8,752,000 for the three months ended September 30, 2022, an increase of $1,456,000, or 20%, from $7,296,000 during the same period in 2021. The increase in expenses resulted from the additional cost of sales related to the increase in almond sales when compared to prior year, higher water costs, and overall cost inflation.</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Farming revenues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Almonds</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Pistachios</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Wine grapes</w:t>
            </w: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Hay</w:t>
            </w: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farming revenues</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farming expenses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farming</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0"/>
        </w:trPr>
        <w:tc>
          <w:tcPr>
            <w:tcW w:w="3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40" w:hanging="332"/>
        <w:spacing w:after="0" w:line="255"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revenues were $7,352,000 for the first nine months of 2022, a decrease of $260,000, or 3%, from $7,612,000 during the same period in 2021. The decline is primarily attributed to a significantly lower than expected pistachio yield given the alternate bearing nature of pistachios. There were zero pistachio yields for 2022 and the Company has not received final confirmation of expected crop insurance proceeds but expects to by the fourth quarter. Pistachio revenues recorded for 2022 primarily pertain to marketing bonuses associated with the 2021 crop. The decline is partially offset by the timing of almond crop sales. Comparatively we sold 1,854,000 (current crop - 286,000 lbs and prior year crop - 1,568,000 lbs) and 542,000 (current crop - 212,000 lbs and prior crop 330,000 lbs) pounds of almonds as of the nine months ended September 30, 2022 and 2021, respectively. Additionally, the Company's winegrapes saw an improvement due to timing of sales when compared to the same period in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left="340" w:right="20" w:hanging="332"/>
        <w:spacing w:after="0" w:line="261"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Farming segment expenses were $13,976,000 for the first nine months of 2022, an increase of $3,999,000, or 40%, from $9,977,000 when compared to the same period in 2021. The increase in expenses is primarily attributed to an increase in the amount of almonds sold. In addition, the Company is also incurring higher fixed water costs resulting from increased costs associated with maintaining local water district infrastructure and high State Water Project fixed water costs.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almond, pistachio, and wine grape crop sales are highly seasonal with most of our sales occurring during the third and fourth quarters. Almonds and pistachios each year are sold at market prices while grapes are sold to wineries at contracted prices. Our farming operations during 2022 have been impacted by higher costs of production such as fuel costs, fertilizer costs, pest control costs, and labor costs. These price increases are magnified in the almond market as higher than historically normal inventory levels and a stronger dollar are depressing the price of almonds. Inventory levels within the almond industry grew largely as a result of supply chain issues in prior years impacting shipments to Asia and Europe. For 2022, the U.S. Department of Agriculture’s National Agricultural Statistics Service expects total almond yields to approximate 2.6 billion pounds compared to 2021's actual of 2.9 billion pounds. This slight decline in overall production is expected to be a positive sign to the industry as a reduced amount of new inventory will be coming live. We however expect continued downward pressure on prices into 2023.</w:t>
      </w:r>
    </w:p>
    <w:p>
      <w:pPr>
        <w:spacing w:after="0" w:line="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Lastly, the impact of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for the next crop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Ranch Operations: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6"/>
        </w:trPr>
        <w:tc>
          <w:tcPr>
            <w:tcW w:w="1480" w:type="dxa"/>
            <w:vAlign w:val="bottom"/>
            <w:tcBorders>
              <w:top w:val="single" w:sz="8" w:color="006EBF"/>
            </w:tcBorders>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 Operations 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80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from Ranch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ind w:left="120" w:hanging="94"/>
        <w:spacing w:after="0" w:line="208" w:lineRule="auto"/>
        <w:tabs>
          <w:tab w:leader="none" w:pos="120" w:val="left"/>
        </w:tabs>
        <w:numPr>
          <w:ilvl w:val="1"/>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Game management and other revenues consist of revenues from hunting, filming, high desert hunt club (a premier upland bird hunting club), and other ancillary activities.</w:t>
      </w:r>
    </w:p>
    <w:p>
      <w:pPr>
        <w:spacing w:after="0" w:line="200" w:lineRule="exact"/>
        <w:rPr>
          <w:rFonts w:ascii="Times New Roman" w:cs="Times New Roman" w:eastAsia="Times New Roman" w:hAnsi="Times New Roman"/>
          <w:sz w:val="21"/>
          <w:szCs w:val="21"/>
          <w:color w:val="auto"/>
          <w:vertAlign w:val="superscript"/>
        </w:rPr>
      </w:pPr>
    </w:p>
    <w:p>
      <w:pPr>
        <w:spacing w:after="0" w:line="206" w:lineRule="exact"/>
        <w:rPr>
          <w:rFonts w:ascii="Times New Roman" w:cs="Times New Roman" w:eastAsia="Times New Roman" w:hAnsi="Times New Roman"/>
          <w:sz w:val="21"/>
          <w:szCs w:val="21"/>
          <w:color w:val="auto"/>
          <w:vertAlign w:val="superscript"/>
        </w:rPr>
      </w:pPr>
    </w:p>
    <w:p>
      <w:pPr>
        <w:ind w:left="340" w:right="160" w:hanging="332"/>
        <w:spacing w:after="0" w:line="282"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were $1,208,000 for the three months ended September 30, 2022, an increase of $212,000, or 21%, from $996,000 for the same period in 2021. The increase is primarily attributed to higher filming location revenues that have picked up post pandemic.</w:t>
      </w:r>
    </w:p>
    <w:p>
      <w:pPr>
        <w:spacing w:after="0" w:line="26"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$1,143,000 for the three months ended September 30, 2022, a decrease of $39,000, or 3%, from $1,182,000 for the same period in 2021. This decrease is primarily attributed to lower general and administrative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-998855</wp:posOffset>
            </wp:positionV>
            <wp:extent cx="4723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Change</w:t>
            </w:r>
          </w:p>
        </w:tc>
        <w:tc>
          <w:tcPr>
            <w:tcW w:w="106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Ranch Operations revenues</w:t>
            </w: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08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Game Management and other </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4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Grazing</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Ranch Operations revenues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Ranch Operations expenses</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from Ranch Operations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ind w:left="40" w:right="220" w:firstLine="6"/>
        <w:spacing w:after="0" w:line="206" w:lineRule="auto"/>
        <w:tabs>
          <w:tab w:leader="none" w:pos="143"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-247650</wp:posOffset>
            </wp:positionV>
            <wp:extent cx="4509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left="340" w:right="80" w:hanging="332"/>
        <w:spacing w:after="0" w:line="282"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revenues were $3,011,000 for the first nine months of 2022, an increase of $143,000, or 5%, from $2,868,000 for the same period in 2021. The increase is primarily attributed to higher filming location revenues.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Ranch operations expenses were $3,708,000 for the first nine months of 2022, an increase of $197,000, or 6%, from $3,511,000 for the same period in</w:t>
      </w:r>
    </w:p>
    <w:p>
      <w:pPr>
        <w:spacing w:after="0" w:line="49" w:lineRule="exact"/>
        <w:rPr>
          <w:rFonts w:ascii="Times New Roman" w:cs="Times New Roman" w:eastAsia="Times New Roman" w:hAnsi="Times New Roman"/>
          <w:sz w:val="18"/>
          <w:szCs w:val="18"/>
          <w:color w:val="auto"/>
        </w:rPr>
      </w:pPr>
    </w:p>
    <w:p>
      <w:pPr>
        <w:ind w:left="34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This increase is primarily attributed to an increase in repairs and maintenance costs resulting from a shift in business strategy. Historically, the Company has maintained property grounds using internal sources, but during 2022 we began outsourcing this effort which is attributing to the aforementioned increase in repairs and maintenance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Corporate and 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general and administrative costs were $1,630,000 for the three months ended September 30, 2022, a decrease of $391,000, or 19%, from</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$2,021,000 for the same period in 2021. The decrease is primarily attributed to the true-up of stock compensation costs of $879,000 as a result of changes in estimate that certain long-term milestones will not be met. This decrease was partially offset by an increase in payroll and overhead of $176,000 and reduction in overall allocable administrative costs.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costs were $6,230,000 for the first nine months of 2022, a decrease of $446,000, or 7%, from $6,676,000 for the same period in 2021. The decrease is primarily attributed to the true-up of stock compensation costs of $864,000 as a result of not meeting certain long term milestones. This decrease was partially offset by an increase in payroll and overhead of $352,000 and professional services of $114,000.</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November 2021, the Company's 18-19 West joint venture sold its land for $15,213,000. In 2022, the Company received excess distributions and recognized long-term deferred gains, associated with the 18-19 West joint venture of $1,140,000. This amount is reflected in the Statement of Operations - Other Income, Net line item.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6EBF"/>
              </w:rPr>
              <w:t>Joint Ventures: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2"/>
        </w:trPr>
        <w:tc>
          <w:tcPr>
            <w:tcW w:w="1180" w:type="dxa"/>
            <w:vAlign w:val="bottom"/>
            <w:tcBorders>
              <w:top w:val="single" w:sz="8" w:color="006EBF"/>
            </w:tcBorders>
          </w:tcPr>
          <w:p>
            <w:pPr>
              <w:spacing w:after="0"/>
              <w:rPr>
                <w:sz w:val="24"/>
                <w:szCs w:val="24"/>
                <w:color w:val="auto"/>
              </w:rPr>
            </w:pP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60" w:type="dxa"/>
            <w:vAlign w:val="bottom"/>
          </w:tcPr>
          <w:p>
            <w:pPr>
              <w:spacing w:after="0"/>
              <w:rPr>
                <w:sz w:val="24"/>
                <w:szCs w:val="24"/>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Change</w:t>
            </w:r>
          </w:p>
        </w:tc>
        <w:tc>
          <w:tcPr>
            <w:tcW w:w="1300" w:type="dxa"/>
            <w:vAlign w:val="bottom"/>
          </w:tcPr>
          <w:p>
            <w:pPr>
              <w:spacing w:after="0"/>
              <w:rPr>
                <w:sz w:val="24"/>
                <w:szCs w:val="24"/>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18-19 West,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TRC-MRC 1,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TRC-MRC 2, LLC</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TRC-MRC 3, LLC</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3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80" w:hanging="332"/>
        <w:spacing w:after="0" w:line="266"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were $1,991,000 for the three months ended September 30, 2022, an increase of $481,000, from $1,510,000 during the same period in 2021. The improvement is primarily attributed to the Company's Petro joint venture, which is experiencing improved fuel and non-fuel operating margins in 2022.</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460" w:type="dxa"/>
            <w:vAlign w:val="bottom"/>
          </w:tcPr>
          <w:p>
            <w:pPr>
              <w:spacing w:after="0"/>
              <w:rPr>
                <w:sz w:val="20"/>
                <w:szCs w:val="20"/>
                <w:color w:val="auto"/>
              </w:rPr>
            </w:pPr>
          </w:p>
        </w:tc>
        <w:tc>
          <w:tcPr>
            <w:tcW w:w="192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(loss)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Petro Travel Plaza Holdings, LLC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18-19 West,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TRCC/Rock Outlet Center,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TRC-MRC 1,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2, LLC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TRC-MRC 3, LLC</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TRC-MRC 4, LLC</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earnings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120" w:hanging="332"/>
        <w:spacing w:after="0" w:line="26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 earnings were $4,867,000 for the nine months ended September 30, 2022, an increase of $2,051,000, or 73%, from $2,816,000 during the same period in 2021. The improvement is primarily attributed to the Company's Petro joint venture that saw improvements in both fuel and non-fuel operating margins. Additionally, the joint venture's full-service restaurants were open during the first quarter of 2022, but were closed due to COVID-19 mandates during the same period in 2021.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"Non-GAAP Financial Measures" for further financial discussion of the results of our joint ventures.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General Outlook</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operations of the Company are seasonal and future results of operations cannot reliably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2021,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Income Taxes</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net income tax expense of $6,262,000 compared to $1,237,000 for the nine months ended September 30, 2021. The effective tax rates approximated 31% and 38% for the nine months ended September 30, 2022 and 2021, respectively. As of September 30, 2022, income tax payables were $843,000. The Company classifies interest and penalties incurred on tax payments as income tax expenses. The Company's effective tax rates were higher than statutory rates primarily because of permanent differences related to Section 162(m). The Section 162(m) compensation deduction limitations occurred due to changes in tax law arising from the 2017 Tax Cuts Jobs 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Cash Flow and Liquidity</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enhance shareholder value over the long-term, we expect to continue to make investments in our real estate segments to secure land entitlement approvals, build infrastructure for our developments, provide adequate water supplies, and provide funds for general land development activities. Within our farming segment, we intend to make investments as needed to improve efficiency and add capacity to its operations when it is profitable to do so.</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cash, cash equivalents and marketable securities totaled $61,550,000 as of September 30, 2022, an increase of $14,372,000 from $47,178,000 as of December 31,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cash flow activities for the nine months ended September 30,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2022, the Company's operations provided $1,868,000 primarily as a result of distributions of earnings from unconsolidated joint ventures and an increase in net income.</w:t>
      </w:r>
    </w:p>
    <w:p>
      <w:pPr>
        <w:spacing w:after="0" w:line="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2021, the Company's operations used $1,916,000 primarily to fund crop cultural costs. The decline in cash flows over the comparative period is primarily attributed to the timing of joint venture distributions.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2022, investing activities used $5,383,000. The Company made capital expenditures, inclusive of capitalized interest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(exclusive of stock compensation), of $17,687,000, which includes predevelopment activities for our master planned communities; $2,465,000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permitting efforts for MV; $657,000 consisting of permitting efforts for Grapevine, and costs related to litigation defense for Centennial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$2,675,000. At TRCC, we spent $6,399,000 on infrastructure improvements and planning on the residential community at TRCC-East. Within our farming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we spent $5,046,000 which includes cultural costs for orchards not currently in production and replacing machinery and equipment. Lastly,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used $988,000 to acquire water assets. The Company had marketable securities maturities of $27,961,000 and reinvested $48,614,000. Lastly,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received proceeds of $3,968,000, $5,202,000, $24,950,000, from joint venture distributions, water sales, and land sales, respectively.</w:t>
      </w:r>
    </w:p>
    <w:p>
      <w:pPr>
        <w:spacing w:after="0" w:line="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During the first nine months of 2021, investing activities used $10,775,000. The Company made capital expenditures, inclusive of capitalized interest and payroll (exclusive of stock compensation), of $15,240,000, which includes predevelopment activities for our master planned communities; $3,168,000 consisting of planning and permitting primarily related to the preparation of final maps for Phase 1 of MV; expenditures relating to litigation of $817,000 for Grapevine, and costs related to litigation defense for Centennial of $2,033,000. At TRCC, we spent $2,559,000 on infrastructure improvements, qualifying costs related to land development and the residential community at TRCC-East. Within our farming segment, we spent $6,184,000 developing new almond orchards and grape vineyards, which includes cultural costs for 2021 for orchards not currently in production and replacing machinery and equipment. Lastly, the Company used $2,415,000 to acquire water assets, contributed $2,900,000 into unconsolidated joint ventures, and invested $10,355,000 into marketable securities. The cash outlays previously mentioned were offset by water sales proceeds of $8,997,000, joint venture distributions of $5,690,000 primarily attributed to the sale of land to TRC-MRC 4, and proceeds from matured marketable securities of $5,250,000.</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right="300"/>
        <w:spacing w:after="0" w:line="282" w:lineRule="auto"/>
        <w:rPr>
          <w:sz w:val="20"/>
          <w:szCs w:val="20"/>
          <w:color w:val="auto"/>
        </w:rPr>
      </w:pPr>
      <w:r>
        <w:rPr>
          <w:rFonts w:ascii="Times New Roman" w:cs="Times New Roman" w:eastAsia="Times New Roman" w:hAnsi="Times New Roman"/>
          <w:sz w:val="18"/>
          <w:szCs w:val="18"/>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estimated capital investment, inclusive of capitalized interest and payroll, for the remainder of 2022 is primarily related to our real estate projects. These estimated investments include approximately $3,352,000 of infrastructure development at TRCC-East to support continued commercial retail and industrial development and to design water facilities to support future anticipated absorption. We also plan to continue to invest in cultural costs tied to new almond orchards and vineyards, and to replace farm equipment. The farm investments are part of a long-term farm management program to redevelop declining orchards and vineyards to maintain and improve future farm revenues. Lastly, we expect to invest up to $2,526,000 for land planning, litigation/appeals, federal and state agency permitting activities, and development activities at MV, Centennial, and Grapevine during the remainder of 2022.</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2022 and 2021, was $1,682,000 and $1,856,000, respectively, and is classified within real estate development. We also capitalized payroll costs related to development, pre-construction, and construction projects which aggregated $1,779,000 and $1,901,000 for the nine months ended September 30, 2022 and 2021, respectively. Expenditures for repairs and maintenance are expensed as incurred.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2022, financing activities used $2,372,000, which was attributable to long-term debt service of $51,272,000, tax payments on vested share grants of $1,122,000, offset by debt issuance of $49,080,000 and proceeds from interest rate swap termination of $1,123,000.</w:t>
      </w:r>
    </w:p>
    <w:p>
      <w:pPr>
        <w:spacing w:after="0" w:line="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2021, financing activities used $4,166,000, which was attributable to long-term debt service of $3,200,000 and tax payments on vested share grants of $966,000.</w:t>
      </w:r>
    </w:p>
    <w:p>
      <w:pPr>
        <w:spacing w:after="0" w:line="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certain years or periods having different earnings than comparable periods. Based on the Company's experience, the Company believes it will have adequate cash flows, cash balances, and availability on our line of credit (discussed below) over the next twelve months to fund internal operations. As we move forward with the completion of our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Capital Structure and Financial Condition</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September 30, 2022, total capitalization at book value was $526,119,000, consisting of $50,590,000 of debt and $475,529,000 of equity, resulting in a debt-to-total-capitalization ratio of approximately 9.6%.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13, 2014, the Company, as borrower, entered into an Amended and Restated Credit Agreement, a Term Note and a Revolving Line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with Wells Fargo, or collectively the Credit Facility. The Credit Facility added a $70,000,000 term loan, or Term Loan, to the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 revolving line of credit, or RLC. In August 2019, the Company amended the Term Note (Amended Term Note) and extended its maturity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2029 and amended the RLC to expand the capacity from $30,000,000 to $35,000,000 and extend the maturity to October 5, 2024. On June 27,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off the Amended Term Note and terminated the related interest rate swap agreement with Wells Fargo and received a $1,123,200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fee from Wells Fargo for the interest rate swap.</w:t>
      </w:r>
    </w:p>
    <w:p>
      <w:pPr>
        <w:spacing w:after="0" w:line="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30, 2022, the Company entered into a variable rate term note, or New Term Note, and a New Revolving Line of Credit Note, or New RLC, with Bank of America, N.A, (Lender) or collectively the New Credit Facility. The New Term Loan provides a principal amount of $49,080,000 and a maturity date of June 28, 2032, which was used to pay off the existing Wells Fargo Amended Term Note. The Company evaluated the exchange under ASC 470 and determined that the exchange should be treated as a debt extinguishment. The amount of New RLC under the New Credit Facility is $40,607,000. As a subfacility under the New RLC, the Lender agrees to provide up to $10,000,000 of capacity to issue standby letters of credit. The Company currently has $4,393,000 outstanding on a standby letter of credit (see Off-Balance Sheet Arrangements section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380"/>
        <w:spacing w:after="0" w:line="282" w:lineRule="auto"/>
        <w:rPr>
          <w:sz w:val="20"/>
          <w:szCs w:val="20"/>
          <w:color w:val="auto"/>
        </w:rPr>
      </w:pPr>
      <w:r>
        <w:rPr>
          <w:rFonts w:ascii="Times New Roman" w:cs="Times New Roman" w:eastAsia="Times New Roman" w:hAnsi="Times New Roman"/>
          <w:sz w:val="18"/>
          <w:szCs w:val="18"/>
          <w:color w:val="auto"/>
        </w:rPr>
        <w:t>below for further discussion). The Company can issue an additional $5,607,000 in standby letters of credit. The allocation of the credit availability to a letter of credit does not incur an interest cost.</w:t>
      </w:r>
    </w:p>
    <w:p>
      <w:pPr>
        <w:spacing w:after="0" w:line="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New Term Note had a $48,833,000 balance as of September 30, 2022. The interest rate per annum applicable to the New Term Loan is the daily secured overnight financing rate, or SOFR, plus a margin of 1.55 percentage points. The interest rate for the term of the New Term Note has been fixed through the use of an interest rate swap at a rate of 4.62%. The New Term Note requires monthly amortization payments pursuant to a schedule set forth in the New Term Note, with the final outstanding principal amount due June 28, 2032. The New Credit Facility is secured by the Company's farmland and farm assets, which include equipment, crops and crop receivables; the PEF power plant lease and lease site; and related accounts and other rights to payment and inventory.</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New RLC had no outstanding balance as of September 30, 2022. At the Company’s option, the interest rate on this line of credit can float at 1.37% over a selected the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future borrowings under the New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New RLC is subject to compliance with certain financial covenants and making certain representations and warranties, which are typical in this type of borrowing arrangement.</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New Credit Facility requires compliance with two financial covenants: (a) total liabilities divided by tangible net worth not greater than 0.75 to 1.0 at each quarter end; (b) a debt service coverage ratio not less than 1.25 to 1.00 as of each quarter end on a rolling four quarter basis.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the Company was in compliance with all financial covenants.</w:t>
      </w:r>
    </w:p>
    <w:p>
      <w:pPr>
        <w:spacing w:after="0" w:line="9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New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make a change in capital ownership, or incur liens on any assets.</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New Credit Facility contains customary events of default, including: failure to make required payments; failure to comply with terms of the New Credit Facility; bankruptcy and insolvency. The New Credit Facility contains other customary terms and conditions, including representations and warranties, which are typical for credit facilities of this type.</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has a $4,750,000 promissory note agreement whose principal and interest due monthly began October 1, 2013. The interest rate on this promissory note is 4.25% per annum, with principal and interest payments ending on September 1, 2028. The balance as of September 30, 2022 was $1,757,000.</w:t>
      </w:r>
    </w:p>
    <w:p>
      <w:pPr>
        <w:spacing w:after="0" w:line="4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 the issuance of additional common stock.</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2022, we filed an updated shelf registration statement on Form S-3, which went effective in May 2022. Under the shelf registration statement, we may offer and sell in the future one or more offerings not to exceed $200,000,000,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have a strong liquidity position at September 30, 2022 with $61,550,000 in cash and securities and $40,607,000 available on our RLC to meet any short-term liquidity needs, we have taken steps to maximize positive cash flow, in case a lack of liquidity in the economy limits our access to third party funding by responsibly limiting cash expenditures to the extent practical. See Note 3 (Marketable Securities) and Note 7 (Line of Credit and Long-Term Debt) of the Notes to Unaudited Consolidated Financial Statements for more information.</w:t>
      </w:r>
    </w:p>
    <w:p>
      <w:pPr>
        <w:spacing w:after="0" w:line="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right="240"/>
        <w:spacing w:after="0" w:line="282" w:lineRule="auto"/>
        <w:rPr>
          <w:sz w:val="20"/>
          <w:szCs w:val="20"/>
          <w:color w:val="auto"/>
        </w:rPr>
      </w:pPr>
      <w:r>
        <w:rPr>
          <w:rFonts w:ascii="Times New Roman" w:cs="Times New Roman" w:eastAsia="Times New Roman" w:hAnsi="Times New Roman"/>
          <w:sz w:val="18"/>
          <w:szCs w:val="18"/>
          <w:color w:val="auto"/>
        </w:rPr>
        <w:t>financing at favorable terms. We believe we have adequate capital resources to fund our cash needs and our capital investment requirements in the near-term as described earlier in the cash flow and liquidity discussions.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6EBF"/>
        </w:rPr>
        <w:t>Contractual Cash Obligations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cash obligations and commercial commitments as of September 30, 2022, to be paid over the next five years and thereafter:</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ind w:left="1200"/>
              <w:spacing w:after="0"/>
              <w:rPr>
                <w:sz w:val="20"/>
                <w:szCs w:val="20"/>
                <w:color w:val="auto"/>
              </w:rPr>
            </w:pPr>
            <w:r>
              <w:rPr>
                <w:rFonts w:ascii="Times New Roman" w:cs="Times New Roman" w:eastAsia="Times New Roman" w:hAnsi="Times New Roman"/>
                <w:sz w:val="18"/>
                <w:szCs w:val="18"/>
                <w:color w:val="auto"/>
              </w:rPr>
              <w:t>Payments Due by Period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 2-3</w:t>
            </w: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 4-5</w:t>
            </w:r>
          </w:p>
        </w:tc>
        <w:tc>
          <w:tcPr>
            <w:tcW w:w="20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Thereafter</w:t>
            </w: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213,892</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40,895</w:t>
            </w: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contract commitments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29"/>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SERP</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268,298</w:t>
            </w:r>
          </w:p>
        </w:tc>
      </w:tr>
      <w:tr>
        <w:trPr>
          <w:trHeight w:val="21"/>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above includes only those contracts that include fixed or minimum obligations. It does not include normal purchases, which are made in the ordinary course of business.</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expect to contribute $165,000 to our defined benefit plan in 2022.</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006EBF"/>
              </w:rPr>
              <w:t>Off-Balance Sheet Arrangements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8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contingent obligations we have with respect to certain bonds issued by the CFDs: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color w:val="auto"/>
              </w:rPr>
              <w:t>Amount of Commitment Expiration Per Period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 1 year</w:t>
            </w: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2 -3 Years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4 -5 Years</w:t>
            </w:r>
          </w:p>
        </w:tc>
        <w:tc>
          <w:tcPr>
            <w:tcW w:w="16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5 Years</w:t>
            </w: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6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bonds there is a standby letter of credit for $4,393,000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September 30, 2022, that the letter of credit will likely never be drawn upon. This letter of credit is for a two-year period and will be renewed in two-year intervals as necessary. The annual cost related to the letter of credit is approximately $10,000. The tax assessment of each individual property sold or leased within each CFD is not determinable at this time because it is based on the current tax rate of the property at the time of sale or at the time it is leased to a third-party. Accordingly, the Company is not required to recognize an obligation as of September 30, 2022.</w:t>
      </w:r>
    </w:p>
    <w:p>
      <w:pPr>
        <w:spacing w:after="0" w:line="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2022, aggregate outstanding debt of unconsolidated joint ventures was $157,667,000. We provided a guarantee on $144,158,000 of this debt, relating to our joint ventures with Rockefeller and Majestic. Because of positive cash flow generation within the Rockefeller and Majestic joint ventures, we, as of September 30, 2022, do not expect the guarantee to be called upon. We do not provide a guarantee on the $13,509,000 of debt related to our joint venture with TA/Petro.</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006EBF"/>
        </w:rPr>
        <w:t>Non-GAAP Financial Measures</w:t>
      </w:r>
    </w:p>
    <w:p>
      <w:pPr>
        <w:spacing w:after="0" w:line="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EBITDA represents earnings before interest, taxes, depreciation, and amortization, a non-GAAP financial measure, and is used by us and others as a supplemental measure of performance. Adjusted EBITDA is used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175"/>
        </w:trPr>
        <w:tc>
          <w:tcPr>
            <w:tcW w:w="4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net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76"/>
        </w:trPr>
        <w:tc>
          <w:tcPr>
            <w:tcW w:w="4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Our share of interest expense from unconsolidated</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joint ventures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r>
      <w:tr>
        <w:trPr>
          <w:trHeight w:val="175"/>
        </w:trPr>
        <w:tc>
          <w:tcPr>
            <w:tcW w:w="4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Our share of depreciation and amortization from</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ventures</w:t>
            </w: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4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4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Commercial/Industrial operating income</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4,225</w:t>
            </w:r>
          </w:p>
        </w:tc>
        <w:tc>
          <w:tcPr>
            <w:tcW w:w="20" w:type="dxa"/>
            <w:vAlign w:val="bottom"/>
          </w:tcPr>
          <w:p>
            <w:pPr>
              <w:spacing w:after="0"/>
              <w:rPr>
                <w:sz w:val="19"/>
                <w:szCs w:val="19"/>
                <w:color w:val="auto"/>
              </w:rPr>
            </w:pPr>
          </w:p>
        </w:tc>
      </w:tr>
      <w:tr>
        <w:trPr>
          <w:trHeight w:val="164"/>
        </w:trPr>
        <w:tc>
          <w:tcPr>
            <w:tcW w:w="40" w:type="dxa"/>
            <w:vAlign w:val="bottom"/>
          </w:tcPr>
          <w:p>
            <w:pPr>
              <w:spacing w:after="0"/>
              <w:rPr>
                <w:sz w:val="14"/>
                <w:szCs w:val="14"/>
                <w:color w:val="auto"/>
              </w:rPr>
            </w:pPr>
          </w:p>
        </w:tc>
        <w:tc>
          <w:tcPr>
            <w:tcW w:w="416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8"/>
                <w:szCs w:val="18"/>
                <w:color w:val="auto"/>
              </w:rPr>
              <w:t>Plus: Commercial/Industrial depreciation and</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40" w:type="dxa"/>
            <w:vAlign w:val="bottom"/>
          </w:tcPr>
          <w:p>
            <w:pPr>
              <w:spacing w:after="0"/>
              <w:rPr>
                <w:sz w:val="20"/>
                <w:szCs w:val="20"/>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41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Plus: General, administrative, cost of sales and other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Other revenues including land sales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20" w:type="dxa"/>
            <w:vAlign w:val="bottom"/>
          </w:tcPr>
          <w:p>
            <w:pPr>
              <w:spacing w:after="0"/>
              <w:rPr>
                <w:sz w:val="19"/>
                <w:szCs w:val="19"/>
                <w:color w:val="auto"/>
              </w:rPr>
            </w:pPr>
          </w:p>
        </w:tc>
      </w:tr>
      <w:tr>
        <w:trPr>
          <w:trHeight w:val="20"/>
        </w:trPr>
        <w:tc>
          <w:tcPr>
            <w:tcW w:w="4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0" w:type="dxa"/>
            <w:vAlign w:val="bottom"/>
          </w:tcPr>
          <w:p>
            <w:pPr>
              <w:spacing w:after="0"/>
              <w:rPr>
                <w:sz w:val="24"/>
                <w:szCs w:val="24"/>
                <w:color w:val="auto"/>
              </w:rPr>
            </w:pPr>
          </w:p>
        </w:tc>
      </w:tr>
      <w:tr>
        <w:trPr>
          <w:trHeight w:val="223"/>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income</w:t>
            </w: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Pastoria Energy Facility</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0" w:type="dxa"/>
            <w:vAlign w:val="bottom"/>
            <w:shd w:val="clear" w:color="auto" w:fill="CCEEFF"/>
          </w:tcPr>
          <w:p>
            <w:pPr>
              <w:spacing w:after="0"/>
              <w:rPr>
                <w:sz w:val="19"/>
                <w:szCs w:val="19"/>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TRCC</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9"/>
                <w:szCs w:val="19"/>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 leases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shd w:val="clear" w:color="auto" w:fill="CCEEFF"/>
          </w:tcPr>
          <w:p>
            <w:pPr>
              <w:spacing w:after="0"/>
              <w:rPr>
                <w:sz w:val="19"/>
                <w:szCs w:val="19"/>
                <w:color w:val="auto"/>
              </w:rPr>
            </w:pP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commercial leases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bottom w:val="single" w:sz="8" w:color="auto"/>
            </w:tcBorders>
          </w:tcPr>
          <w:p>
            <w:pPr>
              <w:spacing w:after="0"/>
              <w:rPr>
                <w:sz w:val="19"/>
                <w:szCs w:val="19"/>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Commercial/Industrial net operating income</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Pr>
          <w:p>
            <w:pPr>
              <w:spacing w:after="0"/>
              <w:rPr>
                <w:sz w:val="20"/>
                <w:szCs w:val="20"/>
                <w:color w:val="auto"/>
              </w:rPr>
            </w:pPr>
          </w:p>
        </w:tc>
        <w:tc>
          <w:tcPr>
            <w:tcW w:w="3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of unconsolidated joint ventures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3,251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of unconsolidated joint ventures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8"/>
              </w:rPr>
              <w:t>1,416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of unconsolidated joint ventures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4,667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184"/>
        </w:trPr>
        <w:tc>
          <w:tcPr>
            <w:tcW w:w="4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and amortization of unconsolidated joint</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8"/>
              </w:rPr>
              <w:t>2,045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income of unconsolidated joint ventures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Risks</w:t>
      </w:r>
    </w:p>
    <w:p>
      <w:pPr>
        <w:spacing w:after="0" w:line="10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New RLC had no outstanding balance as of September 30, 2022. At the Company’s option, the interest rate on this line of credit can float at 1.37% over a selected the Daily SOFR rate or can be fixed at 1.37% above Term SOFR for a fixed rate term. During the term of this RLC (which matures in June 2032), the Company can borrow at any time and partially or wholly repay any outstanding borrowings and then re-borrow, as necessary.</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on our long-term debt. Long-term debt consists of two term loans, one of which has a balance of $48,833,000 as of September 30, 2022 and is tied to the daily secured overnight financing rate, or SOFR, plus a margin of 1.55 percentage points. The interest rate for the term of the New Term Note has been fixed through the use of an interest rate swap at a rate of 4.62%. The outstanding balance on the second term loan as of September 30, 2022 was $1,757,000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4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$7,191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$24,338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$31,242</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2.23%</w:t>
            </w: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($4.75M note)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$559</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$1,757</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$1,757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(New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$371</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$1,669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$41,938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$48,833</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$48,833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 Rate Sensitivity Financial Market Risks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Amount by Expected Maturity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percentage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$756</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$10,590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$10,983</w:t>
            </w:r>
          </w:p>
        </w:tc>
        <w:tc>
          <w:tcPr>
            <w:tcW w:w="0" w:type="dxa"/>
            <w:vAlign w:val="bottom"/>
          </w:tcPr>
          <w:p>
            <w:pPr>
              <w:spacing w:after="0"/>
              <w:rPr>
                <w:sz w:val="1"/>
                <w:szCs w:val="1"/>
                <w:color w:val="auto"/>
              </w:rPr>
            </w:pPr>
          </w:p>
        </w:tc>
      </w:tr>
      <w:tr>
        <w:trPr>
          <w:trHeight w:val="229"/>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0.22%</w:t>
            </w:r>
          </w:p>
        </w:tc>
        <w:tc>
          <w:tcPr>
            <w:tcW w:w="12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($4.75M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$302</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($70.0M note)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$5,038</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$27,700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$50,837</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$50,837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Commodity Price Exposure</w:t>
      </w:r>
    </w:p>
    <w:p>
      <w:pPr>
        <w:spacing w:after="0" w:line="9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 As of the date of this report there are no receivables that are subject to commodity price fluctuations given that there were no pistachio yields in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CONTROLS AND PROCEDURES</w:t>
      </w:r>
    </w:p>
    <w:p>
      <w:pPr>
        <w:spacing w:after="0" w:line="121" w:lineRule="exact"/>
        <w:rPr>
          <w:sz w:val="20"/>
          <w:szCs w:val="20"/>
          <w:color w:val="auto"/>
        </w:rPr>
      </w:pPr>
    </w:p>
    <w:p>
      <w:pPr>
        <w:ind w:left="580" w:hanging="572"/>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end of the period covered by this report,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81" w:lineRule="exact"/>
        <w:rPr>
          <w:sz w:val="20"/>
          <w:szCs w:val="20"/>
          <w:color w:val="auto"/>
        </w:rPr>
      </w:pPr>
    </w:p>
    <w:p>
      <w:pPr>
        <w:ind w:left="560" w:hanging="552"/>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7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 Legal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12 (Commitments and Contingencies) in the Notes to Unaudited Consolidated Financial Statements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in our most recent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6EBF"/>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tcBorders>
              <w:bottom w:val="single" w:sz="8" w:color="006EBF"/>
            </w:tcBorders>
            <w:gridSpan w:val="2"/>
          </w:tcPr>
          <w:p>
            <w:pPr>
              <w:spacing w:after="0"/>
              <w:rPr>
                <w:sz w:val="20"/>
                <w:szCs w:val="20"/>
                <w:color w:val="auto"/>
              </w:rPr>
            </w:pPr>
            <w:r>
              <w:rPr>
                <w:rFonts w:ascii="Times New Roman" w:cs="Times New Roman" w:eastAsia="Times New Roman" w:hAnsi="Times New Roman"/>
                <w:sz w:val="18"/>
                <w:szCs w:val="18"/>
                <w:b w:val="1"/>
                <w:bCs w:val="1"/>
                <w:color w:val="006EBF"/>
                <w:w w:val="99"/>
              </w:rPr>
              <w:t>Item 6. Exhibits:</w:t>
            </w:r>
          </w:p>
        </w:tc>
        <w:tc>
          <w:tcPr>
            <w:tcW w:w="86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5"/>
        </w:trPr>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Restated Certificate of Incorporation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w:t>
            </w:r>
          </w:p>
        </w:tc>
      </w:tr>
      <w:tr>
        <w:trPr>
          <w:trHeight w:val="229"/>
        </w:trPr>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Amended and Restated Bylaws</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w:t>
            </w:r>
          </w:p>
        </w:tc>
      </w:tr>
      <w:tr>
        <w:trPr>
          <w:trHeight w:val="230"/>
        </w:trPr>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7">
              <w:r>
                <w:rPr>
                  <w:rFonts w:ascii="Times New Roman" w:cs="Times New Roman" w:eastAsia="Times New Roman" w:hAnsi="Times New Roman"/>
                  <w:sz w:val="18"/>
                  <w:szCs w:val="18"/>
                  <w:color w:val="auto"/>
                </w:rPr>
                <w:t>Registration and Reimbursement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5</w:t>
            </w:r>
          </w:p>
        </w:tc>
      </w:tr>
      <w:tr>
        <w:trPr>
          <w:trHeight w:val="229"/>
        </w:trPr>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Form of Indenture for Debt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37</w:t>
            </w:r>
          </w:p>
        </w:tc>
      </w:tr>
      <w:tr>
        <w:trPr>
          <w:trHeight w:val="180"/>
        </w:trPr>
        <w:tc>
          <w:tcPr>
            <w:tcW w:w="1180" w:type="dxa"/>
            <w:vAlign w:val="bottom"/>
            <w:gridSpan w:val="2"/>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87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Water Service Contract with Wheeler Ridge-Maricopa Water Storage District (without exhibits), amendments</w:t>
            </w:r>
          </w:p>
        </w:tc>
        <w:tc>
          <w:tcPr>
            <w:tcW w:w="1300" w:type="dxa"/>
            <w:vAlign w:val="bottom"/>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originally filed under Item 11 to Registrant's Annual Report on Form 10-K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6</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*Severance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*Director Compensation Plan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4"/>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0">
              <w:r>
                <w:rPr>
                  <w:rFonts w:ascii="Times New Roman" w:cs="Times New Roman" w:eastAsia="Times New Roman" w:hAnsi="Times New Roman"/>
                  <w:sz w:val="18"/>
                  <w:szCs w:val="18"/>
                  <w:color w:val="auto"/>
                </w:rPr>
                <w:t>*Amended and Restated Non-Employee Director Stock Incentive Plan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8</w:t>
            </w:r>
          </w:p>
        </w:tc>
      </w:tr>
      <w:tr>
        <w:trPr>
          <w:trHeight w:val="346"/>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*Stock Option Agreement Pursuant to the Non-Employee Director Stock Incentive Plan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10.10</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*Amended and Restated 1998 Stock Incentive Plan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9</w:t>
            </w:r>
          </w:p>
        </w:tc>
      </w:tr>
      <w:tr>
        <w:trPr>
          <w:trHeight w:val="229"/>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*Stock Option Agreement Pursuant to the 1998 Stock Incentive Plan</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7</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10.12</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Ground Lease with Pastoria Energy Facility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10</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10.15</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Form of Securities Purchase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11</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10.16</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Form of Registration Rights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12</w:t>
            </w:r>
          </w:p>
        </w:tc>
      </w:tr>
      <w:tr>
        <w:trPr>
          <w:trHeight w:val="229"/>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10.17</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5">
              <w:r>
                <w:rPr>
                  <w:rFonts w:ascii="Times New Roman" w:cs="Times New Roman" w:eastAsia="Times New Roman" w:hAnsi="Times New Roman"/>
                  <w:sz w:val="18"/>
                  <w:szCs w:val="18"/>
                  <w:color w:val="auto"/>
                </w:rPr>
                <w:t>*2004 Stock Incentive Program</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*Form of Restricted Stock Agreement for Directors</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*Form of Restricted Stock Unit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13</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Limited Liability Company Agreement of Tejon Mountain Village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14</w:t>
            </w:r>
          </w:p>
        </w:tc>
      </w:tr>
      <w:tr>
        <w:trPr>
          <w:trHeight w:val="229"/>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Tejon Ranch Conservation and Land Use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15</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Second Amended and Restated Limited Liability Agreement of Centennial Founders,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16</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1">
              <w:r>
                <w:rPr>
                  <w:rFonts w:ascii="Times New Roman" w:cs="Times New Roman" w:eastAsia="Times New Roman" w:hAnsi="Times New Roman"/>
                  <w:sz w:val="18"/>
                  <w:szCs w:val="18"/>
                  <w:color w:val="auto"/>
                </w:rPr>
                <w:t>*Executive Employment Agreement - Allen E. Lyda</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17</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Limited Liability Company Agreement of TRCC/Rock Outlet Center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18</w:t>
            </w:r>
          </w:p>
        </w:tc>
      </w:tr>
      <w:tr>
        <w:trPr>
          <w:trHeight w:val="229"/>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Warrant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19</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Amendments to Limited Liability Company Agreement of Tejon Mountain Village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20</w:t>
            </w:r>
          </w:p>
        </w:tc>
      </w:tr>
      <w:tr>
        <w:trPr>
          <w:trHeight w:val="230"/>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Membership Interest Purchase Agreement - Tejon Mountain Village LLC</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21</w:t>
            </w:r>
          </w:p>
        </w:tc>
      </w:tr>
      <w:tr>
        <w:trPr>
          <w:trHeight w:val="229"/>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Amended and Restated Credit Agreement</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22</w:t>
            </w:r>
          </w:p>
        </w:tc>
      </w:tr>
      <w:tr>
        <w:trPr>
          <w:trHeight w:val="234"/>
        </w:trPr>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8760" w:type="dxa"/>
            <w:vAlign w:val="bottom"/>
            <w:gridSpan w:val="2"/>
          </w:tcPr>
          <w:p>
            <w:pPr>
              <w:ind w:left="80"/>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Term Note</w:t>
              </w:r>
            </w:hyperlink>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25</w:t>
            </w:r>
          </w:p>
        </w:tc>
      </w:tr>
      <w:tr>
        <w:trPr>
          <w:trHeight w:val="85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6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tbl>
      <w:tblPr>
        <w:tblLayout w:type="fixed"/>
        <w:tblInd w:w="440" w:type="dxa"/>
        <w:tblCellMar>
          <w:top w:w="0" w:type="dxa"/>
          <w:left w:w="0" w:type="dxa"/>
          <w:bottom w:w="0" w:type="dxa"/>
          <w:right w:w="0" w:type="dxa"/>
        </w:tblCellMar>
      </w:tblP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8580" w:type="dxa"/>
            <w:vAlign w:val="bottom"/>
          </w:tcPr>
          <w:p>
            <w:pPr>
              <w:ind w:left="80"/>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Revolving Line of Credit</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36</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w:t>
            </w:r>
          </w:p>
        </w:tc>
        <w:tc>
          <w:tcPr>
            <w:tcW w:w="8580" w:type="dxa"/>
            <w:vAlign w:val="bottom"/>
          </w:tcPr>
          <w:p>
            <w:pPr>
              <w:ind w:left="80"/>
              <w:spacing w:after="0"/>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Amendments to Lease Agreement with Pastoria Energy Facility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23</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w:t>
            </w:r>
          </w:p>
        </w:tc>
        <w:tc>
          <w:tcPr>
            <w:tcW w:w="8580" w:type="dxa"/>
            <w:vAlign w:val="bottom"/>
          </w:tcPr>
          <w:p>
            <w:pPr>
              <w:ind w:left="80"/>
              <w:spacing w:after="0"/>
              <w:rPr>
                <w:rFonts w:ascii="Times New Roman" w:cs="Times New Roman" w:eastAsia="Times New Roman" w:hAnsi="Times New Roman"/>
                <w:sz w:val="18"/>
                <w:szCs w:val="18"/>
                <w:color w:val="auto"/>
              </w:rPr>
            </w:pPr>
            <w:hyperlink r:id="rId92">
              <w:r>
                <w:rPr>
                  <w:rFonts w:ascii="Times New Roman" w:cs="Times New Roman" w:eastAsia="Times New Roman" w:hAnsi="Times New Roman"/>
                  <w:sz w:val="18"/>
                  <w:szCs w:val="18"/>
                  <w:color w:val="auto"/>
                </w:rPr>
                <w:t>Water Supply Agreement with Pastoria Energy Facility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24</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8580" w:type="dxa"/>
            <w:vAlign w:val="bottom"/>
          </w:tcPr>
          <w:p>
            <w:pPr>
              <w:ind w:left="80"/>
              <w:spacing w:after="0"/>
              <w:rPr>
                <w:rFonts w:ascii="Times New Roman" w:cs="Times New Roman" w:eastAsia="Times New Roman" w:hAnsi="Times New Roman"/>
                <w:sz w:val="18"/>
                <w:szCs w:val="18"/>
                <w:color w:val="auto"/>
              </w:rPr>
            </w:pPr>
            <w:hyperlink r:id="rId93">
              <w:r>
                <w:rPr>
                  <w:rFonts w:ascii="Times New Roman" w:cs="Times New Roman" w:eastAsia="Times New Roman" w:hAnsi="Times New Roman"/>
                  <w:sz w:val="18"/>
                  <w:szCs w:val="18"/>
                  <w:color w:val="auto"/>
                </w:rPr>
                <w:t>Limited Liability Company Agreement of TRC-MRC 2,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26</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w:t>
            </w:r>
          </w:p>
        </w:tc>
        <w:tc>
          <w:tcPr>
            <w:tcW w:w="8580" w:type="dxa"/>
            <w:vAlign w:val="bottom"/>
          </w:tcPr>
          <w:p>
            <w:pPr>
              <w:ind w:left="80"/>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Limited Liability Company Agreement of TRC-MRC 1,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27</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10.39</w:t>
            </w:r>
          </w:p>
        </w:tc>
        <w:tc>
          <w:tcPr>
            <w:tcW w:w="8580" w:type="dxa"/>
            <w:vAlign w:val="bottom"/>
          </w:tcPr>
          <w:p>
            <w:pPr>
              <w:ind w:left="80"/>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Centennial Founders LLC, Redemption and Withdrawal Agreement - Lewis Tejon Member,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28</w:t>
            </w:r>
          </w:p>
        </w:tc>
      </w:tr>
      <w:tr>
        <w:trPr>
          <w:trHeight w:val="180"/>
        </w:trPr>
        <w:tc>
          <w:tcPr>
            <w:tcW w:w="74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10.40</w:t>
            </w:r>
          </w:p>
        </w:tc>
        <w:tc>
          <w:tcPr>
            <w:tcW w:w="8580" w:type="dxa"/>
            <w:vAlign w:val="bottom"/>
          </w:tcPr>
          <w:p>
            <w:pPr>
              <w:ind w:left="80"/>
              <w:spacing w:after="0" w:line="181" w:lineRule="exact"/>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First Amendment to Second Amended and Restated Limited Liability Company Agreement of Centennial</w:t>
              </w:r>
            </w:hyperlink>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FN 29</w:t>
            </w:r>
          </w:p>
        </w:tc>
      </w:tr>
      <w:tr>
        <w:trPr>
          <w:trHeight w:val="234"/>
        </w:trPr>
        <w:tc>
          <w:tcPr>
            <w:tcW w:w="740" w:type="dxa"/>
            <w:vAlign w:val="bottom"/>
          </w:tcPr>
          <w:p>
            <w:pPr>
              <w:spacing w:after="0"/>
              <w:rPr>
                <w:sz w:val="20"/>
                <w:szCs w:val="20"/>
                <w:color w:val="auto"/>
              </w:rPr>
            </w:pPr>
          </w:p>
        </w:tc>
        <w:tc>
          <w:tcPr>
            <w:tcW w:w="8580" w:type="dxa"/>
            <w:vAlign w:val="bottom"/>
          </w:tcPr>
          <w:p>
            <w:pPr>
              <w:ind w:left="80"/>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Founders, LLC</w:t>
              </w:r>
            </w:hyperlink>
          </w:p>
        </w:tc>
        <w:tc>
          <w:tcPr>
            <w:tcW w:w="1400" w:type="dxa"/>
            <w:vAlign w:val="bottom"/>
          </w:tcPr>
          <w:p>
            <w:pPr>
              <w:spacing w:after="0"/>
              <w:rPr>
                <w:sz w:val="20"/>
                <w:szCs w:val="20"/>
                <w:color w:val="auto"/>
              </w:rPr>
            </w:pPr>
          </w:p>
        </w:tc>
      </w:tr>
      <w:tr>
        <w:trPr>
          <w:trHeight w:val="184"/>
        </w:trPr>
        <w:tc>
          <w:tcPr>
            <w:tcW w:w="740" w:type="dxa"/>
            <w:vAlign w:val="bottom"/>
          </w:tcPr>
          <w:p>
            <w:pPr>
              <w:jc w:val="right"/>
              <w:ind w:right="30"/>
              <w:spacing w:after="0" w:line="184" w:lineRule="exact"/>
              <w:rPr>
                <w:sz w:val="20"/>
                <w:szCs w:val="20"/>
                <w:color w:val="auto"/>
              </w:rPr>
            </w:pPr>
            <w:r>
              <w:rPr>
                <w:rFonts w:ascii="Times New Roman" w:cs="Times New Roman" w:eastAsia="Times New Roman" w:hAnsi="Times New Roman"/>
                <w:sz w:val="18"/>
                <w:szCs w:val="18"/>
                <w:color w:val="auto"/>
              </w:rPr>
              <w:t>10.41</w:t>
            </w:r>
          </w:p>
        </w:tc>
        <w:tc>
          <w:tcPr>
            <w:tcW w:w="8580" w:type="dxa"/>
            <w:vAlign w:val="bottom"/>
          </w:tcPr>
          <w:p>
            <w:pPr>
              <w:ind w:left="80"/>
              <w:spacing w:after="0" w:line="184" w:lineRule="exact"/>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Second Amendment to Second Amended and Restated Limited Liability Company Agreement of Centennial</w:t>
              </w:r>
            </w:hyperlink>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FN 30</w:t>
            </w:r>
          </w:p>
        </w:tc>
      </w:tr>
      <w:tr>
        <w:trPr>
          <w:trHeight w:val="234"/>
        </w:trPr>
        <w:tc>
          <w:tcPr>
            <w:tcW w:w="740" w:type="dxa"/>
            <w:vAlign w:val="bottom"/>
          </w:tcPr>
          <w:p>
            <w:pPr>
              <w:spacing w:after="0"/>
              <w:rPr>
                <w:sz w:val="20"/>
                <w:szCs w:val="20"/>
                <w:color w:val="auto"/>
              </w:rPr>
            </w:pPr>
          </w:p>
        </w:tc>
        <w:tc>
          <w:tcPr>
            <w:tcW w:w="8580" w:type="dxa"/>
            <w:vAlign w:val="bottom"/>
          </w:tcPr>
          <w:p>
            <w:pPr>
              <w:ind w:left="80"/>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Founders, LLC</w:t>
              </w:r>
            </w:hyperlink>
          </w:p>
        </w:tc>
        <w:tc>
          <w:tcPr>
            <w:tcW w:w="1400" w:type="dxa"/>
            <w:vAlign w:val="bottom"/>
          </w:tcPr>
          <w:p>
            <w:pPr>
              <w:spacing w:after="0"/>
              <w:rPr>
                <w:sz w:val="20"/>
                <w:szCs w:val="20"/>
                <w:color w:val="auto"/>
              </w:rPr>
            </w:pPr>
          </w:p>
        </w:tc>
      </w:tr>
      <w:tr>
        <w:trPr>
          <w:trHeight w:val="23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8580" w:type="dxa"/>
            <w:vAlign w:val="bottom"/>
          </w:tcPr>
          <w:p>
            <w:pPr>
              <w:ind w:left="80"/>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Limited Liability Company Agreement of TRC-MRC 3,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31</w:t>
            </w:r>
          </w:p>
        </w:tc>
      </w:tr>
      <w:tr>
        <w:trPr>
          <w:trHeight w:val="180"/>
        </w:trPr>
        <w:tc>
          <w:tcPr>
            <w:tcW w:w="74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10.43</w:t>
            </w:r>
          </w:p>
        </w:tc>
        <w:tc>
          <w:tcPr>
            <w:tcW w:w="8580" w:type="dxa"/>
            <w:vAlign w:val="bottom"/>
          </w:tcPr>
          <w:p>
            <w:pPr>
              <w:ind w:left="80"/>
              <w:spacing w:after="0" w:line="181" w:lineRule="exact"/>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Fourth Amendment to Second Amended and Restated Limited Liability Company Agreement of Centennial</w:t>
              </w:r>
            </w:hyperlink>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FN 32</w:t>
            </w:r>
          </w:p>
        </w:tc>
      </w:tr>
      <w:tr>
        <w:trPr>
          <w:trHeight w:val="234"/>
        </w:trPr>
        <w:tc>
          <w:tcPr>
            <w:tcW w:w="740" w:type="dxa"/>
            <w:vAlign w:val="bottom"/>
          </w:tcPr>
          <w:p>
            <w:pPr>
              <w:spacing w:after="0"/>
              <w:rPr>
                <w:sz w:val="20"/>
                <w:szCs w:val="20"/>
                <w:color w:val="auto"/>
              </w:rPr>
            </w:pPr>
          </w:p>
        </w:tc>
        <w:tc>
          <w:tcPr>
            <w:tcW w:w="8580" w:type="dxa"/>
            <w:vAlign w:val="bottom"/>
          </w:tcPr>
          <w:p>
            <w:pPr>
              <w:ind w:left="80"/>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Founders, LLC</w:t>
              </w:r>
            </w:hyperlink>
          </w:p>
        </w:tc>
        <w:tc>
          <w:tcPr>
            <w:tcW w:w="1400" w:type="dxa"/>
            <w:vAlign w:val="bottom"/>
          </w:tcPr>
          <w:p>
            <w:pPr>
              <w:spacing w:after="0"/>
              <w:rPr>
                <w:sz w:val="20"/>
                <w:szCs w:val="20"/>
                <w:color w:val="auto"/>
              </w:rPr>
            </w:pPr>
          </w:p>
        </w:tc>
      </w:tr>
      <w:tr>
        <w:trPr>
          <w:trHeight w:val="23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8580" w:type="dxa"/>
            <w:vAlign w:val="bottom"/>
          </w:tcPr>
          <w:p>
            <w:pPr>
              <w:ind w:left="80"/>
              <w:spacing w:after="0"/>
              <w:rPr>
                <w:rFonts w:ascii="Times New Roman" w:cs="Times New Roman" w:eastAsia="Times New Roman" w:hAnsi="Times New Roman"/>
                <w:sz w:val="18"/>
                <w:szCs w:val="18"/>
                <w:color w:val="auto"/>
              </w:rPr>
            </w:pPr>
            <w:hyperlink r:id="rId100">
              <w:r>
                <w:rPr>
                  <w:rFonts w:ascii="Times New Roman" w:cs="Times New Roman" w:eastAsia="Times New Roman" w:hAnsi="Times New Roman"/>
                  <w:sz w:val="18"/>
                  <w:szCs w:val="18"/>
                  <w:color w:val="auto"/>
                </w:rPr>
                <w:t>Centennial Founders, LLC Redemption and Withdrawal Agreement - CalAtlantic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33</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8580" w:type="dxa"/>
            <w:vAlign w:val="bottom"/>
          </w:tcPr>
          <w:p>
            <w:pPr>
              <w:ind w:left="80"/>
              <w:spacing w:after="0"/>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Amended Revolving Line of Credit</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34</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w:t>
            </w:r>
          </w:p>
        </w:tc>
        <w:tc>
          <w:tcPr>
            <w:tcW w:w="8580" w:type="dxa"/>
            <w:vAlign w:val="bottom"/>
          </w:tcPr>
          <w:p>
            <w:pPr>
              <w:ind w:left="80"/>
              <w:spacing w:after="0"/>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Amended Term Note</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35</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8580" w:type="dxa"/>
            <w:vAlign w:val="bottom"/>
          </w:tcPr>
          <w:p>
            <w:pPr>
              <w:ind w:left="80"/>
              <w:spacing w:after="0"/>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*Executive Officer Severance Agreement - Gregory S. Bielli</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38</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w:t>
            </w:r>
          </w:p>
        </w:tc>
        <w:tc>
          <w:tcPr>
            <w:tcW w:w="8580" w:type="dxa"/>
            <w:vAlign w:val="bottom"/>
          </w:tcPr>
          <w:p>
            <w:pPr>
              <w:ind w:left="80"/>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Limited Liability Company Agreement of TRC-MRC 4,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39</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8580" w:type="dxa"/>
            <w:vAlign w:val="bottom"/>
          </w:tcPr>
          <w:p>
            <w:pPr>
              <w:ind w:left="80"/>
              <w:spacing w:after="0"/>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Settlement Agreement of CEQA litigation with Climate Resolve</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40</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8580" w:type="dxa"/>
            <w:vAlign w:val="bottom"/>
          </w:tcPr>
          <w:p>
            <w:pPr>
              <w:ind w:left="80"/>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Limited Liability Company Agreement of TRC-MRC Multi I,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41</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8580" w:type="dxa"/>
            <w:vAlign w:val="bottom"/>
          </w:tcPr>
          <w:p>
            <w:pPr>
              <w:ind w:left="80"/>
              <w:spacing w:after="0"/>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Limited Liability Company Agreement of TRC-MRC 5, LLC</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FN 42</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8580" w:type="dxa"/>
            <w:vAlign w:val="bottom"/>
          </w:tcPr>
          <w:p>
            <w:pPr>
              <w:ind w:left="80"/>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Credit Agreement Between Tejon Ranchcorp and Bank of America, N.A.</w:t>
              </w:r>
            </w:hyperlink>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0"/>
        </w:trPr>
        <w:tc>
          <w:tcPr>
            <w:tcW w:w="74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32</w:t>
            </w:r>
          </w:p>
        </w:tc>
        <w:tc>
          <w:tcPr>
            <w:tcW w:w="85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w:t>
            </w: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Furnished</w:t>
            </w:r>
          </w:p>
        </w:tc>
      </w:tr>
      <w:tr>
        <w:trPr>
          <w:trHeight w:val="234"/>
        </w:trPr>
        <w:tc>
          <w:tcPr>
            <w:tcW w:w="74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1400" w:type="dxa"/>
            <w:vAlign w:val="bottom"/>
          </w:tcPr>
          <w:p>
            <w:pPr>
              <w:spacing w:after="0"/>
              <w:rPr>
                <w:sz w:val="20"/>
                <w:szCs w:val="20"/>
                <w:color w:val="auto"/>
              </w:rPr>
            </w:pPr>
          </w:p>
        </w:tc>
      </w:tr>
      <w:tr>
        <w:trPr>
          <w:trHeight w:val="184"/>
        </w:trPr>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101.INS</w:t>
            </w:r>
          </w:p>
        </w:tc>
        <w:tc>
          <w:tcPr>
            <w:tcW w:w="85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740" w:type="dxa"/>
            <w:vAlign w:val="bottom"/>
          </w:tcPr>
          <w:p>
            <w:pPr>
              <w:spacing w:after="0"/>
              <w:rPr>
                <w:sz w:val="20"/>
                <w:szCs w:val="20"/>
                <w:color w:val="auto"/>
              </w:rPr>
            </w:pP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1400" w:type="dxa"/>
            <w:vAlign w:val="bottom"/>
          </w:tcPr>
          <w:p>
            <w:pPr>
              <w:spacing w:after="0"/>
              <w:rPr>
                <w:sz w:val="20"/>
                <w:szCs w:val="20"/>
                <w:color w:val="auto"/>
              </w:rPr>
            </w:pPr>
          </w:p>
        </w:tc>
      </w:tr>
      <w:tr>
        <w:trPr>
          <w:trHeight w:val="233"/>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101.SCH</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101.CAL</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101.LAB</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8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herewith</w:t>
            </w:r>
          </w:p>
        </w:tc>
      </w:tr>
    </w:tbl>
    <w:p>
      <w:pPr>
        <w:ind w:left="1020" w:right="3400" w:hanging="179"/>
        <w:spacing w:after="0" w:line="292" w:lineRule="auto"/>
        <w:tabs>
          <w:tab w:leader="none" w:pos="12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compensatory plan or arrangement.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1</w:t>
            </w: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3.1 to our</w:t>
            </w:r>
          </w:p>
        </w:tc>
      </w:tr>
      <w:tr>
        <w:trPr>
          <w:trHeight w:val="234"/>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2021, is incorporated herein by reference.</w:t>
            </w:r>
          </w:p>
        </w:tc>
      </w:tr>
      <w:tr>
        <w:trPr>
          <w:trHeight w:val="203"/>
        </w:trPr>
        <w:tc>
          <w:tcPr>
            <w:tcW w:w="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FN 2</w:t>
            </w:r>
          </w:p>
        </w:tc>
        <w:tc>
          <w:tcPr>
            <w:tcW w:w="105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99.1 to our</w:t>
            </w:r>
          </w:p>
        </w:tc>
      </w:tr>
      <w:tr>
        <w:trPr>
          <w:trHeight w:val="234"/>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May 26, 2020, is incorporated herein by reference.</w:t>
            </w: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5</w:t>
            </w:r>
          </w:p>
        </w:tc>
        <w:tc>
          <w:tcPr>
            <w:tcW w:w="105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 Current</w:t>
            </w:r>
          </w:p>
        </w:tc>
      </w:tr>
      <w:tr>
        <w:trPr>
          <w:trHeight w:val="234"/>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 on Form 8-K filed on December 20, 2005, is incorporated herein by reference.</w:t>
            </w: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6</w:t>
            </w:r>
          </w:p>
        </w:tc>
        <w:tc>
          <w:tcPr>
            <w:tcW w:w="105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 Annual</w:t>
            </w:r>
          </w:p>
        </w:tc>
      </w:tr>
      <w:tr>
        <w:trPr>
          <w:trHeight w:val="175"/>
        </w:trPr>
        <w:tc>
          <w:tcPr>
            <w:tcW w:w="700" w:type="dxa"/>
            <w:vAlign w:val="bottom"/>
          </w:tcPr>
          <w:p>
            <w:pPr>
              <w:spacing w:after="0"/>
              <w:rPr>
                <w:sz w:val="15"/>
                <w:szCs w:val="15"/>
                <w:color w:val="auto"/>
              </w:rPr>
            </w:pPr>
          </w:p>
        </w:tc>
        <w:tc>
          <w:tcPr>
            <w:tcW w:w="105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Report on Form 10-K for the year ended December 31, 1994, is incorporated herein by reference. This Exhibit was not filed with the</w:t>
            </w:r>
          </w:p>
        </w:tc>
      </w:tr>
      <w:tr>
        <w:trPr>
          <w:trHeight w:val="234"/>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and Exchange Commission in an electronic format.</w:t>
            </w:r>
          </w:p>
        </w:tc>
      </w:tr>
      <w:tr>
        <w:trPr>
          <w:trHeight w:val="184"/>
        </w:trPr>
        <w:tc>
          <w:tcPr>
            <w:tcW w:w="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7</w:t>
            </w:r>
          </w:p>
        </w:tc>
        <w:tc>
          <w:tcPr>
            <w:tcW w:w="105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under Item 14 to our Annual</w:t>
            </w:r>
          </w:p>
        </w:tc>
      </w:tr>
      <w:tr>
        <w:trPr>
          <w:trHeight w:val="234"/>
        </w:trPr>
        <w:tc>
          <w:tcPr>
            <w:tcW w:w="70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 on Form 10-K for the year ended December 31, 1997, is incorporated herein by reference.</w:t>
            </w:r>
          </w:p>
        </w:tc>
      </w:tr>
      <w:tr>
        <w:trPr>
          <w:trHeight w:val="859"/>
        </w:trPr>
        <w:tc>
          <w:tcPr>
            <w:tcW w:w="700" w:type="dxa"/>
            <w:vAlign w:val="bottom"/>
          </w:tcPr>
          <w:p>
            <w:pPr>
              <w:spacing w:after="0"/>
              <w:rPr>
                <w:sz w:val="24"/>
                <w:szCs w:val="24"/>
                <w:color w:val="auto"/>
              </w:rPr>
            </w:pPr>
          </w:p>
        </w:tc>
        <w:tc>
          <w:tcPr>
            <w:tcW w:w="1054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48</w:t>
            </w:r>
          </w:p>
        </w:tc>
      </w:tr>
      <w:tr>
        <w:trPr>
          <w:trHeight w:val="115"/>
        </w:trPr>
        <w:tc>
          <w:tcPr>
            <w:tcW w:w="700" w:type="dxa"/>
            <w:vAlign w:val="bottom"/>
            <w:tcBorders>
              <w:bottom w:val="single" w:sz="8" w:color="9A9A9A"/>
            </w:tcBorders>
          </w:tcPr>
          <w:p>
            <w:pPr>
              <w:spacing w:after="0"/>
              <w:rPr>
                <w:sz w:val="10"/>
                <w:szCs w:val="10"/>
                <w:color w:val="auto"/>
              </w:rPr>
            </w:pPr>
          </w:p>
        </w:tc>
        <w:tc>
          <w:tcPr>
            <w:tcW w:w="10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 8</w:t>
            </w: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10.9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9</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10.10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2008,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10</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10.16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2001,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11</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4.1 to our Current</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 on Form 8-K filed on May 7, 2004,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12</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4.2 to our Current</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 on Form 8-K filed on May 7, 2004,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13</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10.21-10.23 to</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2004,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14</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10.24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May 24, 2006,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15</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10.28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June 23, 2008,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16</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10.25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2009,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17</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10.26 to our</w:t>
            </w:r>
          </w:p>
        </w:tc>
      </w:tr>
      <w:tr>
        <w:trPr>
          <w:trHeight w:val="184"/>
        </w:trPr>
        <w:tc>
          <w:tcPr>
            <w:tcW w:w="760" w:type="dxa"/>
            <w:vAlign w:val="bottom"/>
          </w:tcPr>
          <w:p>
            <w:pPr>
              <w:spacing w:after="0"/>
              <w:rPr>
                <w:sz w:val="16"/>
                <w:szCs w:val="16"/>
                <w:color w:val="auto"/>
              </w:rPr>
            </w:pP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Quarterly Report on Form 10-Q for the period ended March 31, 2013, for the period ended March 31, 2013, is incorporated herein by</w:t>
            </w:r>
          </w:p>
        </w:tc>
      </w:tr>
      <w:tr>
        <w:trPr>
          <w:trHeight w:val="230"/>
        </w:trPr>
        <w:tc>
          <w:tcPr>
            <w:tcW w:w="76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w:t>
            </w:r>
          </w:p>
        </w:tc>
      </w:tr>
      <w:tr>
        <w:trPr>
          <w:trHeight w:val="180"/>
        </w:trPr>
        <w:tc>
          <w:tcPr>
            <w:tcW w:w="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FN 18</w:t>
            </w:r>
          </w:p>
        </w:tc>
        <w:tc>
          <w:tcPr>
            <w:tcW w:w="1048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10.27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June 4, 2013,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19</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10.1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August 8, 2013,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20</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10.29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Annual Report on Form 10-K/A for the year ended December 31, 2013,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21</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10.30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July 16, 2014,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22</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Exhibits 10.31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23</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10.34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24</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10.35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2015,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25</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10.32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Report on Form 8-K filed on October 17, 2014,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26</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10.37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2016,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27</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10.38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2016,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28</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10.39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184"/>
        </w:trPr>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FN 29</w:t>
            </w:r>
          </w:p>
        </w:tc>
        <w:tc>
          <w:tcPr>
            <w:tcW w:w="104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This document, filed with the Securities and Exchange Commission in Washington, D.C. (file number 1-07183) as Exhibit 10.40 to our</w:t>
            </w:r>
          </w:p>
        </w:tc>
      </w:tr>
      <w:tr>
        <w:trPr>
          <w:trHeight w:val="234"/>
        </w:trPr>
        <w:tc>
          <w:tcPr>
            <w:tcW w:w="760" w:type="dxa"/>
            <w:vAlign w:val="bottom"/>
          </w:tcPr>
          <w:p>
            <w:pPr>
              <w:spacing w:after="0"/>
              <w:rPr>
                <w:sz w:val="20"/>
                <w:szCs w:val="20"/>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2016, is incorporated herein by reference.</w:t>
            </w:r>
          </w:p>
        </w:tc>
      </w:tr>
      <w:tr>
        <w:trPr>
          <w:trHeight w:val="873"/>
        </w:trPr>
        <w:tc>
          <w:tcPr>
            <w:tcW w:w="760" w:type="dxa"/>
            <w:vAlign w:val="bottom"/>
          </w:tcPr>
          <w:p>
            <w:pPr>
              <w:spacing w:after="0"/>
              <w:rPr>
                <w:sz w:val="24"/>
                <w:szCs w:val="24"/>
                <w:color w:val="auto"/>
              </w:rPr>
            </w:pPr>
          </w:p>
        </w:tc>
        <w:tc>
          <w:tcPr>
            <w:tcW w:w="1048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49</w:t>
            </w:r>
          </w:p>
        </w:tc>
      </w:tr>
      <w:tr>
        <w:trPr>
          <w:trHeight w:val="115"/>
        </w:trPr>
        <w:tc>
          <w:tcPr>
            <w:tcW w:w="760" w:type="dxa"/>
            <w:vAlign w:val="bottom"/>
            <w:tcBorders>
              <w:bottom w:val="single" w:sz="8" w:color="9A9A9A"/>
            </w:tcBorders>
          </w:tcPr>
          <w:p>
            <w:pPr>
              <w:spacing w:after="0"/>
              <w:rPr>
                <w:sz w:val="10"/>
                <w:szCs w:val="10"/>
                <w:color w:val="auto"/>
              </w:rPr>
            </w:pPr>
          </w:p>
        </w:tc>
        <w:tc>
          <w:tcPr>
            <w:tcW w:w="10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9" w:name="page50"/>
    <w:bookmarkEnd w:id="49"/>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10.41 to our Annual Report on Form 10-K for the year ended December 31, 2016,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10.42 to our Quarterly Report on Form 10-Q for the period ended September 30, 2018,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10.43 to our Annual Report on Form 10-K for the year ended December 31, 2018,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33</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10.44 to our Annual Report on Form 10-K for the year ended December 31, 2018,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34</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10.45 to our Quarterly Report on Form 10-Q for the period ended September 30, 2019,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35</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10.46 to our Quarterly Report on Form 10-Q for the period ended September 30, 2019,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36</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10.33 to our Current Report on Form 8-K filed on October 17, 2014, is incorporated herein by reference.</w:t>
      </w:r>
    </w:p>
    <w:p>
      <w:pPr>
        <w:spacing w:after="0" w:line="10" w:lineRule="exact"/>
        <w:rPr>
          <w:sz w:val="20"/>
          <w:szCs w:val="20"/>
          <w:color w:val="auto"/>
        </w:rPr>
      </w:pPr>
    </w:p>
    <w:p>
      <w:pPr>
        <w:ind w:left="54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37</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38</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10.47 to our Annual Report on Form 10-K for the year ended December 31, 2019,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39</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10.48 to our Quarterly Report on Form 10-Q for the period ended March 31, 2021,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40</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10.49 to our Annual Report on Form 10-K for the year ended December 31, 2021,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41</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10.50 to our Annual Report on Form 10-K for the year ended December 31, 2021, is incorporated herein by reference.</w:t>
      </w:r>
    </w:p>
    <w:p>
      <w:pPr>
        <w:spacing w:after="0" w:line="10" w:lineRule="exact"/>
        <w:rPr>
          <w:sz w:val="20"/>
          <w:szCs w:val="20"/>
          <w:color w:val="auto"/>
        </w:rPr>
      </w:pPr>
    </w:p>
    <w:p>
      <w:pPr>
        <w:ind w:left="540" w:right="100" w:hanging="957"/>
        <w:spacing w:after="0" w:line="237" w:lineRule="auto"/>
        <w:tabs>
          <w:tab w:leader="none" w:pos="520" w:val="left"/>
        </w:tabs>
        <w:rPr>
          <w:sz w:val="20"/>
          <w:szCs w:val="20"/>
          <w:color w:val="auto"/>
        </w:rPr>
      </w:pPr>
      <w:r>
        <w:rPr>
          <w:rFonts w:ascii="Times New Roman" w:cs="Times New Roman" w:eastAsia="Times New Roman" w:hAnsi="Times New Roman"/>
          <w:sz w:val="18"/>
          <w:szCs w:val="18"/>
          <w:color w:val="auto"/>
        </w:rPr>
        <w:t>FN 42</w:t>
      </w:r>
      <w:r>
        <w:rPr>
          <w:sz w:val="20"/>
          <w:szCs w:val="20"/>
          <w:color w:val="auto"/>
        </w:rPr>
        <w:tab/>
      </w:r>
      <w:r>
        <w:rPr>
          <w:rFonts w:ascii="Times New Roman" w:cs="Times New Roman" w:eastAsia="Times New Roman" w:hAnsi="Times New Roman"/>
          <w:sz w:val="18"/>
          <w:szCs w:val="18"/>
          <w:color w:val="auto"/>
        </w:rPr>
        <w:t>This document, filed with the Securities and Exchange Commission in Washington, D.C. (file number 1-07183) as Exhibit 10.51 to our Quarterly Report on Form 10-Q for the year ended March 31, 2022,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60" w:top="931" w:right="7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TEJON RANCH CO.</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E. Lyda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575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D. Velasquez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4880" w:space="720"/>
            <w:col w:w="5600"/>
          </w:cols>
          <w:pgMar w:left="320" w:top="887" w:right="3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887" w:right="379" w:bottom="1440" w:gutter="0" w:footer="0" w:header="0"/>
          <w:type w:val="continuous"/>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2022</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S. Bielli</w:t>
            </w:r>
          </w:p>
        </w:tc>
      </w:tr>
      <w:tr>
        <w:trPr>
          <w:trHeight w:val="218"/>
        </w:trPr>
        <w:tc>
          <w:tcPr>
            <w:tcW w:w="5920" w:type="dxa"/>
            <w:vAlign w:val="bottom"/>
          </w:tcPr>
          <w:p>
            <w:pPr>
              <w:spacing w:after="0"/>
              <w:rPr>
                <w:sz w:val="18"/>
                <w:szCs w:val="18"/>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Gregory S. Bielli</w:t>
            </w:r>
          </w:p>
        </w:tc>
      </w:tr>
      <w:tr>
        <w:trPr>
          <w:trHeight w:val="234"/>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887"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Allen E. Lyda,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Tejon Ranch Co.;</w:t>
      </w:r>
    </w:p>
    <w:p>
      <w:pPr>
        <w:spacing w:after="0" w:line="171"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5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2022</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Allen E. Lyda</w:t>
            </w:r>
          </w:p>
        </w:tc>
      </w:tr>
      <w:tr>
        <w:trPr>
          <w:trHeight w:val="218"/>
        </w:trPr>
        <w:tc>
          <w:tcPr>
            <w:tcW w:w="4240" w:type="dxa"/>
            <w:vAlign w:val="bottom"/>
          </w:tcPr>
          <w:p>
            <w:pPr>
              <w:spacing w:after="0"/>
              <w:rPr>
                <w:sz w:val="18"/>
                <w:szCs w:val="18"/>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Allen E. Lyda</w:t>
            </w:r>
          </w:p>
        </w:tc>
      </w:tr>
      <w:tr>
        <w:trPr>
          <w:trHeight w:val="234"/>
        </w:trPr>
        <w:tc>
          <w:tcPr>
            <w:tcW w:w="4240" w:type="dxa"/>
            <w:vAlign w:val="bottom"/>
          </w:tcPr>
          <w:p>
            <w:pPr>
              <w:spacing w:after="0"/>
              <w:rPr>
                <w:sz w:val="20"/>
                <w:szCs w:val="20"/>
                <w:color w:val="auto"/>
              </w:rPr>
            </w:pPr>
          </w:p>
        </w:tc>
        <w:tc>
          <w:tcPr>
            <w:tcW w:w="6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Chief Operating Officer/Chief Financial Officer</w:t>
            </w:r>
          </w:p>
        </w:tc>
      </w:tr>
    </w:tbl>
    <w:p>
      <w:pPr>
        <w:sectPr>
          <w:pgSz w:w="11900" w:h="16838" w:orient="portrait"/>
          <w:cols w:equalWidth="0" w:num="1">
            <w:col w:w="11220"/>
          </w:cols>
          <w:pgMar w:left="320" w:top="887" w:right="359" w:bottom="1440" w:gutter="0" w:footer="0" w:header="0"/>
        </w:sectPr>
      </w:pPr>
    </w:p>
    <w:bookmarkStart w:id="53" w:name="page54"/>
    <w:bookmarkEnd w:id="53"/>
    <w:p>
      <w:pPr>
        <w:ind w:left="51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89" w:lineRule="exact"/>
        <w:rPr>
          <w:sz w:val="20"/>
          <w:szCs w:val="20"/>
          <w:color w:val="auto"/>
        </w:rPr>
      </w:pPr>
    </w:p>
    <w:p>
      <w:pPr>
        <w:ind w:left="660" w:right="72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September 30, 2022 fully complies with the requirements of Section 13(a) of the Securities Exchange Act of 1934; and</w:t>
      </w:r>
    </w:p>
    <w:p>
      <w:pPr>
        <w:ind w:left="660" w:hanging="328"/>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such report fairly presents, in all material respects, the financial condition and results of operation of the Company.</w:t>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0" w:lineRule="exact"/>
        <w:rPr>
          <w:sz w:val="20"/>
          <w:szCs w:val="20"/>
          <w:color w:val="auto"/>
        </w:rPr>
      </w:pPr>
    </w:p>
    <w:p>
      <w:pPr>
        <w:ind w:left="20"/>
        <w:spacing w:after="0"/>
        <w:tabs>
          <w:tab w:leader="none" w:pos="3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7,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Bielli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Allen E. Lyda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691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Allen E. Lyda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Operating Officer/Chief Financial Officer</w:t>
      </w:r>
    </w:p>
    <w:sectPr>
      <w:pgSz w:w="11900" w:h="16838" w:orient="portrait"/>
      <w:cols w:equalWidth="0" w:num="1">
        <w:col w:w="11080"/>
      </w:cols>
      <w:pgMar w:left="320" w:top="8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8"/>
    </w:lvl>
  </w:abstractNum>
  <w:abstractNum w:abstractNumId="6">
    <w:nsid w:val="721DA317"/>
    <w:multiLevelType w:val="hybridMultilevel"/>
    <w:lvl w:ilvl="0">
      <w:lvlJc w:val="left"/>
      <w:lvlText w:val="%1."/>
      <w:numFmt w:val="decimal"/>
      <w:start w:val="9"/>
    </w:lvl>
  </w:abstractNum>
  <w:abstractNum w:abstractNumId="7">
    <w:nsid w:val="2443A858"/>
    <w:multiLevelType w:val="hybridMultilevel"/>
    <w:lvl w:ilvl="0">
      <w:lvlJc w:val="left"/>
      <w:lvlText w:val="%1."/>
      <w:numFmt w:val="decimal"/>
      <w:start w:val="10"/>
    </w:lvl>
  </w:abstractNum>
  <w:abstractNum w:abstractNumId="8">
    <w:nsid w:val="2D1D5AE9"/>
    <w:multiLevelType w:val="hybridMultilevel"/>
    <w:lvl w:ilvl="0">
      <w:lvlJc w:val="left"/>
      <w:lvlText w:val="%1."/>
      <w:numFmt w:val="decimal"/>
      <w:start w:val="11"/>
    </w:lvl>
  </w:abstractNum>
  <w:abstractNum w:abstractNumId="9">
    <w:nsid w:val="6763845E"/>
    <w:multiLevelType w:val="hybridMultilevel"/>
    <w:lvl w:ilvl="0">
      <w:lvlJc w:val="left"/>
      <w:lvlText w:val="%1."/>
      <w:numFmt w:val="decimal"/>
      <w:start w:val="12"/>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5"/>
    </w:lvl>
    <w:lvl w:ilvl="1">
      <w:lvlJc w:val="left"/>
      <w:lvlText w:val="***"/>
      <w:numFmt w:val="bullet"/>
      <w:start w:val="1"/>
    </w:lvl>
  </w:abstractNum>
  <w:abstractNum w:abstractNumId="16">
    <w:nsid w:val="54E49EB4"/>
    <w:multiLevelType w:val="hybridMultilevel"/>
    <w:lvl w:ilvl="0">
      <w:lvlJc w:val="left"/>
      <w:lvlText w:val="•"/>
      <w:numFmt w:val="bullet"/>
      <w:start w:val="1"/>
    </w:lvl>
    <w:lvl w:ilvl="1">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1"/>
      <w:numFmt w:val="bullet"/>
      <w:start w:val="1"/>
    </w:lvl>
  </w:abstractNum>
  <w:abstractNum w:abstractNumId="27">
    <w:nsid w:val="22221A70"/>
    <w:multiLevelType w:val="hybridMultilevel"/>
    <w:lvl w:ilvl="0">
      <w:lvlJc w:val="left"/>
      <w:lvlText w:val="1"/>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65" Type="http://schemas.openxmlformats.org/officeDocument/2006/relationships/hyperlink" Target="http://www.sec.gov/Archives/edgar/data/96869/000009686921000016/ex31restatedcertificateo.htm" TargetMode="External"/><Relationship Id="rId66" Type="http://schemas.openxmlformats.org/officeDocument/2006/relationships/hyperlink" Target="http://www.sec.gov/Archives/edgar/data/96869/000119312520151616/d937443dex991.htm" TargetMode="External"/><Relationship Id="rId67" Type="http://schemas.openxmlformats.org/officeDocument/2006/relationships/hyperlink" Target="http://www.sec.gov/Archives/edgar/data/96869/000119312505245123/dex41.htm" TargetMode="External"/><Relationship Id="rId68" Type="http://schemas.openxmlformats.org/officeDocument/2006/relationships/hyperlink" Target="http://www.sec.gov/Archives/edgar/data/96869/000119312519119877/d718363dex46.htm" TargetMode="External"/><Relationship Id="rId69" Type="http://schemas.openxmlformats.org/officeDocument/2006/relationships/hyperlink" Target="http://www.sec.gov/Archives/edgar/data/96869/0000096869-98-000002.txt" TargetMode="External"/><Relationship Id="rId70" Type="http://schemas.openxmlformats.org/officeDocument/2006/relationships/hyperlink" Target="http://www.sec.gov/Archives/edgar/data/96869/000119312509042772/dex109.htm" TargetMode="External"/><Relationship Id="rId71" Type="http://schemas.openxmlformats.org/officeDocument/2006/relationships/hyperlink" Target="http://www.sec.gov/Archives/edgar/data/96869/000119312509042772/dex1010.htm" TargetMode="External"/><Relationship Id="rId72" Type="http://schemas.openxmlformats.org/officeDocument/2006/relationships/hyperlink" Target="http://www.sec.gov/Archives/edgar/data/96869/000102140802004535/dex1016.txt" TargetMode="External"/><Relationship Id="rId73" Type="http://schemas.openxmlformats.org/officeDocument/2006/relationships/hyperlink" Target="http://www.sec.gov/Archives/edgar/data/96869/000119312504082310/dex41.htm" TargetMode="External"/><Relationship Id="rId74" Type="http://schemas.openxmlformats.org/officeDocument/2006/relationships/hyperlink" Target="http://www.sec.gov/Archives/edgar/data/96869/000119312504082310/dex42.htm" TargetMode="External"/><Relationship Id="rId75" Type="http://schemas.openxmlformats.org/officeDocument/2006/relationships/hyperlink" Target="http://www.sec.gov/Archives/edgar/data/96869/000119312505051499/dex1021.htm" TargetMode="External"/><Relationship Id="rId76" Type="http://schemas.openxmlformats.org/officeDocument/2006/relationships/hyperlink" Target="http://www.sec.gov/Archives/edgar/data/96869/000119312505051499/dex1023.htm" TargetMode="External"/><Relationship Id="rId77" Type="http://schemas.openxmlformats.org/officeDocument/2006/relationships/hyperlink" Target="http://www.sec.gov/Archives/edgar/data/96869/000119312505051499/dex1022.htm" TargetMode="External"/><Relationship Id="rId78" Type="http://schemas.openxmlformats.org/officeDocument/2006/relationships/hyperlink" Target="http://www.sec.gov/Archives/edgar/data/96869/000119312506118520/dex1024.htm" TargetMode="External"/><Relationship Id="rId79" Type="http://schemas.openxmlformats.org/officeDocument/2006/relationships/hyperlink" Target="http://www.sec.gov/Archives/edgar/data/96869/000119312508138009/dex1028.htm" TargetMode="External"/><Relationship Id="rId80" Type="http://schemas.openxmlformats.org/officeDocument/2006/relationships/hyperlink" Target="http://www.sec.gov/Archives/edgar/data/96869/000119312509170594/dex1025.htm" TargetMode="External"/><Relationship Id="rId81" Type="http://schemas.openxmlformats.org/officeDocument/2006/relationships/hyperlink" Target="http://www.sec.gov/Archives/edgar/data/96869/000144530513001209/exhibit1026-execagreementa.htm" TargetMode="External"/><Relationship Id="rId82" Type="http://schemas.openxmlformats.org/officeDocument/2006/relationships/hyperlink" Target="http://www.sec.gov/Archives/edgar/data/96869/000119312513246605/d549609dex1027.htm" TargetMode="External"/><Relationship Id="rId83" Type="http://schemas.openxmlformats.org/officeDocument/2006/relationships/hyperlink" Target="http://www.sec.gov/Archives/edgar/data/96869/000119312513326495/d581835dex101.htm" TargetMode="External"/><Relationship Id="rId84" Type="http://schemas.openxmlformats.org/officeDocument/2006/relationships/hyperlink" Target="http://www.sec.gov/Archives/edgar/data/96869/000009686914000009/exhibit1029tmvamendments20.htm" TargetMode="External"/><Relationship Id="rId85" Type="http://schemas.openxmlformats.org/officeDocument/2006/relationships/hyperlink" Target="http://www.sec.gov/Archives/edgar/data/96869/000119312514270067/d758856dex1030.htm" TargetMode="External"/><Relationship Id="rId86" Type="http://schemas.openxmlformats.org/officeDocument/2006/relationships/hyperlink" Target="http://www.sec.gov/Archives/edgar/data/96869/000119312514375013/d806135dex1031.htm" TargetMode="External"/><Relationship Id="rId87" Type="http://schemas.openxmlformats.org/officeDocument/2006/relationships/hyperlink" Target="http://www.sec.gov/Archives/edgar/data/96869/000119312514375013/d806135dex1032.htm" TargetMode="External"/><Relationship Id="rId90" Type="http://schemas.openxmlformats.org/officeDocument/2006/relationships/hyperlink" Target="http://www.sec.gov/Archives/edgar/data/96869/000119312514375013/d806135dex1033.htm" TargetMode="External"/><Relationship Id="rId91" Type="http://schemas.openxmlformats.org/officeDocument/2006/relationships/hyperlink" Target="http://www.sec.gov/Archives/edgar/data/96869/000009686915000003/exhibit1034calpineagreemen.htm" TargetMode="External"/><Relationship Id="rId92" Type="http://schemas.openxmlformats.org/officeDocument/2006/relationships/hyperlink" Target="http://www.sec.gov/Archives/edgar/data/96869/000009686915000010/ex1035q32015.htm" TargetMode="External"/><Relationship Id="rId93" Type="http://schemas.openxmlformats.org/officeDocument/2006/relationships/hyperlink" Target="http://www.sec.gov/Archives/edgar/data/96869/000009686916000017/ex1037limitedliabilityagre.htm" TargetMode="External"/><Relationship Id="rId94" Type="http://schemas.openxmlformats.org/officeDocument/2006/relationships/hyperlink" Target="http://www.sec.gov/Archives/edgar/data/96869/000009686916000019/ex1038llagreementoftrc-mrc1.htm" TargetMode="External"/><Relationship Id="rId95" Type="http://schemas.openxmlformats.org/officeDocument/2006/relationships/hyperlink" Target="http://www.sec.gov/Archives/edgar/data/96869/000009686917000002/exhibit1039centennialredem.htm" TargetMode="External"/><Relationship Id="rId96" Type="http://schemas.openxmlformats.org/officeDocument/2006/relationships/hyperlink" Target="http://www.sec.gov/Archives/edgar/data/96869/000009686917000002/exhibit1040firstamendmentt.htm" TargetMode="External"/><Relationship Id="rId97" Type="http://schemas.openxmlformats.org/officeDocument/2006/relationships/hyperlink" Target="http://www.sec.gov/Archives/edgar/data/96869/000009686917000002/exhibit1041secondamendment.htm" TargetMode="External"/><Relationship Id="rId98" Type="http://schemas.openxmlformats.org/officeDocument/2006/relationships/hyperlink" Target="http://www.sec.gov/Archives/edgar/data/96869/000009686918000015/ex1042trcmrc3llc.htm" TargetMode="External"/><Relationship Id="rId99" Type="http://schemas.openxmlformats.org/officeDocument/2006/relationships/hyperlink" Target="http://www.sec.gov/Archives/edgar/data/96869/000009686919000004/exhibit1043201810k.htm" TargetMode="External"/><Relationship Id="rId100" Type="http://schemas.openxmlformats.org/officeDocument/2006/relationships/hyperlink" Target="http://www.sec.gov/Archives/edgar/data/96869/000009686919000004/exhibit1044201810k.htm" TargetMode="External"/><Relationship Id="rId101" Type="http://schemas.openxmlformats.org/officeDocument/2006/relationships/hyperlink" Target="http://www.sec.gov/Archives/edgar/data/96869/000009686919000014/ex1046aloc.htm" TargetMode="External"/><Relationship Id="rId102" Type="http://schemas.openxmlformats.org/officeDocument/2006/relationships/hyperlink" Target="http://www.sec.gov/Archives/edgar/data/96869/000009686919000014/ex1045atn.htm" TargetMode="External"/><Relationship Id="rId103" Type="http://schemas.openxmlformats.org/officeDocument/2006/relationships/hyperlink" Target="http://www.sec.gov/Archives/edgar/data/96869/000009686920000007/exhibit1047-gregbseverance.htm" TargetMode="External"/><Relationship Id="rId104" Type="http://schemas.openxmlformats.org/officeDocument/2006/relationships/hyperlink" Target="http://www.sec.gov/Archives/edgar/data/96869/000009686921000011/ex1048mrc4llc.htm" TargetMode="External"/><Relationship Id="rId105" Type="http://schemas.openxmlformats.org/officeDocument/2006/relationships/hyperlink" Target="http://www.sec.gov/Archives/edgar/data/96869/000009686922000005/exhibit1048centennialcrf.htm" TargetMode="External"/><Relationship Id="rId106" Type="http://schemas.openxmlformats.org/officeDocument/2006/relationships/hyperlink" Target="http://www.sec.gov/Archives/edgar/data/96869/000009686922000005/exhibit1050trc-mrcmultii.htm" TargetMode="External"/><Relationship Id="rId107" Type="http://schemas.openxmlformats.org/officeDocument/2006/relationships/hyperlink" Target="http://www.sec.gov/Archives/edgar/data/96869/000009686922000009/ex1051mrc5.htm" TargetMode="External"/><Relationship Id="rId108" Type="http://schemas.openxmlformats.org/officeDocument/2006/relationships/hyperlink" Target="http://www.sec.gov/Archives/edgar/data/96869/000009686922000012/ex1052creditagreementb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2022-11-07T12:08:20Z</dcterms:created>
  <dcterms:modified xsi:type="dcterms:W3CDTF">2022-11-07T12:08:20Z</dcterms:modified>
</cp:coreProperties>
</file>