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 10-Q</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186" w:lineRule="exact"/>
        <w:rPr>
          <w:sz w:val="24"/>
          <w:szCs w:val="24"/>
          <w:color w:val="auto"/>
        </w:rPr>
      </w:pPr>
    </w:p>
    <w:p>
      <w:pPr>
        <w:jc w:val="center"/>
        <w:ind w:left="4360" w:right="2280" w:hanging="2028"/>
        <w:spacing w:after="0" w:line="264" w:lineRule="auto"/>
        <w:tabs>
          <w:tab w:leader="none" w:pos="2483"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March 31, 2021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78105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TEJON RANCH CO.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77-0196136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(I.R.S. Employer Identification No.)</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P.O. Box 1000, Tejon Ranch, California 93243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(Zip Code)</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(661) 248-3000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Arial" w:cs="Arial" w:eastAsia="Arial" w:hAnsi="Arial"/>
                <w:sz w:val="14"/>
                <w:szCs w:val="14"/>
                <w:b w:val="1"/>
                <w:bCs w:val="1"/>
                <w:color w:val="auto"/>
                <w:w w:val="87"/>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0"/>
              </w:rPr>
              <w:t>Trading symbol(s)</w:t>
            </w:r>
          </w:p>
        </w:tc>
        <w:tc>
          <w:tcPr>
            <w:tcW w:w="3720" w:type="dxa"/>
            <w:vAlign w:val="bottom"/>
          </w:tcPr>
          <w:p>
            <w:pPr>
              <w:jc w:val="center"/>
              <w:ind w:right="82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5"/>
        </w:trPr>
        <w:tc>
          <w:tcPr>
            <w:tcW w:w="3420" w:type="dxa"/>
            <w:vAlign w:val="bottom"/>
            <w:tcBorders>
              <w:top w:val="single" w:sz="8" w:color="auto"/>
            </w:tcBorders>
          </w:tcPr>
          <w:p>
            <w:pPr>
              <w:jc w:val="center"/>
              <w:ind w:left="629"/>
              <w:spacing w:after="0"/>
              <w:rPr>
                <w:sz w:val="20"/>
                <w:szCs w:val="20"/>
                <w:color w:val="auto"/>
              </w:rPr>
            </w:pPr>
            <w:r>
              <w:rPr>
                <w:rFonts w:ascii="Arial" w:cs="Arial" w:eastAsia="Arial" w:hAnsi="Arial"/>
                <w:sz w:val="14"/>
                <w:szCs w:val="14"/>
                <w:b w:val="1"/>
                <w:bCs w:val="1"/>
                <w:color w:val="auto"/>
                <w:w w:val="91"/>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287" w:lineRule="exact"/>
        <w:rPr>
          <w:sz w:val="24"/>
          <w:szCs w:val="24"/>
          <w:color w:val="auto"/>
        </w:rPr>
      </w:pPr>
    </w:p>
    <w:p>
      <w:pPr>
        <w:jc w:val="both"/>
        <w:ind w:left="20" w:right="60"/>
        <w:spacing w:after="0" w:line="15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4" w:lineRule="exact"/>
        <w:rPr>
          <w:sz w:val="24"/>
          <w:szCs w:val="24"/>
          <w:color w:val="auto"/>
        </w:rPr>
      </w:pPr>
    </w:p>
    <w:p>
      <w:pPr>
        <w:ind w:left="20" w:right="120"/>
        <w:spacing w:after="0" w:line="15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6" w:lineRule="exact"/>
        <w:rPr>
          <w:sz w:val="24"/>
          <w:szCs w:val="24"/>
          <w:color w:val="auto"/>
        </w:rPr>
      </w:pPr>
    </w:p>
    <w:p>
      <w:pPr>
        <w:ind w:left="2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3" w:right="359" w:bottom="1440" w:gutter="0" w:footer="0" w:header="0"/>
        </w:sectPr>
      </w:pPr>
    </w:p>
    <w:p>
      <w:pPr>
        <w:spacing w:after="0" w:line="91" w:lineRule="exact"/>
        <w:rPr>
          <w:sz w:val="24"/>
          <w:szCs w:val="24"/>
          <w:color w:val="auto"/>
        </w:rPr>
      </w:pPr>
    </w:p>
    <w:p>
      <w:pPr>
        <w:ind w:left="240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74" w:lineRule="exact"/>
        <w:rPr>
          <w:sz w:val="24"/>
          <w:szCs w:val="24"/>
          <w:color w:val="auto"/>
        </w:rPr>
      </w:pPr>
    </w:p>
    <w:p>
      <w:pPr>
        <w:sectPr>
          <w:pgSz w:w="11900" w:h="16838" w:orient="portrait"/>
          <w:cols w:equalWidth="0" w:num="2">
            <w:col w:w="4800" w:space="720"/>
            <w:col w:w="5720"/>
          </w:cols>
          <w:pgMar w:left="300" w:top="783" w:right="359" w:bottom="1440" w:gutter="0" w:footer="0" w:header="0"/>
          <w:type w:val="continuous"/>
        </w:sectPr>
      </w:pPr>
    </w:p>
    <w:p>
      <w:pPr>
        <w:ind w:left="2460"/>
        <w:spacing w:after="0" w:line="138"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86" w:lineRule="exact"/>
        <w:rPr>
          <w:sz w:val="24"/>
          <w:szCs w:val="24"/>
          <w:color w:val="auto"/>
        </w:rPr>
      </w:pPr>
    </w:p>
    <w:p>
      <w:pPr>
        <w:sectPr>
          <w:pgSz w:w="11900" w:h="16838" w:orient="portrait"/>
          <w:cols w:equalWidth="0" w:num="2">
            <w:col w:w="4260" w:space="720"/>
            <w:col w:w="6260"/>
          </w:cols>
          <w:pgMar w:left="300" w:top="783" w:right="359" w:bottom="1440" w:gutter="0" w:footer="0" w:header="0"/>
          <w:type w:val="continuous"/>
        </w:sectPr>
      </w:pPr>
    </w:p>
    <w:p>
      <w:pPr>
        <w:jc w:val="center"/>
        <w:ind w:right="-239"/>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240"/>
          </w:cols>
          <w:pgMar w:left="300" w:top="783" w:right="359" w:bottom="1440" w:gutter="0" w:footer="0" w:header="0"/>
          <w:type w:val="continuous"/>
        </w:sectPr>
      </w:pPr>
    </w:p>
    <w:p>
      <w:pPr>
        <w:spacing w:after="0" w:line="185" w:lineRule="exact"/>
        <w:rPr>
          <w:sz w:val="24"/>
          <w:szCs w:val="24"/>
          <w:color w:val="auto"/>
        </w:rPr>
      </w:pPr>
    </w:p>
    <w:p>
      <w:pPr>
        <w:ind w:left="20" w:right="180"/>
        <w:spacing w:after="0" w:line="15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the Company’s outstanding shares of Common Stock on April 30, 2021 was 26,343,864.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448945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Page</w:t>
            </w:r>
          </w:p>
        </w:tc>
      </w:tr>
      <w:tr>
        <w:trPr>
          <w:trHeight w:val="160"/>
        </w:trPr>
        <w:tc>
          <w:tcPr>
            <w:tcW w:w="920" w:type="dxa"/>
            <w:vAlign w:val="bottom"/>
          </w:tcPr>
          <w:p>
            <w:pPr>
              <w:ind w:left="20"/>
              <w:spacing w:after="0"/>
              <w:rPr>
                <w:sz w:val="20"/>
                <w:szCs w:val="20"/>
                <w:color w:val="auto"/>
              </w:rPr>
            </w:pPr>
            <w:r>
              <w:rPr>
                <w:rFonts w:ascii="Arial" w:cs="Arial" w:eastAsia="Arial" w:hAnsi="Arial"/>
                <w:sz w:val="14"/>
                <w:szCs w:val="14"/>
                <w:color w:val="auto"/>
              </w:rPr>
              <w:t>PART I.</w:t>
            </w:r>
          </w:p>
        </w:tc>
        <w:tc>
          <w:tcPr>
            <w:tcW w:w="9420" w:type="dxa"/>
            <w:vAlign w:val="bottom"/>
          </w:tcPr>
          <w:p>
            <w:pPr>
              <w:ind w:left="60"/>
              <w:spacing w:after="0"/>
              <w:rPr>
                <w:sz w:val="20"/>
                <w:szCs w:val="20"/>
                <w:color w:val="auto"/>
              </w:rPr>
            </w:pPr>
            <w:r>
              <w:rPr>
                <w:rFonts w:ascii="Arial" w:cs="Arial" w:eastAsia="Arial" w:hAnsi="Arial"/>
                <w:sz w:val="14"/>
                <w:szCs w:val="14"/>
                <w:color w:val="auto"/>
              </w:rPr>
              <w:t>FINANCIAL INFORMATION</w:t>
            </w:r>
          </w:p>
        </w:tc>
        <w:tc>
          <w:tcPr>
            <w:tcW w:w="940" w:type="dxa"/>
            <w:vAlign w:val="bottom"/>
          </w:tcPr>
          <w:p>
            <w:pPr>
              <w:spacing w:after="0"/>
              <w:rPr>
                <w:sz w:val="13"/>
                <w:szCs w:val="13"/>
                <w:color w:val="auto"/>
              </w:rPr>
            </w:pPr>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9420" w:type="dxa"/>
            <w:vAlign w:val="bottom"/>
          </w:tcPr>
          <w:p>
            <w:pPr>
              <w:ind w:left="60"/>
              <w:spacing w:after="0"/>
              <w:rPr>
                <w:sz w:val="20"/>
                <w:szCs w:val="20"/>
                <w:color w:val="auto"/>
              </w:rPr>
            </w:pPr>
            <w:r>
              <w:rPr>
                <w:rFonts w:ascii="Arial" w:cs="Arial" w:eastAsia="Arial" w:hAnsi="Arial"/>
                <w:sz w:val="14"/>
                <w:szCs w:val="14"/>
                <w:color w:val="auto"/>
              </w:rPr>
              <w:t>Financial Statements</w:t>
            </w:r>
          </w:p>
        </w:tc>
        <w:tc>
          <w:tcPr>
            <w:tcW w:w="940" w:type="dxa"/>
            <w:vAlign w:val="bottom"/>
          </w:tcPr>
          <w:p>
            <w:pPr>
              <w:spacing w:after="0"/>
              <w:rPr>
                <w:sz w:val="24"/>
                <w:szCs w:val="24"/>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3">
              <w:r>
                <w:rPr>
                  <w:rFonts w:ascii="Arial" w:cs="Arial" w:eastAsia="Arial" w:hAnsi="Arial"/>
                  <w:sz w:val="14"/>
                  <w:szCs w:val="14"/>
                  <w:color w:val="auto"/>
                </w:rPr>
                <w:t xml:space="preserve">Unaudited Consolidated Statements of Operations for the Three Months Ended March 31,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3">
              <w:r>
                <w:rPr>
                  <w:rFonts w:ascii="Arial" w:cs="Arial" w:eastAsia="Arial" w:hAnsi="Arial"/>
                  <w:sz w:val="14"/>
                  <w:szCs w:val="14"/>
                  <w:color w:val="auto"/>
                  <w:w w:val="76"/>
                </w:rPr>
                <w:t>3</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3">
              <w:r>
                <w:rPr>
                  <w:rFonts w:ascii="Arial" w:cs="Arial" w:eastAsia="Arial" w:hAnsi="Arial"/>
                  <w:sz w:val="14"/>
                  <w:szCs w:val="14"/>
                  <w:color w:val="auto"/>
                </w:rPr>
                <w:t xml:space="preserve">Unaudited Consolidated Statements of Comprehensive Income </w:t>
              </w:r>
            </w:hyperlink>
            <w:r>
              <w:rPr>
                <w:rFonts w:ascii="Arial" w:cs="Arial" w:eastAsia="Arial" w:hAnsi="Arial"/>
                <w:sz w:val="14"/>
                <w:szCs w:val="14"/>
                <w:color w:val="auto"/>
              </w:rPr>
              <w:t>(Loss) for the Three Months Ended March 31, 2021 and 2020</w:t>
            </w:r>
          </w:p>
        </w:tc>
        <w:tc>
          <w:tcPr>
            <w:tcW w:w="940" w:type="dxa"/>
            <w:vAlign w:val="bottom"/>
          </w:tcPr>
          <w:p>
            <w:pPr>
              <w:jc w:val="center"/>
              <w:spacing w:after="0"/>
              <w:rPr>
                <w:rFonts w:ascii="Arial" w:cs="Arial" w:eastAsia="Arial" w:hAnsi="Arial"/>
                <w:sz w:val="14"/>
                <w:szCs w:val="14"/>
                <w:color w:val="auto"/>
                <w:w w:val="76"/>
              </w:rPr>
            </w:pPr>
            <w:hyperlink w:anchor="page3">
              <w:r>
                <w:rPr>
                  <w:rFonts w:ascii="Arial" w:cs="Arial" w:eastAsia="Arial" w:hAnsi="Arial"/>
                  <w:sz w:val="14"/>
                  <w:szCs w:val="14"/>
                  <w:color w:val="auto"/>
                  <w:w w:val="76"/>
                </w:rPr>
                <w:t>4</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4">
              <w:r>
                <w:rPr>
                  <w:rFonts w:ascii="Arial" w:cs="Arial" w:eastAsia="Arial" w:hAnsi="Arial"/>
                  <w:sz w:val="14"/>
                  <w:szCs w:val="14"/>
                  <w:color w:val="auto"/>
                </w:rPr>
                <w:t xml:space="preserve">Consolidated Balance Sheets as of March 31, 2021 (unaudited) and December 31,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4">
              <w:r>
                <w:rPr>
                  <w:rFonts w:ascii="Arial" w:cs="Arial" w:eastAsia="Arial" w:hAnsi="Arial"/>
                  <w:sz w:val="14"/>
                  <w:szCs w:val="14"/>
                  <w:color w:val="auto"/>
                  <w:w w:val="76"/>
                </w:rPr>
                <w:t>5</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5">
              <w:r>
                <w:rPr>
                  <w:rFonts w:ascii="Arial" w:cs="Arial" w:eastAsia="Arial" w:hAnsi="Arial"/>
                  <w:sz w:val="14"/>
                  <w:szCs w:val="14"/>
                  <w:color w:val="auto"/>
                </w:rPr>
                <w:t xml:space="preserve">Unaudited Consolidated Statements of Cash Flows for the Three Months Ended March 31,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5">
              <w:r>
                <w:rPr>
                  <w:rFonts w:ascii="Arial" w:cs="Arial" w:eastAsia="Arial" w:hAnsi="Arial"/>
                  <w:sz w:val="14"/>
                  <w:szCs w:val="14"/>
                  <w:color w:val="auto"/>
                  <w:w w:val="76"/>
                </w:rPr>
                <w:t>6</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5">
              <w:r>
                <w:rPr>
                  <w:rFonts w:ascii="Arial" w:cs="Arial" w:eastAsia="Arial" w:hAnsi="Arial"/>
                  <w:sz w:val="14"/>
                  <w:szCs w:val="14"/>
                  <w:color w:val="auto"/>
                </w:rPr>
                <w:t xml:space="preserve">Unaudited Consolidated Statement of Changes in Equity and Noncontrolling Interests for the Three Months Ended March 31, 2021 and </w:t>
              </w:r>
            </w:hyperlink>
            <w:r>
              <w:rPr>
                <w:rFonts w:ascii="Arial" w:cs="Arial" w:eastAsia="Arial" w:hAnsi="Arial"/>
                <w:sz w:val="14"/>
                <w:szCs w:val="14"/>
                <w:color w:val="auto"/>
              </w:rPr>
              <w:t>2020</w:t>
            </w:r>
          </w:p>
        </w:tc>
        <w:tc>
          <w:tcPr>
            <w:tcW w:w="940" w:type="dxa"/>
            <w:vAlign w:val="bottom"/>
          </w:tcPr>
          <w:p>
            <w:pPr>
              <w:jc w:val="center"/>
              <w:spacing w:after="0"/>
              <w:rPr>
                <w:rFonts w:ascii="Arial" w:cs="Arial" w:eastAsia="Arial" w:hAnsi="Arial"/>
                <w:sz w:val="14"/>
                <w:szCs w:val="14"/>
                <w:color w:val="auto"/>
                <w:w w:val="76"/>
              </w:rPr>
            </w:pPr>
            <w:hyperlink w:anchor="page6">
              <w:r>
                <w:rPr>
                  <w:rFonts w:ascii="Arial" w:cs="Arial" w:eastAsia="Arial" w:hAnsi="Arial"/>
                  <w:sz w:val="14"/>
                  <w:szCs w:val="14"/>
                  <w:color w:val="auto"/>
                  <w:w w:val="76"/>
                </w:rPr>
                <w:t>7</w:t>
              </w:r>
            </w:hyperlink>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rFonts w:ascii="Arial" w:cs="Arial" w:eastAsia="Arial" w:hAnsi="Arial"/>
                <w:sz w:val="14"/>
                <w:szCs w:val="14"/>
                <w:color w:val="auto"/>
              </w:rPr>
            </w:pPr>
            <w:hyperlink w:anchor="page7">
              <w:r>
                <w:rPr>
                  <w:rFonts w:ascii="Arial" w:cs="Arial" w:eastAsia="Arial" w:hAnsi="Arial"/>
                  <w:sz w:val="14"/>
                  <w:szCs w:val="14"/>
                  <w:color w:val="auto"/>
                </w:rPr>
                <w:t>Notes to Unaudited Consolidated Financial Statements</w:t>
              </w:r>
            </w:hyperlink>
          </w:p>
        </w:tc>
        <w:tc>
          <w:tcPr>
            <w:tcW w:w="940" w:type="dxa"/>
            <w:vAlign w:val="bottom"/>
          </w:tcPr>
          <w:p>
            <w:pPr>
              <w:jc w:val="center"/>
              <w:spacing w:after="0"/>
              <w:rPr>
                <w:rFonts w:ascii="Arial" w:cs="Arial" w:eastAsia="Arial" w:hAnsi="Arial"/>
                <w:sz w:val="14"/>
                <w:szCs w:val="14"/>
                <w:color w:val="auto"/>
                <w:w w:val="76"/>
              </w:rPr>
            </w:pPr>
            <w:hyperlink w:anchor="page7">
              <w:r>
                <w:rPr>
                  <w:rFonts w:ascii="Arial" w:cs="Arial" w:eastAsia="Arial" w:hAnsi="Arial"/>
                  <w:sz w:val="14"/>
                  <w:szCs w:val="14"/>
                  <w:color w:val="auto"/>
                  <w:w w:val="76"/>
                </w:rPr>
                <w:t>8</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9420" w:type="dxa"/>
            <w:vAlign w:val="bottom"/>
          </w:tcPr>
          <w:p>
            <w:pPr>
              <w:ind w:left="60"/>
              <w:spacing w:after="0"/>
              <w:rPr>
                <w:rFonts w:ascii="Arial" w:cs="Arial" w:eastAsia="Arial" w:hAnsi="Arial"/>
                <w:sz w:val="14"/>
                <w:szCs w:val="14"/>
                <w:color w:val="auto"/>
              </w:rPr>
            </w:pPr>
            <w:hyperlink w:anchor="page25">
              <w:r>
                <w:rPr>
                  <w:rFonts w:ascii="Arial" w:cs="Arial" w:eastAsia="Arial" w:hAnsi="Arial"/>
                  <w:sz w:val="14"/>
                  <w:szCs w:val="14"/>
                  <w:color w:val="auto"/>
                </w:rPr>
                <w:t>Management’s Discussion and Analysis of Financial Condition and Results of Operations</w:t>
              </w:r>
            </w:hyperlink>
          </w:p>
        </w:tc>
        <w:tc>
          <w:tcPr>
            <w:tcW w:w="940" w:type="dxa"/>
            <w:vAlign w:val="bottom"/>
          </w:tcPr>
          <w:p>
            <w:pPr>
              <w:jc w:val="center"/>
              <w:spacing w:after="0"/>
              <w:rPr>
                <w:rFonts w:ascii="Arial" w:cs="Arial" w:eastAsia="Arial" w:hAnsi="Arial"/>
                <w:sz w:val="14"/>
                <w:szCs w:val="14"/>
                <w:color w:val="auto"/>
                <w:w w:val="89"/>
              </w:rPr>
            </w:pPr>
            <w:hyperlink w:anchor="page25">
              <w:r>
                <w:rPr>
                  <w:rFonts w:ascii="Arial" w:cs="Arial" w:eastAsia="Arial" w:hAnsi="Arial"/>
                  <w:sz w:val="14"/>
                  <w:szCs w:val="14"/>
                  <w:color w:val="auto"/>
                  <w:w w:val="89"/>
                </w:rPr>
                <w:t>26</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9420" w:type="dxa"/>
            <w:vAlign w:val="bottom"/>
          </w:tcPr>
          <w:p>
            <w:pPr>
              <w:ind w:left="60"/>
              <w:spacing w:after="0"/>
              <w:rPr>
                <w:rFonts w:ascii="Arial" w:cs="Arial" w:eastAsia="Arial" w:hAnsi="Arial"/>
                <w:sz w:val="14"/>
                <w:szCs w:val="14"/>
                <w:color w:val="auto"/>
              </w:rPr>
            </w:pPr>
            <w:hyperlink w:anchor="page41">
              <w:r>
                <w:rPr>
                  <w:rFonts w:ascii="Arial" w:cs="Arial" w:eastAsia="Arial" w:hAnsi="Arial"/>
                  <w:sz w:val="14"/>
                  <w:szCs w:val="14"/>
                  <w:color w:val="auto"/>
                </w:rPr>
                <w:t>Quantitative and Qualitative Disclosures About Market Risk</w:t>
              </w:r>
            </w:hyperlink>
          </w:p>
        </w:tc>
        <w:tc>
          <w:tcPr>
            <w:tcW w:w="940" w:type="dxa"/>
            <w:vAlign w:val="bottom"/>
          </w:tcPr>
          <w:p>
            <w:pPr>
              <w:jc w:val="center"/>
              <w:spacing w:after="0"/>
              <w:rPr>
                <w:rFonts w:ascii="Arial" w:cs="Arial" w:eastAsia="Arial" w:hAnsi="Arial"/>
                <w:sz w:val="14"/>
                <w:szCs w:val="14"/>
                <w:color w:val="auto"/>
                <w:w w:val="89"/>
              </w:rPr>
            </w:pPr>
            <w:hyperlink w:anchor="page41">
              <w:r>
                <w:rPr>
                  <w:rFonts w:ascii="Arial" w:cs="Arial" w:eastAsia="Arial" w:hAnsi="Arial"/>
                  <w:sz w:val="14"/>
                  <w:szCs w:val="14"/>
                  <w:color w:val="auto"/>
                  <w:w w:val="89"/>
                </w:rPr>
                <w:t>42</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9420" w:type="dxa"/>
            <w:vAlign w:val="bottom"/>
          </w:tcPr>
          <w:p>
            <w:pPr>
              <w:ind w:left="60"/>
              <w:spacing w:after="0"/>
              <w:rPr>
                <w:rFonts w:ascii="Arial" w:cs="Arial" w:eastAsia="Arial" w:hAnsi="Arial"/>
                <w:sz w:val="14"/>
                <w:szCs w:val="14"/>
                <w:color w:val="auto"/>
              </w:rPr>
            </w:pPr>
            <w:hyperlink w:anchor="page43">
              <w:r>
                <w:rPr>
                  <w:rFonts w:ascii="Arial" w:cs="Arial" w:eastAsia="Arial" w:hAnsi="Arial"/>
                  <w:sz w:val="14"/>
                  <w:szCs w:val="14"/>
                  <w:color w:val="auto"/>
                </w:rPr>
                <w:t>Controls and Procedures</w:t>
              </w:r>
            </w:hyperlink>
          </w:p>
        </w:tc>
        <w:tc>
          <w:tcPr>
            <w:tcW w:w="940" w:type="dxa"/>
            <w:vAlign w:val="bottom"/>
          </w:tcPr>
          <w:p>
            <w:pPr>
              <w:jc w:val="center"/>
              <w:spacing w:after="0"/>
              <w:rPr>
                <w:rFonts w:ascii="Arial" w:cs="Arial" w:eastAsia="Arial" w:hAnsi="Arial"/>
                <w:sz w:val="14"/>
                <w:szCs w:val="14"/>
                <w:color w:val="auto"/>
                <w:w w:val="89"/>
              </w:rPr>
            </w:pPr>
            <w:hyperlink w:anchor="page43">
              <w:r>
                <w:rPr>
                  <w:rFonts w:ascii="Arial" w:cs="Arial" w:eastAsia="Arial" w:hAnsi="Arial"/>
                  <w:sz w:val="14"/>
                  <w:szCs w:val="14"/>
                  <w:color w:val="auto"/>
                  <w:w w:val="89"/>
                </w:rPr>
                <w:t>44</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PART II.</w:t>
            </w:r>
          </w:p>
        </w:tc>
        <w:tc>
          <w:tcPr>
            <w:tcW w:w="9420" w:type="dxa"/>
            <w:vAlign w:val="bottom"/>
          </w:tcPr>
          <w:p>
            <w:pPr>
              <w:ind w:left="60"/>
              <w:spacing w:after="0"/>
              <w:rPr>
                <w:rFonts w:ascii="Arial" w:cs="Arial" w:eastAsia="Arial" w:hAnsi="Arial"/>
                <w:sz w:val="14"/>
                <w:szCs w:val="14"/>
                <w:color w:val="auto"/>
              </w:rPr>
            </w:pPr>
            <w:hyperlink w:anchor="page44">
              <w:r>
                <w:rPr>
                  <w:rFonts w:ascii="Arial" w:cs="Arial" w:eastAsia="Arial" w:hAnsi="Arial"/>
                  <w:sz w:val="14"/>
                  <w:szCs w:val="14"/>
                  <w:color w:val="auto"/>
                </w:rPr>
                <w:t>OTHER INFORMATION</w:t>
              </w:r>
            </w:hyperlink>
          </w:p>
        </w:tc>
        <w:tc>
          <w:tcPr>
            <w:tcW w:w="940" w:type="dxa"/>
            <w:vAlign w:val="bottom"/>
          </w:tcPr>
          <w:p>
            <w:pPr>
              <w:spacing w:after="0"/>
              <w:rPr>
                <w:sz w:val="24"/>
                <w:szCs w:val="24"/>
                <w:color w:val="auto"/>
              </w:rPr>
            </w:pPr>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Legal Proceedings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1A.</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Risk Factors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Unregistered Sales of Equity Securities and Use of Proceeds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Defaults Upon Senior Securities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Mine Safety Disclosures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5.</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Other Information</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308"/>
        </w:trPr>
        <w:tc>
          <w:tcPr>
            <w:tcW w:w="920" w:type="dxa"/>
            <w:vAlign w:val="bottom"/>
          </w:tcPr>
          <w:p>
            <w:pPr>
              <w:ind w:left="20"/>
              <w:spacing w:after="0"/>
              <w:rPr>
                <w:sz w:val="20"/>
                <w:szCs w:val="20"/>
                <w:color w:val="auto"/>
              </w:rPr>
            </w:pPr>
            <w:r>
              <w:rPr>
                <w:rFonts w:ascii="Arial" w:cs="Arial" w:eastAsia="Arial" w:hAnsi="Arial"/>
                <w:sz w:val="14"/>
                <w:szCs w:val="14"/>
                <w:color w:val="auto"/>
              </w:rPr>
              <w:t>Item 6.</w:t>
            </w:r>
          </w:p>
        </w:tc>
        <w:tc>
          <w:tcPr>
            <w:tcW w:w="9420" w:type="dxa"/>
            <w:vAlign w:val="bottom"/>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Exhibits</w:t>
              </w:r>
            </w:hyperlink>
          </w:p>
        </w:tc>
        <w:tc>
          <w:tcPr>
            <w:tcW w:w="940" w:type="dxa"/>
            <w:vAlign w:val="bottom"/>
          </w:tcPr>
          <w:p>
            <w:pPr>
              <w:jc w:val="center"/>
              <w:spacing w:after="0"/>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r>
      <w:tr>
        <w:trPr>
          <w:trHeight w:val="297"/>
        </w:trPr>
        <w:tc>
          <w:tcPr>
            <w:tcW w:w="920" w:type="dxa"/>
            <w:vAlign w:val="bottom"/>
          </w:tcPr>
          <w:p>
            <w:pPr>
              <w:ind w:left="20"/>
              <w:spacing w:after="0"/>
              <w:rPr>
                <w:rFonts w:ascii="Arial" w:cs="Arial" w:eastAsia="Arial" w:hAnsi="Arial"/>
                <w:sz w:val="14"/>
                <w:szCs w:val="14"/>
                <w:color w:val="auto"/>
                <w:w w:val="96"/>
              </w:rPr>
            </w:pPr>
            <w:hyperlink w:anchor="page48">
              <w:r>
                <w:rPr>
                  <w:rFonts w:ascii="Arial" w:cs="Arial" w:eastAsia="Arial" w:hAnsi="Arial"/>
                  <w:sz w:val="14"/>
                  <w:szCs w:val="14"/>
                  <w:color w:val="auto"/>
                  <w:w w:val="96"/>
                </w:rPr>
                <w:t>SIGNATURES</w:t>
              </w:r>
            </w:hyperlink>
          </w:p>
        </w:tc>
        <w:tc>
          <w:tcPr>
            <w:tcW w:w="9420" w:type="dxa"/>
            <w:vAlign w:val="bottom"/>
          </w:tcPr>
          <w:p>
            <w:pPr>
              <w:spacing w:after="0"/>
              <w:rPr>
                <w:sz w:val="24"/>
                <w:szCs w:val="24"/>
                <w:color w:val="auto"/>
              </w:rPr>
            </w:pPr>
          </w:p>
        </w:tc>
        <w:tc>
          <w:tcPr>
            <w:tcW w:w="940" w:type="dxa"/>
            <w:vAlign w:val="bottom"/>
          </w:tcPr>
          <w:p>
            <w:pPr>
              <w:jc w:val="center"/>
              <w:spacing w:after="0"/>
              <w:rPr>
                <w:rFonts w:ascii="Arial" w:cs="Arial" w:eastAsia="Arial" w:hAnsi="Arial"/>
                <w:sz w:val="14"/>
                <w:szCs w:val="14"/>
                <w:color w:val="auto"/>
                <w:w w:val="89"/>
              </w:rPr>
            </w:pPr>
            <w:hyperlink w:anchor="page48">
              <w:r>
                <w:rPr>
                  <w:rFonts w:ascii="Arial" w:cs="Arial" w:eastAsia="Arial" w:hAnsi="Arial"/>
                  <w:sz w:val="14"/>
                  <w:szCs w:val="14"/>
                  <w:color w:val="auto"/>
                  <w:w w:val="89"/>
                </w:rPr>
                <w:t>49</w:t>
              </w:r>
            </w:hyperlink>
          </w:p>
        </w:tc>
      </w:t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w:t>
            </w:r>
          </w:p>
        </w:tc>
        <w:tc>
          <w:tcPr>
            <w:tcW w:w="9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605"/>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Arial" w:cs="Arial" w:eastAsia="Arial" w:hAnsi="Arial"/>
                <w:sz w:val="14"/>
                <w:szCs w:val="14"/>
                <w:color w:val="auto"/>
              </w:rPr>
              <w:t>2</w:t>
            </w:r>
          </w:p>
        </w:tc>
        <w:tc>
          <w:tcPr>
            <w:tcW w:w="940" w:type="dxa"/>
            <w:vAlign w:val="bottom"/>
          </w:tcPr>
          <w:p>
            <w:pPr>
              <w:spacing w:after="0"/>
              <w:rPr>
                <w:sz w:val="24"/>
                <w:szCs w:val="24"/>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94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Arial" w:cs="Arial" w:eastAsia="Arial" w:hAnsi="Arial"/>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7,176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6,178</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10,313</w:t>
            </w:r>
          </w:p>
        </w:tc>
        <w:tc>
          <w:tcPr>
            <w:tcW w:w="0" w:type="dxa"/>
            <w:vAlign w:val="bottom"/>
          </w:tcPr>
          <w:p>
            <w:pPr>
              <w:spacing w:after="0"/>
              <w:rPr>
                <w:sz w:val="1"/>
                <w:szCs w:val="1"/>
                <w:color w:val="auto"/>
              </w:rPr>
            </w:pP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Arial" w:cs="Arial" w:eastAsia="Arial" w:hAnsi="Arial"/>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Arial" w:cs="Arial" w:eastAsia="Arial" w:hAnsi="Arial"/>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1,478</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12,108</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12,076</w:t>
            </w:r>
          </w:p>
        </w:tc>
        <w:tc>
          <w:tcPr>
            <w:tcW w:w="0" w:type="dxa"/>
            <w:vAlign w:val="bottom"/>
          </w:tcPr>
          <w:p>
            <w:pPr>
              <w:spacing w:after="0"/>
              <w:rPr>
                <w:sz w:val="1"/>
                <w:szCs w:val="1"/>
                <w:color w:val="auto"/>
              </w:rPr>
            </w:pPr>
          </w:p>
        </w:tc>
      </w:tr>
      <w:tr>
        <w:trPr>
          <w:trHeight w:val="171"/>
        </w:trPr>
        <w:tc>
          <w:tcPr>
            <w:tcW w:w="794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Arial" w:cs="Arial" w:eastAsia="Arial" w:hAnsi="Arial"/>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other income</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 before equity in (losses) earnings of unconsolidated joint ventures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(losses) earnings of unconsolidated joint ventures,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attributable to common stockholders,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4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(0.04)</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909"/>
              <w:spacing w:after="0" w:line="143"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diluted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71"/>
        </w:trPr>
        <w:tc>
          <w:tcPr>
            <w:tcW w:w="78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4"/>
                <w:szCs w:val="14"/>
                <w:color w:val="auto"/>
              </w:rPr>
            </w:pPr>
          </w:p>
        </w:tc>
      </w:tr>
      <w:tr>
        <w:trPr>
          <w:trHeight w:val="17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180"/>
        </w:trPr>
        <w:tc>
          <w:tcPr>
            <w:tcW w:w="7880" w:type="dxa"/>
            <w:vAlign w:val="bottom"/>
          </w:tcPr>
          <w:p>
            <w:pPr>
              <w:ind w:left="160"/>
              <w:spacing w:after="0"/>
              <w:rPr>
                <w:sz w:val="20"/>
                <w:szCs w:val="20"/>
                <w:color w:val="auto"/>
              </w:rPr>
            </w:pPr>
            <w:r>
              <w:rPr>
                <w:rFonts w:ascii="Arial" w:cs="Arial" w:eastAsia="Arial" w:hAnsi="Arial"/>
                <w:sz w:val="14"/>
                <w:szCs w:val="14"/>
                <w:color w:val="auto"/>
              </w:rPr>
              <w:t>Other comprehensive gain (loss):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(loss) gain on available-for-sale securities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0"/>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Unrealized gain (loss) on interest rate swap</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w:t>
            </w:r>
          </w:p>
        </w:tc>
      </w:tr>
      <w:tr>
        <w:trPr>
          <w:trHeight w:val="17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gain (loss) before taxes</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r>
      <w:tr>
        <w:trPr>
          <w:trHeight w:val="180"/>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(Expense) benefit for income taxes related to other comprehensive income items</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r>
      <w:tr>
        <w:trPr>
          <w:trHeight w:val="17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gain (loss)</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(3,514)</w:t>
            </w: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Comprehensive loss attributable to non-controlling interests</w:t>
            </w: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7880" w:type="dxa"/>
            <w:vAlign w:val="bottom"/>
          </w:tcPr>
          <w:p>
            <w:pPr>
              <w:spacing w:after="0"/>
              <w:rPr>
                <w:sz w:val="20"/>
                <w:szCs w:val="20"/>
                <w:color w:val="auto"/>
              </w:rPr>
            </w:pPr>
            <w:r>
              <w:rPr>
                <w:rFonts w:ascii="Arial" w:cs="Arial" w:eastAsia="Arial" w:hAnsi="Arial"/>
                <w:sz w:val="14"/>
                <w:szCs w:val="14"/>
                <w:color w:val="auto"/>
              </w:rPr>
              <w:t>Comprehensive income (loss) attributable to common stockholders</w:t>
            </w:r>
          </w:p>
        </w:tc>
        <w:tc>
          <w:tcPr>
            <w:tcW w:w="108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(3,512)</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March 31, 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(unaudited)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20"/>
              <w:spacing w:after="0"/>
              <w:rPr>
                <w:sz w:val="20"/>
                <w:szCs w:val="20"/>
                <w:color w:val="auto"/>
              </w:rPr>
            </w:pPr>
            <w:r>
              <w:rPr>
                <w:rFonts w:ascii="Arial" w:cs="Arial" w:eastAsia="Arial" w:hAnsi="Arial"/>
                <w:sz w:val="14"/>
                <w:szCs w:val="14"/>
                <w:color w:val="auto"/>
              </w:rPr>
              <w:t>ASSETS</w:t>
            </w:r>
          </w:p>
        </w:tc>
        <w:tc>
          <w:tcPr>
            <w:tcW w:w="1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55,320</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Marketable securities - available-for-sale</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Inventories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68,515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17,660</w:t>
            </w:r>
          </w:p>
        </w:tc>
        <w:tc>
          <w:tcPr>
            <w:tcW w:w="0" w:type="dxa"/>
            <w:vAlign w:val="bottom"/>
          </w:tcPr>
          <w:p>
            <w:pPr>
              <w:spacing w:after="0"/>
              <w:rPr>
                <w:sz w:val="1"/>
                <w:szCs w:val="1"/>
                <w:color w:val="auto"/>
              </w:rPr>
            </w:pPr>
          </w:p>
        </w:tc>
      </w:tr>
      <w:tr>
        <w:trPr>
          <w:trHeight w:val="138"/>
        </w:trPr>
        <w:tc>
          <w:tcPr>
            <w:tcW w:w="7320" w:type="dxa"/>
            <w:vAlign w:val="bottom"/>
          </w:tcPr>
          <w:p>
            <w:pPr>
              <w:ind w:left="20"/>
              <w:spacing w:after="0" w:line="138" w:lineRule="exact"/>
              <w:rPr>
                <w:sz w:val="20"/>
                <w:szCs w:val="20"/>
                <w:color w:val="auto"/>
              </w:rPr>
            </w:pPr>
            <w:r>
              <w:rPr>
                <w:rFonts w:ascii="Arial" w:cs="Arial" w:eastAsia="Arial" w:hAnsi="Arial"/>
                <w:sz w:val="14"/>
                <w:szCs w:val="14"/>
                <w:color w:val="auto"/>
                <w:w w:val="92"/>
              </w:rPr>
              <w:t>Real estate development (includes $108,976 at March 31, 2021 and $108,600 at December 31, 2020, attributable to Centennial</w:t>
            </w:r>
          </w:p>
        </w:tc>
        <w:tc>
          <w:tcPr>
            <w:tcW w:w="14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86"/>
              </w:rPr>
              <w:t>313,553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310,439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Founders, LLC, Note 15)</w:t>
            </w:r>
          </w:p>
        </w:tc>
        <w:tc>
          <w:tcPr>
            <w:tcW w:w="14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46,246</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33,403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33,524</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 water assets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537,165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536,349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EQUITY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Trade accounts payable</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Accrued liabilities and other</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Current maturities of long-term debt</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51,489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52,587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deferred gains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0" w:type="dxa"/>
            <w:vAlign w:val="bottom"/>
          </w:tcPr>
          <w:p>
            <w:pPr>
              <w:spacing w:after="0"/>
              <w:rPr>
                <w:sz w:val="1"/>
                <w:szCs w:val="1"/>
                <w:color w:val="auto"/>
              </w:rPr>
            </w:pPr>
          </w:p>
        </w:tc>
      </w:tr>
      <w:tr>
        <w:trPr>
          <w:trHeight w:val="171"/>
        </w:trPr>
        <w:tc>
          <w:tcPr>
            <w:tcW w:w="7320" w:type="dxa"/>
            <w:vAlign w:val="bottom"/>
          </w:tcPr>
          <w:p>
            <w:pPr>
              <w:ind w:left="520"/>
              <w:spacing w:after="0"/>
              <w:rPr>
                <w:sz w:val="20"/>
                <w:szCs w:val="20"/>
                <w:color w:val="auto"/>
              </w:rPr>
            </w:pPr>
            <w:r>
              <w:rPr>
                <w:rFonts w:ascii="Arial" w:cs="Arial" w:eastAsia="Arial" w:hAnsi="Arial"/>
                <w:sz w:val="14"/>
                <w:szCs w:val="14"/>
                <w:color w:val="auto"/>
              </w:rPr>
              <w:t>Total liabilities</w:t>
            </w: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91,017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91,018</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4"/>
                <w:szCs w:val="14"/>
                <w:color w:val="auto"/>
              </w:rPr>
              <w:t>Equity:</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Tejon Ranch Co. Stockholders’ Equity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Common stock, $0.50 par value per share:</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Authorized shares - 30,000,000</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Issued and outstanding shares - 26,336,115 at March 31, 2021 and 26,276,830 at December 31, 2020</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13,137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Additional paid-in capital</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342,329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342,059</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Arial" w:cs="Arial" w:eastAsia="Arial" w:hAnsi="Arial"/>
                <w:sz w:val="14"/>
                <w:szCs w:val="14"/>
                <w:color w:val="auto"/>
              </w:rPr>
              <w:t>Accumulated other comprehensive loss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(9,720)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Retained earnings</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84,487</w:t>
            </w:r>
          </w:p>
        </w:tc>
        <w:tc>
          <w:tcPr>
            <w:tcW w:w="0" w:type="dxa"/>
            <w:vAlign w:val="bottom"/>
          </w:tcPr>
          <w:p>
            <w:pPr>
              <w:spacing w:after="0"/>
              <w:rPr>
                <w:sz w:val="1"/>
                <w:szCs w:val="1"/>
                <w:color w:val="auto"/>
              </w:rPr>
            </w:pPr>
          </w:p>
        </w:tc>
      </w:tr>
      <w:tr>
        <w:trPr>
          <w:trHeight w:val="171"/>
        </w:trPr>
        <w:tc>
          <w:tcPr>
            <w:tcW w:w="7320" w:type="dxa"/>
            <w:vAlign w:val="bottom"/>
          </w:tcPr>
          <w:p>
            <w:pPr>
              <w:ind w:left="280"/>
              <w:spacing w:after="0"/>
              <w:rPr>
                <w:sz w:val="20"/>
                <w:szCs w:val="20"/>
                <w:color w:val="auto"/>
              </w:rPr>
            </w:pPr>
            <w:r>
              <w:rPr>
                <w:rFonts w:ascii="Arial" w:cs="Arial" w:eastAsia="Arial" w:hAnsi="Arial"/>
                <w:sz w:val="14"/>
                <w:szCs w:val="14"/>
                <w:color w:val="auto"/>
              </w:rPr>
              <w:t>Total Tejon Ranch Co. Stockholders’ Equity</w:t>
            </w: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430,788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429,963</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15,368</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1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446,148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445,331</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537,165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536,349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500"/>
              <w:spacing w:after="0"/>
              <w:rPr>
                <w:sz w:val="20"/>
                <w:szCs w:val="20"/>
                <w:color w:val="auto"/>
              </w:rPr>
            </w:pPr>
            <w:r>
              <w:rPr>
                <w:rFonts w:ascii="Arial" w:cs="Arial" w:eastAsia="Arial" w:hAnsi="Arial"/>
                <w:sz w:val="14"/>
                <w:szCs w:val="14"/>
                <w:color w:val="auto"/>
              </w:rPr>
              <w:t>Amortization of premium/discount of marketable securities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Equity in losses (earnings) of unconsolidated joint ventures, net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500"/>
              <w:spacing w:after="0"/>
              <w:rPr>
                <w:sz w:val="20"/>
                <w:szCs w:val="20"/>
                <w:color w:val="auto"/>
              </w:rPr>
            </w:pPr>
            <w:r>
              <w:rPr>
                <w:rFonts w:ascii="Arial" w:cs="Arial" w:eastAsia="Arial" w:hAnsi="Arial"/>
                <w:sz w:val="14"/>
                <w:szCs w:val="14"/>
                <w:color w:val="auto"/>
              </w:rPr>
              <w:t>Non-cash retirement plan expense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write-off of leasing assets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500"/>
              <w:spacing w:after="0"/>
              <w:rPr>
                <w:sz w:val="20"/>
                <w:szCs w:val="20"/>
                <w:color w:val="auto"/>
              </w:rPr>
            </w:pPr>
            <w:r>
              <w:rPr>
                <w:rFonts w:ascii="Arial" w:cs="Arial" w:eastAsia="Arial" w:hAnsi="Arial"/>
                <w:sz w:val="14"/>
                <w:szCs w:val="14"/>
                <w:color w:val="auto"/>
              </w:rPr>
              <w:t>(Gain) loss on sale of property plant and equipment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 compensation expense</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500"/>
              <w:spacing w:after="0"/>
              <w:rPr>
                <w:sz w:val="20"/>
                <w:szCs w:val="20"/>
                <w:color w:val="auto"/>
              </w:rPr>
            </w:pPr>
            <w:r>
              <w:rPr>
                <w:rFonts w:ascii="Arial" w:cs="Arial" w:eastAsia="Arial" w:hAnsi="Arial"/>
                <w:sz w:val="14"/>
                <w:szCs w:val="14"/>
                <w:color w:val="auto"/>
              </w:rPr>
              <w:t>Excess tax shortfall from stock-based compensation</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Distribution of earnings from unconsolidated joint ventures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Receivables, inventories, prepaids and other assets, net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Current liabilities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1,263</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3,714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Maturities and sales of marketable securities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Funds invested in marketable securities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(5,715)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(4,025)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 estate and equipment expenditures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(5,218)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Proceeds from sale of real estate/assets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Investment in unconsolidated joint ventures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Distribution of equity from unconsolidated joint ventures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Investments in long-term water assets</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(1,653)</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Repayments of long-term debt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(1,066)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Taxes on vested stock grants</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(966)</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(2,032)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Decrease in cash and cash equivalents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(9,997)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55,320</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27,106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45,323</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Reconciliation to amounts on consolidated balance sheets: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44,721</w:t>
            </w:r>
          </w:p>
        </w:tc>
        <w:tc>
          <w:tcPr>
            <w:tcW w:w="80" w:type="dxa"/>
            <w:vAlign w:val="bottom"/>
          </w:tcPr>
          <w:p>
            <w:pPr>
              <w:spacing w:after="0"/>
              <w:rPr>
                <w:sz w:val="15"/>
                <w:szCs w:val="15"/>
                <w:color w:val="auto"/>
              </w:rPr>
            </w:pPr>
          </w:p>
        </w:tc>
        <w:tc>
          <w:tcPr>
            <w:tcW w:w="108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45,323</w:t>
            </w:r>
          </w:p>
        </w:tc>
        <w:tc>
          <w:tcPr>
            <w:tcW w:w="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9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activities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80" w:type="dxa"/>
            <w:vAlign w:val="bottom"/>
          </w:tcPr>
          <w:p>
            <w:pPr>
              <w:ind w:left="260"/>
              <w:spacing w:after="0"/>
              <w:rPr>
                <w:sz w:val="20"/>
                <w:szCs w:val="20"/>
                <w:color w:val="auto"/>
              </w:rPr>
            </w:pPr>
            <w:r>
              <w:rPr>
                <w:rFonts w:ascii="Arial" w:cs="Arial" w:eastAsia="Arial" w:hAnsi="Arial"/>
                <w:sz w:val="14"/>
                <w:szCs w:val="14"/>
                <w:color w:val="auto"/>
              </w:rPr>
              <w:t>Accrued capital expenditures included in current liabilities</w:t>
            </w:r>
          </w:p>
        </w:tc>
        <w:tc>
          <w:tcPr>
            <w:tcW w:w="1080" w:type="dxa"/>
            <w:vAlign w:val="bottom"/>
            <w:gridSpan w:val="2"/>
          </w:tcPr>
          <w:p>
            <w:pPr>
              <w:jc w:val="right"/>
              <w:ind w:right="78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(759)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long-term water assets included in current liabilities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shares outstanding)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Common Stock</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Common</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Additional</w:t>
            </w:r>
          </w:p>
        </w:tc>
        <w:tc>
          <w:tcPr>
            <w:tcW w:w="128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Total</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Noncontrolling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4"/>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9"/>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0"/>
              </w:rPr>
              <w:t>Stockholders'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w w:val="94"/>
              </w:rPr>
              <w:t>Total Equity</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Outstanding</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Interest</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26,276,830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342,059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84,487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429,963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445,331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117,943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(58,658)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26,336,115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83,432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446,148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26,096,797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445,624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229,713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Arial" w:cs="Arial" w:eastAsia="Arial" w:hAnsi="Arial"/>
                <w:sz w:val="14"/>
                <w:szCs w:val="14"/>
                <w:color w:val="auto"/>
              </w:rPr>
              <w:t>Shares withheld for taxes and tax benefit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(114,026)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vested shares</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26,212,484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84,545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426,760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442,133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35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BASIS OF PRESENTATION</w:t>
      </w:r>
    </w:p>
    <w:p>
      <w:pPr>
        <w:spacing w:after="0" w:line="8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6" w:lineRule="exact"/>
        <w:rPr>
          <w:sz w:val="20"/>
          <w:szCs w:val="20"/>
          <w:color w:val="auto"/>
        </w:rPr>
      </w:pPr>
    </w:p>
    <w:p>
      <w:pPr>
        <w:jc w:val="both"/>
        <w:ind w:right="260"/>
        <w:spacing w:after="0" w:line="267" w:lineRule="auto"/>
        <w:rPr>
          <w:sz w:val="20"/>
          <w:szCs w:val="20"/>
          <w:color w:val="auto"/>
        </w:rPr>
      </w:pPr>
      <w:r>
        <w:rPr>
          <w:rFonts w:ascii="Arial" w:cs="Arial" w:eastAsia="Arial" w:hAnsi="Arial"/>
          <w:sz w:val="14"/>
          <w:szCs w:val="14"/>
          <w:color w:val="auto"/>
        </w:rPr>
        <w:t>The periods ending March 31, 2021 and December 31, 2020 include the consolidation of Centennial Founders, LLC’s statement of operations within the resort/residential real estate development segment and statements of cash flows. The Company’s March 31, 2021 and December 31, 2020 balance sheets and statements of changes in equity and noncontrolling interests are presented on a consolidated basis, including the consolidation of Centennial Founders, LLC.</w:t>
      </w:r>
    </w:p>
    <w:p>
      <w:pPr>
        <w:spacing w:after="0" w:line="4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5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has also brought additional uncertainty previously unseen, as we continue to see negative impacts during the first quarter of 2021. Historically, the Company’s largest percentages of farming revenues are recognized during the third and fourth quarters of the fiscal year. Please refer to Management’s Discussion and Analysis of Financial Condition and Results of Operations for further discussion.</w:t>
      </w:r>
    </w:p>
    <w:p>
      <w:pPr>
        <w:spacing w:after="0" w:line="40"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For further information and a summary of significant accounting policies, refer to the Consolidated Financial Statements and notes thereto included in the Company’s Annual Report on Form 10-K for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Cash</w:t>
      </w:r>
    </w:p>
    <w:p>
      <w:pPr>
        <w:spacing w:after="0" w:line="8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Restricted cash is included in Prepaid expenses and other current assets within the Consolidated Balance Sheets and primarily relate to funds held in escrow. The Company had $602,000 of restricted cash as of March 31, 2021.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Concessions Related to COVID-19 Pandemic</w:t>
      </w:r>
    </w:p>
    <w:p>
      <w:pPr>
        <w:spacing w:after="0" w:line="83"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In April 2020, the Financial Accounting Standards Board, or FASB, issued a Staff Question-and-Answer, or Q&amp;A, intended to reduce the operational challenges and complexity of accounting for leases at a time when many businesses have been ordered to close or have seen revenue drop due to the effects of the COVID-19 pandemic. The FASB determined that it would be appropriate for entities to make accounting policy elections over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Accounting Standards Codification, or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44"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The Company elected to account for lease concessions outside of the modification framework as allowed by the FASB Q&amp;A. The COVID-19 pandemic resulted in tenant requests for rent relief, with a majority of the requests occurring in the second quarter of 2020. In 2020, the Company reached agreements with all commercial tenants that requested rent deferrals. Based on the terms of the agreements reached with the Company's tenants, all deferred rent will be fully repaid by the end of 2021. The Company will account for the rent receivables as if no changes to the lease were made, and the rent receivable for the deferral period will stay on the Company's Consolidated Balance Sheet until the rent is collected over the passage of time. Please refer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8" w:name="page9"/>
    <w:bookmarkEnd w:id="8"/>
    <w:p>
      <w:pPr>
        <w:ind w:right="1400"/>
        <w:spacing w:after="0" w:line="355" w:lineRule="auto"/>
        <w:rPr>
          <w:sz w:val="20"/>
          <w:szCs w:val="20"/>
          <w:color w:val="auto"/>
        </w:rPr>
      </w:pPr>
      <w:r>
        <w:rPr>
          <w:rFonts w:ascii="Arial" w:cs="Arial" w:eastAsia="Arial" w:hAnsi="Arial"/>
          <w:sz w:val="14"/>
          <w:szCs w:val="14"/>
          <w:color w:val="auto"/>
        </w:rPr>
        <w:t xml:space="preserve">to the Results of Operations by Segment in Item 2, "Management's Discussion and Analysis of Financial Condition and Results of Operations" for discussion of rent deferrals. </w:t>
      </w:r>
      <w:r>
        <w:rPr>
          <w:rFonts w:ascii="Arial" w:cs="Arial" w:eastAsia="Arial" w:hAnsi="Arial"/>
          <w:sz w:val="14"/>
          <w:szCs w:val="14"/>
          <w:i w:val="1"/>
          <w:iCs w:val="1"/>
          <w:color w:val="auto"/>
        </w:rPr>
        <w:t>Reference Rate Reform</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This pronouncement has not had, and is not expected to have, a material effect on our consolidated financial statements.</w:t>
      </w:r>
    </w:p>
    <w:p>
      <w:pPr>
        <w:spacing w:after="0" w:line="10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(EPS)</w:t>
      </w:r>
    </w:p>
    <w:p>
      <w:pPr>
        <w:spacing w:after="0" w:line="76" w:lineRule="exact"/>
        <w:rPr>
          <w:sz w:val="20"/>
          <w:szCs w:val="20"/>
          <w:color w:val="auto"/>
        </w:rPr>
      </w:pPr>
    </w:p>
    <w:p>
      <w:pPr>
        <w:jc w:val="both"/>
        <w:ind w:right="140"/>
        <w:spacing w:after="0" w:line="331" w:lineRule="auto"/>
        <w:rPr>
          <w:sz w:val="20"/>
          <w:szCs w:val="20"/>
          <w:color w:val="auto"/>
        </w:rPr>
      </w:pPr>
      <w:r>
        <w:rPr>
          <w:rFonts w:ascii="Arial" w:cs="Arial" w:eastAsia="Arial" w:hAnsi="Arial"/>
          <w:sz w:val="12"/>
          <w:szCs w:val="12"/>
          <w:color w:val="auto"/>
        </w:rPr>
        <w:t>Basic net (loss) income per share attributable to common stockholders is based upon the weighted average number of shares of common stock outstanding during the year. Diluted net (loss) income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0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90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61"/>
        </w:trPr>
        <w:tc>
          <w:tcPr>
            <w:tcW w:w="790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1"/>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26,313,722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26,128,976</w:t>
            </w:r>
          </w:p>
        </w:tc>
      </w:tr>
      <w:tr>
        <w:trPr>
          <w:trHeight w:val="18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57,010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133,951</w:t>
            </w:r>
          </w:p>
        </w:tc>
      </w:tr>
      <w:tr>
        <w:trPr>
          <w:trHeight w:val="19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26,370,732</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26,262,927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80" w:hanging="275"/>
        <w:spacing w:after="0"/>
        <w:tabs>
          <w:tab w:leader="none" w:pos="2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MARKETABLE SECURITIES</w:t>
      </w:r>
    </w:p>
    <w:p>
      <w:pPr>
        <w:spacing w:after="0" w:line="76"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color w:val="auto"/>
              </w:rPr>
              <w:t>March 31, 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18"/>
        </w:trPr>
        <w:tc>
          <w:tcPr>
            <w:tcW w:w="4120" w:type="dxa"/>
            <w:vAlign w:val="bottom"/>
            <w:vMerge w:val="restart"/>
          </w:tcPr>
          <w:p>
            <w:pPr>
              <w:ind w:left="20"/>
              <w:spacing w:after="0"/>
              <w:rPr>
                <w:sz w:val="20"/>
                <w:szCs w:val="20"/>
                <w:color w:val="auto"/>
              </w:rPr>
            </w:pPr>
            <w:r>
              <w:rPr>
                <w:rFonts w:ascii="Arial" w:cs="Arial" w:eastAsia="Arial" w:hAnsi="Arial"/>
                <w:sz w:val="14"/>
                <w:szCs w:val="14"/>
                <w:color w:val="auto"/>
              </w:rPr>
              <w:t>Marketable Securities:</w:t>
            </w:r>
          </w:p>
        </w:tc>
        <w:tc>
          <w:tcPr>
            <w:tcW w:w="2280" w:type="dxa"/>
            <w:vAlign w:val="bottom"/>
          </w:tcPr>
          <w:p>
            <w:pPr>
              <w:jc w:val="center"/>
              <w:ind w:left="1050"/>
              <w:spacing w:after="0" w:line="119" w:lineRule="exact"/>
              <w:rPr>
                <w:sz w:val="20"/>
                <w:szCs w:val="20"/>
                <w:color w:val="auto"/>
              </w:rPr>
            </w:pPr>
            <w:r>
              <w:rPr>
                <w:rFonts w:ascii="Arial" w:cs="Arial" w:eastAsia="Arial" w:hAnsi="Arial"/>
                <w:sz w:val="13"/>
                <w:szCs w:val="13"/>
                <w:color w:val="auto"/>
              </w:rPr>
              <w:t>Fair Value</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0"/>
                <w:szCs w:val="10"/>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2540" w:type="dxa"/>
            <w:vAlign w:val="bottom"/>
            <w:gridSpan w:val="2"/>
          </w:tcPr>
          <w:p>
            <w:pPr>
              <w:jc w:val="center"/>
              <w:ind w:left="790"/>
              <w:spacing w:after="0"/>
              <w:rPr>
                <w:sz w:val="20"/>
                <w:szCs w:val="20"/>
                <w:color w:val="auto"/>
              </w:rPr>
            </w:pPr>
            <w:r>
              <w:rPr>
                <w:rFonts w:ascii="Arial" w:cs="Arial" w:eastAsia="Arial" w:hAnsi="Arial"/>
                <w:sz w:val="14"/>
                <w:szCs w:val="14"/>
                <w:color w:val="auto"/>
                <w:w w:val="93"/>
              </w:rPr>
              <w:t>Hierarchy</w:t>
            </w: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rPr>
                <w:sz w:val="20"/>
                <w:szCs w:val="20"/>
                <w:color w:val="auto"/>
              </w:rPr>
            </w:pPr>
            <w:r>
              <w:rPr>
                <w:rFonts w:ascii="Arial" w:cs="Arial" w:eastAsia="Arial" w:hAnsi="Arial"/>
                <w:sz w:val="14"/>
                <w:szCs w:val="14"/>
                <w:color w:val="auto"/>
              </w:rPr>
              <w:t>with unrealized gains</w:t>
            </w:r>
          </w:p>
        </w:tc>
        <w:tc>
          <w:tcPr>
            <w:tcW w:w="25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71"/>
        </w:trPr>
        <w:tc>
          <w:tcPr>
            <w:tcW w:w="4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U.S. Treasury and agency notes</w:t>
            </w:r>
          </w:p>
        </w:tc>
        <w:tc>
          <w:tcPr>
            <w:tcW w:w="2280" w:type="dxa"/>
            <w:vAlign w:val="bottom"/>
            <w:tcBorders>
              <w:top w:val="single" w:sz="8" w:color="CCEEFF"/>
            </w:tcBorders>
            <w:shd w:val="clear" w:color="auto" w:fill="CCEEFF"/>
          </w:tcPr>
          <w:p>
            <w:pPr>
              <w:jc w:val="center"/>
              <w:ind w:left="1050"/>
              <w:spacing w:after="0"/>
              <w:rPr>
                <w:sz w:val="20"/>
                <w:szCs w:val="20"/>
                <w:color w:val="auto"/>
              </w:rPr>
            </w:pPr>
            <w:r>
              <w:rPr>
                <w:rFonts w:ascii="Arial" w:cs="Arial" w:eastAsia="Arial" w:hAnsi="Arial"/>
                <w:sz w:val="14"/>
                <w:szCs w:val="14"/>
                <w:color w:val="auto"/>
                <w:w w:val="97"/>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Arial" w:cs="Arial" w:eastAsia="Arial" w:hAnsi="Arial"/>
                <w:sz w:val="14"/>
                <w:szCs w:val="14"/>
                <w:color w:val="auto"/>
              </w:rPr>
              <w:t>Corporate notes</w:t>
            </w: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unrealized losses for less than 12 months</w:t>
            </w:r>
          </w:p>
        </w:tc>
        <w:tc>
          <w:tcPr>
            <w:tcW w:w="2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with unrealized gains</w:t>
            </w:r>
          </w:p>
        </w:tc>
        <w:tc>
          <w:tcPr>
            <w:tcW w:w="2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Corporate notes</w:t>
            </w:r>
          </w:p>
        </w:tc>
        <w:tc>
          <w:tcPr>
            <w:tcW w:w="2280" w:type="dxa"/>
            <w:vAlign w:val="bottom"/>
            <w:shd w:val="clear" w:color="auto" w:fill="CCEEFF"/>
          </w:tcPr>
          <w:p>
            <w:pPr>
              <w:jc w:val="center"/>
              <w:ind w:left="1050"/>
              <w:spacing w:after="0"/>
              <w:rPr>
                <w:sz w:val="20"/>
                <w:szCs w:val="20"/>
                <w:color w:val="auto"/>
              </w:rPr>
            </w:pPr>
            <w:r>
              <w:rPr>
                <w:rFonts w:ascii="Arial" w:cs="Arial" w:eastAsia="Arial" w:hAnsi="Arial"/>
                <w:sz w:val="14"/>
                <w:szCs w:val="14"/>
                <w:color w:val="auto"/>
                <w:w w:val="97"/>
              </w:rPr>
              <w:t>Level 2</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80"/>
        <w:spacing w:after="0" w:line="262" w:lineRule="auto"/>
        <w:rPr>
          <w:sz w:val="20"/>
          <w:szCs w:val="20"/>
          <w:color w:val="auto"/>
        </w:rPr>
      </w:pPr>
      <w:r>
        <w:rPr>
          <w:rFonts w:ascii="Arial" w:cs="Arial" w:eastAsia="Arial" w:hAnsi="Arial"/>
          <w:sz w:val="14"/>
          <w:szCs w:val="14"/>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March 31, 2021 the Company has not recorded any credit losses.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9" w:name="page10"/>
    <w:bookmarkEnd w:id="9"/>
    <w:p>
      <w:pPr>
        <w:ind w:right="280"/>
        <w:spacing w:after="0" w:line="350" w:lineRule="auto"/>
        <w:rPr>
          <w:sz w:val="20"/>
          <w:szCs w:val="20"/>
          <w:color w:val="auto"/>
        </w:rPr>
      </w:pPr>
      <w:r>
        <w:rPr>
          <w:rFonts w:ascii="Arial" w:cs="Arial" w:eastAsia="Arial" w:hAnsi="Arial"/>
          <w:sz w:val="12"/>
          <w:szCs w:val="12"/>
          <w:color w:val="auto"/>
        </w:rPr>
        <w:t>At March 31, 2021, the fair market value of marketable securities was $5,000 below their cost basis. The Company’s gross unrealized holding gains equaled $4,000 and gross unrealized holding losses equaled $9,000. As of March 31, 2021, the adjustment to accumulated other comprehensive loss reflected an improvement in market value of $10,000, including estimated taxes of $3,000.</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$31,000 as of March 31, 2021, and was included within the Other Assets line item of the Consolidated Balance Sheets. The Company elected not to measure an allowance for credit losses on accrued interest receivable as an allowance on possible uncollectible accrued interest is not warranted.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Corporate notes</w:t>
      </w:r>
    </w:p>
    <w:p>
      <w:pPr>
        <w:spacing w:after="0" w:line="83"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March 31, 2021 and December 31, 2020, the Company did not intend to sell these securities and it is not more-likely-than-not that the Company would be required to sell these securities before recovery of their cost basis. Therefore, these investments did not require an ACL as of March 31, 2021 and December 31, 2020.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maturities, at par, of marketable securities as of:</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March 31, 2021</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7,170</w:t>
            </w:r>
          </w:p>
        </w:tc>
      </w:tr>
      <w:tr>
        <w:trPr>
          <w:trHeight w:val="196"/>
        </w:trPr>
        <w:tc>
          <w:tcPr>
            <w:tcW w:w="7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1"/>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color w:val="auto"/>
              </w:rPr>
              <w:t>December 31, 2020</w:t>
            </w:r>
          </w:p>
        </w:tc>
      </w:tr>
      <w:tr>
        <w:trPr>
          <w:trHeight w:val="17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and agency notes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notes</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r>
      <w:tr>
        <w:trPr>
          <w:trHeight w:val="196"/>
        </w:trPr>
        <w:tc>
          <w:tcPr>
            <w:tcW w:w="7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investments in corporate notes are with companies that have an investment grade rating from Standard &amp; Poor’s as of March 31, 2021.</w:t>
      </w:r>
    </w:p>
    <w:p>
      <w:pPr>
        <w:spacing w:after="0" w:line="79" w:lineRule="exact"/>
        <w:rPr>
          <w:sz w:val="20"/>
          <w:szCs w:val="20"/>
          <w:color w:val="auto"/>
        </w:rPr>
      </w:pPr>
    </w:p>
    <w:p>
      <w:pPr>
        <w:ind w:left="280" w:hanging="275"/>
        <w:spacing w:after="0"/>
        <w:tabs>
          <w:tab w:leader="none" w:pos="28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2"/>
          </w:tcPr>
          <w:p>
            <w:pPr>
              <w:ind w:left="300"/>
              <w:spacing w:after="0"/>
              <w:rPr>
                <w:sz w:val="20"/>
                <w:szCs w:val="20"/>
                <w:color w:val="auto"/>
              </w:rPr>
            </w:pPr>
            <w:r>
              <w:rPr>
                <w:rFonts w:ascii="Arial" w:cs="Arial" w:eastAsia="Arial" w:hAnsi="Arial"/>
                <w:sz w:val="14"/>
                <w:szCs w:val="14"/>
                <w:color w:val="auto"/>
              </w:rPr>
              <w:t>March 31, 2021</w:t>
            </w:r>
          </w:p>
        </w:tc>
        <w:tc>
          <w:tcPr>
            <w:tcW w:w="340" w:type="dxa"/>
            <w:vAlign w:val="bottom"/>
          </w:tcPr>
          <w:p>
            <w:pPr>
              <w:spacing w:after="0"/>
              <w:rPr>
                <w:sz w:val="15"/>
                <w:szCs w:val="15"/>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auto"/>
              </w:rPr>
              <w:t>Real estate development</w:t>
            </w:r>
          </w:p>
        </w:tc>
        <w:tc>
          <w:tcPr>
            <w:tcW w:w="2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Mountain Village</w:t>
            </w:r>
          </w:p>
        </w:tc>
        <w:tc>
          <w:tcPr>
            <w:tcW w:w="28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auto"/>
              </w:rPr>
              <w:t>Centennial</w:t>
            </w:r>
          </w:p>
        </w:tc>
        <w:tc>
          <w:tcPr>
            <w:tcW w:w="2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108,976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108,600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Grapevine</w:t>
            </w:r>
          </w:p>
        </w:tc>
        <w:tc>
          <w:tcPr>
            <w:tcW w:w="2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Tejon Ranch Commerce Center</w:t>
            </w:r>
          </w:p>
        </w:tc>
        <w:tc>
          <w:tcPr>
            <w:tcW w:w="24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development</w:t>
            </w:r>
          </w:p>
        </w:tc>
        <w:tc>
          <w:tcPr>
            <w:tcW w:w="2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313,553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w:t>
            </w:r>
          </w:p>
        </w:tc>
        <w:tc>
          <w:tcPr>
            <w:tcW w:w="2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auto"/>
              </w:rPr>
              <w:t>Tejon Ranch Commerce Center</w:t>
            </w:r>
          </w:p>
        </w:tc>
        <w:tc>
          <w:tcPr>
            <w:tcW w:w="2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20,595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20,595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accumulated depreciation</w:t>
            </w:r>
          </w:p>
        </w:tc>
        <w:tc>
          <w:tcPr>
            <w:tcW w:w="24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242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20" w:type="dxa"/>
            <w:vAlign w:val="bottom"/>
            <w:vMerge w:val="restart"/>
          </w:tcPr>
          <w:p>
            <w:pPr>
              <w:jc w:val="right"/>
              <w:ind w:right="849"/>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0" w:name="page11"/>
    <w:bookmarkEnd w:id="10"/>
    <w:p>
      <w:pPr>
        <w:ind w:left="280" w:hanging="275"/>
        <w:spacing w:after="0"/>
        <w:tabs>
          <w:tab w:leader="none" w:pos="2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LONG-TERM WATER ASSETS</w:t>
      </w:r>
    </w:p>
    <w:p>
      <w:pPr>
        <w:spacing w:after="0" w:line="7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initial term of the water purchase agreement with Nickel runs to 2044 and includes a Company option to extend the contract for an additional 35 years. The purchase cost of water in 2021 is $817 per acre-foot. The purchase cost is subject to annual cost increases based on the greater of the consumer price index or 3%.</w:t>
      </w:r>
    </w:p>
    <w:p>
      <w:pPr>
        <w:spacing w:after="0" w:line="2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Water revenues and cost of sales were as follows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40" w:type="dxa"/>
            <w:vAlign w:val="bottom"/>
          </w:tcPr>
          <w:p>
            <w:pPr>
              <w:spacing w:after="0"/>
              <w:rPr>
                <w:sz w:val="15"/>
                <w:szCs w:val="15"/>
                <w:color w:val="auto"/>
              </w:rPr>
            </w:pP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March 31, 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March 31, 2020</w:t>
            </w: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Acre-Feet Sold</w:t>
            </w:r>
          </w:p>
        </w:tc>
        <w:tc>
          <w:tcPr>
            <w:tcW w:w="1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5,881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4,625</w:t>
            </w:r>
          </w:p>
        </w:tc>
      </w:tr>
      <w:tr>
        <w:trPr>
          <w:trHeight w:val="75"/>
        </w:trPr>
        <w:tc>
          <w:tcPr>
            <w:tcW w:w="6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760" w:type="dxa"/>
            <w:vAlign w:val="bottom"/>
            <w:shd w:val="clear" w:color="auto" w:fill="CCEEFF"/>
          </w:tcPr>
          <w:p>
            <w:pPr>
              <w:jc w:val="right"/>
              <w:ind w:right="160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1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3,024</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760" w:type="dxa"/>
            <w:vAlign w:val="bottom"/>
            <w:tcBorders>
              <w:bottom w:val="single" w:sz="8" w:color="auto"/>
            </w:tcBorders>
            <w:shd w:val="clear" w:color="auto" w:fill="CCEEFF"/>
          </w:tcPr>
          <w:p>
            <w:pPr>
              <w:jc w:val="right"/>
              <w:ind w:right="16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The 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color w:val="auto"/>
              </w:rPr>
              <w:t>March 31, 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December 31, 2020</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Water available for banking, sales, or internal use</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33,126</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00" w:type="dxa"/>
            <w:vAlign w:val="bottom"/>
            <w:gridSpan w:val="5"/>
          </w:tcPr>
          <w:p>
            <w:pPr>
              <w:spacing w:after="0"/>
              <w:rPr>
                <w:sz w:val="20"/>
                <w:szCs w:val="20"/>
                <w:color w:val="auto"/>
              </w:rPr>
            </w:pPr>
            <w:r>
              <w:rPr>
                <w:rFonts w:ascii="Arial" w:cs="Arial" w:eastAsia="Arial" w:hAnsi="Arial"/>
                <w:sz w:val="14"/>
                <w:szCs w:val="14"/>
                <w:color w:val="auto"/>
                <w:w w:val="93"/>
              </w:rPr>
              <w:t>The Company's carrying amounts of its purchased water contracts were as follows ($ 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380"/>
              <w:spacing w:after="0"/>
              <w:rPr>
                <w:sz w:val="20"/>
                <w:szCs w:val="20"/>
                <w:color w:val="auto"/>
              </w:rPr>
            </w:pPr>
            <w:r>
              <w:rPr>
                <w:rFonts w:ascii="Arial" w:cs="Arial" w:eastAsia="Arial" w:hAnsi="Arial"/>
                <w:sz w:val="14"/>
                <w:szCs w:val="14"/>
                <w:color w:val="auto"/>
              </w:rPr>
              <w:t>March 31, 2021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Arial" w:cs="Arial" w:eastAsia="Arial" w:hAnsi="Arial"/>
                <w:sz w:val="14"/>
                <w:szCs w:val="14"/>
                <w:color w:val="auto"/>
                <w:w w:val="92"/>
              </w:rPr>
              <w:t>December 31, 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w w:val="95"/>
              </w:rPr>
              <w:t>Accumulated Depreciation</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5"/>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(4,765)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(2,969)</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(12,679)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(12,340)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24,121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cost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33,126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32,238</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57,247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56,698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 w:name="page12"/>
    <w:bookmarkEnd w:id="11"/>
    <w:p>
      <w:pPr>
        <w:ind w:right="420"/>
        <w:spacing w:after="0" w:line="267" w:lineRule="auto"/>
        <w:rPr>
          <w:sz w:val="20"/>
          <w:szCs w:val="20"/>
          <w:color w:val="auto"/>
        </w:rPr>
      </w:pPr>
      <w:r>
        <w:rPr>
          <w:rFonts w:ascii="Arial" w:cs="Arial" w:eastAsia="Arial" w:hAnsi="Arial"/>
          <w:sz w:val="14"/>
          <w:szCs w:val="14"/>
          <w:color w:val="auto"/>
        </w:rPr>
        <w:t>Water contracts with the Wheeler Ridge Maricopa Water Storage District, or WRMWSD, and TCWD are also in place, but were entered into with each district at the inception of the respective contracts, and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(in acre-feet, unaudited)</w:t>
            </w:r>
          </w:p>
        </w:tc>
        <w:tc>
          <w:tcPr>
            <w:tcW w:w="2620" w:type="dxa"/>
            <w:vAlign w:val="bottom"/>
            <w:gridSpan w:val="2"/>
          </w:tcPr>
          <w:p>
            <w:pPr>
              <w:ind w:left="820"/>
              <w:spacing w:after="0"/>
              <w:rPr>
                <w:sz w:val="20"/>
                <w:szCs w:val="20"/>
                <w:color w:val="auto"/>
              </w:rPr>
            </w:pPr>
            <w:r>
              <w:rPr>
                <w:rFonts w:ascii="Arial" w:cs="Arial" w:eastAsia="Arial" w:hAnsi="Arial"/>
                <w:sz w:val="14"/>
                <w:szCs w:val="14"/>
                <w:color w:val="auto"/>
              </w:rPr>
              <w:t>March 31, 2021</w:t>
            </w:r>
          </w:p>
        </w:tc>
        <w:tc>
          <w:tcPr>
            <w:tcW w:w="2420" w:type="dxa"/>
            <w:vAlign w:val="bottom"/>
          </w:tcPr>
          <w:p>
            <w:pPr>
              <w:jc w:val="right"/>
              <w:ind w:right="589"/>
              <w:spacing w:after="0"/>
              <w:rPr>
                <w:sz w:val="20"/>
                <w:szCs w:val="20"/>
                <w:color w:val="auto"/>
              </w:rPr>
            </w:pPr>
            <w:r>
              <w:rPr>
                <w:rFonts w:ascii="Arial" w:cs="Arial" w:eastAsia="Arial" w:hAnsi="Arial"/>
                <w:sz w:val="14"/>
                <w:szCs w:val="14"/>
                <w:color w:val="auto"/>
              </w:rPr>
              <w:t>December 31, 2020</w:t>
            </w:r>
          </w:p>
        </w:tc>
      </w:tr>
      <w:tr>
        <w:trPr>
          <w:trHeight w:val="161"/>
        </w:trPr>
        <w:tc>
          <w:tcPr>
            <w:tcW w:w="6240" w:type="dxa"/>
            <w:vAlign w:val="bottom"/>
          </w:tcPr>
          <w:p>
            <w:pPr>
              <w:ind w:left="20"/>
              <w:spacing w:after="0"/>
              <w:rPr>
                <w:sz w:val="20"/>
                <w:szCs w:val="20"/>
                <w:color w:val="auto"/>
              </w:rPr>
            </w:pPr>
            <w:r>
              <w:rPr>
                <w:rFonts w:ascii="Arial" w:cs="Arial" w:eastAsia="Arial" w:hAnsi="Arial"/>
                <w:sz w:val="14"/>
                <w:szCs w:val="14"/>
                <w:color w:val="auto"/>
              </w:rPr>
              <w:t>Water held for future use</w:t>
            </w:r>
          </w:p>
        </w:tc>
        <w:tc>
          <w:tcPr>
            <w:tcW w:w="2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61,054</w:t>
            </w: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Company water bank</w:t>
            </w:r>
          </w:p>
        </w:tc>
        <w:tc>
          <w:tcPr>
            <w:tcW w:w="2520" w:type="dxa"/>
            <w:vAlign w:val="bottom"/>
          </w:tcPr>
          <w:p>
            <w:pPr>
              <w:jc w:val="right"/>
              <w:spacing w:after="0"/>
              <w:rPr>
                <w:sz w:val="20"/>
                <w:szCs w:val="20"/>
                <w:color w:val="auto"/>
              </w:rPr>
            </w:pPr>
            <w:r>
              <w:rPr>
                <w:rFonts w:ascii="Arial" w:cs="Arial" w:eastAsia="Arial" w:hAnsi="Arial"/>
                <w:sz w:val="14"/>
                <w:szCs w:val="14"/>
                <w:color w:val="auto"/>
              </w:rPr>
              <w:t>50,349</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50,349</w:t>
            </w: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w:t>
            </w:r>
          </w:p>
        </w:tc>
        <w:tc>
          <w:tcPr>
            <w:tcW w:w="10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r>
      <w:tr>
        <w:trPr>
          <w:trHeight w:val="171"/>
        </w:trPr>
        <w:tc>
          <w:tcPr>
            <w:tcW w:w="6240" w:type="dxa"/>
            <w:vAlign w:val="bottom"/>
          </w:tcPr>
          <w:p>
            <w:pPr>
              <w:ind w:left="280"/>
              <w:spacing w:after="0"/>
              <w:rPr>
                <w:sz w:val="20"/>
                <w:szCs w:val="20"/>
                <w:color w:val="auto"/>
              </w:rPr>
            </w:pPr>
            <w:r>
              <w:rPr>
                <w:rFonts w:ascii="Arial" w:cs="Arial" w:eastAsia="Arial" w:hAnsi="Arial"/>
                <w:sz w:val="14"/>
                <w:szCs w:val="14"/>
                <w:color w:val="auto"/>
              </w:rPr>
              <w:t>Total water held for future use</w:t>
            </w:r>
          </w:p>
        </w:tc>
        <w:tc>
          <w:tcPr>
            <w:tcW w:w="2520" w:type="dxa"/>
            <w:vAlign w:val="bottom"/>
          </w:tcPr>
          <w:p>
            <w:pPr>
              <w:jc w:val="right"/>
              <w:spacing w:after="0"/>
              <w:rPr>
                <w:sz w:val="20"/>
                <w:szCs w:val="20"/>
                <w:color w:val="auto"/>
              </w:rPr>
            </w:pPr>
            <w:r>
              <w:rPr>
                <w:rFonts w:ascii="Arial" w:cs="Arial" w:eastAsia="Arial" w:hAnsi="Arial"/>
                <w:sz w:val="14"/>
                <w:szCs w:val="14"/>
                <w:color w:val="auto"/>
              </w:rPr>
              <w:t>116,077</w:t>
            </w:r>
          </w:p>
        </w:tc>
        <w:tc>
          <w:tcPr>
            <w:tcW w:w="1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117,041</w:t>
            </w:r>
          </w:p>
        </w:tc>
      </w:tr>
      <w:tr>
        <w:trPr>
          <w:trHeight w:val="18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water contracts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80"/>
        </w:trPr>
        <w:tc>
          <w:tcPr>
            <w:tcW w:w="6240" w:type="dxa"/>
            <w:vAlign w:val="bottom"/>
          </w:tcPr>
          <w:p>
            <w:pPr>
              <w:ind w:left="120"/>
              <w:spacing w:after="0"/>
              <w:rPr>
                <w:sz w:val="20"/>
                <w:szCs w:val="20"/>
                <w:color w:val="auto"/>
              </w:rPr>
            </w:pPr>
            <w:r>
              <w:rPr>
                <w:rFonts w:ascii="Arial" w:cs="Arial" w:eastAsia="Arial" w:hAnsi="Arial"/>
                <w:sz w:val="14"/>
                <w:szCs w:val="14"/>
                <w:color w:val="auto"/>
              </w:rPr>
              <w:t>Water Contracts (Dudley-Ridge, Nickel and Tulare)</w:t>
            </w:r>
          </w:p>
        </w:tc>
        <w:tc>
          <w:tcPr>
            <w:tcW w:w="2520" w:type="dxa"/>
            <w:vAlign w:val="bottom"/>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10,137</w:t>
            </w:r>
          </w:p>
        </w:tc>
      </w:tr>
      <w:tr>
        <w:trPr>
          <w:trHeight w:val="18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15,547</w:t>
            </w:r>
          </w:p>
        </w:tc>
      </w:tr>
      <w:tr>
        <w:trPr>
          <w:trHeight w:val="180"/>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r>
      <w:tr>
        <w:trPr>
          <w:trHeight w:val="171"/>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c>
          <w:tcPr>
            <w:tcW w:w="100" w:type="dxa"/>
            <w:vAlign w:val="bottom"/>
            <w:shd w:val="clear" w:color="auto" w:fill="CCEEFF"/>
          </w:tcPr>
          <w:p>
            <w:pPr>
              <w:spacing w:after="0"/>
              <w:rPr>
                <w:sz w:val="14"/>
                <w:szCs w:val="14"/>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31,433</w:t>
            </w:r>
          </w:p>
        </w:tc>
      </w:tr>
      <w:tr>
        <w:trPr>
          <w:trHeight w:val="171"/>
        </w:trPr>
        <w:tc>
          <w:tcPr>
            <w:tcW w:w="6240" w:type="dxa"/>
            <w:vAlign w:val="bottom"/>
          </w:tcPr>
          <w:p>
            <w:pPr>
              <w:ind w:left="20"/>
              <w:spacing w:after="0"/>
              <w:rPr>
                <w:sz w:val="20"/>
                <w:szCs w:val="20"/>
                <w:color w:val="auto"/>
              </w:rPr>
            </w:pPr>
            <w:r>
              <w:rPr>
                <w:rFonts w:ascii="Arial" w:cs="Arial" w:eastAsia="Arial" w:hAnsi="Arial"/>
                <w:sz w:val="14"/>
                <w:szCs w:val="14"/>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147,510</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148,474</w:t>
            </w:r>
          </w:p>
        </w:tc>
      </w:tr>
      <w:tr>
        <w:trPr>
          <w:trHeight w:val="20"/>
        </w:trPr>
        <w:tc>
          <w:tcPr>
            <w:tcW w:w="62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2021 is $1,188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6.   ACCRUED LIABILITIES AND OTHER</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gridSpan w:val="2"/>
          </w:tcPr>
          <w:p>
            <w:pPr>
              <w:spacing w:after="0"/>
              <w:rPr>
                <w:sz w:val="20"/>
                <w:szCs w:val="20"/>
                <w:color w:val="auto"/>
              </w:rPr>
            </w:pPr>
            <w:r>
              <w:rPr>
                <w:rFonts w:ascii="Arial" w:cs="Arial" w:eastAsia="Arial" w:hAnsi="Arial"/>
                <w:sz w:val="14"/>
                <w:szCs w:val="14"/>
                <w:color w:val="auto"/>
              </w:rPr>
              <w:t>Accrued liabilities and other consisted of the following:</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March 31, 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vacation</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Accrued paid personal leave</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bonus</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line="181" w:lineRule="exact"/>
              <w:rPr>
                <w:sz w:val="20"/>
                <w:szCs w:val="20"/>
                <w:color w:val="auto"/>
              </w:rPr>
            </w:pPr>
            <w:r>
              <w:rPr>
                <w:rFonts w:ascii="Arial" w:cs="Arial" w:eastAsia="Arial" w:hAnsi="Arial"/>
                <w:sz w:val="14"/>
                <w:szCs w:val="14"/>
                <w:color w:val="auto"/>
              </w:rPr>
              <w:t>Property tax payable</w:t>
            </w:r>
            <w:r>
              <w:rPr>
                <w:rFonts w:ascii="Arial" w:cs="Arial" w:eastAsia="Arial" w:hAnsi="Arial"/>
                <w:sz w:val="18"/>
                <w:szCs w:val="18"/>
                <w:color w:val="auto"/>
                <w:vertAlign w:val="superscript"/>
              </w:rPr>
              <w:t>1</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1,074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California property taxes are accrued throughout the year and are paid every April and December.</w:t>
            </w: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7.   LINE OF CREDIT AND LONG-TERM DEBT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20" w:type="dxa"/>
            <w:vAlign w:val="bottom"/>
            <w:gridSpan w:val="2"/>
          </w:tcPr>
          <w:p>
            <w:pPr>
              <w:spacing w:after="0"/>
              <w:rPr>
                <w:sz w:val="20"/>
                <w:szCs w:val="20"/>
                <w:color w:val="auto"/>
              </w:rPr>
            </w:pPr>
            <w:r>
              <w:rPr>
                <w:rFonts w:ascii="Arial" w:cs="Arial" w:eastAsia="Arial" w:hAnsi="Arial"/>
                <w:sz w:val="14"/>
                <w:szCs w:val="14"/>
                <w:color w:val="auto"/>
              </w:rPr>
              <w:t>Debt consisted of the following:</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2"/>
          </w:tcPr>
          <w:p>
            <w:pPr>
              <w:ind w:left="300"/>
              <w:spacing w:after="0"/>
              <w:rPr>
                <w:sz w:val="20"/>
                <w:szCs w:val="20"/>
                <w:color w:val="auto"/>
              </w:rPr>
            </w:pPr>
            <w:r>
              <w:rPr>
                <w:rFonts w:ascii="Arial" w:cs="Arial" w:eastAsia="Arial" w:hAnsi="Arial"/>
                <w:sz w:val="14"/>
                <w:szCs w:val="14"/>
                <w:color w:val="auto"/>
              </w:rPr>
              <w:t>March 31, 2021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60" w:type="dxa"/>
            <w:vAlign w:val="bottom"/>
          </w:tcPr>
          <w:p>
            <w:pPr>
              <w:jc w:val="right"/>
              <w:ind w:right="52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420" w:type="dxa"/>
            <w:vAlign w:val="bottom"/>
            <w:tcBorders>
              <w:top w:val="single" w:sz="8" w:color="auto"/>
            </w:tcBorders>
            <w:gridSpan w:val="2"/>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56,012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Less: line-of-credit and current maturities of long-term debt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(4,338)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deferred loan costs</w:t>
            </w:r>
          </w:p>
        </w:tc>
        <w:tc>
          <w:tcPr>
            <w:tcW w:w="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420" w:type="dxa"/>
            <w:vAlign w:val="bottom"/>
            <w:tcBorders>
              <w:bottom w:val="single" w:sz="8" w:color="auto"/>
            </w:tcBorders>
            <w:gridSpan w:val="2"/>
          </w:tcPr>
          <w:p>
            <w:pPr>
              <w:jc w:val="right"/>
              <w:ind w:right="26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Please refer to the Capital Structure and Financial Condition section of Management's Discussion and Analysis of Financial Condition and Results of Operations for further discussion on the Company's Line of Credit and Long-Term Debt.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 w:name="page13"/>
    <w:bookmarkEnd w:id="12"/>
    <w:p>
      <w:pPr>
        <w:ind w:left="280" w:hanging="275"/>
        <w:spacing w:after="0"/>
        <w:tabs>
          <w:tab w:leader="none" w:pos="2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OTHER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consist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Pr>
          <w:p>
            <w:pPr>
              <w:spacing w:after="0"/>
              <w:rPr>
                <w:sz w:val="15"/>
                <w:szCs w:val="15"/>
                <w:color w:val="auto"/>
              </w:rPr>
            </w:pPr>
          </w:p>
        </w:tc>
        <w:tc>
          <w:tcPr>
            <w:tcW w:w="2000" w:type="dxa"/>
            <w:vAlign w:val="bottom"/>
            <w:gridSpan w:val="2"/>
          </w:tcPr>
          <w:p>
            <w:pPr>
              <w:ind w:left="300"/>
              <w:spacing w:after="0"/>
              <w:rPr>
                <w:sz w:val="20"/>
                <w:szCs w:val="20"/>
                <w:color w:val="auto"/>
              </w:rPr>
            </w:pPr>
            <w:r>
              <w:rPr>
                <w:rFonts w:ascii="Arial" w:cs="Arial" w:eastAsia="Arial" w:hAnsi="Arial"/>
                <w:sz w:val="14"/>
                <w:szCs w:val="14"/>
                <w:color w:val="auto"/>
              </w:rPr>
              <w:t>March 31, 2021</w:t>
            </w:r>
          </w:p>
        </w:tc>
        <w:tc>
          <w:tcPr>
            <w:tcW w:w="340" w:type="dxa"/>
            <w:vAlign w:val="bottom"/>
          </w:tcPr>
          <w:p>
            <w:pPr>
              <w:spacing w:after="0"/>
              <w:rPr>
                <w:sz w:val="15"/>
                <w:szCs w:val="15"/>
                <w:color w:val="auto"/>
              </w:rPr>
            </w:pPr>
          </w:p>
        </w:tc>
        <w:tc>
          <w:tcPr>
            <w:tcW w:w="1960" w:type="dxa"/>
            <w:vAlign w:val="bottom"/>
          </w:tcPr>
          <w:p>
            <w:pPr>
              <w:jc w:val="right"/>
              <w:ind w:right="529"/>
              <w:spacing w:after="0"/>
              <w:rPr>
                <w:sz w:val="20"/>
                <w:szCs w:val="20"/>
                <w:color w:val="auto"/>
              </w:rPr>
            </w:pPr>
            <w:r>
              <w:rPr>
                <w:rFonts w:ascii="Arial" w:cs="Arial" w:eastAsia="Arial" w:hAnsi="Arial"/>
                <w:sz w:val="14"/>
                <w:szCs w:val="14"/>
                <w:color w:val="auto"/>
              </w:rPr>
              <w:t>December 31, 2020</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liability (Note 13)</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r>
      <w:tr>
        <w:trPr>
          <w:trHeight w:val="180"/>
        </w:trPr>
        <w:tc>
          <w:tcPr>
            <w:tcW w:w="6540" w:type="dxa"/>
            <w:vAlign w:val="bottom"/>
          </w:tcPr>
          <w:p>
            <w:pPr>
              <w:ind w:left="20"/>
              <w:spacing w:after="0"/>
              <w:rPr>
                <w:sz w:val="20"/>
                <w:szCs w:val="20"/>
                <w:color w:val="auto"/>
              </w:rPr>
            </w:pPr>
            <w:r>
              <w:rPr>
                <w:rFonts w:ascii="Arial" w:cs="Arial" w:eastAsia="Arial" w:hAnsi="Arial"/>
                <w:sz w:val="14"/>
                <w:szCs w:val="14"/>
                <w:color w:val="auto"/>
              </w:rPr>
              <w:t>Interest rate swap liability (Note 10)</w:t>
            </w: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3,726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5,929</w:t>
            </w:r>
          </w:p>
        </w:tc>
      </w:tr>
      <w:tr>
        <w:trPr>
          <w:trHeight w:val="18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executive retirement plan liability (Note 13)</w:t>
            </w:r>
          </w:p>
        </w:tc>
        <w:tc>
          <w:tcPr>
            <w:tcW w:w="4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8,419</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Excess joint venture distributions and other</w:t>
            </w: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 the captions presented in the table above, please refer to the respective Notes to Unaudited Consolidated Financial Statements for further detail.</w:t>
      </w:r>
    </w:p>
    <w:p>
      <w:pPr>
        <w:spacing w:after="0" w:line="132" w:lineRule="exact"/>
        <w:rPr>
          <w:sz w:val="20"/>
          <w:szCs w:val="20"/>
          <w:color w:val="auto"/>
        </w:rPr>
      </w:pPr>
    </w:p>
    <w:p>
      <w:pPr>
        <w:ind w:left="280" w:hanging="275"/>
        <w:spacing w:after="0"/>
        <w:tabs>
          <w:tab w:leader="none" w:pos="2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STOCK COMPENSATION - RESTRICTED STOCK AND PERFORMANCE SHARE GRANTS</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Company’s stock incentive plans provide for making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also known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3"/>
          <w:szCs w:val="13"/>
          <w:i w:val="1"/>
          <w:iCs w:val="1"/>
          <w:color w:val="auto"/>
        </w:rPr>
        <w:t>Monte Carlo</w:t>
      </w:r>
      <w:r>
        <w:rPr>
          <w:rFonts w:ascii="Arial" w:cs="Arial" w:eastAsia="Arial" w:hAnsi="Arial"/>
          <w:sz w:val="13"/>
          <w:szCs w:val="13"/>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Performance Condition Grants as of the three months ended March 31, 2021:</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060" w:type="dxa"/>
            <w:vAlign w:val="bottom"/>
            <w:tcBorders>
              <w:bottom w:val="single" w:sz="8" w:color="auto"/>
            </w:tcBorders>
          </w:tcPr>
          <w:p>
            <w:pPr>
              <w:spacing w:after="0"/>
              <w:rPr>
                <w:sz w:val="15"/>
                <w:szCs w:val="15"/>
                <w:color w:val="auto"/>
              </w:rPr>
            </w:pPr>
          </w:p>
        </w:tc>
        <w:tc>
          <w:tcPr>
            <w:tcW w:w="8180" w:type="dxa"/>
            <w:vAlign w:val="bottom"/>
            <w:tcBorders>
              <w:bottom w:val="single" w:sz="8" w:color="auto"/>
            </w:tcBorders>
          </w:tcPr>
          <w:p>
            <w:pPr>
              <w:jc w:val="right"/>
              <w:ind w:right="4669"/>
              <w:spacing w:after="0"/>
              <w:rPr>
                <w:sz w:val="20"/>
                <w:szCs w:val="20"/>
                <w:color w:val="auto"/>
              </w:rPr>
            </w:pPr>
            <w:r>
              <w:rPr>
                <w:rFonts w:ascii="Arial" w:cs="Arial" w:eastAsia="Arial" w:hAnsi="Arial"/>
                <w:sz w:val="14"/>
                <w:szCs w:val="14"/>
                <w:color w:val="auto"/>
              </w:rPr>
              <w:t>Performance Condition Grants</w:t>
            </w:r>
          </w:p>
        </w:tc>
      </w:tr>
      <w:tr>
        <w:trPr>
          <w:trHeight w:val="17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Threshold performance</w:t>
            </w:r>
          </w:p>
        </w:tc>
        <w:tc>
          <w:tcPr>
            <w:tcW w:w="8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32,282</w:t>
            </w:r>
          </w:p>
        </w:tc>
      </w:tr>
      <w:tr>
        <w:trPr>
          <w:trHeight w:val="180"/>
        </w:trPr>
        <w:tc>
          <w:tcPr>
            <w:tcW w:w="3060" w:type="dxa"/>
            <w:vAlign w:val="bottom"/>
          </w:tcPr>
          <w:p>
            <w:pPr>
              <w:ind w:left="20"/>
              <w:spacing w:after="0"/>
              <w:rPr>
                <w:sz w:val="20"/>
                <w:szCs w:val="20"/>
                <w:color w:val="auto"/>
              </w:rPr>
            </w:pPr>
            <w:r>
              <w:rPr>
                <w:rFonts w:ascii="Arial" w:cs="Arial" w:eastAsia="Arial" w:hAnsi="Arial"/>
                <w:sz w:val="14"/>
                <w:szCs w:val="14"/>
                <w:color w:val="auto"/>
              </w:rPr>
              <w:t>Target performance</w:t>
            </w:r>
          </w:p>
        </w:tc>
        <w:tc>
          <w:tcPr>
            <w:tcW w:w="8180" w:type="dxa"/>
            <w:vAlign w:val="bottom"/>
          </w:tcPr>
          <w:p>
            <w:pPr>
              <w:jc w:val="right"/>
              <w:spacing w:after="0"/>
              <w:rPr>
                <w:sz w:val="20"/>
                <w:szCs w:val="20"/>
                <w:color w:val="auto"/>
              </w:rPr>
            </w:pPr>
            <w:r>
              <w:rPr>
                <w:rFonts w:ascii="Arial" w:cs="Arial" w:eastAsia="Arial" w:hAnsi="Arial"/>
                <w:sz w:val="14"/>
                <w:szCs w:val="14"/>
                <w:color w:val="auto"/>
              </w:rPr>
              <w:t>515,919</w:t>
            </w:r>
          </w:p>
        </w:tc>
      </w:tr>
      <w:tr>
        <w:trPr>
          <w:trHeight w:val="18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performance</w:t>
            </w:r>
          </w:p>
        </w:tc>
        <w:tc>
          <w:tcPr>
            <w:tcW w:w="8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924,338</w:t>
            </w:r>
          </w:p>
        </w:tc>
      </w:tr>
    </w:tbl>
    <w:p>
      <w:pPr>
        <w:spacing w:after="0" w:line="117"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The following is a summary of the Company’s stock grant activity, both time and performance share grants, assuming target achievement for outstanding performance grants for the three months ended March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March 31,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Stock Grants Outstanding Beginning of Period at Target Achievement</w:t>
            </w:r>
          </w:p>
        </w:tc>
        <w:tc>
          <w:tcPr>
            <w:tcW w:w="390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New Stock Grants/Additional Shares due to Achievement in Excess of Target</w:t>
            </w:r>
          </w:p>
        </w:tc>
        <w:tc>
          <w:tcPr>
            <w:tcW w:w="6280" w:type="dxa"/>
            <w:vAlign w:val="bottom"/>
            <w:gridSpan w:val="2"/>
          </w:tcPr>
          <w:p>
            <w:pPr>
              <w:jc w:val="right"/>
              <w:spacing w:after="0"/>
              <w:rPr>
                <w:sz w:val="20"/>
                <w:szCs w:val="20"/>
                <w:color w:val="auto"/>
              </w:rPr>
            </w:pPr>
            <w:r>
              <w:rPr>
                <w:rFonts w:ascii="Arial" w:cs="Arial" w:eastAsia="Arial" w:hAnsi="Arial"/>
                <w:sz w:val="14"/>
                <w:szCs w:val="14"/>
                <w:color w:val="auto"/>
              </w:rPr>
              <w:t>50,379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Vested Grants</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(110,517)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Expired/Forfeited Grants</w:t>
            </w:r>
          </w:p>
        </w:tc>
        <w:tc>
          <w:tcPr>
            <w:tcW w:w="6280" w:type="dxa"/>
            <w:vAlign w:val="bottom"/>
            <w:gridSpan w:val="2"/>
          </w:tcPr>
          <w:p>
            <w:pPr>
              <w:jc w:val="right"/>
              <w:spacing w:after="0"/>
              <w:rPr>
                <w:sz w:val="20"/>
                <w:szCs w:val="20"/>
                <w:color w:val="auto"/>
              </w:rPr>
            </w:pPr>
            <w:r>
              <w:rPr>
                <w:rFonts w:ascii="Arial" w:cs="Arial" w:eastAsia="Arial" w:hAnsi="Arial"/>
                <w:sz w:val="14"/>
                <w:szCs w:val="14"/>
                <w:color w:val="auto"/>
              </w:rPr>
              <w:t>(23,956)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Grants Outstanding End of Period at Target Achievement</w:t>
            </w:r>
          </w:p>
        </w:tc>
        <w:tc>
          <w:tcPr>
            <w:tcW w:w="390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3109"/>
              <w:spacing w:after="0"/>
              <w:rPr>
                <w:sz w:val="20"/>
                <w:szCs w:val="20"/>
                <w:color w:val="auto"/>
              </w:rPr>
            </w:pPr>
            <w:r>
              <w:rPr>
                <w:rFonts w:ascii="Arial" w:cs="Arial" w:eastAsia="Arial" w:hAnsi="Arial"/>
                <w:sz w:val="14"/>
                <w:szCs w:val="14"/>
                <w:color w:val="auto"/>
              </w:rPr>
              <w:t>13</w:t>
            </w: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The following is a summary of the assumptions used to determine the price for the Company's market-based Performance Condition Grants for the three months ended March 31, 2021:</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 in thousands except for share prices)</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Grant date</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12/12/2019</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03/11/2020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12/11/2020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03/18/2021</w:t>
            </w: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Vesting end</w:t>
            </w: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12/31/2022</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12/31/2023</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03/18/2024</w:t>
            </w: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 price at target achievement</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$18.80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$16.36</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$17.07</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$20.02</w:t>
            </w:r>
          </w:p>
        </w:tc>
      </w:tr>
      <w:tr>
        <w:trPr>
          <w:trHeight w:val="212"/>
        </w:trPr>
        <w:tc>
          <w:tcPr>
            <w:tcW w:w="3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80"/>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17.28%</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18.21%</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29.25%</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30.30%</w:t>
            </w: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1.69%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0.58%</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0.33%</w:t>
            </w:r>
          </w:p>
        </w:tc>
      </w:tr>
      <w:tr>
        <w:trPr>
          <w:trHeight w:val="212"/>
        </w:trPr>
        <w:tc>
          <w:tcPr>
            <w:tcW w:w="3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3620" w:type="dxa"/>
            <w:vAlign w:val="bottom"/>
          </w:tcPr>
          <w:p>
            <w:pPr>
              <w:spacing w:after="0"/>
              <w:rPr>
                <w:sz w:val="20"/>
                <w:szCs w:val="20"/>
                <w:color w:val="auto"/>
              </w:rPr>
            </w:pPr>
            <w:r>
              <w:rPr>
                <w:rFonts w:ascii="Arial" w:cs="Arial" w:eastAsia="Arial" w:hAnsi="Arial"/>
                <w:sz w:val="14"/>
                <w:szCs w:val="14"/>
                <w:color w:val="auto"/>
              </w:rPr>
              <w:t>Simulated Monte Carlo share price</w:t>
            </w:r>
          </w:p>
        </w:tc>
        <w:tc>
          <w:tcPr>
            <w:tcW w:w="1840" w:type="dxa"/>
            <w:vAlign w:val="bottom"/>
          </w:tcPr>
          <w:p>
            <w:pPr>
              <w:jc w:val="center"/>
              <w:spacing w:after="0"/>
              <w:rPr>
                <w:sz w:val="20"/>
                <w:szCs w:val="20"/>
                <w:color w:val="auto"/>
              </w:rPr>
            </w:pPr>
            <w:r>
              <w:rPr>
                <w:rFonts w:ascii="Arial" w:cs="Arial" w:eastAsia="Arial" w:hAnsi="Arial"/>
                <w:sz w:val="14"/>
                <w:szCs w:val="14"/>
                <w:color w:val="auto"/>
                <w:w w:val="88"/>
              </w:rPr>
              <w:t>$11.95</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$5.87</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$15.59</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$18.82</w:t>
            </w:r>
          </w:p>
        </w:tc>
      </w:tr>
      <w:tr>
        <w:trPr>
          <w:trHeight w:val="181"/>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Shares granted</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6,327</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81,716</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3,628</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10,905</w:t>
            </w:r>
          </w:p>
        </w:tc>
      </w:tr>
      <w:tr>
        <w:trPr>
          <w:trHeight w:val="171"/>
        </w:trPr>
        <w:tc>
          <w:tcPr>
            <w:tcW w:w="3620" w:type="dxa"/>
            <w:vAlign w:val="bottom"/>
          </w:tcPr>
          <w:p>
            <w:pPr>
              <w:spacing w:after="0"/>
              <w:rPr>
                <w:sz w:val="20"/>
                <w:szCs w:val="20"/>
                <w:color w:val="auto"/>
              </w:rPr>
            </w:pPr>
            <w:r>
              <w:rPr>
                <w:rFonts w:ascii="Arial" w:cs="Arial" w:eastAsia="Arial" w:hAnsi="Arial"/>
                <w:sz w:val="14"/>
                <w:szCs w:val="14"/>
                <w:color w:val="auto"/>
              </w:rPr>
              <w:t>Total fair value of award</w:t>
            </w:r>
          </w:p>
        </w:tc>
        <w:tc>
          <w:tcPr>
            <w:tcW w:w="1840" w:type="dxa"/>
            <w:vAlign w:val="bottom"/>
          </w:tcPr>
          <w:p>
            <w:pPr>
              <w:jc w:val="center"/>
              <w:spacing w:after="0"/>
              <w:rPr>
                <w:sz w:val="20"/>
                <w:szCs w:val="20"/>
                <w:color w:val="auto"/>
              </w:rPr>
            </w:pPr>
            <w:r>
              <w:rPr>
                <w:rFonts w:ascii="Arial" w:cs="Arial" w:eastAsia="Arial" w:hAnsi="Arial"/>
                <w:sz w:val="14"/>
                <w:szCs w:val="14"/>
                <w:color w:val="auto"/>
                <w:w w:val="85"/>
              </w:rPr>
              <w:t>$76</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9"/>
              </w:rPr>
              <w:t>$480</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5"/>
              </w:rPr>
              <w:t>$57</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9"/>
              </w:rPr>
              <w:t>$205</w:t>
            </w:r>
          </w:p>
        </w:tc>
      </w:tr>
    </w:tbl>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 unamortized cost associated with unvested stock grants and the weighted average period over which it is expected to be recognized as of March 31, 2021 were $6,667,000 and 20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0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compensation costs for the Company's 1998 Stock Incentive Plan, or the Employee Plan, and NDSI Plan for the following periods: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 in thousands)</w:t>
            </w:r>
          </w:p>
        </w:tc>
        <w:tc>
          <w:tcPr>
            <w:tcW w:w="4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1160" w:type="dxa"/>
            <w:vAlign w:val="bottom"/>
            <w:tcBorders>
              <w:bottom w:val="single" w:sz="8" w:color="auto"/>
            </w:tcBorders>
          </w:tcPr>
          <w:p>
            <w:pPr>
              <w:spacing w:after="0"/>
              <w:rPr>
                <w:sz w:val="15"/>
                <w:szCs w:val="15"/>
                <w:color w:val="auto"/>
              </w:rPr>
            </w:pPr>
          </w:p>
        </w:tc>
      </w:tr>
      <w:tr>
        <w:trPr>
          <w:trHeight w:val="17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Employee Plan:</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83"/>
              </w:rPr>
              <w:t>2020</w:t>
            </w:r>
          </w:p>
        </w:tc>
      </w:tr>
      <w:tr>
        <w:trPr>
          <w:trHeight w:val="171"/>
        </w:trPr>
        <w:tc>
          <w:tcPr>
            <w:tcW w:w="7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r>
      <w:tr>
        <w:trPr>
          <w:trHeight w:val="180"/>
        </w:trPr>
        <w:tc>
          <w:tcPr>
            <w:tcW w:w="7100" w:type="dxa"/>
            <w:vAlign w:val="bottom"/>
            <w:tcBorders>
              <w:bottom w:val="single" w:sz="8" w:color="CCEEFF"/>
            </w:tcBorders>
          </w:tcPr>
          <w:p>
            <w:pPr>
              <w:ind w:left="160"/>
              <w:spacing w:after="0" w:line="181" w:lineRule="exact"/>
              <w:rPr>
                <w:sz w:val="20"/>
                <w:szCs w:val="20"/>
                <w:color w:val="auto"/>
              </w:rPr>
            </w:pPr>
            <w:r>
              <w:rPr>
                <w:rFonts w:ascii="Arial" w:cs="Arial" w:eastAsia="Arial" w:hAnsi="Arial"/>
                <w:sz w:val="14"/>
                <w:szCs w:val="14"/>
                <w:color w:val="auto"/>
              </w:rPr>
              <w:t>Capitalized</w:t>
            </w:r>
            <w:r>
              <w:rPr>
                <w:rFonts w:ascii="Arial" w:cs="Arial" w:eastAsia="Arial" w:hAnsi="Arial"/>
                <w:sz w:val="18"/>
                <w:szCs w:val="18"/>
                <w:color w:val="auto"/>
                <w:vertAlign w:val="superscript"/>
              </w:rPr>
              <w:t>1</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r>
      <w:tr>
        <w:trPr>
          <w:trHeight w:val="171"/>
        </w:trPr>
        <w:tc>
          <w:tcPr>
            <w:tcW w:w="7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r>
      <w:tr>
        <w:trPr>
          <w:trHeight w:val="180"/>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NDSI Plan - Expensed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 Compensation Costs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0"/>
        <w:spacing w:after="0"/>
        <w:rPr>
          <w:sz w:val="20"/>
          <w:szCs w:val="20"/>
          <w:color w:val="auto"/>
        </w:rPr>
      </w:pPr>
      <w:r>
        <w:rPr>
          <w:rFonts w:ascii="Arial" w:cs="Arial" w:eastAsia="Arial" w:hAnsi="Arial"/>
          <w:sz w:val="7"/>
          <w:szCs w:val="7"/>
          <w:color w:val="auto"/>
        </w:rPr>
        <w:t>1</w:t>
      </w:r>
      <w:r>
        <w:rPr>
          <w:rFonts w:ascii="Arial" w:cs="Arial" w:eastAsia="Arial" w:hAnsi="Arial"/>
          <w:sz w:val="10"/>
          <w:szCs w:val="10"/>
          <w:color w:val="auto"/>
        </w:rPr>
        <w:t>For the quarter ended March 31, 2021, the Company had stock compensation forfeitures that were capitalized during a prior period, in excess of amounts capitalized during the current period, resulting in the net reversal presented above.</w:t>
      </w:r>
    </w:p>
    <w:p>
      <w:pPr>
        <w:spacing w:after="0" w:line="225" w:lineRule="exact"/>
        <w:rPr>
          <w:sz w:val="20"/>
          <w:szCs w:val="20"/>
          <w:color w:val="auto"/>
        </w:rPr>
      </w:pPr>
    </w:p>
    <w:p>
      <w:pPr>
        <w:ind w:left="360" w:hanging="355"/>
        <w:spacing w:after="0"/>
        <w:tabs>
          <w:tab w:leader="none" w:pos="3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INTEREST RATE SWAP</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October 2014, the Company entered into an interest rate swap agreement to reduce its exposure to fluctuations in the floating interest rate tied to LIBOR under the term note with Wells Fargo, or the Term Note, as discussed within the Capital Structure and Financial Condition section of Management's Discussion and Analysis of Financial Condition and Results of Operations.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4" w:name="page15"/>
    <w:bookmarkEnd w:id="14"/>
    <w:p>
      <w:pPr>
        <w:ind w:right="100"/>
        <w:spacing w:after="0" w:line="267" w:lineRule="auto"/>
        <w:rPr>
          <w:sz w:val="20"/>
          <w:szCs w:val="20"/>
          <w:color w:val="auto"/>
        </w:rPr>
      </w:pPr>
      <w:r>
        <w:rPr>
          <w:rFonts w:ascii="Arial" w:cs="Arial" w:eastAsia="Arial" w:hAnsi="Arial"/>
          <w:sz w:val="14"/>
          <w:szCs w:val="14"/>
          <w:color w:val="auto"/>
        </w:rPr>
        <w:t>During the quarter ended March 31, 2021, the interest rate swap agreement was deemed highly effective. Changes in fair value, including accrued interest and adjustments for non-performance risk, that qualify as cash flow hedges are classified in accumulated other comprehensive income, or AOCI. Amounts classified in AOCI are subsequently reclassified into earnings in the period during which the hedged transactions affect earnings.</w:t>
      </w:r>
    </w:p>
    <w:p>
      <w:pPr>
        <w:spacing w:after="0" w:line="36"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As of March 31, 2021,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March 31, 2021 and December 31, 2020 ($ in thousands):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March 31, 2021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1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w w:val="91"/>
              </w:rPr>
              <w:t>Effective Date</w:t>
            </w:r>
          </w:p>
        </w:tc>
        <w:tc>
          <w:tcPr>
            <w:tcW w:w="19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color w:val="auto"/>
                <w:w w:val="96"/>
              </w:rPr>
              <w:t>Maturity Date</w:t>
            </w:r>
          </w:p>
        </w:tc>
        <w:tc>
          <w:tcPr>
            <w:tcW w:w="16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2"/>
              </w:rPr>
              <w:t>Fair Value Hierarchy</w:t>
            </w:r>
          </w:p>
        </w:tc>
        <w:tc>
          <w:tcPr>
            <w:tcW w:w="20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color w:val="auto"/>
                <w:w w:val="89"/>
              </w:rPr>
              <w:t>Weighted Average Interest Pay</w:t>
            </w:r>
          </w:p>
        </w:tc>
        <w:tc>
          <w:tcPr>
            <w:tcW w:w="12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w w:val="90"/>
              </w:rPr>
              <w:t>Fair Value</w:t>
            </w:r>
          </w:p>
        </w:tc>
        <w:tc>
          <w:tcPr>
            <w:tcW w:w="2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Notional Amount</w:t>
            </w:r>
          </w:p>
        </w:tc>
        <w:tc>
          <w:tcPr>
            <w:tcW w:w="0" w:type="dxa"/>
            <w:vAlign w:val="bottom"/>
          </w:tcPr>
          <w:p>
            <w:pPr>
              <w:spacing w:after="0"/>
              <w:rPr>
                <w:sz w:val="1"/>
                <w:szCs w:val="1"/>
                <w:color w:val="auto"/>
              </w:rPr>
            </w:pPr>
          </w:p>
        </w:tc>
      </w:tr>
      <w:tr>
        <w:trPr>
          <w:trHeight w:val="180"/>
        </w:trPr>
        <w:tc>
          <w:tcPr>
            <w:tcW w:w="21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22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$(3,726)</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$53,881</w:t>
            </w:r>
          </w:p>
        </w:tc>
        <w:tc>
          <w:tcPr>
            <w:tcW w:w="0" w:type="dxa"/>
            <w:vAlign w:val="bottom"/>
          </w:tcPr>
          <w:p>
            <w:pPr>
              <w:spacing w:after="0"/>
              <w:rPr>
                <w:sz w:val="1"/>
                <w:szCs w:val="1"/>
                <w:color w:val="auto"/>
              </w:rPr>
            </w:pPr>
          </w:p>
        </w:tc>
      </w:tr>
      <w:tr>
        <w:trPr>
          <w:trHeight w:val="339"/>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color w:val="auto"/>
              </w:rPr>
              <w:t>December 31, 2020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Effective Date</w:t>
            </w: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6"/>
              </w:rPr>
              <w:t>Maturity Date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Fair Value Hierarchy</w:t>
            </w: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9"/>
              </w:rPr>
              <w:t>Weighted Average Interest Pay</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Fair Value</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w w:val="94"/>
              </w:rPr>
              <w:t>Notional Amount</w:t>
            </w:r>
          </w:p>
        </w:tc>
        <w:tc>
          <w:tcPr>
            <w:tcW w:w="0" w:type="dxa"/>
            <w:vAlign w:val="bottom"/>
          </w:tcPr>
          <w:p>
            <w:pPr>
              <w:spacing w:after="0"/>
              <w:rPr>
                <w:sz w:val="1"/>
                <w:szCs w:val="1"/>
                <w:color w:val="auto"/>
              </w:rPr>
            </w:pPr>
          </w:p>
        </w:tc>
      </w:tr>
      <w:tr>
        <w:trPr>
          <w:trHeight w:val="180"/>
        </w:trPr>
        <w:tc>
          <w:tcPr>
            <w:tcW w:w="21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22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$(5,929)</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$54,887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87"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each respective reporting period. However, the Company utilized a discrete effective tax rate method, as allowed by ASC 740-270 “Income Taxes—Interim Reporting,” to calculate taxes for this interim reporting period (the three months ended March 31, 2021). The Company made this choice because it determined that the historical method would not provide a reliable estimate for tax expense for the three months ended March 31, 2021 due to a high degree of uncertainty in estimating annual pretax earnings.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For the three months ended March 31, 2021, the Company's income tax expense was $21,000 compared to $512,000 for the three months ended March 31, 2020. Effective tax rates were</w:t>
      </w:r>
    </w:p>
    <w:p>
      <w:pPr>
        <w:spacing w:after="0" w:line="31"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-2% and -298% for the three months ended March 31, 2021 and 2020, respectively. As of March 31, 2021, the Company had income tax receivables of $1,148,000. The Company classifies interest and penalties incurred on tax payments as income tax expense.</w:t>
      </w:r>
    </w:p>
    <w:p>
      <w:pPr>
        <w:spacing w:after="0" w:line="47"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For the three months ended March 31, 2021 and the year ended in 2020, the Company recognized income tax expense primarily as a result of permanent differences related to Section 162(m) limitations and discrete tax expense associated with stock compensation. The Section 162(m) compensation deduction limitations occurred as a result of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100" w:lineRule="exact"/>
        <w:rPr>
          <w:sz w:val="20"/>
          <w:szCs w:val="20"/>
          <w:color w:val="auto"/>
        </w:rPr>
      </w:pPr>
    </w:p>
    <w:p>
      <w:pPr>
        <w:ind w:right="8200" w:firstLine="5"/>
        <w:spacing w:after="0" w:line="358" w:lineRule="auto"/>
        <w:tabs>
          <w:tab w:leader="none" w:pos="354"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Water Contracts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Company has secured water contracts that are encumbered by the Company's land, these water contracts require minimum annual payments, for which $10,194,000 is expected to be paid in total for 2021. As of March 31, 2021, the Company has paid $7,029,000 for its water contracts.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$269,117,000 as of March 31, 2021.</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Conservancy Payments</w:t>
      </w:r>
    </w:p>
    <w:p>
      <w:pPr>
        <w:spacing w:after="0" w:line="8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Company is obligated to make payments of approximately $800,000 per year through 2021 to the Tejon Ranch Conservancy, as prescribed in the 2008 Conservation Agreement with five major environmental organizations. Advances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Tejon Ranch Conservancy are dependent on the occurrence of certain events and their timing and are therefore subject to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change in amount and period. All amounts paid are capitalized as real estate development costs for the Centennial, Grapevine and Mountain Village, or MV, projects.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auto"/>
        </w:rPr>
        <w:t>Contracts</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March 31, 2021, the net savings resulting from exiting the contract during this future time period will more than offset the incentive payment costs.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Community Facilities Districts</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2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50"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March 31, 2021, there were no additional improvement funds remaining from the West CFD bonds. There are $15,783,000 of additional improvement funds remaining within the East CFD bonds for reimbursement of public infrastructure costs during future years. During fiscal 2021, the Company expects to pay approximately $2,473,000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was not required to recognize an obligation on March 31, 2021.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Tehachapi Uplands Multiple Species Habitat Conservation Plan Litigation</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51"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36"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has supported USFWS's efforts to vigorously defend this matter during this litigation.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6" w:name="page17"/>
    <w:bookmarkEnd w:id="16"/>
    <w:p>
      <w:pPr>
        <w:ind w:right="300"/>
        <w:spacing w:after="0" w:line="267" w:lineRule="auto"/>
        <w:rPr>
          <w:sz w:val="20"/>
          <w:szCs w:val="20"/>
          <w:color w:val="auto"/>
        </w:rPr>
      </w:pPr>
      <w:r>
        <w:rPr>
          <w:rFonts w:ascii="Arial" w:cs="Arial" w:eastAsia="Arial" w:hAnsi="Arial"/>
          <w:sz w:val="14"/>
          <w:szCs w:val="14"/>
          <w:color w:val="auto"/>
        </w:rPr>
        <w:t>In a December 18, 2019 ruling, the court ordered that the parties proceed to bring motions for summary judgment on the question of whether the USFWS correctly determined that the California condor is not a “Traditional Cultural Property” under the NHPA. In response to this order, both the TUMSCHP Plaintiffs and the USFWS and the Company filed cross-motions for summary judgment.</w:t>
      </w:r>
    </w:p>
    <w:p>
      <w:pPr>
        <w:spacing w:after="0" w:line="36"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On December 4, 2020, the court issued an order denying, in its entirety, the TUMSHCP Plaintiffs’ motions for summary judgment and granted, in their entirety, USFWS and the Company’s motions for summary judgment. On December 18, 2020, the Company brought a motion to recover attorneys’ fees and costs, as the prevailing party, against the TUMSCHP Plaintiffs.</w:t>
      </w:r>
    </w:p>
    <w:p>
      <w:pPr>
        <w:spacing w:after="0" w:line="1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On February 2, 2021, the court denied the fee motion. Following the court’s ruling on the fee motion, on February 2, 2021, Plaintiffs notified the court of their intent to appeal the court’s ruling on their claims. On April 2, 2021, the Ninth Circuit Court of Appeal issued a revised briefing schedule that requires opening and responsory briefs to be filed in May and June 2021. The appeal will be heard by the court following briefing, and the court will rule following the hearing.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2021, the Company believes the TUMSHCP Suit does not impede its ability to start or complete the development of MV.</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National Cement</w:t>
      </w:r>
    </w:p>
    <w:p>
      <w:pPr>
        <w:spacing w:after="0" w:line="83"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former tenant Lafarge Corporation, or Lafarge, and current tenant National, continue to remediate these environmental conditions consistent with the RWQCB orders.</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As of March 31, 2021, 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Antelope Valley Groundwater Cases</w:t>
      </w:r>
    </w:p>
    <w:p>
      <w:pPr>
        <w:spacing w:after="0" w:line="83"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the Company,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(Willis), Phelan Pinon Hills Community Services District (Phelan), and Charles Tapia (Tapia) filed notices of appeal from the Judgment (collectively, the Phelan Appeal). The Phelan Appeal was transferred from the Count of Appeal, Fourth Appellate District of California to the Court of Appeal, Fifth Appellate District of California, or the Fifth District Court of Appeal.</w:t>
      </w:r>
    </w:p>
    <w:p>
      <w:pPr>
        <w:spacing w:after="0" w:line="3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On December 9, 2020, the Fifth District Court of Appeal affirmed the Judgment as to the Phelan appeal, and the decision became final in January 2021. On March 16, 2021, the Fifth District Court of Appeal issued two decisions affirming the Judgment as to both Willis and Tapia. The Tapia decision will become final within about 70 days from the date of issuance absent a petition to the California Supreme Court. Willis filed a Petition for Rehearing which was denied April 6, 2021. Absent a petition to the California Supreme Court the Willis decision will come final on about June 7, 2021.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17" w:name="page18"/>
    <w:bookmarkEnd w:id="17"/>
    <w:p>
      <w:pPr>
        <w:ind w:right="160"/>
        <w:spacing w:after="0" w:line="281" w:lineRule="auto"/>
        <w:rPr>
          <w:sz w:val="20"/>
          <w:szCs w:val="20"/>
          <w:color w:val="auto"/>
        </w:rPr>
      </w:pPr>
      <w:r>
        <w:rPr>
          <w:rFonts w:ascii="Arial" w:cs="Arial" w:eastAsia="Arial" w:hAnsi="Arial"/>
          <w:sz w:val="14"/>
          <w:szCs w:val="14"/>
          <w:color w:val="auto"/>
        </w:rPr>
        <w:t>Despite the ongoing Phelan Appeal, the parties, with assistance from the court, have established the Watermaster Board, hired the Watermaster Engineer and Watermaster Legal Counsel, and begun administering the physical solution consistent with the Judgment.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and Status of Kern Water Bank Lawsuits</w:t>
      </w:r>
    </w:p>
    <w:p>
      <w:pPr>
        <w:spacing w:after="0" w:line="8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5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40"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50" w:lineRule="exact"/>
        <w:rPr>
          <w:sz w:val="20"/>
          <w:szCs w:val="20"/>
          <w:color w:val="auto"/>
        </w:rPr>
      </w:pPr>
    </w:p>
    <w:p>
      <w:pPr>
        <w:ind w:right="80"/>
        <w:spacing w:after="0" w:line="319" w:lineRule="auto"/>
        <w:rPr>
          <w:sz w:val="20"/>
          <w:szCs w:val="20"/>
          <w:color w:val="auto"/>
        </w:rPr>
      </w:pPr>
      <w:r>
        <w:rPr>
          <w:rFonts w:ascii="Arial" w:cs="Arial" w:eastAsia="Arial" w:hAnsi="Arial"/>
          <w:sz w:val="12"/>
          <w:szCs w:val="12"/>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20"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2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2021, but there is a possibility that the court’s hearing and disposition of the pending appeals could be delayed by the closure of the courts in response to the COVID-19 pandemic. To the extent there may be an adverse outcome of the claims still pending as described above, the monetary value cannot be estimated at this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Grapevine</w:t>
      </w:r>
    </w:p>
    <w:p>
      <w:pPr>
        <w:spacing w:after="0" w:line="7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54"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36"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believed was compliant with the court’s February 15, 2019 final judgment in the 2017 Action. Concurrently, the County and the Company filed a Motion for Order Discharging Writ of Mandate, which requested that the court determine that the re-entitlement complied with the court’s February 15, 2019 final judgment in the 2017 Action (the Motion for Order to Discharge 2017 Writ of Mandate). A hearing was held on February 14, 2020 for this motion and is further summarized below.</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was named as real party in interest in the 2020 Action. The 2020 Action alleged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sought to invalidate the County’s approval of the re-entitlement, the environmental approvals for the re-entitlement and require the Company and the County to revise the environmental documentation. On January 22, 2020, the Company and County filed a demurrer and motion to strike the claims in the 2020 Action on the basis that the claims brought by CBD were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 and County’s motion to discharge the writ in the 2017 Action and their demurrer and motion to strike the claims in the 2020 Action, but the court further ruled that the Company and County could re-assert these arguments later once additional evidence was before the court.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9" w:name="page20"/>
    <w:bookmarkEnd w:id="19"/>
    <w:p>
      <w:pPr>
        <w:jc w:val="both"/>
        <w:ind w:right="100"/>
        <w:spacing w:after="0" w:line="297" w:lineRule="auto"/>
        <w:rPr>
          <w:sz w:val="20"/>
          <w:szCs w:val="20"/>
          <w:color w:val="auto"/>
        </w:rPr>
      </w:pPr>
      <w:r>
        <w:rPr>
          <w:rFonts w:ascii="Arial" w:cs="Arial" w:eastAsia="Arial" w:hAnsi="Arial"/>
          <w:sz w:val="13"/>
          <w:szCs w:val="13"/>
          <w:color w:val="auto"/>
        </w:rPr>
        <w:t>On January 22, 2021, the court conducted a hearing on the 2020 Action and the Motion for Order to Discharge the 2017 Writ of Mandate. At the January 22nd hearing, the court ruled in favor of the Company and the County on all issues: (1) granting the County’s Motion for Order to Discharge the 2017 Writ of Mandate and (2) rejecting each and every claim made by CBD in the 2020 Action. The court entered a final judgment reflecting its ruling in favor of the Company and the County on March 22, 2021. CBD may appeal the court’s decision prior to May 24, 2021.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Centennial</w:t>
      </w:r>
    </w:p>
    <w:p>
      <w:pPr>
        <w:spacing w:after="0" w:line="83"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42"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 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The hearing on this motion is scheduled for August 13, 2021. As of the date of this report, final judgement has not yet been issued by the court for either the CBD/CNPS or Climate Resolve actions. Once final judgements are entered, appellate litigation may follow.</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Conservancy</w:t>
      </w:r>
    </w:p>
    <w:p>
      <w:pPr>
        <w:spacing w:after="0" w:line="83"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On December 2, 2020, conservation groups filed an action against the Company in Kern County Superior Court, alleging that the Company breached its obligation under the Tejon Ranch Conservation and Land Use Agreement (or the “RWA”) by not making a payment for Q4 2020 to the Tejon Ranch Conservancy (or the “Conservancy”) – a non-profit organization created under the RWA to oversee conservation of portions of Tejon Ranch.</w:t>
      </w:r>
    </w:p>
    <w:p>
      <w:pPr>
        <w:spacing w:after="0" w:line="46"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Pursuant to the terms of the RWA, the Company deposited the Q4 2020 payment to the Conservancy into a third-party escrow account pending a determination of the Company’s disputes with the Conservancy. The Company also deposited the payment for Q1 2021 and Q2 2021 into escrow. On January 25, 2021 in response to an objection to the complaint by the Company, a First Amended Complaint was filed adding the Tejon Ranch Conservancy as a party to the action.</w:t>
      </w:r>
    </w:p>
    <w:p>
      <w:pPr>
        <w:spacing w:after="0" w:line="36" w:lineRule="exact"/>
        <w:rPr>
          <w:sz w:val="20"/>
          <w:szCs w:val="20"/>
          <w:color w:val="auto"/>
        </w:rPr>
      </w:pPr>
    </w:p>
    <w:p>
      <w:pPr>
        <w:ind w:right="320"/>
        <w:spacing w:after="0" w:line="262" w:lineRule="auto"/>
        <w:rPr>
          <w:sz w:val="20"/>
          <w:szCs w:val="20"/>
          <w:color w:val="auto"/>
        </w:rPr>
      </w:pPr>
      <w:r>
        <w:rPr>
          <w:rFonts w:ascii="Arial" w:cs="Arial" w:eastAsia="Arial" w:hAnsi="Arial"/>
          <w:sz w:val="14"/>
          <w:szCs w:val="14"/>
          <w:color w:val="auto"/>
        </w:rPr>
        <w:t>As of the date of this report, the Company believes it has performed all its obligations under the RWA and has withheld the escrowed payments based on its belief that the Conservancy and other signatories to the RWA have violated the terms of the RWA. The Company will vigorously defend the action and does not believe that the resolution of the action will result in a liability to the Company beyond the costs associated with defending the action and the Company’s escrow deposits which are included in the Company’s annual budgets and a possibility that the Company be required to pay plaintiffs' cost of suit.</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Proceedings Incidental to Business</w:t>
      </w:r>
    </w:p>
    <w:p>
      <w:pPr>
        <w:spacing w:after="0" w:line="83"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6"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4"/>
          <w:szCs w:val="14"/>
          <w:b w:val="1"/>
          <w:bCs w:val="1"/>
          <w:color w:val="auto"/>
        </w:rPr>
        <w:t>13.</w:t>
        <w:tab/>
        <w:t>RETIREMENT PLANS</w:t>
      </w:r>
    </w:p>
    <w:p>
      <w:pPr>
        <w:spacing w:after="0" w:line="8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2021.</w:t>
      </w:r>
    </w:p>
    <w:p>
      <w:pPr>
        <w:spacing w:after="0" w:line="40"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March 31, 2021, the investment mix was approximately 35% equity, 64% debt, and 1% money market funds. At December 31, 2020, the investment mix was approximately 65% equity, 34% debt, and 1% money market funds. Equity investments comprise of value, growth, large cap, small cap and international stock funds. Debt investments consist of U.S. Treasury securities and investment grade corporate debt. A weighted average discount rate of 2.5% was used in determining the net periodic pension cost for fiscal 2021 and 2020. The assumed expected long-term rate of return on plan assets is 7.3% for both fiscal 2021 and 2020. The long-term rate of return on Benefit Plan assets is based on the historical returns within the plan and expectations for future returns.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tcPr>
          <w:p>
            <w:pPr>
              <w:spacing w:after="0"/>
              <w:rPr>
                <w:sz w:val="20"/>
                <w:szCs w:val="20"/>
                <w:color w:val="auto"/>
              </w:rPr>
            </w:pPr>
            <w:r>
              <w:rPr>
                <w:rFonts w:ascii="Arial" w:cs="Arial" w:eastAsia="Arial" w:hAnsi="Arial"/>
                <w:sz w:val="14"/>
                <w:szCs w:val="14"/>
                <w:color w:val="auto"/>
              </w:rPr>
              <w:t>Total pension and retirement earnings for the Benefit Plan was as follows:</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76"/>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4"/>
          </w:tcPr>
          <w:p>
            <w:pPr>
              <w:jc w:val="right"/>
              <w:ind w:right="96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3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2020</w:t>
            </w:r>
          </w:p>
        </w:tc>
      </w:tr>
      <w:tr>
        <w:trPr>
          <w:trHeight w:val="161"/>
        </w:trPr>
        <w:tc>
          <w:tcPr>
            <w:tcW w:w="7380" w:type="dxa"/>
            <w:vAlign w:val="bottom"/>
          </w:tcPr>
          <w:p>
            <w:pPr>
              <w:ind w:left="20"/>
              <w:spacing w:after="0"/>
              <w:rPr>
                <w:sz w:val="20"/>
                <w:szCs w:val="20"/>
                <w:color w:val="auto"/>
              </w:rPr>
            </w:pPr>
            <w:r>
              <w:rPr>
                <w:rFonts w:ascii="Arial" w:cs="Arial" w:eastAsia="Arial" w:hAnsi="Arial"/>
                <w:sz w:val="14"/>
                <w:szCs w:val="14"/>
                <w:color w:val="auto"/>
              </w:rPr>
              <w:t>Earnings (cost)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1"/>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0"/>
        </w:trPr>
        <w:tc>
          <w:tcPr>
            <w:tcW w:w="7380" w:type="dxa"/>
            <w:vAlign w:val="bottom"/>
          </w:tcPr>
          <w:p>
            <w:pPr>
              <w:ind w:left="280"/>
              <w:spacing w:after="0"/>
              <w:rPr>
                <w:sz w:val="20"/>
                <w:szCs w:val="20"/>
                <w:color w:val="auto"/>
              </w:rPr>
            </w:pPr>
            <w:r>
              <w:rPr>
                <w:rFonts w:ascii="Arial" w:cs="Arial" w:eastAsia="Arial" w:hAnsi="Arial"/>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81"/>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1"/>
        </w:trPr>
        <w:tc>
          <w:tcPr>
            <w:tcW w:w="7380" w:type="dxa"/>
            <w:vAlign w:val="bottom"/>
          </w:tcPr>
          <w:p>
            <w:pPr>
              <w:ind w:left="20"/>
              <w:spacing w:after="0"/>
              <w:rPr>
                <w:sz w:val="20"/>
                <w:szCs w:val="20"/>
                <w:color w:val="auto"/>
              </w:rPr>
            </w:pPr>
            <w:r>
              <w:rPr>
                <w:rFonts w:ascii="Arial" w:cs="Arial" w:eastAsia="Arial" w:hAnsi="Arial"/>
                <w:sz w:val="14"/>
                <w:szCs w:val="14"/>
                <w:color w:val="auto"/>
              </w:rPr>
              <w:t>Total net periodic pension earnings</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20"/>
                <w:szCs w:val="20"/>
                <w:color w:val="auto"/>
              </w:rPr>
            </w:pPr>
            <w:r>
              <w:rPr>
                <w:rFonts w:ascii="Arial" w:cs="Arial" w:eastAsia="Arial" w:hAnsi="Arial"/>
                <w:sz w:val="14"/>
                <w:szCs w:val="14"/>
                <w:color w:val="auto"/>
              </w:rPr>
              <w:t>The pension and retirement expense for the SERP was as follows:</w:t>
            </w:r>
          </w:p>
        </w:tc>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4"/>
          </w:tcPr>
          <w:p>
            <w:pPr>
              <w:jc w:val="right"/>
              <w:ind w:right="96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1"/>
        </w:trPr>
        <w:tc>
          <w:tcPr>
            <w:tcW w:w="4660" w:type="dxa"/>
            <w:vAlign w:val="bottom"/>
          </w:tcPr>
          <w:p>
            <w:pPr>
              <w:ind w:left="20"/>
              <w:spacing w:after="0"/>
              <w:rPr>
                <w:sz w:val="20"/>
                <w:szCs w:val="20"/>
                <w:color w:val="auto"/>
              </w:rPr>
            </w:pPr>
            <w:r>
              <w:rPr>
                <w:rFonts w:ascii="Arial" w:cs="Arial" w:eastAsia="Arial" w:hAnsi="Arial"/>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periodic pension expense</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Arial" w:cs="Arial" w:eastAsia="Arial" w:hAnsi="Arial"/>
                <w:sz w:val="14"/>
                <w:szCs w:val="14"/>
                <w:color w:val="auto"/>
              </w:rPr>
              <w:t>21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4"/>
          <w:szCs w:val="14"/>
          <w:b w:val="1"/>
          <w:bCs w:val="1"/>
          <w:color w:val="auto"/>
        </w:rPr>
        <w:t>14.</w:t>
        <w:tab/>
        <w:t>REPORTING SEGMENTS AND RELATED INFORMATION</w:t>
      </w:r>
    </w:p>
    <w:p>
      <w:pPr>
        <w:spacing w:after="0" w:line="87"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Commercial/Industrial</w:t>
      </w:r>
    </w:p>
    <w:p>
      <w:pPr>
        <w:spacing w:after="0" w:line="83"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over unconsolidated joint ventures. The following table summarizes revenues, expenses and operating income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Commercial/industrial revenues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 in earnings of unconsolidated joint ventures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Commercial/industrial revenues and equity in earnings of unconsolidated joint ventures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Commercial/industrial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commercial/industrial and unconsolidated joint ventures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Resort/Residential</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$553,000 and $626,000 for the three months ended March 31, 2021 and 2020,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Mineral Resources</w:t>
      </w:r>
    </w:p>
    <w:p>
      <w:pPr>
        <w:spacing w:after="0" w:line="7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9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Mineral resources revenues</w:t>
            </w:r>
          </w:p>
        </w:tc>
        <w:tc>
          <w:tcPr>
            <w:tcW w:w="39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6,178</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Mineral resources expenses</w:t>
            </w:r>
          </w:p>
        </w:tc>
        <w:tc>
          <w:tcPr>
            <w:tcW w:w="3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mineral resources</w:t>
            </w:r>
          </w:p>
        </w:tc>
        <w:tc>
          <w:tcPr>
            <w:tcW w:w="3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069"/>
              <w:spacing w:after="0"/>
              <w:rPr>
                <w:sz w:val="20"/>
                <w:szCs w:val="20"/>
                <w:color w:val="auto"/>
              </w:rPr>
            </w:pPr>
            <w:r>
              <w:rPr>
                <w:rFonts w:ascii="Arial" w:cs="Arial" w:eastAsia="Arial" w:hAnsi="Arial"/>
                <w:sz w:val="14"/>
                <w:szCs w:val="14"/>
                <w:color w:val="auto"/>
              </w:rPr>
              <w:t>22</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9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Farming</w:t>
      </w:r>
    </w:p>
    <w:p>
      <w:pPr>
        <w:spacing w:after="0" w:line="72"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Farming revenues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r>
      <w:tr>
        <w:trPr>
          <w:trHeight w:val="180"/>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Farming expenses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farming</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Ranch Operations</w:t>
      </w:r>
    </w:p>
    <w:p>
      <w:pPr>
        <w:spacing w:after="0" w:line="72"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Ranch operations revenues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Ranch operations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ranch operations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INVESTMENT IN UNCONSOLIDATED AND CONSOLIDATED JOINT VENTURES</w:t>
      </w:r>
    </w:p>
    <w:p>
      <w:pPr>
        <w:spacing w:after="0" w:line="140"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2021 was $33,403,000. The unconsolidated joint ventures generated a $59,000 loss for the three months ended March 31, 2021. The unconsolidated joint ventures have not been consolidated as of March 31, 2021, because the Company does not control the investments. The Company’s current joint ventures are as follows:</w:t>
      </w:r>
    </w:p>
    <w:p>
      <w:pPr>
        <w:spacing w:after="0" w:line="103" w:lineRule="exact"/>
        <w:rPr>
          <w:sz w:val="20"/>
          <w:szCs w:val="20"/>
          <w:color w:val="auto"/>
        </w:rPr>
      </w:pPr>
    </w:p>
    <w:p>
      <w:pPr>
        <w:ind w:left="360" w:right="160" w:hanging="260"/>
        <w:spacing w:after="0" w:line="319" w:lineRule="auto"/>
        <w:tabs>
          <w:tab w:leader="none" w:pos="356" w:val="left"/>
        </w:tabs>
        <w:numPr>
          <w:ilvl w:val="0"/>
          <w:numId w:val="11"/>
        </w:numPr>
        <w:rPr>
          <w:rFonts w:ascii="Arial" w:cs="Arial" w:eastAsia="Arial" w:hAnsi="Arial"/>
          <w:sz w:val="12"/>
          <w:szCs w:val="12"/>
          <w:color w:val="auto"/>
        </w:rPr>
      </w:pPr>
      <w:r>
        <w:rPr>
          <w:rFonts w:ascii="Arial" w:cs="Arial" w:eastAsia="Arial" w:hAnsi="Arial"/>
          <w:sz w:val="12"/>
          <w:szCs w:val="12"/>
          <w:color w:val="auto"/>
        </w:rPr>
        <w:t>Petro Travel Plaza Holdings LLC – Petro Travel Plaza Holdings LLC,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$23,504,000 as of March 31, 2021.</w:t>
      </w:r>
    </w:p>
    <w:p>
      <w:pPr>
        <w:spacing w:after="0" w:line="72" w:lineRule="exact"/>
        <w:rPr>
          <w:rFonts w:ascii="Arial" w:cs="Arial" w:eastAsia="Arial" w:hAnsi="Arial"/>
          <w:sz w:val="12"/>
          <w:szCs w:val="12"/>
          <w:color w:val="auto"/>
        </w:rPr>
      </w:pPr>
    </w:p>
    <w:p>
      <w:pPr>
        <w:ind w:left="860" w:right="260" w:hanging="250"/>
        <w:spacing w:after="0" w:line="321" w:lineRule="auto"/>
        <w:tabs>
          <w:tab w:leader="none" w:pos="857" w:val="left"/>
        </w:tabs>
        <w:numPr>
          <w:ilvl w:val="2"/>
          <w:numId w:val="11"/>
        </w:numPr>
        <w:rPr>
          <w:rFonts w:ascii="Arial" w:cs="Arial" w:eastAsia="Arial" w:hAnsi="Arial"/>
          <w:sz w:val="13"/>
          <w:szCs w:val="13"/>
          <w:color w:val="auto"/>
        </w:rPr>
      </w:pPr>
      <w:r>
        <w:rPr>
          <w:rFonts w:ascii="Arial" w:cs="Arial" w:eastAsia="Arial" w:hAnsi="Arial"/>
          <w:sz w:val="13"/>
          <w:szCs w:val="13"/>
          <w:color w:val="auto"/>
        </w:rPr>
        <w:t>On April 17, 2020, the Company sold land and a building formerly leased to a tenant operating a fast food restaurant, to Petro. The Company received cash proceeds of $2,000,000 from Petro, and realized a gain of $1,331,000 under ASC 610-20, "Other Income – Gains and Losses from the Derecognition of Nonfinancial Assets."</w:t>
      </w:r>
    </w:p>
    <w:p>
      <w:pPr>
        <w:spacing w:after="0" w:line="66" w:lineRule="exact"/>
        <w:rPr>
          <w:rFonts w:ascii="Arial" w:cs="Arial" w:eastAsia="Arial" w:hAnsi="Arial"/>
          <w:sz w:val="13"/>
          <w:szCs w:val="13"/>
          <w:color w:val="auto"/>
        </w:rPr>
      </w:pPr>
    </w:p>
    <w:p>
      <w:pPr>
        <w:ind w:left="360" w:right="160" w:hanging="260"/>
        <w:spacing w:after="0" w:line="267" w:lineRule="auto"/>
        <w:tabs>
          <w:tab w:leader="none" w:pos="3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Majestic Realty Co. – Majestic Realty Co. (Majestic) is a privately-held developer and owner of master planned business parks throughout the United States. The Company has formed four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35" w:lineRule="exact"/>
        <w:rPr>
          <w:rFonts w:ascii="Arial" w:cs="Arial" w:eastAsia="Arial" w:hAnsi="Arial"/>
          <w:sz w:val="14"/>
          <w:szCs w:val="14"/>
          <w:color w:val="auto"/>
        </w:rPr>
      </w:pPr>
    </w:p>
    <w:p>
      <w:pPr>
        <w:ind w:left="760" w:right="40" w:hanging="246"/>
        <w:spacing w:after="0" w:line="331" w:lineRule="auto"/>
        <w:tabs>
          <w:tab w:leader="none" w:pos="757" w:val="left"/>
        </w:tabs>
        <w:numPr>
          <w:ilvl w:val="1"/>
          <w:numId w:val="11"/>
        </w:numPr>
        <w:rPr>
          <w:rFonts w:ascii="Arial" w:cs="Arial" w:eastAsia="Arial" w:hAnsi="Arial"/>
          <w:sz w:val="12"/>
          <w:szCs w:val="12"/>
          <w:color w:val="auto"/>
        </w:rPr>
      </w:pPr>
      <w:r>
        <w:rPr>
          <w:rFonts w:ascii="Arial" w:cs="Arial" w:eastAsia="Arial" w:hAnsi="Arial"/>
          <w:sz w:val="12"/>
          <w:szCs w:val="12"/>
          <w:color w:val="auto"/>
        </w:rPr>
        <w:t>On March 25, 2021, TRC-MRC4 LLC was formed to pursue the development, construction, leasing, and management of a 629,274 square foot industrial building located within TRCC-East. Construction of the building is schedule to begin in 2021 with completion targeted in 2022. The joint venture is in the process of securing a construction loan to finance the construction of the building. The Company has zero investment in the joint venture as of March 31, 2021 as no contributions by either partner have yet been made to the joint venture.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3" w:name="page24"/>
    <w:bookmarkEnd w:id="23"/>
    <w:p>
      <w:pPr>
        <w:ind w:left="755" w:hanging="246"/>
        <w:spacing w:after="0" w:line="258" w:lineRule="auto"/>
        <w:tabs>
          <w:tab w:leader="none" w:pos="752" w:val="left"/>
        </w:tabs>
        <w:numPr>
          <w:ilvl w:val="1"/>
          <w:numId w:val="12"/>
        </w:numPr>
        <w:rPr>
          <w:rFonts w:ascii="Arial" w:cs="Arial" w:eastAsia="Arial" w:hAnsi="Arial"/>
          <w:sz w:val="14"/>
          <w:szCs w:val="14"/>
          <w:color w:val="auto"/>
        </w:rPr>
      </w:pPr>
      <w:r>
        <w:rPr>
          <w:rFonts w:ascii="Arial" w:cs="Arial" w:eastAsia="Arial" w:hAnsi="Arial"/>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$35,785,000 as of March 31, 2021. On April 1, 2019, the Company contributed land with a fair value of $5,854,000 to TRC-MRC 3, LLC in accordance with the limited liability agreement. The Company's investment in this joint venture was $1,348,000 as of March 31, 2021.</w:t>
      </w:r>
    </w:p>
    <w:p>
      <w:pPr>
        <w:spacing w:after="0" w:line="65" w:lineRule="exact"/>
        <w:rPr>
          <w:rFonts w:ascii="Arial" w:cs="Arial" w:eastAsia="Arial" w:hAnsi="Arial"/>
          <w:sz w:val="14"/>
          <w:szCs w:val="14"/>
          <w:color w:val="auto"/>
        </w:rPr>
      </w:pPr>
    </w:p>
    <w:p>
      <w:pPr>
        <w:ind w:left="755" w:right="20" w:hanging="246"/>
        <w:spacing w:after="0" w:line="280" w:lineRule="auto"/>
        <w:tabs>
          <w:tab w:leader="none" w:pos="752"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$23,718,000 as of March 31, 2021. Since its inception, the Company has received excess distributions resulting in a deficit balance in its investment of $1,874,000.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2" w:lineRule="exact"/>
        <w:rPr>
          <w:rFonts w:ascii="Arial" w:cs="Arial" w:eastAsia="Arial" w:hAnsi="Arial"/>
          <w:sz w:val="13"/>
          <w:szCs w:val="13"/>
          <w:color w:val="auto"/>
        </w:rPr>
      </w:pPr>
    </w:p>
    <w:p>
      <w:pPr>
        <w:ind w:left="755" w:right="160" w:hanging="246"/>
        <w:spacing w:after="0" w:line="282" w:lineRule="auto"/>
        <w:tabs>
          <w:tab w:leader="none" w:pos="752"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September 2016, TRC-MRC 1, LLC was formed to develop and operate an approximately 480,480 square foot industrial building at TRCC-East that is 100% leased. Since its inception, the Company has received excess distributions resulting in a deficit balance in its investment of $1,251,000.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$23,841,000 was outstanding as of March 31, 2021.</w:t>
      </w:r>
    </w:p>
    <w:p>
      <w:pPr>
        <w:spacing w:after="0" w:line="49" w:lineRule="exact"/>
        <w:rPr>
          <w:rFonts w:ascii="Arial" w:cs="Arial" w:eastAsia="Arial" w:hAnsi="Arial"/>
          <w:sz w:val="13"/>
          <w:szCs w:val="13"/>
          <w:color w:val="auto"/>
        </w:rPr>
      </w:pPr>
    </w:p>
    <w:p>
      <w:pPr>
        <w:ind w:left="255" w:right="100" w:hanging="255"/>
        <w:spacing w:after="0" w:line="281" w:lineRule="auto"/>
        <w:tabs>
          <w:tab w:leader="none" w:pos="251" w:val="left"/>
        </w:tabs>
        <w:numPr>
          <w:ilvl w:val="0"/>
          <w:numId w:val="12"/>
        </w:numPr>
        <w:rPr>
          <w:rFonts w:ascii="Arial" w:cs="Arial" w:eastAsia="Arial" w:hAnsi="Arial"/>
          <w:sz w:val="14"/>
          <w:szCs w:val="14"/>
          <w:color w:val="auto"/>
        </w:rPr>
      </w:pPr>
      <w:r>
        <w:rPr>
          <w:rFonts w:ascii="Arial" w:cs="Arial" w:eastAsia="Arial" w:hAnsi="Arial"/>
          <w:sz w:val="14"/>
          <w:szCs w:val="14"/>
          <w:color w:val="auto"/>
        </w:rPr>
        <w:t>Rockefeller Joint Ventures – The Company has two active joint ventures with Rockefeller Group Development Corporation, or Rockefeller. At March 31, 2021, the Company’s combined equity investment balance in these two joint ventures was $8,551,000.</w:t>
      </w:r>
    </w:p>
    <w:p>
      <w:pPr>
        <w:spacing w:after="0" w:line="47" w:lineRule="exact"/>
        <w:rPr>
          <w:rFonts w:ascii="Arial" w:cs="Arial" w:eastAsia="Arial" w:hAnsi="Arial"/>
          <w:sz w:val="14"/>
          <w:szCs w:val="14"/>
          <w:color w:val="auto"/>
        </w:rPr>
      </w:pPr>
    </w:p>
    <w:p>
      <w:pPr>
        <w:ind w:left="755" w:right="160" w:hanging="246"/>
        <w:spacing w:after="0" w:line="267" w:lineRule="auto"/>
        <w:tabs>
          <w:tab w:leader="none" w:pos="752" w:val="left"/>
        </w:tabs>
        <w:numPr>
          <w:ilvl w:val="1"/>
          <w:numId w:val="12"/>
        </w:numPr>
        <w:rPr>
          <w:rFonts w:ascii="Arial" w:cs="Arial" w:eastAsia="Arial" w:hAnsi="Arial"/>
          <w:sz w:val="14"/>
          <w:szCs w:val="14"/>
          <w:color w:val="auto"/>
        </w:rPr>
      </w:pPr>
      <w:r>
        <w:rPr>
          <w:rFonts w:ascii="Arial" w:cs="Arial" w:eastAsia="Arial" w:hAnsi="Arial"/>
          <w:sz w:val="14"/>
          <w:szCs w:val="14"/>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w:t>
      </w:r>
    </w:p>
    <w:p>
      <w:pPr>
        <w:spacing w:after="0" w:line="56" w:lineRule="exact"/>
        <w:rPr>
          <w:rFonts w:ascii="Arial" w:cs="Arial" w:eastAsia="Arial" w:hAnsi="Arial"/>
          <w:sz w:val="14"/>
          <w:szCs w:val="14"/>
          <w:color w:val="auto"/>
        </w:rPr>
      </w:pPr>
    </w:p>
    <w:p>
      <w:pPr>
        <w:ind w:left="1275" w:right="260" w:hanging="257"/>
        <w:spacing w:after="0" w:line="321" w:lineRule="auto"/>
        <w:tabs>
          <w:tab w:leader="none" w:pos="1272" w:val="left"/>
        </w:tabs>
        <w:numPr>
          <w:ilvl w:val="2"/>
          <w:numId w:val="12"/>
        </w:numPr>
        <w:rPr>
          <w:rFonts w:ascii="Arial" w:cs="Arial" w:eastAsia="Arial" w:hAnsi="Arial"/>
          <w:sz w:val="13"/>
          <w:szCs w:val="13"/>
          <w:color w:val="auto"/>
        </w:rPr>
      </w:pPr>
      <w:r>
        <w:rPr>
          <w:rFonts w:ascii="Arial" w:cs="Arial" w:eastAsia="Arial" w:hAnsi="Arial"/>
          <w:sz w:val="13"/>
          <w:szCs w:val="13"/>
          <w:color w:val="auto"/>
        </w:rPr>
        <w:t>The 18-19 West LLC joint venture has a purchase option in place with the third-party to purchase lots 18 and 19 at a price of $13.8 million through the option period ending May 21, 2021. If the option is extended to November 21, 2021, the price increases to $15.2 million. The land option expires in the fourth quarter of 2021.</w:t>
      </w:r>
    </w:p>
    <w:p>
      <w:pPr>
        <w:spacing w:after="0" w:line="24" w:lineRule="exact"/>
        <w:rPr>
          <w:rFonts w:ascii="Arial" w:cs="Arial" w:eastAsia="Arial" w:hAnsi="Arial"/>
          <w:sz w:val="13"/>
          <w:szCs w:val="13"/>
          <w:color w:val="auto"/>
        </w:rPr>
      </w:pPr>
    </w:p>
    <w:p>
      <w:pPr>
        <w:ind w:left="755" w:right="100" w:hanging="246"/>
        <w:spacing w:after="0" w:line="257" w:lineRule="auto"/>
        <w:tabs>
          <w:tab w:leader="none" w:pos="75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TRCC/Rock Outlet Center LLC was formed during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March 31, 2021, the outstanding balance of the term note was $34,404,000. The Company and Rockefeller guarantee the performance of the debt.</w:t>
      </w:r>
    </w:p>
    <w:p>
      <w:pPr>
        <w:spacing w:after="0" w:line="200" w:lineRule="exact"/>
        <w:rPr>
          <w:sz w:val="20"/>
          <w:szCs w:val="20"/>
          <w:color w:val="auto"/>
        </w:rPr>
      </w:pPr>
    </w:p>
    <w:p>
      <w:pPr>
        <w:spacing w:after="0" w:line="299"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808" w:right="319" w:bottom="1440" w:gutter="0" w:footer="0" w:header="0"/>
        </w:sectPr>
      </w:pPr>
    </w:p>
    <w:bookmarkStart w:id="24" w:name="page25"/>
    <w:bookmarkEnd w:id="24"/>
    <w:p>
      <w:pPr>
        <w:ind w:left="260" w:right="20" w:hanging="255"/>
        <w:spacing w:after="0" w:line="260"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Centennial Founders, LLC – Centennial Founders, LLC,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In 2016 and 2018, Lewis Investment Company and CalAtlantic left the joint venture. The Company's remaining partner, TRI Pointe Homes, retained a noncontrolling interest in the joint venture. As of March 31, 2021, the Company owned 92.87% of CFL.</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2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Unaudited condensed statement of operations for the three months ended March 31, 2021 and condensed balance sheet information of the Company’s unconsolidated joint ventures as of March 31, 2021 and December 31, 2020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right"/>
              <w:ind w:right="309"/>
              <w:spacing w:after="0"/>
              <w:rPr>
                <w:sz w:val="20"/>
                <w:szCs w:val="20"/>
                <w:color w:val="auto"/>
              </w:rPr>
            </w:pPr>
            <w:r>
              <w:rPr>
                <w:rFonts w:ascii="Arial" w:cs="Arial" w:eastAsia="Arial" w:hAnsi="Arial"/>
                <w:sz w:val="14"/>
                <w:szCs w:val="14"/>
                <w:b w:val="1"/>
                <w:bCs w:val="1"/>
                <w:color w:val="auto"/>
              </w:rPr>
              <w:t>Joint Venture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489"/>
              <w:spacing w:after="0"/>
              <w:rPr>
                <w:sz w:val="20"/>
                <w:szCs w:val="20"/>
                <w:color w:val="auto"/>
              </w:rPr>
            </w:pPr>
            <w:r>
              <w:rPr>
                <w:rFonts w:ascii="Arial" w:cs="Arial" w:eastAsia="Arial" w:hAnsi="Arial"/>
                <w:sz w:val="14"/>
                <w:szCs w:val="14"/>
                <w:b w:val="1"/>
                <w:bCs w:val="1"/>
                <w:color w:val="auto"/>
              </w:rPr>
              <w:t>TRC</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4"/>
                <w:szCs w:val="14"/>
                <w:b w:val="1"/>
                <w:bCs w:val="1"/>
                <w:color w:val="auto"/>
              </w:rPr>
              <w:t>Revenues</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Earnings (Loss)</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209"/>
              <w:spacing w:after="0"/>
              <w:rPr>
                <w:sz w:val="20"/>
                <w:szCs w:val="20"/>
                <w:color w:val="auto"/>
              </w:rPr>
            </w:pPr>
            <w:r>
              <w:rPr>
                <w:rFonts w:ascii="Arial" w:cs="Arial" w:eastAsia="Arial" w:hAnsi="Arial"/>
                <w:sz w:val="14"/>
                <w:szCs w:val="14"/>
                <w:b w:val="1"/>
                <w:bCs w:val="1"/>
                <w:color w:val="auto"/>
                <w:w w:val="91"/>
              </w:rPr>
              <w:t>Equity in Earnings (Loss)</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Petro Travel Plaza Holdings, LLC</w:t>
            </w: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23,821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23,213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Five West Parcel, LLC</w:t>
            </w:r>
          </w:p>
        </w:tc>
        <w:tc>
          <w:tcPr>
            <w:tcW w:w="7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18-19 West, LLC</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1" w:lineRule="exact"/>
              <w:rPr>
                <w:sz w:val="20"/>
                <w:szCs w:val="20"/>
                <w:color w:val="auto"/>
              </w:rPr>
            </w:pPr>
            <w:r>
              <w:rPr>
                <w:rFonts w:ascii="Arial" w:cs="Arial" w:eastAsia="Arial" w:hAnsi="Arial"/>
                <w:sz w:val="14"/>
                <w:szCs w:val="14"/>
                <w:color w:val="auto"/>
              </w:rPr>
              <w:t>TRCC/Rock Outlet Center, LLC</w:t>
            </w:r>
            <w:r>
              <w:rPr>
                <w:rFonts w:ascii="Arial" w:cs="Arial" w:eastAsia="Arial" w:hAnsi="Arial"/>
                <w:sz w:val="18"/>
                <w:szCs w:val="18"/>
                <w:color w:val="auto"/>
                <w:vertAlign w:val="superscript"/>
              </w:rPr>
              <w:t>1</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1,863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1, LLC</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TRC-MRC 2, LLC</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1,020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TRC-MRC 3, LLC</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1"/>
        </w:trPr>
        <w:tc>
          <w:tcPr>
            <w:tcW w:w="3600" w:type="dxa"/>
            <w:vAlign w:val="bottom"/>
          </w:tcPr>
          <w:p>
            <w:pPr>
              <w:ind w:left="120"/>
              <w:spacing w:after="0"/>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27,931</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27,511</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4"/>
                <w:szCs w:val="14"/>
                <w:color w:val="auto"/>
              </w:rPr>
              <w:t>Centennial Founders, LLC</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360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89"/>
              <w:spacing w:after="0"/>
              <w:rPr>
                <w:sz w:val="20"/>
                <w:szCs w:val="20"/>
                <w:color w:val="auto"/>
              </w:rPr>
            </w:pPr>
            <w:r>
              <w:rPr>
                <w:rFonts w:ascii="Arial" w:cs="Arial" w:eastAsia="Arial" w:hAnsi="Arial"/>
                <w:sz w:val="14"/>
                <w:szCs w:val="14"/>
                <w:color w:val="auto"/>
                <w:w w:val="90"/>
              </w:rPr>
              <w:t>Consolidated</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Revenues for TRCC/Rock Outlet Center are presented net of non-cash tenant allowance amortization of $0.3 million and $0.5 million as of March 31, 2021 and March 31, 2020, respectively.</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w w:val="89"/>
              </w:rPr>
              <w:t>Joint Venture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69"/>
              <w:spacing w:after="0"/>
              <w:rPr>
                <w:sz w:val="20"/>
                <w:szCs w:val="20"/>
                <w:color w:val="auto"/>
              </w:rPr>
            </w:pPr>
            <w:r>
              <w:rPr>
                <w:rFonts w:ascii="Arial" w:cs="Arial" w:eastAsia="Arial" w:hAnsi="Arial"/>
                <w:sz w:val="14"/>
                <w:szCs w:val="14"/>
                <w:b w:val="1"/>
                <w:bCs w:val="1"/>
                <w:color w:val="auto"/>
              </w:rPr>
              <w:t>TRC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Joint Venture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89"/>
              <w:spacing w:after="0"/>
              <w:rPr>
                <w:sz w:val="20"/>
                <w:szCs w:val="20"/>
                <w:color w:val="auto"/>
              </w:rPr>
            </w:pPr>
            <w:r>
              <w:rPr>
                <w:rFonts w:ascii="Arial" w:cs="Arial" w:eastAsia="Arial" w:hAnsi="Arial"/>
                <w:sz w:val="14"/>
                <w:szCs w:val="14"/>
                <w:b w:val="1"/>
                <w:bCs w:val="1"/>
                <w:color w:val="auto"/>
              </w:rPr>
              <w:t>TRC</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6"/>
                <w:szCs w:val="16"/>
                <w:color w:val="auto"/>
              </w:rPr>
            </w:pPr>
          </w:p>
        </w:tc>
        <w:tc>
          <w:tcPr>
            <w:tcW w:w="880" w:type="dxa"/>
            <w:vAlign w:val="bottom"/>
          </w:tcPr>
          <w:p>
            <w:pPr>
              <w:jc w:val="right"/>
              <w:ind w:right="289"/>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860" w:type="dxa"/>
            <w:vAlign w:val="bottom"/>
          </w:tcPr>
          <w:p>
            <w:pPr>
              <w:jc w:val="right"/>
              <w:ind w:right="309"/>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6"/>
                <w:szCs w:val="16"/>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6"/>
                <w:szCs w:val="16"/>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6"/>
                <w:szCs w:val="16"/>
                <w:color w:val="auto"/>
              </w:rPr>
            </w:pPr>
          </w:p>
        </w:tc>
        <w:tc>
          <w:tcPr>
            <w:tcW w:w="940" w:type="dxa"/>
            <w:vAlign w:val="bottom"/>
          </w:tcPr>
          <w:p>
            <w:pPr>
              <w:jc w:val="right"/>
              <w:ind w:right="289"/>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6"/>
                <w:szCs w:val="16"/>
                <w:color w:val="auto"/>
              </w:rPr>
            </w:pPr>
          </w:p>
        </w:tc>
        <w:tc>
          <w:tcPr>
            <w:tcW w:w="820" w:type="dxa"/>
            <w:vAlign w:val="bottom"/>
          </w:tcPr>
          <w:p>
            <w:pPr>
              <w:jc w:val="right"/>
              <w:ind w:right="249"/>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6"/>
                <w:szCs w:val="16"/>
                <w:color w:val="auto"/>
              </w:rPr>
            </w:pPr>
          </w:p>
        </w:tc>
        <w:tc>
          <w:tcPr>
            <w:tcW w:w="840" w:type="dxa"/>
            <w:vAlign w:val="bottom"/>
          </w:tcPr>
          <w:p>
            <w:pPr>
              <w:jc w:val="right"/>
              <w:ind w:right="2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Petro Travel Plaza Holdings, LLC</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78,697</w:t>
            </w:r>
          </w:p>
        </w:tc>
        <w:tc>
          <w:tcPr>
            <w:tcW w:w="2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(14,653)</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(15,291)</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59,597</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23,358</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Arial" w:cs="Arial" w:eastAsia="Arial" w:hAnsi="Arial"/>
                <w:sz w:val="14"/>
                <w:szCs w:val="14"/>
                <w:color w:val="auto"/>
              </w:rPr>
              <w:t>18-19 West, LLC</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4,704</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4,449</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4,483</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TRCC/Rock Outlet Center, LLC</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65,435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(34,404)</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29,608</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Arial" w:cs="Arial" w:eastAsia="Arial" w:hAnsi="Arial"/>
                <w:sz w:val="14"/>
                <w:szCs w:val="14"/>
                <w:color w:val="auto"/>
              </w:rPr>
              <w:t>TRC-MRC 1, LLC</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26,337</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(23,841)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1,956</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26,502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(23,985)</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TRC-MRC 2, LLC</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(7,741)</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TRC-MRC 3, LLC</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38,328</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(35,785)</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38,502</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(35,785)</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234,336</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(132,401)</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91,461</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(133,775)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86,005</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Centennial Founders, LLC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40" w:type="dxa"/>
            <w:vAlign w:val="bottom"/>
            <w:tcBorders>
              <w:bottom w:val="single" w:sz="8" w:color="CCEEFF"/>
            </w:tcBorders>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4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99,149</w:t>
            </w:r>
          </w:p>
        </w:tc>
        <w:tc>
          <w:tcPr>
            <w:tcW w:w="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98,926</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98,898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98,565</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80" w:hanging="250"/>
        <w:spacing w:after="0"/>
        <w:tabs>
          <w:tab w:leader="none" w:pos="2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Centennial Founders, LLC is consolidated within the Company's financial statements.</w:t>
      </w:r>
    </w:p>
    <w:p>
      <w:pPr>
        <w:spacing w:after="0" w:line="89" w:lineRule="exact"/>
        <w:rPr>
          <w:rFonts w:ascii="Arial" w:cs="Arial" w:eastAsia="Arial" w:hAnsi="Arial"/>
          <w:sz w:val="14"/>
          <w:szCs w:val="14"/>
          <w:color w:val="auto"/>
        </w:rPr>
      </w:pPr>
    </w:p>
    <w:p>
      <w:pPr>
        <w:ind w:left="320" w:hanging="315"/>
        <w:spacing w:after="0"/>
        <w:tabs>
          <w:tab w:leader="none" w:pos="3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87"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March 31, 2021, the Company paid $1,561,000 for these water contracts and related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6EBF"/>
        </w:rPr>
        <w:t>ITEM 2.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Forward-Looking Statements</w:t>
      </w:r>
    </w:p>
    <w:p>
      <w:pPr>
        <w:spacing w:after="0" w:line="51"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expected impact of COVID-19 on the Company, its customers and suppliers, and global economic conditions,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and our most recent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OVERVIEW</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Business Objectives and Strategies</w:t>
      </w:r>
    </w:p>
    <w:p>
      <w:pPr>
        <w:spacing w:after="0" w:line="87"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Mountain Village at Tejon Ranch, or MV, and have submitted the final tract maps to Kern County. Over the next few years, it is possible that we will be engaged in continuous litigation challenging and defending the entitlements of our Grapevine at Tejon Ranch, or Grapevine, and Centennial at Tejon Ranch, or Centennial, projects.</w:t>
      </w:r>
    </w:p>
    <w:p>
      <w:pPr>
        <w:spacing w:after="0" w:line="39" w:lineRule="exact"/>
        <w:rPr>
          <w:sz w:val="20"/>
          <w:szCs w:val="20"/>
          <w:color w:val="auto"/>
        </w:rPr>
      </w:pPr>
    </w:p>
    <w:p>
      <w:pPr>
        <w:jc w:val="both"/>
        <w:ind w:right="400"/>
        <w:spacing w:after="0" w:line="347" w:lineRule="auto"/>
        <w:rPr>
          <w:sz w:val="20"/>
          <w:szCs w:val="20"/>
          <w:color w:val="auto"/>
        </w:rPr>
      </w:pPr>
      <w:r>
        <w:rPr>
          <w:rFonts w:ascii="Arial" w:cs="Arial" w:eastAsia="Arial" w:hAnsi="Arial"/>
          <w:sz w:val="12"/>
          <w:szCs w:val="12"/>
          <w:color w:val="auto"/>
        </w:rPr>
        <w:t>We are currently engaged in construction, commercial sales and leasing at our fully operational commercial/industrial center, the Tejon Ranch Commerce Center, or TRCC. All these efforts are supported by diverse revenue streams generated from other operations, including commercial/industrial real estate, farming, mineral resources, ranch operations, and our various joint ventures.</w:t>
      </w:r>
    </w:p>
    <w:p>
      <w:pPr>
        <w:spacing w:after="0"/>
        <w:rPr>
          <w:sz w:val="20"/>
          <w:szCs w:val="20"/>
          <w:color w:val="auto"/>
        </w:rPr>
      </w:pPr>
      <w:r>
        <w:rPr>
          <w:rFonts w:ascii="Arial" w:cs="Arial" w:eastAsia="Arial" w:hAnsi="Arial"/>
          <w:sz w:val="14"/>
          <w:szCs w:val="14"/>
          <w:b w:val="1"/>
          <w:bCs w:val="1"/>
          <w:color w:val="006EBF"/>
        </w:rPr>
        <w:t>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We currently operate in five reporting segments: commercial/industrial real estate development; resort/residential real estate development; mineral resources; farming; and ranch operations.</w:t>
      </w:r>
    </w:p>
    <w:p>
      <w:pPr>
        <w:spacing w:after="0" w:line="95"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6" w:name="page27"/>
    <w:bookmarkEnd w:id="26"/>
    <w:p>
      <w:pPr>
        <w:ind w:right="40"/>
        <w:spacing w:after="0" w:line="297" w:lineRule="auto"/>
        <w:rPr>
          <w:sz w:val="20"/>
          <w:szCs w:val="20"/>
          <w:color w:val="auto"/>
        </w:rPr>
      </w:pPr>
      <w:r>
        <w:rPr>
          <w:rFonts w:ascii="Arial" w:cs="Arial" w:eastAsia="Arial" w:hAnsi="Arial"/>
          <w:sz w:val="13"/>
          <w:szCs w:val="13"/>
          <w:color w:val="auto"/>
        </w:rPr>
        <w:t>At the heart of the commercial/industrial real estate development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18"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On January 5, 2021, the Kern County Board of Supervisors approved two Conditional Use Permits (CUP) which will authorize development of multi-family apartment uses within the TRCC. The approved CUPs authorize the Company to develop up to a maximum of 495 multi-family residences, in thirteen apartment buildings, as well as approximately 6,500 square feet of community amenity space and 8,000 square feet of community retail on the ground floor of a portion of the residential buildings. The development would be located on an approximately 23-acre site located immediately north of the Outlets at Tejon. During 2021 the Company will devote the necessary resources to advance this new project at TRCC, providing the much-needed housing for the thousands of employees currently working at the various distribution centers, retailers, and fast-food restaurants at TRCC.</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16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joint venture with TravelCenters of America, or TA/Petro, owns and operates two travel and truck stop facilities, and also operates five separate gas stations with convenience stores and fast-food restaurants within TRCC-West and TRCC-East.</w:t>
      </w:r>
    </w:p>
    <w:p>
      <w:pPr>
        <w:spacing w:after="0" w:line="2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Two joint ventures with Rockefeller Development Group, or Rockefeller:</w:t>
      </w:r>
    </w:p>
    <w:p>
      <w:pPr>
        <w:spacing w:after="0" w:line="83" w:lineRule="exact"/>
        <w:rPr>
          <w:rFonts w:ascii="Arial" w:cs="Arial" w:eastAsia="Arial" w:hAnsi="Arial"/>
          <w:sz w:val="14"/>
          <w:szCs w:val="14"/>
          <w:color w:val="auto"/>
        </w:rPr>
      </w:pPr>
    </w:p>
    <w:p>
      <w:pPr>
        <w:ind w:left="1020" w:right="120" w:hanging="251"/>
        <w:spacing w:after="0" w:line="267" w:lineRule="auto"/>
        <w:tabs>
          <w:tab w:leader="none" w:pos="1017" w:val="left"/>
        </w:tabs>
        <w:numPr>
          <w:ilvl w:val="1"/>
          <w:numId w:val="15"/>
        </w:numPr>
        <w:rPr>
          <w:rFonts w:ascii="Arial" w:cs="Arial" w:eastAsia="Arial" w:hAnsi="Arial"/>
          <w:sz w:val="14"/>
          <w:szCs w:val="14"/>
          <w:color w:val="auto"/>
        </w:rPr>
      </w:pPr>
      <w:r>
        <w:rPr>
          <w:rFonts w:ascii="Arial" w:cs="Arial" w:eastAsia="Arial" w:hAnsi="Arial"/>
          <w:sz w:val="14"/>
          <w:szCs w:val="14"/>
          <w:color w:val="auto"/>
        </w:rPr>
        <w:t>18-19 West LLC owns 63.5 acres of land for future development within TRCC-West. In 2019, our 18-19 West LLC joint venture entered into a land purchase option with the same third-party who purchased the Five West building and land, to purchase lots 18 and 19 at a price of $13.8 million through the option period ending May 21, 2021. If the option is extended to November 21, 2021, the price increases to $15.2 million. The land option expires in the fourth quarter of 2021; and</w:t>
      </w:r>
    </w:p>
    <w:p>
      <w:pPr>
        <w:spacing w:after="0" w:line="46" w:lineRule="exact"/>
        <w:rPr>
          <w:rFonts w:ascii="Arial" w:cs="Arial" w:eastAsia="Arial" w:hAnsi="Arial"/>
          <w:sz w:val="14"/>
          <w:szCs w:val="14"/>
          <w:color w:val="auto"/>
        </w:rPr>
      </w:pPr>
    </w:p>
    <w:p>
      <w:pPr>
        <w:ind w:left="1020" w:hanging="251"/>
        <w:spacing w:after="0"/>
        <w:tabs>
          <w:tab w:leader="none" w:pos="10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TRCC/Rock Outlet Center LLC operates the Outlets at Tejon, a net leasable 326,000 square foot shopping experience in TRCC-East;</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Four joint ventures with Majestic Realty Co., or Majestic, to develop, manage, and operate industrial buildings within TRCC:</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TRC-MRC 1, LLC operates a 480,480 square foot industrial building in TRCC-East, which was completed during 2017 and is fully leased;</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TRC-MRC 2, LLC owns and operates a 651,909 square foot building in TRCC-West that is fully leased;</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TRC-MRC 3, LLC operates a 579,040 square foot industrial building in TRCC-East, which was completed during the fourth quarter of 2019 and is fully leased; and</w:t>
      </w:r>
    </w:p>
    <w:p>
      <w:pPr>
        <w:spacing w:after="0" w:line="83" w:lineRule="exact"/>
        <w:rPr>
          <w:rFonts w:ascii="Arial" w:cs="Arial" w:eastAsia="Arial" w:hAnsi="Arial"/>
          <w:sz w:val="14"/>
          <w:szCs w:val="14"/>
          <w:color w:val="auto"/>
        </w:rPr>
      </w:pPr>
    </w:p>
    <w:p>
      <w:pPr>
        <w:ind w:left="1020" w:right="600" w:hanging="251"/>
        <w:spacing w:after="0" w:line="281" w:lineRule="auto"/>
        <w:tabs>
          <w:tab w:leader="none" w:pos="1017" w:val="left"/>
        </w:tabs>
        <w:numPr>
          <w:ilvl w:val="1"/>
          <w:numId w:val="15"/>
        </w:numPr>
        <w:rPr>
          <w:rFonts w:ascii="Arial" w:cs="Arial" w:eastAsia="Arial" w:hAnsi="Arial"/>
          <w:sz w:val="14"/>
          <w:szCs w:val="14"/>
          <w:color w:val="auto"/>
        </w:rPr>
      </w:pPr>
      <w:r>
        <w:rPr>
          <w:rFonts w:ascii="Arial" w:cs="Arial" w:eastAsia="Arial" w:hAnsi="Arial"/>
          <w:sz w:val="14"/>
          <w:szCs w:val="14"/>
          <w:color w:val="auto"/>
        </w:rPr>
        <w:t>TRC-MRC 4, LLC was formed in 2021 to pursue the development, construction, leasing and management of a 629,274 square foot industrial building in TRCC-East. The construction of the building is scheduled to begin in 2021, with a target completion in 2022.</w:t>
      </w:r>
    </w:p>
    <w:p>
      <w:pPr>
        <w:spacing w:after="0" w:line="3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26" w:lineRule="exact"/>
        <w:rPr>
          <w:sz w:val="20"/>
          <w:szCs w:val="20"/>
          <w:color w:val="auto"/>
        </w:rPr>
      </w:pPr>
    </w:p>
    <w:p>
      <w:pPr>
        <w:ind w:left="520" w:right="180" w:hanging="260"/>
        <w:spacing w:after="0" w:line="319" w:lineRule="auto"/>
        <w:tabs>
          <w:tab w:leader="none" w:pos="516" w:val="left"/>
        </w:tabs>
        <w:numPr>
          <w:ilvl w:val="0"/>
          <w:numId w:val="16"/>
        </w:numPr>
        <w:rPr>
          <w:rFonts w:ascii="Arial" w:cs="Arial" w:eastAsia="Arial" w:hAnsi="Arial"/>
          <w:sz w:val="12"/>
          <w:szCs w:val="12"/>
          <w:color w:val="auto"/>
        </w:rPr>
      </w:pPr>
      <w:r>
        <w:rPr>
          <w:rFonts w:ascii="Arial" w:cs="Arial" w:eastAsia="Arial" w:hAnsi="Arial"/>
          <w:sz w:val="12"/>
          <w:szCs w:val="12"/>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 The Company is currently focusing on the completion of the final map for first phases of MV, consumer and market research studies and fine tuning of development business plans as well as defining the capital funding sources for this development.</w:t>
      </w:r>
    </w:p>
    <w:p>
      <w:pPr>
        <w:spacing w:after="0" w:line="19" w:lineRule="exact"/>
        <w:rPr>
          <w:rFonts w:ascii="Arial" w:cs="Arial" w:eastAsia="Arial" w:hAnsi="Arial"/>
          <w:sz w:val="12"/>
          <w:szCs w:val="12"/>
          <w:color w:val="auto"/>
        </w:rPr>
      </w:pPr>
    </w:p>
    <w:p>
      <w:pPr>
        <w:ind w:left="520" w:right="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had entitlements approved in December 2018 and received legislative approvals in April 2019 from the Los Angeles County Board of Supervisors;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27" w:name="page28"/>
    <w:bookmarkEnd w:id="27"/>
    <w:p>
      <w:pPr>
        <w:ind w:left="520" w:right="340" w:hanging="260"/>
        <w:spacing w:after="0" w:line="331" w:lineRule="auto"/>
        <w:tabs>
          <w:tab w:leader="none" w:pos="516" w:val="left"/>
        </w:tabs>
        <w:numPr>
          <w:ilvl w:val="0"/>
          <w:numId w:val="17"/>
        </w:numPr>
        <w:rPr>
          <w:rFonts w:ascii="Arial" w:cs="Arial" w:eastAsia="Arial" w:hAnsi="Arial"/>
          <w:sz w:val="12"/>
          <w:szCs w:val="12"/>
          <w:color w:val="auto"/>
        </w:rPr>
      </w:pPr>
      <w:r>
        <w:rPr>
          <w:rFonts w:ascii="Arial" w:cs="Arial" w:eastAsia="Arial" w:hAnsi="Arial"/>
          <w:sz w:val="12"/>
          <w:szCs w:val="12"/>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environmental impact report, or EIR, prepared in response to a court ruling and re-approved the development of Grapevine unanimously.</w:t>
      </w:r>
    </w:p>
    <w:p>
      <w:pPr>
        <w:spacing w:after="0" w:line="2" w:lineRule="exact"/>
        <w:rPr>
          <w:sz w:val="20"/>
          <w:szCs w:val="20"/>
          <w:color w:val="auto"/>
        </w:rPr>
      </w:pPr>
    </w:p>
    <w:p>
      <w:pPr>
        <w:ind w:right="720"/>
        <w:spacing w:after="0" w:line="281" w:lineRule="auto"/>
        <w:rPr>
          <w:sz w:val="20"/>
          <w:szCs w:val="20"/>
          <w:color w:val="auto"/>
        </w:rPr>
      </w:pPr>
      <w:r>
        <w:rPr>
          <w:rFonts w:ascii="Arial" w:cs="Arial" w:eastAsia="Arial" w:hAnsi="Arial"/>
          <w:sz w:val="14"/>
          <w:szCs w:val="14"/>
          <w:color w:val="auto"/>
        </w:rPr>
        <w:t>Please refer to our Annual Report on Form 10-K for the year ended December 31, 2020, for a more detailed description of our active developments within the resort/residential real estate development segment.</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Our mineral resources segment generates revenues from oil and gas royalty leases, rock and aggregate mining leases, a lease with National Cement Company of California Inc., and water sales.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farming segment produces revenues from the sale of wine grapes, almonds, and pistachios.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Lastly, the ranch operations segment consists of game management revenues and ancillary land uses such as grazing leases and filming.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The COVID-19 Pandemic</w:t>
      </w:r>
    </w:p>
    <w:p>
      <w:pPr>
        <w:spacing w:after="0" w:line="87"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Company operates solely in California, which continued its vaccine rollout in the first quarter of 2021 and opened up vaccinations to individuals who are 16 years old and older in April 2021. California is currently projected to fully reopen on June 15, if vaccine supply is sufficient for Californians aged 16 years and older who wish to be inoculated and if hospitalization rates are stable and low. We will continue to provide for the health and safety of our employees, customers, suppliers and others with whom we partner, while continuing our business operations in this unprecedented environment. Both farm and office employees are required to wear masks along with following other common-sense health measures.</w:t>
      </w:r>
    </w:p>
    <w:p>
      <w:pPr>
        <w:spacing w:after="0" w:line="25"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Kern and Los Angeles Counties are rated "Orange" under California’s rating system for the spread of COVID-19, as of the date of this report, representing moderate COVID-19 transmission risk under California's Blueprint for a Safer Economy, or Blueprint. Under such circumstances, our farming and mineral resources segments have operated and may continue to operate as normal while following common-sense health measures. Our retail outlets can now operate at full capacity, following guidelines provided by the Blueprint. Lastly, restaurants can resume indoor dining at 50% capacity, which led to the re-opening of the full-service restaurant at TRCC in April 2021.</w:t>
      </w:r>
    </w:p>
    <w:p>
      <w:pPr>
        <w:spacing w:after="0" w:line="50" w:lineRule="exact"/>
        <w:rPr>
          <w:sz w:val="20"/>
          <w:szCs w:val="20"/>
          <w:color w:val="auto"/>
        </w:rPr>
      </w:pPr>
    </w:p>
    <w:p>
      <w:pPr>
        <w:ind w:right="40"/>
        <w:spacing w:after="0" w:line="359" w:lineRule="auto"/>
        <w:rPr>
          <w:sz w:val="20"/>
          <w:szCs w:val="20"/>
          <w:color w:val="auto"/>
        </w:rPr>
      </w:pPr>
      <w:r>
        <w:rPr>
          <w:rFonts w:ascii="Arial" w:cs="Arial" w:eastAsia="Arial" w:hAnsi="Arial"/>
          <w:sz w:val="12"/>
          <w:szCs w:val="12"/>
          <w:color w:val="auto"/>
        </w:rPr>
        <w:t>Despite the current recovery phase, uncertainty remains over long-term vaccine efficacy, virus mutations, vaccine availability, California's ability to meet reopening guidelines, and continued vaccine adoption for the next phase of the pandemic. The long-term impact of such uncertainties on our business are currently unknown and may vary in scope and severity from the impacts to-date.</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actions taken by governments, other businesses, and individuals in response to the pandemic did have and will continue to have an impact our results of operations and overall financial performance. In 2020, we evaluated our operations for expense reductions and cash savings by renegotiating contracts and pricing with a significant portion of our vendors, and rightsizing our labor needs. We will continue to monitor and evaluate our needs for expense reduction throughout 2021.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Summary of First Quarter 2021 Performance</w:t>
      </w:r>
    </w:p>
    <w:p>
      <w:pPr>
        <w:spacing w:after="0" w:line="87"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For the first three months of 2021, we had a net loss attributable to common stockholders of $1,055,000 compared to a net loss of $682,000 during the first three months of 2020. The primary driver of this decrease was a $1,414,000 decrease in the equity in earnings of unconsolidated joint ventures. For the quarter, Petro Travel Plaza Holdings experienced significant declines in fuel margins resulting from higher fuel costs. Additionally, full-service restaurant margins within the Petro joint venture decreased due to ongoing closures during the period, driven by operating capacity limitations under the Blueprint. The decline in operating results from our joint ventures was offset by a $998,000 increase in mineral resources revenues, driven by increased water sales due, in part, to drier conditions statewide which led to a lower SWP allocation over the comparative period.</w:t>
      </w:r>
    </w:p>
    <w:p>
      <w:pPr>
        <w:spacing w:after="0" w:line="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006EBF"/>
        </w:rPr>
        <w:t>Critical Accounting Policies</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During the three months ended March 31, 2021, our critical accounting policies have not changed since the filing of our Annual Report on Form 10-K for the year ended December 31, 2020.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Results of Operations by Segment</w:t>
      </w:r>
    </w:p>
    <w:p>
      <w:pPr>
        <w:spacing w:after="0" w:line="8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b w:val="1"/>
                <w:bCs w:val="1"/>
                <w:color w:val="006EBF"/>
              </w:rPr>
              <w:t>Real Estate – Commercial/Industrial:</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5"/>
          </w:tcPr>
          <w:p>
            <w:pPr>
              <w:ind w:left="440"/>
              <w:spacing w:after="0"/>
              <w:rPr>
                <w:sz w:val="20"/>
                <w:szCs w:val="20"/>
                <w:color w:val="auto"/>
              </w:rPr>
            </w:pPr>
            <w:r>
              <w:rPr>
                <w:rFonts w:ascii="Arial" w:cs="Arial" w:eastAsia="Arial" w:hAnsi="Arial"/>
                <w:sz w:val="14"/>
                <w:szCs w:val="14"/>
                <w:color w:val="auto"/>
              </w:rPr>
              <w:t>Three Months Ended March 31,</w:t>
            </w:r>
          </w:p>
        </w:tc>
        <w:tc>
          <w:tcPr>
            <w:tcW w:w="440" w:type="dxa"/>
            <w:vAlign w:val="bottom"/>
          </w:tcPr>
          <w:p>
            <w:pPr>
              <w:spacing w:after="0"/>
              <w:rPr>
                <w:sz w:val="24"/>
                <w:szCs w:val="24"/>
                <w:color w:val="auto"/>
              </w:rPr>
            </w:pPr>
          </w:p>
        </w:tc>
        <w:tc>
          <w:tcPr>
            <w:tcW w:w="1860" w:type="dxa"/>
            <w:vAlign w:val="bottom"/>
            <w:gridSpan w:val="3"/>
          </w:tcPr>
          <w:p>
            <w:pPr>
              <w:ind w:left="1120"/>
              <w:spacing w:after="0"/>
              <w:rPr>
                <w:sz w:val="20"/>
                <w:szCs w:val="20"/>
                <w:color w:val="auto"/>
              </w:rPr>
            </w:pPr>
            <w:r>
              <w:rPr>
                <w:rFonts w:ascii="Arial" w:cs="Arial" w:eastAsia="Arial" w:hAnsi="Arial"/>
                <w:sz w:val="14"/>
                <w:szCs w:val="14"/>
                <w:color w:val="auto"/>
              </w:rPr>
              <w:t>Change</w:t>
            </w:r>
          </w:p>
        </w:tc>
        <w:tc>
          <w:tcPr>
            <w:tcW w:w="1240" w:type="dxa"/>
            <w:vAlign w:val="bottom"/>
          </w:tcPr>
          <w:p>
            <w:pPr>
              <w:spacing w:after="0"/>
              <w:rPr>
                <w:sz w:val="24"/>
                <w:szCs w:val="24"/>
                <w:color w:val="auto"/>
              </w:rPr>
            </w:pPr>
          </w:p>
        </w:tc>
      </w:tr>
      <w:tr>
        <w:trPr>
          <w:trHeight w:val="171"/>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r>
      <w:tr>
        <w:trPr>
          <w:trHeight w:val="161"/>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Commercial/industrial revenues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1"/>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TRCC Leasing</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TRCC management fees and reimbursements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0"/>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Commercial leases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1"/>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0"/>
        </w:trPr>
        <w:tc>
          <w:tcPr>
            <w:tcW w:w="4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Landscaping and other</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r>
      <w:tr>
        <w:trPr>
          <w:trHeight w:val="171"/>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commercial/industrial revenues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commercial/industrial expenses</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commercial/industrial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160" w:hanging="255"/>
        <w:spacing w:after="0" w:line="267"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revenues were $2,228,000 for the three months ended March 31, 2021, a decrease of $92,000, or 4%, from $2,320,000 for the three months ended March 31, 2020. The decrease is primarily attributed to lower spark spread revenues from the Company's Pastoria Energy Facility lease due to lower energy demand and reduced reimbursable costs for Company's management of the outlet center due to a reduction in personnel.</w:t>
      </w:r>
    </w:p>
    <w:p>
      <w:pPr>
        <w:spacing w:after="0" w:line="35" w:lineRule="exact"/>
        <w:rPr>
          <w:rFonts w:ascii="Arial" w:cs="Arial" w:eastAsia="Arial" w:hAnsi="Arial"/>
          <w:sz w:val="14"/>
          <w:szCs w:val="14"/>
          <w:color w:val="auto"/>
        </w:rPr>
      </w:pPr>
    </w:p>
    <w:p>
      <w:pPr>
        <w:ind w:left="260" w:right="260" w:hanging="255"/>
        <w:spacing w:after="0" w:line="267"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Commercial/industrial real estate development segment expenses were $1,552,000 for the three months ended March 31, 2021, a decrease of $379,000, or 20%, from $1,931,000 for the three months ended March 31, 2020. The decrease is attributed to lower payroll and stock compensation costs, net of capitalization, of $206,000 and reduced general and overhead allocations of $107,000 resulting from the Company's 2020 right-sizing initiatives.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9" w:name="page30"/>
    <w:bookmarkEnd w:id="29"/>
    <w:p>
      <w:pPr>
        <w:spacing w:after="0" w:line="258" w:lineRule="auto"/>
        <w:rPr>
          <w:sz w:val="20"/>
          <w:szCs w:val="20"/>
          <w:color w:val="auto"/>
        </w:rPr>
      </w:pPr>
      <w:r>
        <w:rPr>
          <w:rFonts w:ascii="Arial" w:cs="Arial" w:eastAsia="Arial" w:hAnsi="Arial"/>
          <w:sz w:val="14"/>
          <w:szCs w:val="14"/>
          <w:color w:val="auto"/>
        </w:rPr>
        <w:t>The logistics operators currently located within TRCC have demonstrated success in serving all of California and the western region of the United States, and the Company showcases their success in its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4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believe that the FTZ and EDIP, along with our ability to provide fully entitled, shovel-ready land parcels to support buildings of any size, including buildings one million square feet or larger, can provide us with a potential marketing advantage in the future.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by TRC-MRC 1 and TRC-MRC 3, and pending development by TRC-MRC 4.</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spacing w:after="0" w:line="40"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color w:val="auto"/>
        </w:rPr>
        <w:t>During the quarter ended March 31, 2021, vacancy rates in the Inland Empire decreased to a historical low of 1.9%, leading to an increase in lease rate of 1.3%, both setting new records. Demand for Inland Empire logistics space continues to be strong, as net absorption reached 10 million square feet. As lease rates increase in the Inland Empire, we may experience greater pricing advantages due to our lower land basis.</w:t>
      </w:r>
    </w:p>
    <w:p>
      <w:pPr>
        <w:spacing w:after="0" w:line="46"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During the quarter ended March 31, 2021, vacancy rates in the northern Los Angeles industrial market, which includes the San Fernando Valley and Santa Clarita Valley, decreased from 2.3% as of December 31, 2020 to 1.8%. Rents remain at an all-time high. Average asking rents increased by 9% over the prior quarter.</w:t>
      </w:r>
    </w:p>
    <w:p>
      <w:pPr>
        <w:spacing w:after="0" w:line="37"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future costs tied to specific absorption transactions in any given year.</w:t>
      </w:r>
    </w:p>
    <w:p>
      <w:pPr>
        <w:spacing w:after="0" w:line="3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50"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In March and July 2020, in response to the COVID-19 pandemic, California took actions to limit exposure to the virus through restrictions on non-essential businesses and services. Tenants began requesting various forms of rent relief beginning in March 2020 and throughout the rest of 2020. Although the requests ranged in scope, the most common request was for a full or partial rent deferment for three months. The Company agreed to defer rent for certain tenants at TRCC, with the requirement that all the deferred rent be fully repaid by 2021. The following table sets forth information regarding the cumulative minimum deferred rent and collected rent as of March 31, 2021.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 in thousands, except for impacted tenants)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Impacted</w:t>
            </w:r>
          </w:p>
        </w:tc>
        <w:tc>
          <w:tcPr>
            <w:tcW w:w="14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Cumulative Deferred Rent due to</w:t>
            </w:r>
          </w:p>
        </w:tc>
        <w:tc>
          <w:tcPr>
            <w:tcW w:w="18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Cumulative Deferred Rent</w:t>
            </w:r>
          </w:p>
        </w:tc>
        <w:tc>
          <w:tcPr>
            <w:tcW w:w="80" w:type="dxa"/>
            <w:vAlign w:val="bottom"/>
          </w:tcPr>
          <w:p>
            <w:pPr>
              <w:spacing w:after="0"/>
              <w:rPr>
                <w:sz w:val="14"/>
                <w:szCs w:val="14"/>
                <w:color w:val="auto"/>
              </w:rPr>
            </w:pPr>
          </w:p>
        </w:tc>
        <w:tc>
          <w:tcPr>
            <w:tcW w:w="2020" w:type="dxa"/>
            <w:vAlign w:val="bottom"/>
          </w:tcPr>
          <w:p>
            <w:pPr>
              <w:jc w:val="right"/>
              <w:ind w:right="9"/>
              <w:spacing w:after="0"/>
              <w:rPr>
                <w:sz w:val="20"/>
                <w:szCs w:val="20"/>
                <w:color w:val="auto"/>
              </w:rPr>
            </w:pPr>
            <w:r>
              <w:rPr>
                <w:rFonts w:ascii="Arial" w:cs="Arial" w:eastAsia="Arial" w:hAnsi="Arial"/>
                <w:sz w:val="14"/>
                <w:szCs w:val="14"/>
                <w:color w:val="auto"/>
                <w:w w:val="90"/>
              </w:rPr>
              <w:t>Deferred Rent to be Collected rest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Tenants</w:t>
            </w:r>
          </w:p>
        </w:tc>
        <w:tc>
          <w:tcPr>
            <w:tcW w:w="14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COVID-19</w:t>
            </w:r>
          </w:p>
        </w:tc>
        <w:tc>
          <w:tcPr>
            <w:tcW w:w="180" w:type="dxa"/>
            <w:vAlign w:val="bottom"/>
          </w:tcPr>
          <w:p>
            <w:pPr>
              <w:spacing w:after="0"/>
              <w:rPr>
                <w:sz w:val="15"/>
                <w:szCs w:val="15"/>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Collected</w:t>
            </w:r>
          </w:p>
        </w:tc>
        <w:tc>
          <w:tcPr>
            <w:tcW w:w="80" w:type="dxa"/>
            <w:vAlign w:val="bottom"/>
          </w:tcPr>
          <w:p>
            <w:pPr>
              <w:spacing w:after="0"/>
              <w:rPr>
                <w:sz w:val="15"/>
                <w:szCs w:val="15"/>
                <w:color w:val="auto"/>
              </w:rPr>
            </w:pPr>
          </w:p>
        </w:tc>
        <w:tc>
          <w:tcPr>
            <w:tcW w:w="2020" w:type="dxa"/>
            <w:vAlign w:val="bottom"/>
          </w:tcPr>
          <w:p>
            <w:pPr>
              <w:jc w:val="right"/>
              <w:ind w:right="749"/>
              <w:spacing w:after="0"/>
              <w:rPr>
                <w:sz w:val="20"/>
                <w:szCs w:val="20"/>
                <w:color w:val="auto"/>
              </w:rPr>
            </w:pPr>
            <w:r>
              <w:rPr>
                <w:rFonts w:ascii="Arial" w:cs="Arial" w:eastAsia="Arial" w:hAnsi="Arial"/>
                <w:sz w:val="14"/>
                <w:szCs w:val="14"/>
                <w:color w:val="auto"/>
              </w:rPr>
              <w:t>of 2021</w:t>
            </w:r>
          </w:p>
        </w:tc>
        <w:tc>
          <w:tcPr>
            <w:tcW w:w="0" w:type="dxa"/>
            <w:vAlign w:val="bottom"/>
          </w:tcPr>
          <w:p>
            <w:pPr>
              <w:spacing w:after="0"/>
              <w:rPr>
                <w:sz w:val="1"/>
                <w:szCs w:val="1"/>
                <w:color w:val="auto"/>
              </w:rPr>
            </w:pPr>
          </w:p>
        </w:tc>
      </w:tr>
      <w:tr>
        <w:trPr>
          <w:trHeight w:val="171"/>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TRCC Leasing</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Commercial Leases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Real Estate – Resort/Residential:</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We are in the preliminary stages of property development for this segment; hence, no revenues or profits are attributed to this segment.</w:t>
      </w:r>
    </w:p>
    <w:p>
      <w:pPr>
        <w:spacing w:after="0" w:line="83" w:lineRule="exact"/>
        <w:rPr>
          <w:sz w:val="20"/>
          <w:szCs w:val="20"/>
          <w:color w:val="auto"/>
        </w:rPr>
      </w:pPr>
    </w:p>
    <w:p>
      <w:pPr>
        <w:jc w:val="both"/>
        <w:ind w:right="240"/>
        <w:spacing w:after="0" w:line="321" w:lineRule="auto"/>
        <w:rPr>
          <w:sz w:val="20"/>
          <w:szCs w:val="20"/>
          <w:color w:val="auto"/>
        </w:rPr>
      </w:pPr>
      <w:r>
        <w:rPr>
          <w:rFonts w:ascii="Arial" w:cs="Arial" w:eastAsia="Arial" w:hAnsi="Arial"/>
          <w:sz w:val="13"/>
          <w:szCs w:val="13"/>
          <w:color w:val="auto"/>
        </w:rPr>
        <w:t>Resort/residential real estate development segment expenses were $553,000 for the three months ended March 31, 2021, a decrease of $73,000, or 12%, from $626,000 for the three months ended March 31, 2020. The decrease is attributed to lower payroll and stock compensation costs, net of capitalization, of $23,000 and reduced general and overhead allocations of $36,000.</w:t>
      </w:r>
    </w:p>
    <w:p>
      <w:pPr>
        <w:spacing w:after="0" w:line="3"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will continue to focus on the following:</w:t>
      </w:r>
    </w:p>
    <w:p>
      <w:pPr>
        <w:spacing w:after="0" w:line="36" w:lineRule="exact"/>
        <w:rPr>
          <w:sz w:val="20"/>
          <w:szCs w:val="20"/>
          <w:color w:val="auto"/>
        </w:rPr>
      </w:pPr>
    </w:p>
    <w:p>
      <w:pPr>
        <w:ind w:left="520" w:hanging="260"/>
        <w:spacing w:after="0" w:line="267"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46" w:lineRule="exact"/>
        <w:rPr>
          <w:rFonts w:ascii="Arial" w:cs="Arial" w:eastAsia="Arial" w:hAnsi="Arial"/>
          <w:sz w:val="14"/>
          <w:szCs w:val="14"/>
          <w:color w:val="auto"/>
        </w:rPr>
      </w:pPr>
    </w:p>
    <w:p>
      <w:pPr>
        <w:ind w:left="520" w:right="20" w:hanging="260"/>
        <w:spacing w:after="0" w:line="258"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Grapevine – on December 11, 2018, the Kern County Superior Court ruled we had to amend our EIR by preparing supplemental environmental documentation to further analyze the Grapevine project’s internal capture rate (ICR), which is the percent of vehicle trips remaining within the project. On December 10, 2019, the Kern County Board of Supervisors adopted the supplemental re-circulated EIR prepared in response to the court ruling and reapproved the development of Grapevine unanimously. On January 10, 2020, an action was filed in Kern County Superior Court pursuant to CEQA against Kern County, concerning Kern County’s approval of the December 2019 re-entitlement, including certification of the final EIR. On January 22, 2021 the court ruled in favor of the Company and Kern County on all issues. See Note 12 (Commitments and Contingencies) of the Notes to Unaudited Consolidated Financial Statements for further discussion.</w:t>
      </w:r>
    </w:p>
    <w:p>
      <w:pPr>
        <w:spacing w:after="0" w:line="43" w:lineRule="exact"/>
        <w:rPr>
          <w:rFonts w:ascii="Arial" w:cs="Arial" w:eastAsia="Arial" w:hAnsi="Arial"/>
          <w:sz w:val="14"/>
          <w:szCs w:val="14"/>
          <w:color w:val="auto"/>
        </w:rPr>
      </w:pPr>
    </w:p>
    <w:p>
      <w:pPr>
        <w:ind w:left="520" w:right="220" w:hanging="260"/>
        <w:spacing w:after="0" w:line="262"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MV – a fully entitled project has received approvals of Tentative Tract Map 1 for the first four phases of development and approval of the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completion of the final map for the first phases of MV, consumer and market research studies, fine tuning of development business plans.</w:t>
      </w:r>
    </w:p>
    <w:p>
      <w:pPr>
        <w:spacing w:after="0" w:line="50"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Mineral Resources: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Arial" w:cs="Arial" w:eastAsia="Arial" w:hAnsi="Arial"/>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Mineral resources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Oil and gas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Cement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Rock aggregate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Exploration leases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Water Sales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Reimbursables and 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17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mineral resources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mineral resources expenses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40" w:hanging="255"/>
        <w:spacing w:after="0" w:line="262"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Mineral resources segment revenues were $7,176,000 for the three months ended March 31, 2021, an increase of $998,000, or 16%, from $6,178,000 for the three months ended March 31, 2020. This increase is primarily attributed to a $1,131,000 increase in water sales revenues. There were more water sales opportunities in 2021 because of the dry 2021 winter that has led to a SWP allocation of 5%. We sold 5,881 acre-feet and 4,625 acre-feet of water in 2021 and 2020, respectively. The increase in water sales revenues was partially offset by a decline in oil royalties, which have not returned to pre-pandemic levels.</w:t>
      </w:r>
    </w:p>
    <w:p>
      <w:pPr>
        <w:spacing w:after="0" w:line="60" w:lineRule="exact"/>
        <w:rPr>
          <w:rFonts w:ascii="Arial" w:cs="Arial" w:eastAsia="Arial" w:hAnsi="Arial"/>
          <w:sz w:val="14"/>
          <w:szCs w:val="14"/>
          <w:color w:val="auto"/>
        </w:rPr>
      </w:pPr>
    </w:p>
    <w:p>
      <w:pPr>
        <w:ind w:left="260" w:right="300" w:hanging="255"/>
        <w:spacing w:after="0" w:line="321" w:lineRule="auto"/>
        <w:tabs>
          <w:tab w:leader="none" w:pos="256" w:val="left"/>
        </w:tabs>
        <w:numPr>
          <w:ilvl w:val="0"/>
          <w:numId w:val="20"/>
        </w:numPr>
        <w:rPr>
          <w:rFonts w:ascii="Arial" w:cs="Arial" w:eastAsia="Arial" w:hAnsi="Arial"/>
          <w:sz w:val="13"/>
          <w:szCs w:val="13"/>
          <w:color w:val="auto"/>
        </w:rPr>
      </w:pPr>
      <w:r>
        <w:rPr>
          <w:rFonts w:ascii="Arial" w:cs="Arial" w:eastAsia="Arial" w:hAnsi="Arial"/>
          <w:sz w:val="13"/>
          <w:szCs w:val="13"/>
          <w:color w:val="auto"/>
        </w:rPr>
        <w:t>Mineral resources segment expenses were $5,047,000 for the three months ended March 31, 2021, an increase of $1,169,000, or 30%, from $3,878,000 for the three months ended March 31, 2020. This increase in expenses is primarily attributed to an increase in water cost of sales driven by the increased water sales volume noted above.</w:t>
      </w:r>
    </w:p>
    <w:p>
      <w:pPr>
        <w:spacing w:after="0" w:line="3" w:lineRule="exact"/>
        <w:rPr>
          <w:sz w:val="20"/>
          <w:szCs w:val="20"/>
          <w:color w:val="auto"/>
        </w:rPr>
      </w:pPr>
    </w:p>
    <w:p>
      <w:pPr>
        <w:jc w:val="both"/>
        <w:ind w:right="120"/>
        <w:spacing w:after="0" w:line="288" w:lineRule="auto"/>
        <w:rPr>
          <w:sz w:val="20"/>
          <w:szCs w:val="20"/>
          <w:color w:val="auto"/>
        </w:rPr>
      </w:pPr>
      <w:r>
        <w:rPr>
          <w:rFonts w:ascii="Arial" w:cs="Arial" w:eastAsia="Arial" w:hAnsi="Arial"/>
          <w:sz w:val="13"/>
          <w:szCs w:val="13"/>
          <w:color w:val="auto"/>
        </w:rPr>
        <w:t>As anticipated changes arise in the future related to groundwater management in California, such as limits on groundwater pumping in over drafted water basins outside of our lands, we believe that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 With 2020 being a dry year, local water market participants will have fewer alternative water sources in 2021, especially given the current 5% SWP allocation. As such, the Company anticipates additional water sales opportunities over the next few months.</w:t>
      </w:r>
    </w:p>
    <w:p>
      <w:pPr>
        <w:spacing w:after="0" w:line="3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price per barrel of oil has increased over 30% from its December 31, 2020 levels. California Resources Corporation, or CRC, has approved permits and drill sites on our land and has delayed the start of new exploration as it evaluates the market. A positive aspect of our lease with CRC is that the approved drill sites are in an area of the ranch where the development and production costs are moderate due to the relatively shallow depths being drilled.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Farming: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5"/>
          </w:tcPr>
          <w:p>
            <w:pPr>
              <w:ind w:left="500"/>
              <w:spacing w:after="0"/>
              <w:rPr>
                <w:sz w:val="20"/>
                <w:szCs w:val="20"/>
                <w:color w:val="auto"/>
              </w:rPr>
            </w:pPr>
            <w:r>
              <w:rPr>
                <w:rFonts w:ascii="Arial" w:cs="Arial" w:eastAsia="Arial" w:hAnsi="Arial"/>
                <w:sz w:val="14"/>
                <w:szCs w:val="14"/>
                <w:color w:val="auto"/>
              </w:rPr>
              <w:t>Three Months Ended March 31,</w:t>
            </w:r>
          </w:p>
        </w:tc>
        <w:tc>
          <w:tcPr>
            <w:tcW w:w="480" w:type="dxa"/>
            <w:vAlign w:val="bottom"/>
          </w:tcPr>
          <w:p>
            <w:pPr>
              <w:spacing w:after="0"/>
              <w:rPr>
                <w:sz w:val="15"/>
                <w:szCs w:val="15"/>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15"/>
                <w:szCs w:val="15"/>
                <w:color w:val="auto"/>
              </w:rPr>
            </w:pP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tcPr>
          <w:p>
            <w:pPr>
              <w:ind w:left="20"/>
              <w:spacing w:after="0"/>
              <w:rPr>
                <w:sz w:val="20"/>
                <w:szCs w:val="20"/>
                <w:color w:val="auto"/>
              </w:rPr>
            </w:pPr>
            <w:r>
              <w:rPr>
                <w:rFonts w:ascii="Arial" w:cs="Arial" w:eastAsia="Arial" w:hAnsi="Arial"/>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Pistachios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Wine grapes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3840" w:type="dxa"/>
            <w:vAlign w:val="bottom"/>
          </w:tcPr>
          <w:p>
            <w:pPr>
              <w:ind w:left="180"/>
              <w:spacing w:after="0"/>
              <w:rPr>
                <w:sz w:val="20"/>
                <w:szCs w:val="20"/>
                <w:color w:val="auto"/>
              </w:rPr>
            </w:pPr>
            <w:r>
              <w:rPr>
                <w:rFonts w:ascii="Arial" w:cs="Arial" w:eastAsia="Arial" w:hAnsi="Arial"/>
                <w:sz w:val="14"/>
                <w:szCs w:val="14"/>
                <w:color w:val="auto"/>
              </w:rPr>
              <w:t>Hay</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174 %</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1,340 %</w:t>
            </w:r>
          </w:p>
        </w:tc>
      </w:tr>
      <w:tr>
        <w:trPr>
          <w:trHeight w:val="171"/>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7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farming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Operating income (loss) from farming</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60" w:right="20" w:hanging="255"/>
        <w:spacing w:after="0" w:line="281"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Farming segment revenues were $607,000 for the three months ended March 31, 2021, a decrease of $345,000, or 36%, from $952,000 during the same period in 2020. The changes are primarily due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2" w:name="page33"/>
    <w:bookmarkEnd w:id="32"/>
    <w:p>
      <w:pPr>
        <w:ind w:left="760" w:right="180" w:hanging="246"/>
        <w:spacing w:after="0" w:line="281" w:lineRule="auto"/>
        <w:tabs>
          <w:tab w:leader="none" w:pos="757"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Reduced almond sales revenues of $557,000 attributed to a 138,000 pound reduction in the number of pounds sold due to timing. Additionally, there was a 36% decrease in the selling price of almonds, driven by record 2020 California almond crop yields.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Other revenues increased $134,000, resulting from higher water reimbursements from a farming land lease.</w:t>
      </w:r>
    </w:p>
    <w:p>
      <w:pPr>
        <w:spacing w:after="0" w:line="93" w:lineRule="exact"/>
        <w:rPr>
          <w:rFonts w:ascii="Arial" w:cs="Arial" w:eastAsia="Arial" w:hAnsi="Arial"/>
          <w:sz w:val="14"/>
          <w:szCs w:val="14"/>
          <w:color w:val="auto"/>
        </w:rPr>
      </w:pPr>
    </w:p>
    <w:p>
      <w:pPr>
        <w:ind w:left="260" w:right="400" w:hanging="255"/>
        <w:spacing w:after="0" w:line="281" w:lineRule="auto"/>
        <w:tabs>
          <w:tab w:leader="none" w:pos="2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Farming segment expenses were $1,478,000 for the three months ended March 31, 2021, a decrease of $224,000, or 13%, from $1,702,000 during the same period in 2020. The decrease is attributed to a $130,000 decrease in cost of sales due to lower almond sales volumes and a $100,000 decrease in depreciation and amortization.</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Our almond, pistachio, and wine grape crop sales are highly seasonal with most of our sales occurring during the third and fourth quarters. Nut and grape crop markets are particularly sensitive to the size of each year’s world crop and the demand for those crops. As witnessed in 2020, large crop yields in California and abroad can rapidly depress prices. Tariffs from China and India, which are major customers of almonds and pistachios, can make American products less competitive and push customers to switch to another producing country.</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Weather conditions can also impact the number of tree and vine dormant hours, which are integral to tree and vine growth. We will not know the impact of current weather conditions on 2021 production until the summer of 2021. Thus far, we have experienced a warm winter, which reduces the number of chilling hours for our pistachio and almond trees. In the past, this has had a very adverse effect on pistachio yields. The current SWP allocation of 5% is inadequate for our farming needs. As such, management will seek out alternate sources of water and will incur additional water delivery charges, which will increase overall 2021 crop production costs.</w:t>
      </w:r>
    </w:p>
    <w:p>
      <w:pPr>
        <w:spacing w:after="0" w:line="40" w:lineRule="exact"/>
        <w:rPr>
          <w:sz w:val="20"/>
          <w:szCs w:val="20"/>
          <w:color w:val="auto"/>
        </w:rPr>
      </w:pPr>
    </w:p>
    <w:p>
      <w:pPr>
        <w:ind w:right="80"/>
        <w:spacing w:after="0" w:line="359" w:lineRule="auto"/>
        <w:rPr>
          <w:sz w:val="20"/>
          <w:szCs w:val="20"/>
          <w:color w:val="auto"/>
        </w:rPr>
      </w:pPr>
      <w:r>
        <w:rPr>
          <w:rFonts w:ascii="Arial" w:cs="Arial" w:eastAsia="Arial" w:hAnsi="Arial"/>
          <w:sz w:val="12"/>
          <w:szCs w:val="12"/>
          <w:color w:val="auto"/>
        </w:rPr>
        <w:t>The Company's agribusiness operations are deemed essential and have been allowed to operate under California's COVID-19 restrictions. The Company continues to provide its employees with face masks and safety training to promote a safe working environment. As in 2020, COVID-19 restrictions have not had a measurable impact on the Company's farming operations in 2021 to-date.</w:t>
      </w:r>
    </w:p>
    <w:p>
      <w:pPr>
        <w:spacing w:after="0" w:line="1" w:lineRule="exact"/>
        <w:rPr>
          <w:sz w:val="20"/>
          <w:szCs w:val="20"/>
          <w:color w:val="auto"/>
        </w:rPr>
      </w:pPr>
    </w:p>
    <w:p>
      <w:pPr>
        <w:jc w:val="both"/>
        <w:ind w:right="380"/>
        <w:spacing w:after="0" w:line="331" w:lineRule="auto"/>
        <w:rPr>
          <w:sz w:val="20"/>
          <w:szCs w:val="20"/>
          <w:color w:val="auto"/>
        </w:rPr>
      </w:pPr>
      <w:r>
        <w:rPr>
          <w:rFonts w:ascii="Arial" w:cs="Arial" w:eastAsia="Arial" w:hAnsi="Arial"/>
          <w:sz w:val="12"/>
          <w:szCs w:val="12"/>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remainder of 2021 and into the future.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Ranch Operations: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1160" w:type="dxa"/>
            <w:vAlign w:val="bottom"/>
            <w:tcBorders>
              <w:top w:val="single" w:sz="8" w:color="006EBF"/>
            </w:tcBorders>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Arial" w:cs="Arial" w:eastAsia="Arial" w:hAnsi="Arial"/>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Ranch Operations expenses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bl>
    <w:p>
      <w:pPr>
        <w:ind w:left="100" w:hanging="81"/>
        <w:spacing w:after="0" w:line="202" w:lineRule="auto"/>
        <w:tabs>
          <w:tab w:leader="none" w:pos="100" w:val="left"/>
        </w:tabs>
        <w:numPr>
          <w:ilvl w:val="1"/>
          <w:numId w:val="23"/>
        </w:numPr>
        <w:rPr>
          <w:rFonts w:ascii="Arial" w:cs="Arial" w:eastAsia="Arial" w:hAnsi="Arial"/>
          <w:sz w:val="17"/>
          <w:szCs w:val="17"/>
          <w:color w:val="auto"/>
          <w:vertAlign w:val="superscript"/>
        </w:rPr>
      </w:pPr>
      <w:r>
        <w:rPr>
          <w:rFonts w:ascii="Arial" w:cs="Arial" w:eastAsia="Arial" w:hAnsi="Arial"/>
          <w:sz w:val="13"/>
          <w:szCs w:val="13"/>
          <w:color w:val="auto"/>
        </w:rPr>
        <w:t>Game management and other revenues consist of revenues from hunting, filming, high desert hunt club (a premier upland bird hunting club), and other ancillary activities.</w:t>
      </w:r>
    </w:p>
    <w:p>
      <w:pPr>
        <w:spacing w:after="0" w:line="334" w:lineRule="exact"/>
        <w:rPr>
          <w:rFonts w:ascii="Arial" w:cs="Arial" w:eastAsia="Arial" w:hAnsi="Arial"/>
          <w:sz w:val="17"/>
          <w:szCs w:val="17"/>
          <w:color w:val="auto"/>
          <w:vertAlign w:val="superscript"/>
        </w:rPr>
      </w:pPr>
    </w:p>
    <w:p>
      <w:pPr>
        <w:ind w:left="260" w:right="20" w:hanging="255"/>
        <w:spacing w:after="0" w:line="297" w:lineRule="auto"/>
        <w:tabs>
          <w:tab w:leader="none" w:pos="256" w:val="left"/>
        </w:tabs>
        <w:numPr>
          <w:ilvl w:val="0"/>
          <w:numId w:val="23"/>
        </w:numPr>
        <w:rPr>
          <w:rFonts w:ascii="Arial" w:cs="Arial" w:eastAsia="Arial" w:hAnsi="Arial"/>
          <w:sz w:val="13"/>
          <w:szCs w:val="13"/>
          <w:color w:val="auto"/>
        </w:rPr>
      </w:pPr>
      <w:r>
        <w:rPr>
          <w:rFonts w:ascii="Arial" w:cs="Arial" w:eastAsia="Arial" w:hAnsi="Arial"/>
          <w:sz w:val="13"/>
          <w:szCs w:val="13"/>
          <w:color w:val="auto"/>
        </w:rPr>
        <w:t>Ranch operations revenues were $1,043,000 for the three months ended March 31, 2021, an increase of $180,000, or 21%, from $863,000 for the same period in 2020. The increase in revenues is attributed to an increase in film location fee revenues of $146,000, driven by increased demand, resulting from closures of comparable filming locations in LA County because of COVID-19 restrictions. The remainder of the increase is attributed to a $38,000 increase in guided hunts, which saw less activity during 2020 due to COVID-19 restrictions.</w:t>
      </w:r>
    </w:p>
    <w:p>
      <w:pPr>
        <w:spacing w:after="0" w:line="39" w:lineRule="exact"/>
        <w:rPr>
          <w:rFonts w:ascii="Arial" w:cs="Arial" w:eastAsia="Arial" w:hAnsi="Arial"/>
          <w:sz w:val="13"/>
          <w:szCs w:val="13"/>
          <w:color w:val="auto"/>
        </w:rPr>
      </w:pPr>
    </w:p>
    <w:p>
      <w:pPr>
        <w:ind w:left="260" w:right="240" w:hanging="255"/>
        <w:spacing w:after="0" w:line="281"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Ranch operations expenses were $1,187,000 for the three months ended March 31, 2021, a decrease of $219,000, or 16%, from $1,406,000 for the same period in 2020. This decline is largely attributed to declines in payroll due to reduced staffing levels as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-925830</wp:posOffset>
            </wp:positionV>
            <wp:extent cx="472948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6EBF"/>
        </w:rPr>
        <w:t>Corporate and Other:</w:t>
      </w:r>
    </w:p>
    <w:p>
      <w:pPr>
        <w:spacing w:after="0" w:line="87"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Corporate general and administrative costs were $2,291,000 for the three months ended March 31, 2021, a decrease of $242,000, or 10%, from $2,533,000 for the same period in 2020. The decrease is primarily attributed to reduced payroll and stock compensation, net of capitalization, of $310,000, which resulted from factors such as the 2020 right sizing initiative and the recent departure of the Company's general counsel. This decrease was offset by a $60,000 increase in insurance expense.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006EBF"/>
              </w:rPr>
              <w:t>Joint Ventures: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Arial" w:cs="Arial" w:eastAsia="Arial" w:hAnsi="Arial"/>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r>
      <w:tr>
        <w:trPr>
          <w:trHeight w:val="16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Five West Parcel, LLC</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18-19 West,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r>
      <w:tr>
        <w:trPr>
          <w:trHeight w:val="180"/>
        </w:trPr>
        <w:tc>
          <w:tcPr>
            <w:tcW w:w="3840" w:type="dxa"/>
            <w:vAlign w:val="bottom"/>
            <w:gridSpan w:val="2"/>
          </w:tcPr>
          <w:p>
            <w:pPr>
              <w:ind w:left="180"/>
              <w:spacing w:after="0"/>
              <w:rPr>
                <w:sz w:val="20"/>
                <w:szCs w:val="20"/>
                <w:color w:val="auto"/>
              </w:rPr>
            </w:pPr>
            <w:r>
              <w:rPr>
                <w:rFonts w:ascii="Arial" w:cs="Arial" w:eastAsia="Arial" w:hAnsi="Arial"/>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TRC-MRC 3,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Total equity in (losses) earnings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260" w:right="480" w:hanging="255"/>
        <w:spacing w:after="0" w:line="281"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Equity in losses were $59,000 for the three months ended March 31, 2021, a decrease of $1,414,000 or 104%, from $1,355,000 during the same period in 2020. The changes are primarily attributed to the following:</w:t>
      </w:r>
    </w:p>
    <w:p>
      <w:pPr>
        <w:spacing w:after="0" w:line="26" w:lineRule="exact"/>
        <w:rPr>
          <w:rFonts w:ascii="Arial" w:cs="Arial" w:eastAsia="Arial" w:hAnsi="Arial"/>
          <w:sz w:val="14"/>
          <w:szCs w:val="14"/>
          <w:color w:val="auto"/>
        </w:rPr>
      </w:pPr>
    </w:p>
    <w:p>
      <w:pPr>
        <w:ind w:left="760" w:right="160" w:hanging="246"/>
        <w:spacing w:after="0" w:line="267" w:lineRule="auto"/>
        <w:tabs>
          <w:tab w:leader="none" w:pos="756"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quarter, the Petro Travel Plaza Holdings joint venture experienced lower fuel margins due to higher fuel costs. Additionally, full-service restaurant margins decreased due to operating capacity limitations under the California's Blueprint for a Safer Economy. Full-service restaurants began reopening during the second quarter as infection and hospitalization rates have dropped, allowing for higher operating capacity.</w:t>
      </w:r>
    </w:p>
    <w:p>
      <w:pPr>
        <w:spacing w:after="0" w:line="89"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In conjunction with providing relief to certain tenants, the TRCC/Rock Outlet Center agreed to defer rent for certain tenants due to the closure of the outlet center from March 20, 2020 through May 27, 2020. The following table sets forth information regarding the minimum rents billed and deferred to-date at the TRCC/Rock Outlet Center property level for the three months ended March 31, 2021. TRCC/Rock Outlet Center is continuing to work with two of its tenants to document temporary rent payment relief through rent deferrals. We continue to assess the probability of collecting outstanding receivables related to the two tenants that are currently in on-going negotiations. Management will continue to monitor each negotiation diligently, and when determined collectability is not probable, will reserve accordingly.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 in thousands, except number of tenants)</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color w:val="auto"/>
              </w:rPr>
              <w:t>Tenants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Cumulative Deferred Rent due to</w:t>
            </w:r>
          </w:p>
        </w:tc>
        <w:tc>
          <w:tcPr>
            <w:tcW w:w="18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Cumulative Deferred Rent</w:t>
            </w:r>
          </w:p>
        </w:tc>
        <w:tc>
          <w:tcPr>
            <w:tcW w:w="100" w:type="dxa"/>
            <w:vAlign w:val="bottom"/>
          </w:tcPr>
          <w:p>
            <w:pPr>
              <w:spacing w:after="0"/>
              <w:rPr>
                <w:sz w:val="14"/>
                <w:szCs w:val="14"/>
                <w:color w:val="auto"/>
              </w:rPr>
            </w:pPr>
          </w:p>
        </w:tc>
        <w:tc>
          <w:tcPr>
            <w:tcW w:w="2540" w:type="dxa"/>
            <w:vAlign w:val="bottom"/>
            <w:vMerge w:val="restart"/>
          </w:tcPr>
          <w:p>
            <w:pPr>
              <w:jc w:val="right"/>
              <w:ind w:right="49"/>
              <w:spacing w:after="0"/>
              <w:rPr>
                <w:sz w:val="20"/>
                <w:szCs w:val="20"/>
                <w:color w:val="auto"/>
              </w:rPr>
            </w:pPr>
            <w:r>
              <w:rPr>
                <w:rFonts w:ascii="Arial" w:cs="Arial" w:eastAsia="Arial" w:hAnsi="Arial"/>
                <w:sz w:val="14"/>
                <w:szCs w:val="14"/>
                <w:color w:val="auto"/>
                <w:w w:val="91"/>
              </w:rPr>
              <w:t>Deferred Rent to be Collected rest of 2021</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COVID-19</w:t>
            </w:r>
          </w:p>
        </w:tc>
        <w:tc>
          <w:tcPr>
            <w:tcW w:w="180" w:type="dxa"/>
            <w:vAlign w:val="bottom"/>
          </w:tcPr>
          <w:p>
            <w:pPr>
              <w:spacing w:after="0"/>
              <w:rPr>
                <w:sz w:val="15"/>
                <w:szCs w:val="15"/>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Collected</w:t>
            </w:r>
          </w:p>
        </w:tc>
        <w:tc>
          <w:tcPr>
            <w:tcW w:w="10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 Deferral Agreements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Rent Abatement Agreements</w:t>
            </w: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575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ind w:left="1580"/>
              <w:spacing w:after="0" w:line="181" w:lineRule="exact"/>
              <w:rPr>
                <w:sz w:val="20"/>
                <w:szCs w:val="20"/>
                <w:color w:val="auto"/>
              </w:rPr>
            </w:pPr>
            <w:r>
              <w:rPr>
                <w:rFonts w:ascii="Arial" w:cs="Arial" w:eastAsia="Arial" w:hAnsi="Arial"/>
                <w:sz w:val="14"/>
                <w:szCs w:val="14"/>
                <w:color w:val="auto"/>
              </w:rPr>
              <w:t>N/A</w:t>
            </w:r>
            <w:r>
              <w:rPr>
                <w:rFonts w:ascii="Arial" w:cs="Arial" w:eastAsia="Arial" w:hAnsi="Arial"/>
                <w:sz w:val="18"/>
                <w:szCs w:val="18"/>
                <w:color w:val="auto"/>
                <w:vertAlign w:val="superscript"/>
              </w:rPr>
              <w:t>2</w:t>
            </w:r>
          </w:p>
        </w:tc>
        <w:tc>
          <w:tcPr>
            <w:tcW w:w="100" w:type="dxa"/>
            <w:vAlign w:val="bottom"/>
          </w:tcPr>
          <w:p>
            <w:pPr>
              <w:spacing w:after="0"/>
              <w:rPr>
                <w:sz w:val="15"/>
                <w:szCs w:val="15"/>
                <w:color w:val="auto"/>
              </w:rPr>
            </w:pPr>
          </w:p>
        </w:tc>
        <w:tc>
          <w:tcPr>
            <w:tcW w:w="2540" w:type="dxa"/>
            <w:vAlign w:val="bottom"/>
          </w:tcPr>
          <w:p>
            <w:pPr>
              <w:jc w:val="right"/>
              <w:spacing w:after="0" w:line="181" w:lineRule="exact"/>
              <w:rPr>
                <w:sz w:val="20"/>
                <w:szCs w:val="20"/>
                <w:color w:val="auto"/>
              </w:rPr>
            </w:pPr>
            <w:r>
              <w:rPr>
                <w:rFonts w:ascii="Arial" w:cs="Arial" w:eastAsia="Arial" w:hAnsi="Arial"/>
                <w:sz w:val="14"/>
                <w:szCs w:val="14"/>
                <w:color w:val="auto"/>
              </w:rPr>
              <w:t>N/A</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On-Going Deferral Negotiations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bl>
    <w:p>
      <w:pPr>
        <w:ind w:left="80" w:hanging="61"/>
        <w:spacing w:after="0"/>
        <w:tabs>
          <w:tab w:leader="none" w:pos="80" w:val="left"/>
        </w:tabs>
        <w:numPr>
          <w:ilvl w:val="0"/>
          <w:numId w:val="25"/>
        </w:numPr>
        <w:rPr>
          <w:rFonts w:ascii="Arial" w:cs="Arial" w:eastAsia="Arial" w:hAnsi="Arial"/>
          <w:sz w:val="7"/>
          <w:szCs w:val="7"/>
          <w:color w:val="auto"/>
        </w:rPr>
      </w:pPr>
      <w:r>
        <w:rPr>
          <w:rFonts w:ascii="Arial" w:cs="Arial" w:eastAsia="Arial" w:hAnsi="Arial"/>
          <w:sz w:val="11"/>
          <w:szCs w:val="11"/>
          <w:color w:val="auto"/>
        </w:rPr>
        <w:t>Excludes percentage rent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3486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94615"/>
                    </a:xfrm>
                    <a:prstGeom prst="rect">
                      <a:avLst/>
                    </a:prstGeom>
                    <a:noFill/>
                  </pic:spPr>
                </pic:pic>
              </a:graphicData>
            </a:graphic>
          </wp:anchor>
        </w:drawing>
      </w:r>
    </w:p>
    <w:p>
      <w:pPr>
        <w:ind w:left="80" w:hanging="61"/>
        <w:spacing w:after="0"/>
        <w:tabs>
          <w:tab w:leader="none" w:pos="80" w:val="left"/>
        </w:tabs>
        <w:numPr>
          <w:ilvl w:val="0"/>
          <w:numId w:val="26"/>
        </w:numPr>
        <w:rPr>
          <w:rFonts w:ascii="Arial" w:cs="Arial" w:eastAsia="Arial" w:hAnsi="Arial"/>
          <w:sz w:val="7"/>
          <w:szCs w:val="7"/>
          <w:color w:val="auto"/>
        </w:rPr>
      </w:pPr>
      <w:r>
        <w:rPr>
          <w:rFonts w:ascii="Arial" w:cs="Arial" w:eastAsia="Arial" w:hAnsi="Arial"/>
          <w:sz w:val="11"/>
          <w:szCs w:val="11"/>
          <w:color w:val="auto"/>
        </w:rPr>
        <w:t>There are no subsequent collections to be made under a rent abatement scenario.</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"Non-GAAP Financial Measures" for further financial discussion of the results of our joint ventures.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General Outlook</w:t>
      </w:r>
    </w:p>
    <w:p>
      <w:pPr>
        <w:spacing w:after="0" w:line="87" w:lineRule="exact"/>
        <w:rPr>
          <w:sz w:val="20"/>
          <w:szCs w:val="20"/>
          <w:color w:val="auto"/>
        </w:rPr>
      </w:pPr>
    </w:p>
    <w:p>
      <w:pPr>
        <w:jc w:val="both"/>
        <w:ind w:right="480"/>
        <w:spacing w:after="0" w:line="267" w:lineRule="auto"/>
        <w:rPr>
          <w:sz w:val="20"/>
          <w:szCs w:val="20"/>
          <w:color w:val="auto"/>
        </w:rPr>
      </w:pPr>
      <w:r>
        <w:rPr>
          <w:rFonts w:ascii="Arial" w:cs="Arial" w:eastAsia="Arial" w:hAnsi="Arial"/>
          <w:sz w:val="14"/>
          <w:szCs w:val="14"/>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4" w:name="page35"/>
    <w:bookmarkEnd w:id="34"/>
    <w:p>
      <w:pPr>
        <w:ind w:right="320"/>
        <w:spacing w:after="0" w:line="281" w:lineRule="auto"/>
        <w:rPr>
          <w:sz w:val="20"/>
          <w:szCs w:val="20"/>
          <w:color w:val="auto"/>
        </w:rPr>
      </w:pPr>
      <w:r>
        <w:rPr>
          <w:rFonts w:ascii="Arial" w:cs="Arial" w:eastAsia="Arial" w:hAnsi="Arial"/>
          <w:sz w:val="14"/>
          <w:szCs w:val="14"/>
          <w:color w:val="auto"/>
        </w:rPr>
        <w:t>The COVID-19 pandemic and resulting global economic disruptions have impacted our operations and are expected to continue to impact our operations for the foreseeable future. For a detailed discussion of the pandemic and its expected effects, refer to the section above titled "The COVID-19 Pandemic" and "Results of Operations by Segment."</w:t>
      </w:r>
    </w:p>
    <w:p>
      <w:pPr>
        <w:spacing w:after="0" w:line="26"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2020,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Income Taxes</w:t>
      </w:r>
    </w:p>
    <w:p>
      <w:pPr>
        <w:spacing w:after="0" w:line="87"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For the three months ended March 31, 2021, the Company had net income tax expense of $21,000 compared to $512,000 for the three months ended March 31, 2020. The effective tax rates approximated -2% and -298% for the three months ended March 31, 2021 and 2020, respectively. As of March 31, 2021, income tax receivables were $1,148,000. The Company classifies interest and penalties incurred on tax payments as income tax expenses. The Company recognized income tax expense primarily because permanent differences related to Section 162(m) limitations and discrete tax expense associated with stock compensation. The Section 162(m) compensation deduction limitations occurred due to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Cash Flow and Liquidity</w:t>
      </w:r>
    </w:p>
    <w:p>
      <w:pPr>
        <w:spacing w:after="0" w:line="87"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29" w:lineRule="exact"/>
        <w:rPr>
          <w:sz w:val="20"/>
          <w:szCs w:val="20"/>
          <w:color w:val="auto"/>
        </w:rPr>
      </w:pPr>
    </w:p>
    <w:p>
      <w:pPr>
        <w:jc w:val="both"/>
        <w:ind w:right="240"/>
        <w:spacing w:after="0" w:line="267" w:lineRule="auto"/>
        <w:rPr>
          <w:sz w:val="20"/>
          <w:szCs w:val="20"/>
          <w:color w:val="auto"/>
        </w:rPr>
      </w:pPr>
      <w:r>
        <w:rPr>
          <w:rFonts w:ascii="Arial" w:cs="Arial" w:eastAsia="Arial" w:hAnsi="Arial"/>
          <w:sz w:val="14"/>
          <w:szCs w:val="14"/>
          <w:color w:val="auto"/>
        </w:rPr>
        <w:t>To enhance shareholder value over the long-term,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36" w:lineRule="exact"/>
        <w:rPr>
          <w:sz w:val="20"/>
          <w:szCs w:val="20"/>
          <w:color w:val="auto"/>
        </w:rPr>
      </w:pPr>
    </w:p>
    <w:p>
      <w:pPr>
        <w:ind w:right="1880"/>
        <w:spacing w:after="0" w:line="392" w:lineRule="auto"/>
        <w:rPr>
          <w:sz w:val="20"/>
          <w:szCs w:val="20"/>
          <w:color w:val="auto"/>
        </w:rPr>
      </w:pPr>
      <w:r>
        <w:rPr>
          <w:rFonts w:ascii="Arial" w:cs="Arial" w:eastAsia="Arial" w:hAnsi="Arial"/>
          <w:sz w:val="14"/>
          <w:szCs w:val="14"/>
          <w:color w:val="auto"/>
        </w:rPr>
        <w:t>Our cash, cash equivalents and marketable securities totaled $52,286,000 as of March 31, 2021, a decrease of $5,805,000 from $58,091,000 as of December 31, 2020. The following table shows our cash flow activities for the three months ended March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2020</w:t>
            </w:r>
          </w:p>
        </w:tc>
      </w:tr>
      <w:tr>
        <w:trPr>
          <w:trHeight w:val="17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1"/>
              </w:rPr>
              <w:t>4,037</w:t>
            </w:r>
          </w:p>
        </w:tc>
      </w:tr>
      <w:tr>
        <w:trPr>
          <w:trHeight w:val="180"/>
        </w:trPr>
        <w:tc>
          <w:tcPr>
            <w:tcW w:w="76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140" w:type="dxa"/>
            <w:vAlign w:val="bottom"/>
          </w:tcPr>
          <w:p>
            <w:pPr>
              <w:jc w:val="right"/>
              <w:ind w:right="98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center"/>
              <w:ind w:left="789"/>
              <w:spacing w:after="0"/>
              <w:rPr>
                <w:sz w:val="20"/>
                <w:szCs w:val="20"/>
                <w:color w:val="auto"/>
              </w:rPr>
            </w:pPr>
            <w:r>
              <w:rPr>
                <w:rFonts w:ascii="Arial" w:cs="Arial" w:eastAsia="Arial" w:hAnsi="Arial"/>
                <w:sz w:val="14"/>
                <w:szCs w:val="14"/>
                <w:color w:val="auto"/>
                <w:w w:val="94"/>
              </w:rPr>
              <w:t>(2,802)</w:t>
            </w:r>
          </w:p>
        </w:tc>
      </w:tr>
      <w:tr>
        <w:trPr>
          <w:trHeight w:val="18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center"/>
              <w:ind w:left="789"/>
              <w:spacing w:after="0"/>
              <w:rPr>
                <w:sz w:val="20"/>
                <w:szCs w:val="20"/>
                <w:color w:val="auto"/>
              </w:rPr>
            </w:pPr>
            <w:r>
              <w:rPr>
                <w:rFonts w:ascii="Arial" w:cs="Arial" w:eastAsia="Arial" w:hAnsi="Arial"/>
                <w:sz w:val="14"/>
                <w:szCs w:val="14"/>
                <w:color w:val="auto"/>
                <w:w w:val="94"/>
              </w:rPr>
              <w:t>(3,293)</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During the first three months of 2021, the Company's operations provided $3,714,000. The primary driver included collection of outstanding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During the first three months of 2020, the Company's operations provided $4,037,000. The primary drivers were collections of receivables of $3,048,000, mainly attributed to farming.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8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During the first three months of 2021, investing activities used $11,679,000. The Company made capital expenditures, inclusive of capitalized interest and payroll (exclusive of stock compensation), of $5,218,000, which includes predevelopment activities for our master planned communities; $1,064,000 consisting of planning and permitting primarily related to the preparation of final maps for Phase 1 of MV; expenditures relating to litigation of $293,000 for Grapevine, and costs related to litigation defense for Centennial of $529,000. At TRCC, we spent $721,000 on water treatment infrastructure improvements and engineering and design efforts for the new speculative building and the residential community at TRCC-East. Within our farming segment, we spent $2,178,000 developing new almond orchards, which includes cultural costs for 2021 for orchards not currently in production and replacing machinery and equipment. We also invested $5,715,000 in marketable securities. Lastly, the Company used $1,653,000 to acquire long-term water assets.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During the first three months of 2020 investing activities used $2,802,000. The Company made capital expenditures, inclusive of capitalized interest and payroll (exclusive of stock compensation), of</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$4,948,000 which includes predevelopment activities for our master planned communities, consisting of general planning and permitting of $954,000 for MV; expenditures relating to litigation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$729,000 for Grapevine, and costs related to litigation defense for Centennial of $804,000. At TRCC, we spent $868,000 on water treatment infrastructure improvements and general planning. Within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our farming segment, we spent $1,550,000 developing new almond orchards and replacing machinery and equipment. Also, within investing activities, we had investment security maturities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$8,956,000 of which $4,025,000 was reinvested. Lastly, the Company used $2,635,000 to acquire long-term water assets.</w:t>
      </w:r>
    </w:p>
    <w:p>
      <w:pPr>
        <w:spacing w:after="0" w:line="6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As we move forward, we will continue to use cash from operations, proceeds from the maturity of securities, and anticipated distributions from joint ventures to fund real estate project investments, including the investments summarized below.</w:t>
      </w:r>
    </w:p>
    <w:p>
      <w:pPr>
        <w:spacing w:after="0" w:line="37" w:lineRule="exact"/>
        <w:rPr>
          <w:sz w:val="20"/>
          <w:szCs w:val="20"/>
          <w:color w:val="auto"/>
        </w:rPr>
      </w:pPr>
    </w:p>
    <w:p>
      <w:pPr>
        <w:ind w:right="80"/>
        <w:spacing w:after="0" w:line="313" w:lineRule="auto"/>
        <w:rPr>
          <w:sz w:val="20"/>
          <w:szCs w:val="20"/>
          <w:color w:val="auto"/>
        </w:rPr>
      </w:pPr>
      <w:r>
        <w:rPr>
          <w:rFonts w:ascii="Arial" w:cs="Arial" w:eastAsia="Arial" w:hAnsi="Arial"/>
          <w:sz w:val="12"/>
          <w:szCs w:val="12"/>
          <w:color w:val="auto"/>
        </w:rPr>
        <w:t>Our estimated capital investment, inclusive of capitalized interest and payroll, for the remainder of 2021 is primarily related to our real estate projects. These estimated investments include approximately $6,209,000 of infrastructure development at TRCC-East to support continued commercial retail and industrial development and to expand water facilities to support future anticipated absorption. We also plan to invest approximately $3,487,000 to continue the development of new almond orchards and vineyards, and to replace farm equipment. The farm investments are part of a long-term farm management program to redevelop declining orchards and vineyards to maintain and improve future farm revenues. Lastly, we expect to invest up to $7,667,000 for land planning, litigation/appeals, mapping, federal and state agency permitting activities, and development activities at MV, Centennial, and Grapevine during the remainder of 2021.</w:t>
      </w:r>
    </w:p>
    <w:p>
      <w:pPr>
        <w:spacing w:after="0" w:line="2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three months ended March 31, 2021 and 2020, was $624,000 and $749,000, respectively, and is classified within real estate development. We also capitalized payroll costs related to development, pre-construction, and construction projects which aggregated $519,000 and $991,000 for the three months ended March 31, 2021 and 2020, respectively. Expenditures for repairs and maintenance are expensed as incurred.</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three months of 2021, financing activities used $2,032,000, which was attributable to long-term debt service of $1,066,000 and tax payments on vested share grants of $966,000.</w:t>
      </w:r>
    </w:p>
    <w:p>
      <w:pPr>
        <w:spacing w:after="0" w:line="95" w:lineRule="exact"/>
        <w:rPr>
          <w:sz w:val="20"/>
          <w:szCs w:val="20"/>
          <w:color w:val="auto"/>
        </w:rPr>
      </w:pPr>
    </w:p>
    <w:p>
      <w:pPr>
        <w:ind w:right="4060"/>
        <w:spacing w:after="0" w:line="281" w:lineRule="auto"/>
        <w:rPr>
          <w:sz w:val="20"/>
          <w:szCs w:val="20"/>
          <w:color w:val="auto"/>
        </w:rPr>
      </w:pPr>
      <w:r>
        <w:rPr>
          <w:rFonts w:ascii="Arial" w:cs="Arial" w:eastAsia="Arial" w:hAnsi="Arial"/>
          <w:sz w:val="14"/>
          <w:szCs w:val="14"/>
          <w:color w:val="auto"/>
        </w:rPr>
        <w:t>During the first three months of 2020, financing activities used $3,293,000, which was attributable to long-term debt service of $1,725,000 and tax payments on vested share grants of $1,568,000.</w:t>
      </w:r>
    </w:p>
    <w:p>
      <w:pPr>
        <w:spacing w:after="0" w:line="26"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Although California's vaccination efforts appear promising, we will continue to evaluate our operations for expense reductions and cash savings. Based on our experience, and assuming the impacts of the COVID-19 do not materially worsen, we believe we will have adequate cash flows, cash balances, and availability on our line of credit (discussed below) over the next twelve months to fund internal operations. COVID-19 restrictions have not impacted our ability to access traditional funding sources.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29"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006EBF"/>
        </w:rPr>
        <w:t>Capital Structure and Financial Condition</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At March 31, 2021, total capitalization at book value was $502,160,000, consisting of $56,012,000 of debt and $446,148,000 of equity, resulting in a debt-to-total-capitalization ratio of approximately 11.2%.</w:t>
      </w:r>
    </w:p>
    <w:p>
      <w:pPr>
        <w:spacing w:after="0" w:line="37" w:lineRule="exact"/>
        <w:rPr>
          <w:sz w:val="20"/>
          <w:szCs w:val="20"/>
          <w:color w:val="auto"/>
        </w:rPr>
      </w:pPr>
    </w:p>
    <w:p>
      <w:pPr>
        <w:ind w:right="100"/>
        <w:spacing w:after="0" w:line="331" w:lineRule="auto"/>
        <w:rPr>
          <w:sz w:val="20"/>
          <w:szCs w:val="20"/>
          <w:color w:val="auto"/>
        </w:rPr>
      </w:pPr>
      <w:r>
        <w:rPr>
          <w:rFonts w:ascii="Arial" w:cs="Arial" w:eastAsia="Arial" w:hAnsi="Arial"/>
          <w:sz w:val="12"/>
          <w:szCs w:val="12"/>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Amended Term Note had a $53,881,000 balance as of March 31, 2021.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0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 RLC had no outstanding balance as of March 31, 2021 and December 31, 2020. At the Company’s option, the interest rate on this line of credit can float at 1.50% over a selected LIBOR rate or can be fixed at 1.50% above LIBOR for a fixed rate term. During the term of this RLC (which matures in October 2024), the Company can borrow at any time and partially or wholly repay any outstanding borrowings and then re-borrow, as necessary.</w:t>
      </w:r>
    </w:p>
    <w:p>
      <w:pPr>
        <w:spacing w:after="0" w:line="9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36"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March 31, 2021 and December 31, 2020, the Company was in compliance with those financial covenants.</w:t>
      </w:r>
    </w:p>
    <w:p>
      <w:pPr>
        <w:spacing w:after="0" w:line="46"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37"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3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March 31, 2021 was $2,131,000.</w:t>
      </w:r>
    </w:p>
    <w:p>
      <w:pPr>
        <w:spacing w:after="0" w:line="3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4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May 2019, we filed an updated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40"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Although we have a strong liquidity position at March 31, 2021 with $52,286,000 in cash and securities and $35,000,000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7" w:name="page38"/>
    <w:bookmarkEnd w:id="37"/>
    <w:p>
      <w:pPr>
        <w:spacing w:after="0" w:line="260" w:lineRule="auto"/>
        <w:rPr>
          <w:sz w:val="20"/>
          <w:szCs w:val="20"/>
          <w:color w:val="auto"/>
        </w:rPr>
      </w:pPr>
      <w:r>
        <w:rPr>
          <w:rFonts w:ascii="Arial" w:cs="Arial" w:eastAsia="Arial" w:hAnsi="Arial"/>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Contractual Cash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cash obligations and commercial commitments as of March 31, 2021, to be paid over the next five years and thereafter:</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color w:val="auto"/>
              </w:rPr>
              <w:t>Payments Due by Period</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color w:val="auto"/>
              </w:rPr>
              <w:t>One Year or Less</w:t>
            </w:r>
          </w:p>
        </w:tc>
        <w:tc>
          <w:tcPr>
            <w:tcW w:w="2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rPr>
              <w:t>Years 2-3</w:t>
            </w:r>
          </w:p>
        </w:tc>
        <w:tc>
          <w:tcPr>
            <w:tcW w:w="22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Years 4-5</w:t>
            </w:r>
          </w:p>
        </w:tc>
        <w:tc>
          <w:tcPr>
            <w:tcW w:w="22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Arial" w:cs="Arial" w:eastAsia="Arial" w:hAnsi="Arial"/>
                <w:sz w:val="14"/>
                <w:szCs w:val="14"/>
                <w:color w:val="auto"/>
              </w:rPr>
              <w:t>Thereafter</w:t>
            </w:r>
          </w:p>
        </w:tc>
      </w:tr>
      <w:tr>
        <w:trPr>
          <w:trHeight w:val="161"/>
        </w:trPr>
        <w:tc>
          <w:tcPr>
            <w:tcW w:w="3940" w:type="dxa"/>
            <w:vAlign w:val="bottom"/>
          </w:tcPr>
          <w:p>
            <w:pPr>
              <w:ind w:left="20"/>
              <w:spacing w:after="0"/>
              <w:rPr>
                <w:sz w:val="20"/>
                <w:szCs w:val="20"/>
                <w:color w:val="auto"/>
              </w:rPr>
            </w:pPr>
            <w:r>
              <w:rPr>
                <w:rFonts w:ascii="Arial" w:cs="Arial" w:eastAsia="Arial" w:hAnsi="Arial"/>
                <w:sz w:val="14"/>
                <w:szCs w:val="14"/>
                <w:color w:val="auto"/>
              </w:rPr>
              <w:t>Contractual Obligations:</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214,996</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32,274</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on long-term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Cash contract commitments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Defined Benefit Plan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SERP</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2,496</w:t>
            </w:r>
          </w:p>
        </w:tc>
      </w:tr>
      <w:tr>
        <w:trPr>
          <w:trHeight w:val="181"/>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Tejon Ranch Conservancy</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Financing fees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940" w:type="dxa"/>
            <w:vAlign w:val="bottom"/>
          </w:tcPr>
          <w:p>
            <w:pPr>
              <w:ind w:left="280"/>
              <w:spacing w:after="0"/>
              <w:rPr>
                <w:sz w:val="20"/>
                <w:szCs w:val="20"/>
                <w:color w:val="auto"/>
              </w:rPr>
            </w:pPr>
            <w:r>
              <w:rPr>
                <w:rFonts w:ascii="Arial" w:cs="Arial" w:eastAsia="Arial" w:hAnsi="Arial"/>
                <w:sz w:val="14"/>
                <w:szCs w:val="14"/>
                <w:color w:val="auto"/>
              </w:rPr>
              <w:t>Total contractual obligations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354,252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22,292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37,870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38,237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255,853</w:t>
            </w: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5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6" w:lineRule="exact"/>
        <w:rPr>
          <w:sz w:val="20"/>
          <w:szCs w:val="20"/>
          <w:color w:val="auto"/>
        </w:rPr>
      </w:pPr>
    </w:p>
    <w:p>
      <w:pPr>
        <w:jc w:val="both"/>
        <w:ind w:right="340"/>
        <w:spacing w:after="0" w:line="267" w:lineRule="auto"/>
        <w:rPr>
          <w:sz w:val="20"/>
          <w:szCs w:val="20"/>
          <w:color w:val="auto"/>
        </w:rPr>
      </w:pPr>
      <w:r>
        <w:rPr>
          <w:rFonts w:ascii="Arial" w:cs="Arial" w:eastAsia="Arial" w:hAnsi="Arial"/>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2021.</w:t>
      </w:r>
    </w:p>
    <w:p>
      <w:pPr>
        <w:spacing w:after="0" w:line="29" w:lineRule="exact"/>
        <w:rPr>
          <w:sz w:val="20"/>
          <w:szCs w:val="20"/>
          <w:color w:val="auto"/>
        </w:rPr>
      </w:pPr>
    </w:p>
    <w:p>
      <w:pPr>
        <w:ind w:right="160"/>
        <w:spacing w:after="0" w:line="319" w:lineRule="auto"/>
        <w:rPr>
          <w:sz w:val="20"/>
          <w:szCs w:val="20"/>
          <w:color w:val="auto"/>
        </w:rPr>
      </w:pPr>
      <w:r>
        <w:rPr>
          <w:rFonts w:ascii="Arial" w:cs="Arial" w:eastAsia="Arial" w:hAnsi="Arial"/>
          <w:sz w:val="12"/>
          <w:szCs w:val="12"/>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 See Note 12 (Commitments and Contingencies) of the Notes to Unaudited Consolidated Financial Statements for a discussion of litigation related to payment obligations to the Tejon Ranch Conservancy.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8"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20"/>
                <w:szCs w:val="20"/>
                <w:color w:val="auto"/>
              </w:rPr>
            </w:pPr>
            <w:r>
              <w:rPr>
                <w:rFonts w:ascii="Arial" w:cs="Arial" w:eastAsia="Arial" w:hAnsi="Arial"/>
                <w:sz w:val="14"/>
                <w:szCs w:val="14"/>
                <w:b w:val="1"/>
                <w:bCs w:val="1"/>
                <w:color w:val="006EBF"/>
              </w:rPr>
              <w:t>Off-Balance Sheet Arrangements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7120" w:type="dxa"/>
            <w:vAlign w:val="bottom"/>
            <w:gridSpan w:val="7"/>
          </w:tcPr>
          <w:p>
            <w:pPr>
              <w:spacing w:after="0"/>
              <w:rPr>
                <w:sz w:val="20"/>
                <w:szCs w:val="20"/>
                <w:color w:val="auto"/>
              </w:rPr>
            </w:pPr>
            <w:r>
              <w:rPr>
                <w:rFonts w:ascii="Arial" w:cs="Arial" w:eastAsia="Arial" w:hAnsi="Arial"/>
                <w:sz w:val="14"/>
                <w:szCs w:val="14"/>
                <w:color w:val="auto"/>
              </w:rPr>
              <w:t>The following table shows contingent obligations we have with respect to certain bonds issued by the CFDs: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4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color w:val="auto"/>
                <w:w w:val="93"/>
              </w:rPr>
              <w:t>Amount of Commitment Expiration Per Period</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&lt; 1 year</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2 -3 Years</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4 -5 Years</w:t>
            </w:r>
          </w:p>
        </w:tc>
        <w:tc>
          <w:tcPr>
            <w:tcW w:w="18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rPr>
              <w:t>After 5 Years</w:t>
            </w:r>
          </w:p>
        </w:tc>
      </w:tr>
      <w:tr>
        <w:trPr>
          <w:trHeight w:val="161"/>
        </w:trPr>
        <w:tc>
          <w:tcPr>
            <w:tcW w:w="4300" w:type="dxa"/>
            <w:vAlign w:val="bottom"/>
          </w:tcPr>
          <w:p>
            <w:pPr>
              <w:ind w:left="20"/>
              <w:spacing w:after="0"/>
              <w:rPr>
                <w:sz w:val="20"/>
                <w:szCs w:val="20"/>
                <w:color w:val="auto"/>
              </w:rPr>
            </w:pPr>
            <w:r>
              <w:rPr>
                <w:rFonts w:ascii="Arial" w:cs="Arial" w:eastAsia="Arial" w:hAnsi="Arial"/>
                <w:sz w:val="14"/>
                <w:szCs w:val="14"/>
                <w:color w:val="auto"/>
              </w:rPr>
              <w:t>Other Commercial Commitments: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1"/>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Standby letter of credit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r>
      <w:tr>
        <w:trPr>
          <w:trHeight w:val="171"/>
        </w:trPr>
        <w:tc>
          <w:tcPr>
            <w:tcW w:w="4300" w:type="dxa"/>
            <w:vAlign w:val="bottom"/>
          </w:tcPr>
          <w:p>
            <w:pPr>
              <w:ind w:left="120"/>
              <w:spacing w:after="0"/>
              <w:rPr>
                <w:sz w:val="20"/>
                <w:szCs w:val="20"/>
                <w:color w:val="auto"/>
              </w:rPr>
            </w:pPr>
            <w:r>
              <w:rPr>
                <w:rFonts w:ascii="Arial" w:cs="Arial" w:eastAsia="Arial" w:hAnsi="Arial"/>
                <w:sz w:val="14"/>
                <w:szCs w:val="14"/>
                <w:color w:val="auto"/>
              </w:rPr>
              <w:t>Total other commercial commitments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4"/>
                <w:szCs w:val="14"/>
                <w:color w:val="auto"/>
              </w:rPr>
              <w:t>—</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5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March 31, 2021, that the letter of credit will likely never be drawn upon. This letter of credit is for a two-year period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March 31, 2021.</w:t>
      </w:r>
    </w:p>
    <w:p>
      <w:pPr>
        <w:spacing w:after="0" w:line="4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of March 31, 2021, aggregate outstanding debt of unconsolidated joint ventures was $132,401,000. We provided a guarantee on $117,748,000 of this debt, relating to our joint ventures with Rockefeller and Majestic. Because of positive cash flow generation within the Rockefeller and Majestic joint ventures, we, as of March 31, 2021, do not expect the guarantee to be called upon. We do not provide a guarantee on the $14,653,000 of debt related to our joint venture with TA/Petro.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006EBF"/>
        </w:rPr>
        <w:t>Non-GAAP Financial Measures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 attributable to non-controlling interest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80"/>
        </w:trPr>
        <w:tc>
          <w:tcPr>
            <w:tcW w:w="7920" w:type="dxa"/>
            <w:vAlign w:val="bottom"/>
          </w:tcPr>
          <w:p>
            <w:pPr>
              <w:ind w:left="20"/>
              <w:spacing w:after="0"/>
              <w:rPr>
                <w:sz w:val="20"/>
                <w:szCs w:val="20"/>
                <w:color w:val="auto"/>
              </w:rPr>
            </w:pPr>
            <w:r>
              <w:rPr>
                <w:rFonts w:ascii="Arial" w:cs="Arial" w:eastAsia="Arial" w:hAnsi="Arial"/>
                <w:sz w:val="14"/>
                <w:szCs w:val="14"/>
                <w:color w:val="auto"/>
              </w:rPr>
              <w:t>Interest, net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1"/>
        </w:trPr>
        <w:tc>
          <w:tcPr>
            <w:tcW w:w="7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Our share of interest expense from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interest, net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80"/>
        </w:trPr>
        <w:tc>
          <w:tcPr>
            <w:tcW w:w="792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18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7920" w:type="dxa"/>
            <w:vAlign w:val="bottom"/>
          </w:tcPr>
          <w:p>
            <w:pPr>
              <w:ind w:left="120"/>
              <w:spacing w:after="0"/>
              <w:rPr>
                <w:sz w:val="20"/>
                <w:szCs w:val="20"/>
                <w:color w:val="auto"/>
              </w:rPr>
            </w:pPr>
            <w:r>
              <w:rPr>
                <w:rFonts w:ascii="Arial" w:cs="Arial" w:eastAsia="Arial" w:hAnsi="Arial"/>
                <w:sz w:val="14"/>
                <w:szCs w:val="14"/>
                <w:color w:val="auto"/>
              </w:rPr>
              <w:t>Consolidated</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181"/>
        </w:trPr>
        <w:tc>
          <w:tcPr>
            <w:tcW w:w="7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Our share of depreciation and amortization from unconsolidated joint ventures</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r>
      <w:tr>
        <w:trPr>
          <w:trHeight w:val="171"/>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depreciation and amortization</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 compensation expense</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3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Commercial/Industrial operating income</w:t>
            </w:r>
          </w:p>
        </w:tc>
        <w:tc>
          <w:tcPr>
            <w:tcW w:w="32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80"/>
        </w:trPr>
        <w:tc>
          <w:tcPr>
            <w:tcW w:w="4600" w:type="dxa"/>
            <w:vAlign w:val="bottom"/>
          </w:tcPr>
          <w:p>
            <w:pPr>
              <w:ind w:left="120"/>
              <w:spacing w:after="0"/>
              <w:rPr>
                <w:sz w:val="20"/>
                <w:szCs w:val="20"/>
                <w:color w:val="auto"/>
              </w:rPr>
            </w:pPr>
            <w:r>
              <w:rPr>
                <w:rFonts w:ascii="Arial" w:cs="Arial" w:eastAsia="Arial" w:hAnsi="Arial"/>
                <w:sz w:val="14"/>
                <w:szCs w:val="14"/>
                <w:color w:val="auto"/>
              </w:rPr>
              <w:t>Plus: Commercial/Industrial depreciation and amortization</w:t>
            </w:r>
          </w:p>
        </w:tc>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Plus: General, administrative, cost of sales and other expenses</w:t>
            </w:r>
          </w:p>
        </w:tc>
        <w:tc>
          <w:tcPr>
            <w:tcW w:w="3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Other revenues including land sales</w:t>
            </w:r>
          </w:p>
        </w:tc>
        <w:tc>
          <w:tcPr>
            <w:tcW w:w="3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3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089"/>
              <w:spacing w:after="0"/>
              <w:rPr>
                <w:sz w:val="20"/>
                <w:szCs w:val="20"/>
                <w:color w:val="auto"/>
              </w:rPr>
            </w:pPr>
            <w:r>
              <w:rPr>
                <w:rFonts w:ascii="Arial" w:cs="Arial" w:eastAsia="Arial" w:hAnsi="Arial"/>
                <w:sz w:val="14"/>
                <w:szCs w:val="14"/>
                <w:color w:val="auto"/>
              </w:rPr>
              <w:t>40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color w:val="auto"/>
              </w:rPr>
              <w:t>Three Months Ended March 31,</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operating income</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TRCC</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commercial leases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of unconsolidated joint ventures</w:t>
            </w:r>
          </w:p>
        </w:tc>
        <w:tc>
          <w:tcPr>
            <w:tcW w:w="33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 of unconsolidated joint ventures</w:t>
            </w:r>
          </w:p>
        </w:tc>
        <w:tc>
          <w:tcPr>
            <w:tcW w:w="33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of unconsolidated joint ventures</w:t>
            </w:r>
          </w:p>
        </w:tc>
        <w:tc>
          <w:tcPr>
            <w:tcW w:w="3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 of unconsolidated joint ventures</w:t>
            </w:r>
          </w:p>
        </w:tc>
        <w:tc>
          <w:tcPr>
            <w:tcW w:w="33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income of unconsolidated joint ventures</w:t>
            </w:r>
          </w:p>
        </w:tc>
        <w:tc>
          <w:tcPr>
            <w:tcW w:w="33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129"/>
              <w:spacing w:after="0"/>
              <w:rPr>
                <w:sz w:val="20"/>
                <w:szCs w:val="20"/>
                <w:color w:val="auto"/>
              </w:rPr>
            </w:pPr>
            <w:r>
              <w:rPr>
                <w:rFonts w:ascii="Arial" w:cs="Arial" w:eastAsia="Arial" w:hAnsi="Arial"/>
                <w:sz w:val="14"/>
                <w:szCs w:val="14"/>
                <w:color w:val="auto"/>
              </w:rPr>
              <w:t>41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5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6EBF"/>
        </w:rPr>
        <w:t>ITEM 3. QUANTITATIVE AND QUALITATIVE DISCLOSURES ABOUT MARKET RISK</w:t>
      </w:r>
    </w:p>
    <w:p>
      <w:pPr>
        <w:spacing w:after="0" w:line="76"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Market Risks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Our exposure to financial market risks includes changes to interest rates and credit risks related to marketable securities, interest rates related to our outstanding indebtedness and trade receivables.</w:t>
      </w:r>
    </w:p>
    <w:p>
      <w:pPr>
        <w:spacing w:after="0" w:line="9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46"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color w:val="auto"/>
        </w:rPr>
        <w:t>The RLC had no outstanding balance as of March 31, 2021.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are exposed to interest rate risk on our long-term debt. Long-term debt consists of two term loans, one of which has a balance of $53,881,000 as of March 31, 2021 and is tied to LIBOR plus a margin of 1.70%. The interest rate for the term of this loan has been fixed through the use of an interest rate swap that fixed the rate at 4.16%. The outstanding balance on the second term loan as of March 31, 2021 was $2,131,000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40"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46"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2024</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100" w:type="dxa"/>
            <w:vAlign w:val="bottom"/>
          </w:tcPr>
          <w:p>
            <w:pPr>
              <w:spacing w:after="0"/>
              <w:rPr>
                <w:sz w:val="15"/>
                <w:szCs w:val="15"/>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Thereafter</w:t>
            </w:r>
          </w:p>
        </w:tc>
        <w:tc>
          <w:tcPr>
            <w:tcW w:w="108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$3,356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$4,214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$7,570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$7,565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0.48%</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0.32%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$184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$254</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$265</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$277</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$289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$862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$2,131</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Long-term debt (Amended Term Loan)</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$3,045</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$4,221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8"/>
              </w:rPr>
              <w:t>$4,429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$4,624</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$4,825</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$32,737</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$53,881</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$53,881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4"/>
          <w:szCs w:val="14"/>
          <w:b w:val="1"/>
          <w:bCs w:val="1"/>
          <w:color w:val="auto"/>
        </w:rPr>
        <w:t>Interest Rate Sensitivity Financial Market Risks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At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percentage data)</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100" w:type="dxa"/>
            <w:vAlign w:val="bottom"/>
          </w:tcPr>
          <w:p>
            <w:pPr>
              <w:spacing w:after="0"/>
              <w:rPr>
                <w:sz w:val="15"/>
                <w:szCs w:val="15"/>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Thereafter</w:t>
            </w:r>
          </w:p>
        </w:tc>
        <w:tc>
          <w:tcPr>
            <w:tcW w:w="11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1040" w:type="dxa"/>
            <w:vAlign w:val="bottom"/>
          </w:tcPr>
          <w:p>
            <w:pPr>
              <w:ind w:left="2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$2,766</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$2,766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$2,771</w:t>
            </w:r>
          </w:p>
        </w:tc>
        <w:tc>
          <w:tcPr>
            <w:tcW w:w="0" w:type="dxa"/>
            <w:vAlign w:val="bottom"/>
          </w:tcPr>
          <w:p>
            <w:pPr>
              <w:spacing w:after="0"/>
              <w:rPr>
                <w:sz w:val="1"/>
                <w:szCs w:val="1"/>
                <w:color w:val="auto"/>
              </w:rPr>
            </w:pPr>
          </w:p>
        </w:tc>
      </w:tr>
      <w:tr>
        <w:trPr>
          <w:trHeight w:val="180"/>
        </w:trPr>
        <w:tc>
          <w:tcPr>
            <w:tcW w:w="2480" w:type="dxa"/>
            <w:vAlign w:val="bottom"/>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$244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$254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$265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$277</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$289</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$862</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$2,191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$2,191</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4.25%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Long-term debt ($70.0M note)</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$4,051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$4,221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$4,429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$4,624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$4,825</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$32,737</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$54,887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$54,887</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Commodity Price Exposure</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Farming inventories and accounts receivables are exposed to adverse price fluctuations. Farming inventories consists of farming cultural and processing costs associated with crop production.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Farming inventory costs are recorded as incurred. Historically, these costs have been recovered through crop sales occurring after harvest.</w:t>
      </w:r>
    </w:p>
    <w:p>
      <w:pPr>
        <w:spacing w:after="0" w:line="62" w:lineRule="exact"/>
        <w:rPr>
          <w:sz w:val="20"/>
          <w:szCs w:val="20"/>
          <w:color w:val="auto"/>
        </w:rPr>
      </w:pPr>
    </w:p>
    <w:p>
      <w:pPr>
        <w:jc w:val="both"/>
        <w:ind w:right="240"/>
        <w:spacing w:after="0" w:line="267" w:lineRule="auto"/>
        <w:rPr>
          <w:sz w:val="20"/>
          <w:szCs w:val="20"/>
          <w:color w:val="auto"/>
        </w:rPr>
      </w:pPr>
      <w:r>
        <w:rPr>
          <w:rFonts w:ascii="Arial" w:cs="Arial" w:eastAsia="Arial" w:hAnsi="Arial"/>
          <w:sz w:val="14"/>
          <w:szCs w:val="14"/>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$1,324,000 of accounts receivable outstanding at March 31, 2021, $395,000, or 30%, pertains to pistachio sales receivables that are at risk to changing prices.</w:t>
      </w:r>
    </w:p>
    <w:p>
      <w:pPr>
        <w:spacing w:after="0" w:line="46"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The price estimated for the remaining accounts receivable for pistachios recorded at March 31, 2021 was $2.04 per pound and remains unchanged from December 31, 2020 levels. For each $0.01 change in the price per pound of pistachios, our receivable for pistachios increases or decreases by $1,900. Although the final price per pound of pistachios, and therefore the extent of the risk is presently unknown, pricing over the past three years has ranged from $1.98 to $2.04.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6EBF"/>
        </w:rPr>
        <w:t>ITEM 4. CONTROLS AND PROCEDURES</w:t>
      </w:r>
    </w:p>
    <w:p>
      <w:pPr>
        <w:spacing w:after="0" w:line="98" w:lineRule="exact"/>
        <w:rPr>
          <w:sz w:val="20"/>
          <w:szCs w:val="20"/>
          <w:color w:val="auto"/>
        </w:rPr>
      </w:pPr>
    </w:p>
    <w:p>
      <w:pPr>
        <w:ind w:left="440" w:hanging="435"/>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Evaluation of Disclosure Controls and Procedures</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49" w:lineRule="exact"/>
        <w:rPr>
          <w:sz w:val="20"/>
          <w:szCs w:val="20"/>
          <w:color w:val="auto"/>
        </w:rPr>
      </w:pPr>
    </w:p>
    <w:p>
      <w:pPr>
        <w:ind w:left="440" w:hanging="435"/>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w:t>
      </w:r>
    </w:p>
    <w:p>
      <w:pPr>
        <w:spacing w:after="0" w:line="13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31" w:right="39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 Legal Proceedings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12 (Commitments and Contingencies) in the Notes to Unaudited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1A. 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to the risk factors previously disclosed in Part I, Item 1A in our most recent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2. Unregistered Sales of Equity Securities and Use of Proceeds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3. Defaults Upon Senior Securities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4. Mine Safety Disclosures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Item 5.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EBF"/>
                <w:w w:val="91"/>
              </w:rPr>
              <w:t>Item 6. Exhibits:</w:t>
            </w:r>
          </w:p>
        </w:tc>
        <w:tc>
          <w:tcPr>
            <w:tcW w:w="8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Borders>
              <w:top w:val="single" w:sz="8" w:color="006EBF"/>
            </w:tcBorders>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8900" w:type="dxa"/>
            <w:vAlign w:val="bottom"/>
          </w:tcPr>
          <w:p>
            <w:pPr>
              <w:ind w:left="60"/>
              <w:spacing w:after="0"/>
              <w:rPr>
                <w:rFonts w:ascii="Arial" w:cs="Arial" w:eastAsia="Arial" w:hAnsi="Arial"/>
                <w:sz w:val="14"/>
                <w:szCs w:val="14"/>
                <w:color w:val="auto"/>
              </w:rPr>
            </w:pPr>
            <w:hyperlink r:id="rId64">
              <w:r>
                <w:rPr>
                  <w:rFonts w:ascii="Arial" w:cs="Arial" w:eastAsia="Arial" w:hAnsi="Arial"/>
                  <w:sz w:val="14"/>
                  <w:szCs w:val="14"/>
                  <w:color w:val="auto"/>
                </w:rPr>
                <w:t>Restated Certificate of Incorporation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8900" w:type="dxa"/>
            <w:vAlign w:val="bottom"/>
          </w:tcPr>
          <w:p>
            <w:pPr>
              <w:ind w:left="60"/>
              <w:spacing w:after="0"/>
              <w:rPr>
                <w:rFonts w:ascii="Arial" w:cs="Arial" w:eastAsia="Arial" w:hAnsi="Arial"/>
                <w:sz w:val="14"/>
                <w:szCs w:val="14"/>
                <w:color w:val="auto"/>
              </w:rPr>
            </w:pPr>
            <w:hyperlink r:id="rId65">
              <w:r>
                <w:rPr>
                  <w:rFonts w:ascii="Arial" w:cs="Arial" w:eastAsia="Arial" w:hAnsi="Arial"/>
                  <w:sz w:val="14"/>
                  <w:szCs w:val="14"/>
                  <w:color w:val="auto"/>
                </w:rPr>
                <w:t>Amended and Restated Bylaws</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2</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8900" w:type="dxa"/>
            <w:vAlign w:val="bottom"/>
          </w:tcPr>
          <w:p>
            <w:pPr>
              <w:ind w:left="60"/>
              <w:spacing w:after="0"/>
              <w:rPr>
                <w:rFonts w:ascii="Arial" w:cs="Arial" w:eastAsia="Arial" w:hAnsi="Arial"/>
                <w:sz w:val="14"/>
                <w:szCs w:val="14"/>
                <w:color w:val="auto"/>
              </w:rPr>
            </w:pPr>
            <w:hyperlink r:id="rId66">
              <w:r>
                <w:rPr>
                  <w:rFonts w:ascii="Arial" w:cs="Arial" w:eastAsia="Arial" w:hAnsi="Arial"/>
                  <w:sz w:val="14"/>
                  <w:szCs w:val="14"/>
                  <w:color w:val="auto"/>
                </w:rPr>
                <w:t>Registration and Reimbursement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5</w:t>
            </w:r>
          </w:p>
        </w:tc>
        <w:tc>
          <w:tcPr>
            <w:tcW w:w="0" w:type="dxa"/>
            <w:vAlign w:val="bottom"/>
          </w:tcPr>
          <w:p>
            <w:pPr>
              <w:spacing w:after="0"/>
              <w:rPr>
                <w:sz w:val="1"/>
                <w:szCs w:val="1"/>
                <w:color w:val="auto"/>
              </w:rPr>
            </w:pPr>
          </w:p>
        </w:tc>
      </w:tr>
      <w:tr>
        <w:trPr>
          <w:trHeight w:val="180"/>
        </w:trPr>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5"/>
                <w:szCs w:val="15"/>
                <w:color w:val="auto"/>
              </w:rPr>
            </w:pPr>
          </w:p>
        </w:tc>
        <w:tc>
          <w:tcPr>
            <w:tcW w:w="8900" w:type="dxa"/>
            <w:vAlign w:val="bottom"/>
          </w:tcPr>
          <w:p>
            <w:pPr>
              <w:ind w:left="60"/>
              <w:spacing w:after="0"/>
              <w:rPr>
                <w:rFonts w:ascii="Arial" w:cs="Arial" w:eastAsia="Arial" w:hAnsi="Arial"/>
                <w:sz w:val="14"/>
                <w:szCs w:val="14"/>
                <w:color w:val="auto"/>
              </w:rPr>
            </w:pPr>
            <w:hyperlink r:id="rId67">
              <w:r>
                <w:rPr>
                  <w:rFonts w:ascii="Arial" w:cs="Arial" w:eastAsia="Arial" w:hAnsi="Arial"/>
                  <w:sz w:val="14"/>
                  <w:szCs w:val="14"/>
                  <w:color w:val="auto"/>
                </w:rPr>
                <w:t>Form of Indenture for Debt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37</w:t>
            </w:r>
          </w:p>
        </w:tc>
        <w:tc>
          <w:tcPr>
            <w:tcW w:w="0" w:type="dxa"/>
            <w:vAlign w:val="bottom"/>
          </w:tcPr>
          <w:p>
            <w:pPr>
              <w:spacing w:after="0"/>
              <w:rPr>
                <w:sz w:val="1"/>
                <w:szCs w:val="1"/>
                <w:color w:val="auto"/>
              </w:rPr>
            </w:pPr>
          </w:p>
        </w:tc>
      </w:tr>
      <w:tr>
        <w:trPr>
          <w:trHeight w:val="138"/>
        </w:trPr>
        <w:tc>
          <w:tcPr>
            <w:tcW w:w="1180" w:type="dxa"/>
            <w:vAlign w:val="bottom"/>
            <w:gridSpan w:val="3"/>
          </w:tcPr>
          <w:p>
            <w:pPr>
              <w:jc w:val="right"/>
              <w:ind w:right="100"/>
              <w:spacing w:after="0" w:line="139" w:lineRule="exact"/>
              <w:rPr>
                <w:sz w:val="20"/>
                <w:szCs w:val="20"/>
                <w:color w:val="auto"/>
              </w:rPr>
            </w:pPr>
            <w:r>
              <w:rPr>
                <w:rFonts w:ascii="Arial" w:cs="Arial" w:eastAsia="Arial" w:hAnsi="Arial"/>
                <w:sz w:val="14"/>
                <w:szCs w:val="14"/>
                <w:color w:val="auto"/>
              </w:rPr>
              <w:t>10.1</w:t>
            </w:r>
          </w:p>
        </w:tc>
        <w:tc>
          <w:tcPr>
            <w:tcW w:w="8900" w:type="dxa"/>
            <w:vAlign w:val="bottom"/>
          </w:tcPr>
          <w:p>
            <w:pPr>
              <w:ind w:left="60"/>
              <w:spacing w:after="0" w:line="139" w:lineRule="exact"/>
              <w:rPr>
                <w:sz w:val="20"/>
                <w:szCs w:val="20"/>
                <w:color w:val="auto"/>
              </w:rPr>
            </w:pPr>
            <w:r>
              <w:rPr>
                <w:rFonts w:ascii="Arial" w:cs="Arial" w:eastAsia="Arial" w:hAnsi="Arial"/>
                <w:sz w:val="14"/>
                <w:szCs w:val="14"/>
                <w:color w:val="auto"/>
              </w:rPr>
              <w:t>Water Service Contract with Wheeler Ridge-Maricopa Water Storage District (without exhibits), amendments originally filed under Item 11 to</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FN 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900" w:type="dxa"/>
            <w:vAlign w:val="bottom"/>
          </w:tcPr>
          <w:p>
            <w:pPr>
              <w:ind w:left="60"/>
              <w:spacing w:after="0"/>
              <w:rPr>
                <w:sz w:val="20"/>
                <w:szCs w:val="20"/>
                <w:color w:val="auto"/>
              </w:rPr>
            </w:pPr>
            <w:r>
              <w:rPr>
                <w:rFonts w:ascii="Arial" w:cs="Arial" w:eastAsia="Arial" w:hAnsi="Arial"/>
                <w:sz w:val="14"/>
                <w:szCs w:val="14"/>
                <w:color w:val="auto"/>
              </w:rPr>
              <w:t>Registrant's Annual Report on Form 10-K</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10.7</w:t>
            </w:r>
          </w:p>
        </w:tc>
        <w:tc>
          <w:tcPr>
            <w:tcW w:w="8900" w:type="dxa"/>
            <w:vAlign w:val="bottom"/>
          </w:tcPr>
          <w:p>
            <w:pPr>
              <w:ind w:left="60"/>
              <w:spacing w:after="0"/>
              <w:rPr>
                <w:rFonts w:ascii="Arial" w:cs="Arial" w:eastAsia="Arial" w:hAnsi="Arial"/>
                <w:sz w:val="14"/>
                <w:szCs w:val="14"/>
                <w:color w:val="auto"/>
              </w:rPr>
            </w:pPr>
            <w:hyperlink r:id="rId68">
              <w:r>
                <w:rPr>
                  <w:rFonts w:ascii="Arial" w:cs="Arial" w:eastAsia="Arial" w:hAnsi="Arial"/>
                  <w:sz w:val="14"/>
                  <w:szCs w:val="14"/>
                  <w:color w:val="auto"/>
                </w:rPr>
                <w:t>*Severance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10.8</w:t>
            </w:r>
          </w:p>
        </w:tc>
        <w:tc>
          <w:tcPr>
            <w:tcW w:w="8900" w:type="dxa"/>
            <w:vAlign w:val="bottom"/>
          </w:tcPr>
          <w:p>
            <w:pPr>
              <w:ind w:left="60"/>
              <w:spacing w:after="0"/>
              <w:rPr>
                <w:rFonts w:ascii="Arial" w:cs="Arial" w:eastAsia="Arial" w:hAnsi="Arial"/>
                <w:sz w:val="14"/>
                <w:szCs w:val="14"/>
                <w:color w:val="auto"/>
              </w:rPr>
            </w:pPr>
            <w:hyperlink r:id="rId68">
              <w:r>
                <w:rPr>
                  <w:rFonts w:ascii="Arial" w:cs="Arial" w:eastAsia="Arial" w:hAnsi="Arial"/>
                  <w:sz w:val="14"/>
                  <w:szCs w:val="14"/>
                  <w:color w:val="auto"/>
                </w:rPr>
                <w:t>*Director Compensation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10.9</w:t>
            </w:r>
          </w:p>
        </w:tc>
        <w:tc>
          <w:tcPr>
            <w:tcW w:w="8900" w:type="dxa"/>
            <w:vAlign w:val="bottom"/>
          </w:tcPr>
          <w:p>
            <w:pPr>
              <w:ind w:left="60"/>
              <w:spacing w:after="0"/>
              <w:rPr>
                <w:rFonts w:ascii="Arial" w:cs="Arial" w:eastAsia="Arial" w:hAnsi="Arial"/>
                <w:sz w:val="14"/>
                <w:szCs w:val="14"/>
                <w:color w:val="auto"/>
              </w:rPr>
            </w:pPr>
            <w:hyperlink r:id="rId69">
              <w:r>
                <w:rPr>
                  <w:rFonts w:ascii="Arial" w:cs="Arial" w:eastAsia="Arial" w:hAnsi="Arial"/>
                  <w:sz w:val="14"/>
                  <w:szCs w:val="14"/>
                  <w:color w:val="auto"/>
                </w:rPr>
                <w:t>*Amended and Restated Non-Employee Director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8</w:t>
            </w:r>
          </w:p>
        </w:tc>
        <w:tc>
          <w:tcPr>
            <w:tcW w:w="0" w:type="dxa"/>
            <w:vAlign w:val="bottom"/>
          </w:tcPr>
          <w:p>
            <w:pPr>
              <w:spacing w:after="0"/>
              <w:rPr>
                <w:sz w:val="1"/>
                <w:szCs w:val="1"/>
                <w:color w:val="auto"/>
              </w:rPr>
            </w:pPr>
          </w:p>
        </w:tc>
      </w:tr>
      <w:tr>
        <w:trPr>
          <w:trHeight w:val="265"/>
        </w:trPr>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10.9(1)</w:t>
            </w:r>
          </w:p>
        </w:tc>
        <w:tc>
          <w:tcPr>
            <w:tcW w:w="8900" w:type="dxa"/>
            <w:vAlign w:val="bottom"/>
          </w:tcPr>
          <w:p>
            <w:pPr>
              <w:ind w:left="60"/>
              <w:spacing w:after="0"/>
              <w:rPr>
                <w:rFonts w:ascii="Arial" w:cs="Arial" w:eastAsia="Arial" w:hAnsi="Arial"/>
                <w:sz w:val="14"/>
                <w:szCs w:val="14"/>
                <w:color w:val="auto"/>
              </w:rPr>
            </w:pPr>
            <w:hyperlink r:id="rId68">
              <w:r>
                <w:rPr>
                  <w:rFonts w:ascii="Arial" w:cs="Arial" w:eastAsia="Arial" w:hAnsi="Arial"/>
                  <w:sz w:val="14"/>
                  <w:szCs w:val="14"/>
                  <w:color w:val="auto"/>
                </w:rPr>
                <w:t>*Stock Option Agreement Pursuant to the Non-Employee Director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10.10</w:t>
            </w:r>
          </w:p>
        </w:tc>
        <w:tc>
          <w:tcPr>
            <w:tcW w:w="8900" w:type="dxa"/>
            <w:vAlign w:val="bottom"/>
          </w:tcPr>
          <w:p>
            <w:pPr>
              <w:ind w:left="60"/>
              <w:spacing w:after="0"/>
              <w:rPr>
                <w:rFonts w:ascii="Arial" w:cs="Arial" w:eastAsia="Arial" w:hAnsi="Arial"/>
                <w:sz w:val="14"/>
                <w:szCs w:val="14"/>
                <w:color w:val="auto"/>
              </w:rPr>
            </w:pPr>
            <w:hyperlink r:id="rId70">
              <w:r>
                <w:rPr>
                  <w:rFonts w:ascii="Arial" w:cs="Arial" w:eastAsia="Arial" w:hAnsi="Arial"/>
                  <w:sz w:val="14"/>
                  <w:szCs w:val="14"/>
                  <w:color w:val="auto"/>
                </w:rPr>
                <w:t>*Amended and Restated 1998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9</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10.10(1)</w:t>
            </w:r>
          </w:p>
        </w:tc>
        <w:tc>
          <w:tcPr>
            <w:tcW w:w="8900" w:type="dxa"/>
            <w:vAlign w:val="bottom"/>
          </w:tcPr>
          <w:p>
            <w:pPr>
              <w:ind w:left="60"/>
              <w:spacing w:after="0"/>
              <w:rPr>
                <w:rFonts w:ascii="Arial" w:cs="Arial" w:eastAsia="Arial" w:hAnsi="Arial"/>
                <w:sz w:val="14"/>
                <w:szCs w:val="14"/>
                <w:color w:val="auto"/>
              </w:rPr>
            </w:pPr>
            <w:hyperlink r:id="rId68">
              <w:r>
                <w:rPr>
                  <w:rFonts w:ascii="Arial" w:cs="Arial" w:eastAsia="Arial" w:hAnsi="Arial"/>
                  <w:sz w:val="14"/>
                  <w:szCs w:val="14"/>
                  <w:color w:val="auto"/>
                </w:rPr>
                <w:t>*Stock Option Agreement Pursuant to the 1998 Stock Incentive Plan</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10.12</w:t>
            </w:r>
          </w:p>
        </w:tc>
        <w:tc>
          <w:tcPr>
            <w:tcW w:w="8900" w:type="dxa"/>
            <w:vAlign w:val="bottom"/>
          </w:tcPr>
          <w:p>
            <w:pPr>
              <w:ind w:left="60"/>
              <w:spacing w:after="0"/>
              <w:rPr>
                <w:rFonts w:ascii="Arial" w:cs="Arial" w:eastAsia="Arial" w:hAnsi="Arial"/>
                <w:sz w:val="14"/>
                <w:szCs w:val="14"/>
                <w:color w:val="auto"/>
              </w:rPr>
            </w:pPr>
            <w:hyperlink r:id="rId71">
              <w:r>
                <w:rPr>
                  <w:rFonts w:ascii="Arial" w:cs="Arial" w:eastAsia="Arial" w:hAnsi="Arial"/>
                  <w:sz w:val="14"/>
                  <w:szCs w:val="14"/>
                  <w:color w:val="auto"/>
                </w:rPr>
                <w:t>Ground Lease with Pastoria Energy Facility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10</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10.15</w:t>
            </w:r>
          </w:p>
        </w:tc>
        <w:tc>
          <w:tcPr>
            <w:tcW w:w="8900" w:type="dxa"/>
            <w:vAlign w:val="bottom"/>
          </w:tcPr>
          <w:p>
            <w:pPr>
              <w:ind w:left="60"/>
              <w:spacing w:after="0"/>
              <w:rPr>
                <w:rFonts w:ascii="Arial" w:cs="Arial" w:eastAsia="Arial" w:hAnsi="Arial"/>
                <w:sz w:val="14"/>
                <w:szCs w:val="14"/>
                <w:color w:val="auto"/>
              </w:rPr>
            </w:pPr>
            <w:hyperlink r:id="rId72">
              <w:r>
                <w:rPr>
                  <w:rFonts w:ascii="Arial" w:cs="Arial" w:eastAsia="Arial" w:hAnsi="Arial"/>
                  <w:sz w:val="14"/>
                  <w:szCs w:val="14"/>
                  <w:color w:val="auto"/>
                </w:rPr>
                <w:t>Form of Securities Purchase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11</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10.16</w:t>
            </w:r>
          </w:p>
        </w:tc>
        <w:tc>
          <w:tcPr>
            <w:tcW w:w="8900" w:type="dxa"/>
            <w:vAlign w:val="bottom"/>
          </w:tcPr>
          <w:p>
            <w:pPr>
              <w:ind w:left="60"/>
              <w:spacing w:after="0"/>
              <w:rPr>
                <w:rFonts w:ascii="Arial" w:cs="Arial" w:eastAsia="Arial" w:hAnsi="Arial"/>
                <w:sz w:val="14"/>
                <w:szCs w:val="14"/>
                <w:color w:val="auto"/>
              </w:rPr>
            </w:pPr>
            <w:hyperlink r:id="rId73">
              <w:r>
                <w:rPr>
                  <w:rFonts w:ascii="Arial" w:cs="Arial" w:eastAsia="Arial" w:hAnsi="Arial"/>
                  <w:sz w:val="14"/>
                  <w:szCs w:val="14"/>
                  <w:color w:val="auto"/>
                </w:rPr>
                <w:t>Form of Registration Rights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12</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10.17</w:t>
            </w:r>
          </w:p>
        </w:tc>
        <w:tc>
          <w:tcPr>
            <w:tcW w:w="8900" w:type="dxa"/>
            <w:vAlign w:val="bottom"/>
          </w:tcPr>
          <w:p>
            <w:pPr>
              <w:ind w:left="60"/>
              <w:spacing w:after="0"/>
              <w:rPr>
                <w:rFonts w:ascii="Arial" w:cs="Arial" w:eastAsia="Arial" w:hAnsi="Arial"/>
                <w:sz w:val="14"/>
                <w:szCs w:val="14"/>
                <w:color w:val="auto"/>
              </w:rPr>
            </w:pPr>
            <w:hyperlink r:id="rId74">
              <w:r>
                <w:rPr>
                  <w:rFonts w:ascii="Arial" w:cs="Arial" w:eastAsia="Arial" w:hAnsi="Arial"/>
                  <w:sz w:val="14"/>
                  <w:szCs w:val="14"/>
                  <w:color w:val="auto"/>
                </w:rPr>
                <w:t>*2004 Stock Incentive Program</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10.18</w:t>
            </w:r>
          </w:p>
        </w:tc>
        <w:tc>
          <w:tcPr>
            <w:tcW w:w="8900" w:type="dxa"/>
            <w:vAlign w:val="bottom"/>
          </w:tcPr>
          <w:p>
            <w:pPr>
              <w:ind w:left="60"/>
              <w:spacing w:after="0"/>
              <w:rPr>
                <w:rFonts w:ascii="Arial" w:cs="Arial" w:eastAsia="Arial" w:hAnsi="Arial"/>
                <w:sz w:val="14"/>
                <w:szCs w:val="14"/>
                <w:color w:val="auto"/>
              </w:rPr>
            </w:pPr>
            <w:hyperlink r:id="rId75">
              <w:r>
                <w:rPr>
                  <w:rFonts w:ascii="Arial" w:cs="Arial" w:eastAsia="Arial" w:hAnsi="Arial"/>
                  <w:sz w:val="14"/>
                  <w:szCs w:val="14"/>
                  <w:color w:val="auto"/>
                </w:rPr>
                <w:t>*Form of Restricted Stock Agreement for Directors</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10.19</w:t>
            </w:r>
          </w:p>
        </w:tc>
        <w:tc>
          <w:tcPr>
            <w:tcW w:w="8900" w:type="dxa"/>
            <w:vAlign w:val="bottom"/>
          </w:tcPr>
          <w:p>
            <w:pPr>
              <w:ind w:left="60"/>
              <w:spacing w:after="0"/>
              <w:rPr>
                <w:rFonts w:ascii="Arial" w:cs="Arial" w:eastAsia="Arial" w:hAnsi="Arial"/>
                <w:sz w:val="14"/>
                <w:szCs w:val="14"/>
                <w:color w:val="auto"/>
              </w:rPr>
            </w:pPr>
            <w:hyperlink r:id="rId76">
              <w:r>
                <w:rPr>
                  <w:rFonts w:ascii="Arial" w:cs="Arial" w:eastAsia="Arial" w:hAnsi="Arial"/>
                  <w:sz w:val="14"/>
                  <w:szCs w:val="14"/>
                  <w:color w:val="auto"/>
                </w:rPr>
                <w:t>*Form of Restricted Stock Unit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13</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10.23</w:t>
            </w:r>
          </w:p>
        </w:tc>
        <w:tc>
          <w:tcPr>
            <w:tcW w:w="8900" w:type="dxa"/>
            <w:vAlign w:val="bottom"/>
          </w:tcPr>
          <w:p>
            <w:pPr>
              <w:ind w:left="60"/>
              <w:spacing w:after="0"/>
              <w:rPr>
                <w:rFonts w:ascii="Arial" w:cs="Arial" w:eastAsia="Arial" w:hAnsi="Arial"/>
                <w:sz w:val="14"/>
                <w:szCs w:val="14"/>
                <w:color w:val="auto"/>
              </w:rPr>
            </w:pPr>
            <w:hyperlink r:id="rId77">
              <w:r>
                <w:rPr>
                  <w:rFonts w:ascii="Arial" w:cs="Arial" w:eastAsia="Arial" w:hAnsi="Arial"/>
                  <w:sz w:val="14"/>
                  <w:szCs w:val="14"/>
                  <w:color w:val="auto"/>
                </w:rPr>
                <w:t>Limited Liability Company Agreement of Tejon Mountain Village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14</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10.24</w:t>
            </w:r>
          </w:p>
        </w:tc>
        <w:tc>
          <w:tcPr>
            <w:tcW w:w="8900" w:type="dxa"/>
            <w:vAlign w:val="bottom"/>
          </w:tcPr>
          <w:p>
            <w:pPr>
              <w:ind w:left="60"/>
              <w:spacing w:after="0"/>
              <w:rPr>
                <w:rFonts w:ascii="Arial" w:cs="Arial" w:eastAsia="Arial" w:hAnsi="Arial"/>
                <w:sz w:val="14"/>
                <w:szCs w:val="14"/>
                <w:color w:val="auto"/>
              </w:rPr>
            </w:pPr>
            <w:hyperlink r:id="rId78">
              <w:r>
                <w:rPr>
                  <w:rFonts w:ascii="Arial" w:cs="Arial" w:eastAsia="Arial" w:hAnsi="Arial"/>
                  <w:sz w:val="14"/>
                  <w:szCs w:val="14"/>
                  <w:color w:val="auto"/>
                </w:rPr>
                <w:t>Tejon Ranch Conservation and Land Use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15</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10.25</w:t>
            </w:r>
          </w:p>
        </w:tc>
        <w:tc>
          <w:tcPr>
            <w:tcW w:w="8900" w:type="dxa"/>
            <w:vAlign w:val="bottom"/>
          </w:tcPr>
          <w:p>
            <w:pPr>
              <w:ind w:left="60"/>
              <w:spacing w:after="0"/>
              <w:rPr>
                <w:rFonts w:ascii="Arial" w:cs="Arial" w:eastAsia="Arial" w:hAnsi="Arial"/>
                <w:sz w:val="14"/>
                <w:szCs w:val="14"/>
                <w:color w:val="auto"/>
              </w:rPr>
            </w:pPr>
            <w:hyperlink r:id="rId79">
              <w:r>
                <w:rPr>
                  <w:rFonts w:ascii="Arial" w:cs="Arial" w:eastAsia="Arial" w:hAnsi="Arial"/>
                  <w:sz w:val="14"/>
                  <w:szCs w:val="14"/>
                  <w:color w:val="auto"/>
                </w:rPr>
                <w:t>Second Amended and Restated Limited Liability Agreement of Centennial Founders,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16</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10.26</w:t>
            </w:r>
          </w:p>
        </w:tc>
        <w:tc>
          <w:tcPr>
            <w:tcW w:w="8900" w:type="dxa"/>
            <w:vAlign w:val="bottom"/>
          </w:tcPr>
          <w:p>
            <w:pPr>
              <w:ind w:left="60"/>
              <w:spacing w:after="0"/>
              <w:rPr>
                <w:rFonts w:ascii="Arial" w:cs="Arial" w:eastAsia="Arial" w:hAnsi="Arial"/>
                <w:sz w:val="14"/>
                <w:szCs w:val="14"/>
                <w:color w:val="auto"/>
              </w:rPr>
            </w:pPr>
            <w:hyperlink r:id="rId80">
              <w:r>
                <w:rPr>
                  <w:rFonts w:ascii="Arial" w:cs="Arial" w:eastAsia="Arial" w:hAnsi="Arial"/>
                  <w:sz w:val="14"/>
                  <w:szCs w:val="14"/>
                  <w:color w:val="auto"/>
                </w:rPr>
                <w:t>*Executive Employment Agreement - Allen E. Lyda</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17</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10.27</w:t>
            </w:r>
          </w:p>
        </w:tc>
        <w:tc>
          <w:tcPr>
            <w:tcW w:w="8900" w:type="dxa"/>
            <w:vAlign w:val="bottom"/>
          </w:tcPr>
          <w:p>
            <w:pPr>
              <w:ind w:left="60"/>
              <w:spacing w:after="0"/>
              <w:rPr>
                <w:rFonts w:ascii="Arial" w:cs="Arial" w:eastAsia="Arial" w:hAnsi="Arial"/>
                <w:sz w:val="14"/>
                <w:szCs w:val="14"/>
                <w:color w:val="auto"/>
              </w:rPr>
            </w:pPr>
            <w:hyperlink r:id="rId81">
              <w:r>
                <w:rPr>
                  <w:rFonts w:ascii="Arial" w:cs="Arial" w:eastAsia="Arial" w:hAnsi="Arial"/>
                  <w:sz w:val="14"/>
                  <w:szCs w:val="14"/>
                  <w:color w:val="auto"/>
                </w:rPr>
                <w:t>Limited Liability Company Agreement of TRCC/Rock Outlet Center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18</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10.28</w:t>
            </w:r>
          </w:p>
        </w:tc>
        <w:tc>
          <w:tcPr>
            <w:tcW w:w="8900" w:type="dxa"/>
            <w:vAlign w:val="bottom"/>
          </w:tcPr>
          <w:p>
            <w:pPr>
              <w:ind w:left="60"/>
              <w:spacing w:after="0"/>
              <w:rPr>
                <w:rFonts w:ascii="Arial" w:cs="Arial" w:eastAsia="Arial" w:hAnsi="Arial"/>
                <w:sz w:val="14"/>
                <w:szCs w:val="14"/>
                <w:color w:val="auto"/>
              </w:rPr>
            </w:pPr>
            <w:hyperlink r:id="rId82">
              <w:r>
                <w:rPr>
                  <w:rFonts w:ascii="Arial" w:cs="Arial" w:eastAsia="Arial" w:hAnsi="Arial"/>
                  <w:sz w:val="14"/>
                  <w:szCs w:val="14"/>
                  <w:color w:val="auto"/>
                </w:rPr>
                <w:t>Warrant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19</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10.29</w:t>
            </w:r>
          </w:p>
        </w:tc>
        <w:tc>
          <w:tcPr>
            <w:tcW w:w="8900" w:type="dxa"/>
            <w:vAlign w:val="bottom"/>
          </w:tcPr>
          <w:p>
            <w:pPr>
              <w:ind w:left="60"/>
              <w:spacing w:after="0"/>
              <w:rPr>
                <w:rFonts w:ascii="Arial" w:cs="Arial" w:eastAsia="Arial" w:hAnsi="Arial"/>
                <w:sz w:val="14"/>
                <w:szCs w:val="14"/>
                <w:color w:val="auto"/>
              </w:rPr>
            </w:pPr>
            <w:hyperlink r:id="rId83">
              <w:r>
                <w:rPr>
                  <w:rFonts w:ascii="Arial" w:cs="Arial" w:eastAsia="Arial" w:hAnsi="Arial"/>
                  <w:sz w:val="14"/>
                  <w:szCs w:val="14"/>
                  <w:color w:val="auto"/>
                </w:rPr>
                <w:t>Amendments to Limited Liability Company Agreement of Tejon Mountain Village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20</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10.30</w:t>
            </w:r>
          </w:p>
        </w:tc>
        <w:tc>
          <w:tcPr>
            <w:tcW w:w="8900" w:type="dxa"/>
            <w:vAlign w:val="bottom"/>
          </w:tcPr>
          <w:p>
            <w:pPr>
              <w:ind w:left="60"/>
              <w:spacing w:after="0"/>
              <w:rPr>
                <w:rFonts w:ascii="Arial" w:cs="Arial" w:eastAsia="Arial" w:hAnsi="Arial"/>
                <w:sz w:val="14"/>
                <w:szCs w:val="14"/>
                <w:color w:val="auto"/>
              </w:rPr>
            </w:pPr>
            <w:hyperlink r:id="rId84">
              <w:r>
                <w:rPr>
                  <w:rFonts w:ascii="Arial" w:cs="Arial" w:eastAsia="Arial" w:hAnsi="Arial"/>
                  <w:sz w:val="14"/>
                  <w:szCs w:val="14"/>
                  <w:color w:val="auto"/>
                </w:rPr>
                <w:t>Membership Interest Purchase Agreement - Tejon Mountain Village LLC</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21</w:t>
            </w:r>
          </w:p>
        </w:tc>
        <w:tc>
          <w:tcPr>
            <w:tcW w:w="0" w:type="dxa"/>
            <w:vAlign w:val="bottom"/>
          </w:tcPr>
          <w:p>
            <w:pPr>
              <w:spacing w:after="0"/>
              <w:rPr>
                <w:sz w:val="1"/>
                <w:szCs w:val="1"/>
                <w:color w:val="auto"/>
              </w:rPr>
            </w:pPr>
          </w:p>
        </w:tc>
      </w:tr>
      <w:tr>
        <w:trPr>
          <w:trHeight w:val="180"/>
        </w:trPr>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10.31</w:t>
            </w:r>
          </w:p>
        </w:tc>
        <w:tc>
          <w:tcPr>
            <w:tcW w:w="8900" w:type="dxa"/>
            <w:vAlign w:val="bottom"/>
          </w:tcPr>
          <w:p>
            <w:pPr>
              <w:ind w:left="60"/>
              <w:spacing w:after="0"/>
              <w:rPr>
                <w:rFonts w:ascii="Arial" w:cs="Arial" w:eastAsia="Arial" w:hAnsi="Arial"/>
                <w:sz w:val="14"/>
                <w:szCs w:val="14"/>
                <w:color w:val="auto"/>
              </w:rPr>
            </w:pPr>
            <w:hyperlink r:id="rId85">
              <w:r>
                <w:rPr>
                  <w:rFonts w:ascii="Arial" w:cs="Arial" w:eastAsia="Arial" w:hAnsi="Arial"/>
                  <w:sz w:val="14"/>
                  <w:szCs w:val="14"/>
                  <w:color w:val="auto"/>
                </w:rPr>
                <w:t>Amended and Restated Credit Agreement</w:t>
              </w:r>
            </w:hyperlink>
          </w:p>
        </w:tc>
        <w:tc>
          <w:tcPr>
            <w:tcW w:w="1200" w:type="dxa"/>
            <w:vAlign w:val="bottom"/>
          </w:tcPr>
          <w:p>
            <w:pPr>
              <w:jc w:val="right"/>
              <w:spacing w:after="0"/>
              <w:rPr>
                <w:sz w:val="20"/>
                <w:szCs w:val="20"/>
                <w:color w:val="auto"/>
              </w:rPr>
            </w:pPr>
            <w:r>
              <w:rPr>
                <w:rFonts w:ascii="Arial" w:cs="Arial" w:eastAsia="Arial" w:hAnsi="Arial"/>
                <w:sz w:val="14"/>
                <w:szCs w:val="14"/>
                <w:color w:val="auto"/>
              </w:rPr>
              <w:t>FN 22</w:t>
            </w:r>
          </w:p>
        </w:tc>
        <w:tc>
          <w:tcPr>
            <w:tcW w:w="0" w:type="dxa"/>
            <w:vAlign w:val="bottom"/>
          </w:tcPr>
          <w:p>
            <w:pPr>
              <w:spacing w:after="0"/>
              <w:rPr>
                <w:sz w:val="1"/>
                <w:szCs w:val="1"/>
                <w:color w:val="auto"/>
              </w:rPr>
            </w:pPr>
          </w:p>
        </w:tc>
      </w:tr>
      <w:tr>
        <w:trPr>
          <w:trHeight w:val="6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tcPr>
          <w:p>
            <w:pPr>
              <w:ind w:left="4400"/>
              <w:spacing w:after="0"/>
              <w:rPr>
                <w:sz w:val="20"/>
                <w:szCs w:val="20"/>
                <w:color w:val="auto"/>
              </w:rPr>
            </w:pPr>
            <w:r>
              <w:rPr>
                <w:rFonts w:ascii="Arial" w:cs="Arial" w:eastAsia="Arial" w:hAnsi="Arial"/>
                <w:sz w:val="14"/>
                <w:szCs w:val="14"/>
                <w:color w:val="auto"/>
              </w:rPr>
              <w:t>45</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5" w:name="page46"/>
    <w:bookmarkEnd w:id="45"/>
    <w:tbl>
      <w:tblPr>
        <w:tblLayout w:type="fixed"/>
        <w:tblInd w:w="58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10.32</w:t>
            </w:r>
          </w:p>
        </w:tc>
        <w:tc>
          <w:tcPr>
            <w:tcW w:w="8700" w:type="dxa"/>
            <w:vAlign w:val="bottom"/>
          </w:tcPr>
          <w:p>
            <w:pPr>
              <w:ind w:left="60"/>
              <w:spacing w:after="0"/>
              <w:rPr>
                <w:rFonts w:ascii="Arial" w:cs="Arial" w:eastAsia="Arial" w:hAnsi="Arial"/>
                <w:sz w:val="14"/>
                <w:szCs w:val="14"/>
                <w:color w:val="auto"/>
              </w:rPr>
            </w:pPr>
            <w:hyperlink r:id="rId88">
              <w:r>
                <w:rPr>
                  <w:rFonts w:ascii="Arial" w:cs="Arial" w:eastAsia="Arial" w:hAnsi="Arial"/>
                  <w:sz w:val="14"/>
                  <w:szCs w:val="14"/>
                  <w:color w:val="auto"/>
                </w:rPr>
                <w:t>Term Note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10.33</w:t>
            </w:r>
          </w:p>
        </w:tc>
        <w:tc>
          <w:tcPr>
            <w:tcW w:w="8700" w:type="dxa"/>
            <w:vAlign w:val="bottom"/>
          </w:tcPr>
          <w:p>
            <w:pPr>
              <w:ind w:left="60"/>
              <w:spacing w:after="0"/>
              <w:rPr>
                <w:rFonts w:ascii="Arial" w:cs="Arial" w:eastAsia="Arial" w:hAnsi="Arial"/>
                <w:sz w:val="14"/>
                <w:szCs w:val="14"/>
                <w:color w:val="auto"/>
              </w:rPr>
            </w:pPr>
            <w:hyperlink r:id="rId89">
              <w:r>
                <w:rPr>
                  <w:rFonts w:ascii="Arial" w:cs="Arial" w:eastAsia="Arial" w:hAnsi="Arial"/>
                  <w:sz w:val="14"/>
                  <w:szCs w:val="14"/>
                  <w:color w:val="auto"/>
                </w:rPr>
                <w:t>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10.34</w:t>
            </w:r>
          </w:p>
        </w:tc>
        <w:tc>
          <w:tcPr>
            <w:tcW w:w="8700" w:type="dxa"/>
            <w:vAlign w:val="bottom"/>
          </w:tcPr>
          <w:p>
            <w:pPr>
              <w:ind w:left="60"/>
              <w:spacing w:after="0"/>
              <w:rPr>
                <w:rFonts w:ascii="Arial" w:cs="Arial" w:eastAsia="Arial" w:hAnsi="Arial"/>
                <w:sz w:val="14"/>
                <w:szCs w:val="14"/>
                <w:color w:val="auto"/>
              </w:rPr>
            </w:pPr>
            <w:hyperlink r:id="rId90">
              <w:r>
                <w:rPr>
                  <w:rFonts w:ascii="Arial" w:cs="Arial" w:eastAsia="Arial" w:hAnsi="Arial"/>
                  <w:sz w:val="14"/>
                  <w:szCs w:val="14"/>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8700" w:type="dxa"/>
            <w:vAlign w:val="bottom"/>
          </w:tcPr>
          <w:p>
            <w:pPr>
              <w:ind w:left="60"/>
              <w:spacing w:after="0"/>
              <w:rPr>
                <w:rFonts w:ascii="Arial" w:cs="Arial" w:eastAsia="Arial" w:hAnsi="Arial"/>
                <w:sz w:val="14"/>
                <w:szCs w:val="14"/>
                <w:color w:val="auto"/>
              </w:rPr>
            </w:pPr>
            <w:hyperlink r:id="rId91">
              <w:r>
                <w:rPr>
                  <w:rFonts w:ascii="Arial" w:cs="Arial" w:eastAsia="Arial" w:hAnsi="Arial"/>
                  <w:sz w:val="14"/>
                  <w:szCs w:val="14"/>
                  <w:color w:val="auto"/>
                </w:rPr>
                <w:t>Water Supply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10.37</w:t>
            </w:r>
          </w:p>
        </w:tc>
        <w:tc>
          <w:tcPr>
            <w:tcW w:w="8700" w:type="dxa"/>
            <w:vAlign w:val="bottom"/>
          </w:tcPr>
          <w:p>
            <w:pPr>
              <w:ind w:left="60"/>
              <w:spacing w:after="0"/>
              <w:rPr>
                <w:rFonts w:ascii="Arial" w:cs="Arial" w:eastAsia="Arial" w:hAnsi="Arial"/>
                <w:sz w:val="14"/>
                <w:szCs w:val="14"/>
                <w:color w:val="auto"/>
              </w:rPr>
            </w:pPr>
            <w:hyperlink r:id="rId92">
              <w:r>
                <w:rPr>
                  <w:rFonts w:ascii="Arial" w:cs="Arial" w:eastAsia="Arial" w:hAnsi="Arial"/>
                  <w:sz w:val="14"/>
                  <w:szCs w:val="14"/>
                  <w:color w:val="auto"/>
                </w:rPr>
                <w:t>Limited Liability Company Agreement of TRC-MRC 2,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10.38</w:t>
            </w:r>
          </w:p>
        </w:tc>
        <w:tc>
          <w:tcPr>
            <w:tcW w:w="8700" w:type="dxa"/>
            <w:vAlign w:val="bottom"/>
          </w:tcPr>
          <w:p>
            <w:pPr>
              <w:ind w:left="60"/>
              <w:spacing w:after="0"/>
              <w:rPr>
                <w:rFonts w:ascii="Arial" w:cs="Arial" w:eastAsia="Arial" w:hAnsi="Arial"/>
                <w:sz w:val="14"/>
                <w:szCs w:val="14"/>
                <w:color w:val="auto"/>
              </w:rPr>
            </w:pPr>
            <w:hyperlink r:id="rId93">
              <w:r>
                <w:rPr>
                  <w:rFonts w:ascii="Arial" w:cs="Arial" w:eastAsia="Arial" w:hAnsi="Arial"/>
                  <w:sz w:val="14"/>
                  <w:szCs w:val="14"/>
                  <w:color w:val="auto"/>
                </w:rPr>
                <w:t>Limited Liability Company Agreement of TRC-MRC 1,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10.39</w:t>
            </w:r>
          </w:p>
        </w:tc>
        <w:tc>
          <w:tcPr>
            <w:tcW w:w="8700" w:type="dxa"/>
            <w:vAlign w:val="bottom"/>
          </w:tcPr>
          <w:p>
            <w:pPr>
              <w:ind w:left="60"/>
              <w:spacing w:after="0"/>
              <w:rPr>
                <w:rFonts w:ascii="Arial" w:cs="Arial" w:eastAsia="Arial" w:hAnsi="Arial"/>
                <w:sz w:val="14"/>
                <w:szCs w:val="14"/>
                <w:color w:val="auto"/>
              </w:rPr>
            </w:pPr>
            <w:hyperlink r:id="rId94">
              <w:r>
                <w:rPr>
                  <w:rFonts w:ascii="Arial" w:cs="Arial" w:eastAsia="Arial" w:hAnsi="Arial"/>
                  <w:sz w:val="14"/>
                  <w:szCs w:val="14"/>
                  <w:color w:val="auto"/>
                </w:rPr>
                <w:t>Centennial Founders LLC, Redemption and Withdrawal Agreement - Lewis Tejon Member,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10.40</w:t>
            </w:r>
          </w:p>
        </w:tc>
        <w:tc>
          <w:tcPr>
            <w:tcW w:w="8700" w:type="dxa"/>
            <w:vAlign w:val="bottom"/>
          </w:tcPr>
          <w:p>
            <w:pPr>
              <w:ind w:left="60"/>
              <w:spacing w:after="0"/>
              <w:rPr>
                <w:rFonts w:ascii="Arial" w:cs="Arial" w:eastAsia="Arial" w:hAnsi="Arial"/>
                <w:sz w:val="14"/>
                <w:szCs w:val="14"/>
                <w:color w:val="auto"/>
              </w:rPr>
            </w:pPr>
            <w:hyperlink r:id="rId95">
              <w:r>
                <w:rPr>
                  <w:rFonts w:ascii="Arial" w:cs="Arial" w:eastAsia="Arial" w:hAnsi="Arial"/>
                  <w:sz w:val="14"/>
                  <w:szCs w:val="14"/>
                  <w:color w:val="auto"/>
                </w:rPr>
                <w:t>First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10.41</w:t>
            </w:r>
          </w:p>
        </w:tc>
        <w:tc>
          <w:tcPr>
            <w:tcW w:w="8700" w:type="dxa"/>
            <w:vAlign w:val="bottom"/>
          </w:tcPr>
          <w:p>
            <w:pPr>
              <w:ind w:left="60"/>
              <w:spacing w:after="0"/>
              <w:rPr>
                <w:rFonts w:ascii="Arial" w:cs="Arial" w:eastAsia="Arial" w:hAnsi="Arial"/>
                <w:sz w:val="14"/>
                <w:szCs w:val="14"/>
                <w:color w:val="auto"/>
              </w:rPr>
            </w:pPr>
            <w:hyperlink r:id="rId96">
              <w:r>
                <w:rPr>
                  <w:rFonts w:ascii="Arial" w:cs="Arial" w:eastAsia="Arial" w:hAnsi="Arial"/>
                  <w:sz w:val="14"/>
                  <w:szCs w:val="14"/>
                  <w:color w:val="auto"/>
                </w:rPr>
                <w:t>Second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10.42</w:t>
            </w:r>
          </w:p>
        </w:tc>
        <w:tc>
          <w:tcPr>
            <w:tcW w:w="8700" w:type="dxa"/>
            <w:vAlign w:val="bottom"/>
          </w:tcPr>
          <w:p>
            <w:pPr>
              <w:ind w:left="60"/>
              <w:spacing w:after="0"/>
              <w:rPr>
                <w:rFonts w:ascii="Arial" w:cs="Arial" w:eastAsia="Arial" w:hAnsi="Arial"/>
                <w:sz w:val="14"/>
                <w:szCs w:val="14"/>
                <w:color w:val="auto"/>
              </w:rPr>
            </w:pPr>
            <w:hyperlink r:id="rId97">
              <w:r>
                <w:rPr>
                  <w:rFonts w:ascii="Arial" w:cs="Arial" w:eastAsia="Arial" w:hAnsi="Arial"/>
                  <w:sz w:val="14"/>
                  <w:szCs w:val="14"/>
                  <w:color w:val="auto"/>
                </w:rPr>
                <w:t>Limited Liability Company Agreement of TRC-MRC 3,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10.43</w:t>
            </w:r>
          </w:p>
        </w:tc>
        <w:tc>
          <w:tcPr>
            <w:tcW w:w="8700" w:type="dxa"/>
            <w:vAlign w:val="bottom"/>
          </w:tcPr>
          <w:p>
            <w:pPr>
              <w:ind w:left="60"/>
              <w:spacing w:after="0"/>
              <w:rPr>
                <w:rFonts w:ascii="Arial" w:cs="Arial" w:eastAsia="Arial" w:hAnsi="Arial"/>
                <w:sz w:val="14"/>
                <w:szCs w:val="14"/>
                <w:color w:val="auto"/>
              </w:rPr>
            </w:pPr>
            <w:hyperlink r:id="rId98">
              <w:r>
                <w:rPr>
                  <w:rFonts w:ascii="Arial" w:cs="Arial" w:eastAsia="Arial" w:hAnsi="Arial"/>
                  <w:sz w:val="14"/>
                  <w:szCs w:val="14"/>
                  <w:color w:val="auto"/>
                </w:rPr>
                <w:t>Fourth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10.44</w:t>
            </w:r>
          </w:p>
        </w:tc>
        <w:tc>
          <w:tcPr>
            <w:tcW w:w="8700" w:type="dxa"/>
            <w:vAlign w:val="bottom"/>
          </w:tcPr>
          <w:p>
            <w:pPr>
              <w:ind w:left="60"/>
              <w:spacing w:after="0"/>
              <w:rPr>
                <w:rFonts w:ascii="Arial" w:cs="Arial" w:eastAsia="Arial" w:hAnsi="Arial"/>
                <w:sz w:val="14"/>
                <w:szCs w:val="14"/>
                <w:color w:val="auto"/>
              </w:rPr>
            </w:pPr>
            <w:hyperlink r:id="rId99">
              <w:r>
                <w:rPr>
                  <w:rFonts w:ascii="Arial" w:cs="Arial" w:eastAsia="Arial" w:hAnsi="Arial"/>
                  <w:sz w:val="14"/>
                  <w:szCs w:val="14"/>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10.45</w:t>
            </w:r>
          </w:p>
        </w:tc>
        <w:tc>
          <w:tcPr>
            <w:tcW w:w="8700" w:type="dxa"/>
            <w:vAlign w:val="bottom"/>
          </w:tcPr>
          <w:p>
            <w:pPr>
              <w:ind w:left="60"/>
              <w:spacing w:after="0"/>
              <w:rPr>
                <w:rFonts w:ascii="Arial" w:cs="Arial" w:eastAsia="Arial" w:hAnsi="Arial"/>
                <w:sz w:val="14"/>
                <w:szCs w:val="14"/>
                <w:color w:val="auto"/>
              </w:rPr>
            </w:pPr>
            <w:hyperlink r:id="rId100">
              <w:r>
                <w:rPr>
                  <w:rFonts w:ascii="Arial" w:cs="Arial" w:eastAsia="Arial" w:hAnsi="Arial"/>
                  <w:sz w:val="14"/>
                  <w:szCs w:val="14"/>
                  <w:color w:val="auto"/>
                </w:rPr>
                <w:t>Amended Revolving Line of Credit</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34</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10.46</w:t>
            </w:r>
          </w:p>
        </w:tc>
        <w:tc>
          <w:tcPr>
            <w:tcW w:w="8700" w:type="dxa"/>
            <w:vAlign w:val="bottom"/>
          </w:tcPr>
          <w:p>
            <w:pPr>
              <w:ind w:left="60"/>
              <w:spacing w:after="0"/>
              <w:rPr>
                <w:rFonts w:ascii="Arial" w:cs="Arial" w:eastAsia="Arial" w:hAnsi="Arial"/>
                <w:sz w:val="14"/>
                <w:szCs w:val="14"/>
                <w:color w:val="auto"/>
              </w:rPr>
            </w:pPr>
            <w:hyperlink r:id="rId101">
              <w:r>
                <w:rPr>
                  <w:rFonts w:ascii="Arial" w:cs="Arial" w:eastAsia="Arial" w:hAnsi="Arial"/>
                  <w:sz w:val="14"/>
                  <w:szCs w:val="14"/>
                  <w:color w:val="auto"/>
                </w:rPr>
                <w:t>Amended Term Note</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10.47</w:t>
            </w:r>
          </w:p>
        </w:tc>
        <w:tc>
          <w:tcPr>
            <w:tcW w:w="8700" w:type="dxa"/>
            <w:vAlign w:val="bottom"/>
          </w:tcPr>
          <w:p>
            <w:pPr>
              <w:ind w:left="60"/>
              <w:spacing w:after="0"/>
              <w:rPr>
                <w:rFonts w:ascii="Arial" w:cs="Arial" w:eastAsia="Arial" w:hAnsi="Arial"/>
                <w:sz w:val="14"/>
                <w:szCs w:val="14"/>
                <w:color w:val="auto"/>
              </w:rPr>
            </w:pPr>
            <w:hyperlink r:id="rId102">
              <w:r>
                <w:rPr>
                  <w:rFonts w:ascii="Arial" w:cs="Arial" w:eastAsia="Arial" w:hAnsi="Arial"/>
                  <w:sz w:val="14"/>
                  <w:szCs w:val="14"/>
                  <w:color w:val="auto"/>
                </w:rPr>
                <w:t>*Executive Officer Severance Agreement - Gregory S. Bielli</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10.48</w:t>
            </w:r>
          </w:p>
        </w:tc>
        <w:tc>
          <w:tcPr>
            <w:tcW w:w="8700" w:type="dxa"/>
            <w:vAlign w:val="bottom"/>
          </w:tcPr>
          <w:p>
            <w:pPr>
              <w:ind w:left="60"/>
              <w:spacing w:after="0"/>
              <w:rPr>
                <w:rFonts w:ascii="Arial" w:cs="Arial" w:eastAsia="Arial" w:hAnsi="Arial"/>
                <w:sz w:val="14"/>
                <w:szCs w:val="14"/>
                <w:color w:val="auto"/>
              </w:rPr>
            </w:pPr>
            <w:hyperlink w:anchor="page50">
              <w:r>
                <w:rPr>
                  <w:rFonts w:ascii="Arial" w:cs="Arial" w:eastAsia="Arial" w:hAnsi="Arial"/>
                  <w:sz w:val="14"/>
                  <w:szCs w:val="14"/>
                  <w:color w:val="auto"/>
                </w:rPr>
                <w:t>Limited Liability Company Agreement of TRC-MRC 4, LLC</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8700" w:type="dxa"/>
            <w:vAlign w:val="bottom"/>
          </w:tcPr>
          <w:p>
            <w:pPr>
              <w:ind w:left="60"/>
              <w:spacing w:after="0"/>
              <w:rPr>
                <w:rFonts w:ascii="Arial" w:cs="Arial" w:eastAsia="Arial" w:hAnsi="Arial"/>
                <w:sz w:val="14"/>
                <w:szCs w:val="14"/>
                <w:color w:val="auto"/>
              </w:rPr>
            </w:pPr>
            <w:hyperlink w:anchor="page151">
              <w:r>
                <w:rPr>
                  <w:rFonts w:ascii="Arial" w:cs="Arial" w:eastAsia="Arial" w:hAnsi="Arial"/>
                  <w:sz w:val="14"/>
                  <w:szCs w:val="14"/>
                  <w:color w:val="auto"/>
                </w:rPr>
                <w:t>Certification as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8700" w:type="dxa"/>
            <w:vAlign w:val="bottom"/>
          </w:tcPr>
          <w:p>
            <w:pPr>
              <w:ind w:left="60"/>
              <w:spacing w:after="0"/>
              <w:rPr>
                <w:rFonts w:ascii="Arial" w:cs="Arial" w:eastAsia="Arial" w:hAnsi="Arial"/>
                <w:sz w:val="14"/>
                <w:szCs w:val="14"/>
                <w:color w:val="auto"/>
              </w:rPr>
            </w:pPr>
            <w:hyperlink w:anchor="page152">
              <w:r>
                <w:rPr>
                  <w:rFonts w:ascii="Arial" w:cs="Arial" w:eastAsia="Arial" w:hAnsi="Arial"/>
                  <w:sz w:val="14"/>
                  <w:szCs w:val="14"/>
                  <w:color w:val="auto"/>
                </w:rPr>
                <w:t>Certification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8700" w:type="dxa"/>
            <w:vAlign w:val="bottom"/>
          </w:tcPr>
          <w:p>
            <w:pPr>
              <w:ind w:left="60"/>
              <w:spacing w:after="0"/>
              <w:rPr>
                <w:rFonts w:ascii="Arial" w:cs="Arial" w:eastAsia="Arial" w:hAnsi="Arial"/>
                <w:sz w:val="14"/>
                <w:szCs w:val="14"/>
                <w:color w:val="auto"/>
              </w:rPr>
            </w:pPr>
            <w:hyperlink w:anchor="page153">
              <w:r>
                <w:rPr>
                  <w:rFonts w:ascii="Arial" w:cs="Arial" w:eastAsia="Arial" w:hAnsi="Arial"/>
                  <w:sz w:val="14"/>
                  <w:szCs w:val="14"/>
                  <w:color w:val="auto"/>
                </w:rPr>
                <w:t>Certification Pursuant to 18 U.S.C. Section 1350, as Adopted Pursuant to Section 906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38"/>
        </w:trPr>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101.INS</w:t>
            </w:r>
          </w:p>
        </w:tc>
        <w:tc>
          <w:tcPr>
            <w:tcW w:w="8700" w:type="dxa"/>
            <w:vAlign w:val="bottom"/>
          </w:tcPr>
          <w:p>
            <w:pPr>
              <w:ind w:left="60"/>
              <w:spacing w:after="0" w:line="139" w:lineRule="exact"/>
              <w:rPr>
                <w:sz w:val="20"/>
                <w:szCs w:val="20"/>
                <w:color w:val="auto"/>
              </w:rPr>
            </w:pPr>
            <w:r>
              <w:rPr>
                <w:rFonts w:ascii="Arial" w:cs="Arial" w:eastAsia="Arial" w:hAnsi="Arial"/>
                <w:sz w:val="14"/>
                <w:szCs w:val="14"/>
                <w:color w:val="auto"/>
                <w:w w:val="96"/>
              </w:rPr>
              <w:t>XBRL Instance Document - the instance document does not appear in the Interactive Data File because its XBRL tags are embedded within the</w:t>
            </w: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spacing w:after="0"/>
              <w:rPr>
                <w:sz w:val="15"/>
                <w:szCs w:val="15"/>
                <w:color w:val="auto"/>
              </w:rPr>
            </w:pP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document.</w:t>
            </w:r>
          </w:p>
        </w:tc>
        <w:tc>
          <w:tcPr>
            <w:tcW w:w="1340" w:type="dxa"/>
            <w:vAlign w:val="bottom"/>
          </w:tcPr>
          <w:p>
            <w:pPr>
              <w:spacing w:after="0"/>
              <w:rPr>
                <w:sz w:val="15"/>
                <w:szCs w:val="15"/>
                <w:color w:val="auto"/>
              </w:rPr>
            </w:pP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1"/>
              </w:rPr>
              <w:t>101.SCH</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5"/>
              </w:rPr>
              <w:t>101.CAL</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4"/>
              </w:rPr>
              <w:t>101.DEF</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6"/>
              </w:rPr>
              <w:t>101.LAB</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Arial" w:cs="Arial" w:eastAsia="Arial" w:hAnsi="Arial"/>
                <w:sz w:val="14"/>
                <w:szCs w:val="14"/>
                <w:color w:val="auto"/>
                <w:w w:val="92"/>
              </w:rPr>
              <w:t>101.PRE</w:t>
            </w:r>
          </w:p>
        </w:tc>
        <w:tc>
          <w:tcPr>
            <w:tcW w:w="870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1340" w:type="dxa"/>
            <w:vAlign w:val="bottom"/>
          </w:tcPr>
          <w:p>
            <w:pPr>
              <w:jc w:val="right"/>
              <w:spacing w:after="0"/>
              <w:rPr>
                <w:sz w:val="20"/>
                <w:szCs w:val="20"/>
                <w:color w:val="auto"/>
              </w:rPr>
            </w:pPr>
            <w:r>
              <w:rPr>
                <w:rFonts w:ascii="Arial" w:cs="Arial" w:eastAsia="Arial" w:hAnsi="Arial"/>
                <w:sz w:val="14"/>
                <w:szCs w:val="14"/>
                <w:color w:val="auto"/>
              </w:rPr>
              <w:t>Filed herewith</w:t>
            </w:r>
          </w:p>
        </w:tc>
      </w:tr>
    </w:tbl>
    <w:p>
      <w:pPr>
        <w:ind w:left="1040" w:right="4880" w:hanging="137"/>
        <w:spacing w:after="0" w:line="297" w:lineRule="auto"/>
        <w:tabs>
          <w:tab w:leader="none" w:pos="12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Management contract, compensatory plan or arrangement.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ind w:left="20"/>
              <w:spacing w:after="0"/>
              <w:rPr>
                <w:sz w:val="20"/>
                <w:szCs w:val="20"/>
                <w:color w:val="auto"/>
              </w:rPr>
            </w:pPr>
            <w:r>
              <w:rPr>
                <w:rFonts w:ascii="Arial" w:cs="Arial" w:eastAsia="Arial" w:hAnsi="Arial"/>
                <w:sz w:val="14"/>
                <w:szCs w:val="14"/>
                <w:color w:val="auto"/>
              </w:rPr>
              <w:t>FN 1</w:t>
            </w:r>
          </w:p>
        </w:tc>
        <w:tc>
          <w:tcPr>
            <w:tcW w:w="10640" w:type="dxa"/>
            <w:vAlign w:val="bottom"/>
          </w:tcPr>
          <w:p>
            <w:pPr>
              <w:ind w:left="340"/>
              <w:spacing w:after="0"/>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99.1 to our Current Report on Form 8-K filed May 26,</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2020, is incorporated herein by reference. This Exhibit was not filed with the Securities and Exchange Commission in an electronic format.</w:t>
            </w:r>
          </w:p>
        </w:tc>
      </w:tr>
      <w:tr>
        <w:trPr>
          <w:trHeight w:val="138"/>
        </w:trPr>
        <w:tc>
          <w:tcPr>
            <w:tcW w:w="640" w:type="dxa"/>
            <w:vAlign w:val="bottom"/>
          </w:tcPr>
          <w:p>
            <w:pPr>
              <w:ind w:left="20"/>
              <w:spacing w:after="0" w:line="139" w:lineRule="exact"/>
              <w:rPr>
                <w:sz w:val="20"/>
                <w:szCs w:val="20"/>
                <w:color w:val="auto"/>
              </w:rPr>
            </w:pPr>
            <w:r>
              <w:rPr>
                <w:rFonts w:ascii="Arial" w:cs="Arial" w:eastAsia="Arial" w:hAnsi="Arial"/>
                <w:sz w:val="14"/>
                <w:szCs w:val="14"/>
                <w:color w:val="auto"/>
              </w:rPr>
              <w:t>FN 2</w:t>
            </w:r>
          </w:p>
        </w:tc>
        <w:tc>
          <w:tcPr>
            <w:tcW w:w="10640" w:type="dxa"/>
            <w:vAlign w:val="bottom"/>
          </w:tcPr>
          <w:p>
            <w:pPr>
              <w:ind w:left="34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99.1 to our Current Report on Form 8-K filed on May 26,</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2020, is incorporated herein by reference.</w:t>
            </w:r>
          </w:p>
        </w:tc>
      </w:tr>
      <w:tr>
        <w:trPr>
          <w:trHeight w:val="138"/>
        </w:trPr>
        <w:tc>
          <w:tcPr>
            <w:tcW w:w="640" w:type="dxa"/>
            <w:vAlign w:val="bottom"/>
          </w:tcPr>
          <w:p>
            <w:pPr>
              <w:ind w:left="20"/>
              <w:spacing w:after="0" w:line="139" w:lineRule="exact"/>
              <w:rPr>
                <w:sz w:val="20"/>
                <w:szCs w:val="20"/>
                <w:color w:val="auto"/>
              </w:rPr>
            </w:pPr>
            <w:r>
              <w:rPr>
                <w:rFonts w:ascii="Arial" w:cs="Arial" w:eastAsia="Arial" w:hAnsi="Arial"/>
                <w:sz w:val="14"/>
                <w:szCs w:val="14"/>
                <w:color w:val="auto"/>
              </w:rPr>
              <w:t>FN 5</w:t>
            </w:r>
          </w:p>
        </w:tc>
        <w:tc>
          <w:tcPr>
            <w:tcW w:w="10640" w:type="dxa"/>
            <w:vAlign w:val="bottom"/>
          </w:tcPr>
          <w:p>
            <w:pPr>
              <w:ind w:left="340"/>
              <w:spacing w:after="0" w:line="139" w:lineRule="exact"/>
              <w:rPr>
                <w:sz w:val="20"/>
                <w:szCs w:val="20"/>
                <w:color w:val="auto"/>
              </w:rPr>
            </w:pPr>
            <w:r>
              <w:rPr>
                <w:rFonts w:ascii="Arial" w:cs="Arial" w:eastAsia="Arial" w:hAnsi="Arial"/>
                <w:sz w:val="14"/>
                <w:szCs w:val="14"/>
                <w:color w:val="auto"/>
                <w:w w:val="99"/>
              </w:rPr>
              <w:t>This document, filed with the Securities and Exchange Commission in Washington, D.C. (file number 1-07183) as Exhibit 4.1 to our Current Report on Form 8-K filed on</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December 20, 2005, is incorporated herein by reference.</w:t>
            </w:r>
          </w:p>
        </w:tc>
      </w:tr>
      <w:tr>
        <w:trPr>
          <w:trHeight w:val="138"/>
        </w:trPr>
        <w:tc>
          <w:tcPr>
            <w:tcW w:w="640" w:type="dxa"/>
            <w:vAlign w:val="bottom"/>
          </w:tcPr>
          <w:p>
            <w:pPr>
              <w:ind w:left="20"/>
              <w:spacing w:after="0" w:line="139" w:lineRule="exact"/>
              <w:rPr>
                <w:sz w:val="20"/>
                <w:szCs w:val="20"/>
                <w:color w:val="auto"/>
              </w:rPr>
            </w:pPr>
            <w:r>
              <w:rPr>
                <w:rFonts w:ascii="Arial" w:cs="Arial" w:eastAsia="Arial" w:hAnsi="Arial"/>
                <w:sz w:val="14"/>
                <w:szCs w:val="14"/>
                <w:color w:val="auto"/>
              </w:rPr>
              <w:t>FN 6</w:t>
            </w:r>
          </w:p>
        </w:tc>
        <w:tc>
          <w:tcPr>
            <w:tcW w:w="10640" w:type="dxa"/>
            <w:vAlign w:val="bottom"/>
          </w:tcPr>
          <w:p>
            <w:pPr>
              <w:ind w:left="34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under Item 14 to our Annual Report on Form 10-K for the year</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ended December 31, 1994, is incorporated herein by reference. This Exhibit was not filed with the Securities and Exchange Commission in an electronic format.</w:t>
            </w:r>
          </w:p>
        </w:tc>
      </w:tr>
      <w:tr>
        <w:trPr>
          <w:trHeight w:val="138"/>
        </w:trPr>
        <w:tc>
          <w:tcPr>
            <w:tcW w:w="640" w:type="dxa"/>
            <w:vAlign w:val="bottom"/>
          </w:tcPr>
          <w:p>
            <w:pPr>
              <w:ind w:left="20"/>
              <w:spacing w:after="0" w:line="139" w:lineRule="exact"/>
              <w:rPr>
                <w:sz w:val="20"/>
                <w:szCs w:val="20"/>
                <w:color w:val="auto"/>
              </w:rPr>
            </w:pPr>
            <w:r>
              <w:rPr>
                <w:rFonts w:ascii="Arial" w:cs="Arial" w:eastAsia="Arial" w:hAnsi="Arial"/>
                <w:sz w:val="14"/>
                <w:szCs w:val="14"/>
                <w:color w:val="auto"/>
              </w:rPr>
              <w:t>FN 7</w:t>
            </w:r>
          </w:p>
        </w:tc>
        <w:tc>
          <w:tcPr>
            <w:tcW w:w="10640" w:type="dxa"/>
            <w:vAlign w:val="bottom"/>
          </w:tcPr>
          <w:p>
            <w:pPr>
              <w:ind w:left="34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under Item 14 to our Annual Report on Form 10-K for the year</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ended December 31, 1997, is incorporated herein by reference.</w:t>
            </w:r>
          </w:p>
        </w:tc>
      </w:tr>
      <w:tr>
        <w:trPr>
          <w:trHeight w:val="138"/>
        </w:trPr>
        <w:tc>
          <w:tcPr>
            <w:tcW w:w="640" w:type="dxa"/>
            <w:vAlign w:val="bottom"/>
          </w:tcPr>
          <w:p>
            <w:pPr>
              <w:ind w:left="20"/>
              <w:spacing w:after="0" w:line="139" w:lineRule="exact"/>
              <w:rPr>
                <w:sz w:val="20"/>
                <w:szCs w:val="20"/>
                <w:color w:val="auto"/>
              </w:rPr>
            </w:pPr>
            <w:r>
              <w:rPr>
                <w:rFonts w:ascii="Arial" w:cs="Arial" w:eastAsia="Arial" w:hAnsi="Arial"/>
                <w:sz w:val="14"/>
                <w:szCs w:val="14"/>
                <w:color w:val="auto"/>
              </w:rPr>
              <w:t>FN 8</w:t>
            </w:r>
          </w:p>
        </w:tc>
        <w:tc>
          <w:tcPr>
            <w:tcW w:w="10640" w:type="dxa"/>
            <w:vAlign w:val="bottom"/>
          </w:tcPr>
          <w:p>
            <w:pPr>
              <w:ind w:left="34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10.9 to our Annual Report on Form 10-K for the year</w:t>
            </w:r>
          </w:p>
        </w:tc>
      </w:tr>
      <w:tr>
        <w:trPr>
          <w:trHeight w:val="180"/>
        </w:trPr>
        <w:tc>
          <w:tcPr>
            <w:tcW w:w="640" w:type="dxa"/>
            <w:vAlign w:val="bottom"/>
          </w:tcPr>
          <w:p>
            <w:pPr>
              <w:spacing w:after="0"/>
              <w:rPr>
                <w:sz w:val="15"/>
                <w:szCs w:val="15"/>
                <w:color w:val="auto"/>
              </w:rPr>
            </w:pPr>
          </w:p>
        </w:tc>
        <w:tc>
          <w:tcPr>
            <w:tcW w:w="10640" w:type="dxa"/>
            <w:vAlign w:val="bottom"/>
          </w:tcPr>
          <w:p>
            <w:pPr>
              <w:ind w:left="34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679"/>
        </w:trPr>
        <w:tc>
          <w:tcPr>
            <w:tcW w:w="640" w:type="dxa"/>
            <w:vAlign w:val="bottom"/>
          </w:tcPr>
          <w:p>
            <w:pPr>
              <w:spacing w:after="0"/>
              <w:rPr>
                <w:sz w:val="24"/>
                <w:szCs w:val="24"/>
                <w:color w:val="auto"/>
              </w:rPr>
            </w:pPr>
          </w:p>
        </w:tc>
        <w:tc>
          <w:tcPr>
            <w:tcW w:w="10640" w:type="dxa"/>
            <w:vAlign w:val="bottom"/>
          </w:tcPr>
          <w:p>
            <w:pPr>
              <w:ind w:left="4940"/>
              <w:spacing w:after="0"/>
              <w:rPr>
                <w:sz w:val="20"/>
                <w:szCs w:val="20"/>
                <w:color w:val="auto"/>
              </w:rPr>
            </w:pPr>
            <w:r>
              <w:rPr>
                <w:rFonts w:ascii="Arial" w:cs="Arial" w:eastAsia="Arial" w:hAnsi="Arial"/>
                <w:sz w:val="14"/>
                <w:szCs w:val="14"/>
                <w:color w:val="auto"/>
              </w:rPr>
              <w:t>46</w:t>
            </w:r>
          </w:p>
        </w:tc>
      </w:tr>
      <w:tr>
        <w:trPr>
          <w:trHeight w:val="87"/>
        </w:trPr>
        <w:tc>
          <w:tcPr>
            <w:tcW w:w="640" w:type="dxa"/>
            <w:vAlign w:val="bottom"/>
            <w:tcBorders>
              <w:bottom w:val="single" w:sz="8" w:color="9A9A9A"/>
            </w:tcBorders>
          </w:tcPr>
          <w:p>
            <w:pPr>
              <w:spacing w:after="0"/>
              <w:rPr>
                <w:sz w:val="7"/>
                <w:szCs w:val="7"/>
                <w:color w:val="auto"/>
              </w:rPr>
            </w:pPr>
          </w:p>
        </w:tc>
        <w:tc>
          <w:tcPr>
            <w:tcW w:w="10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color w:val="auto"/>
              </w:rPr>
              <w:t>FN 9</w:t>
            </w:r>
          </w:p>
        </w:tc>
        <w:tc>
          <w:tcPr>
            <w:tcW w:w="10600" w:type="dxa"/>
            <w:vAlign w:val="bottom"/>
          </w:tcPr>
          <w:p>
            <w:pPr>
              <w:ind w:left="300"/>
              <w:spacing w:after="0"/>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10.10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10.16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2001,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4.1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4.2 to our Current Report on Form 8-K filed on May 7,</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13</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Exhibits 10.21-10.23 to our Annual Report on Form 10-K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year ended December 31, 2004,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14</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10.24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May 24, 2006,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15</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7"/>
              </w:rPr>
              <w:t>This document, filed with the Securities and Exchange Commission in Washington, D.C. (file number 1-07183) as Exhibit 10.28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June 23, 2008,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16</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10.25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2009,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17</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10.26 to our Quarterly Report on Form 10-Q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May 8, 2013, for the period ending March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 10.27 to our Current Report on Form 8-K filed on June 4,</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19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8"/>
              </w:rPr>
              <w:t>This document, filed with the Securities and Exchange Commission in Washington, D.C. (file number 1-07183) as Exhibit 10.1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August 8,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10.29 to our Amended Annual Report on Form 10-K/A</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for the year ended December 31, 2013,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10.30 to our Current Report on Form 8-K filed on July</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16,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22</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3"/>
              </w:rPr>
              <w:t>This document, filed with the Securities and Exchange Commission in Washington, D.C. (file number 1-07183) as Exhibits 10.31-10.33 to our Current Report on Form 8-K filed on</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October 17,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23</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10.34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2014,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24</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10.35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2015,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26</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10.37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June 30,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27</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10.38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28</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10.39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29</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10.40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30</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1-07183) as Exhibit 10.41 to our Annual Report on Form 10-K for the year</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ended December 31, 2016, is incorporated herein by reference.</w:t>
            </w:r>
          </w:p>
        </w:tc>
      </w:tr>
      <w:tr>
        <w:trPr>
          <w:trHeight w:val="138"/>
        </w:trPr>
        <w:tc>
          <w:tcPr>
            <w:tcW w:w="680" w:type="dxa"/>
            <w:vAlign w:val="bottom"/>
          </w:tcPr>
          <w:p>
            <w:pPr>
              <w:ind w:left="20"/>
              <w:spacing w:after="0" w:line="139" w:lineRule="exact"/>
              <w:rPr>
                <w:sz w:val="20"/>
                <w:szCs w:val="20"/>
                <w:color w:val="auto"/>
              </w:rPr>
            </w:pPr>
            <w:r>
              <w:rPr>
                <w:rFonts w:ascii="Arial" w:cs="Arial" w:eastAsia="Arial" w:hAnsi="Arial"/>
                <w:sz w:val="14"/>
                <w:szCs w:val="14"/>
                <w:color w:val="auto"/>
              </w:rPr>
              <w:t>FN 31</w:t>
            </w:r>
          </w:p>
        </w:tc>
        <w:tc>
          <w:tcPr>
            <w:tcW w:w="1060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10.42 to our Quarterly Report on Form 10-Q for the</w:t>
            </w:r>
          </w:p>
        </w:tc>
      </w:tr>
      <w:tr>
        <w:trPr>
          <w:trHeight w:val="180"/>
        </w:trPr>
        <w:tc>
          <w:tcPr>
            <w:tcW w:w="680" w:type="dxa"/>
            <w:vAlign w:val="bottom"/>
          </w:tcPr>
          <w:p>
            <w:pPr>
              <w:spacing w:after="0"/>
              <w:rPr>
                <w:sz w:val="15"/>
                <w:szCs w:val="15"/>
                <w:color w:val="auto"/>
              </w:rPr>
            </w:pPr>
          </w:p>
        </w:tc>
        <w:tc>
          <w:tcPr>
            <w:tcW w:w="10600" w:type="dxa"/>
            <w:vAlign w:val="bottom"/>
          </w:tcPr>
          <w:p>
            <w:pPr>
              <w:ind w:left="300"/>
              <w:spacing w:after="0"/>
              <w:rPr>
                <w:sz w:val="20"/>
                <w:szCs w:val="20"/>
                <w:color w:val="auto"/>
              </w:rPr>
            </w:pPr>
            <w:r>
              <w:rPr>
                <w:rFonts w:ascii="Arial" w:cs="Arial" w:eastAsia="Arial" w:hAnsi="Arial"/>
                <w:sz w:val="14"/>
                <w:szCs w:val="14"/>
                <w:color w:val="auto"/>
              </w:rPr>
              <w:t>period ended September 30, 2018, is incorporated herein by reference.</w:t>
            </w:r>
          </w:p>
        </w:tc>
      </w:tr>
      <w:tr>
        <w:trPr>
          <w:trHeight w:val="668"/>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Arial" w:cs="Arial" w:eastAsia="Arial" w:hAnsi="Arial"/>
                <w:sz w:val="14"/>
                <w:szCs w:val="14"/>
                <w:color w:val="auto"/>
              </w:rPr>
              <w:t>47</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color w:val="auto"/>
              </w:rPr>
              <w:t>FN 32</w:t>
            </w:r>
          </w:p>
        </w:tc>
        <w:tc>
          <w:tcPr>
            <w:tcW w:w="10620" w:type="dxa"/>
            <w:vAlign w:val="bottom"/>
          </w:tcPr>
          <w:p>
            <w:pPr>
              <w:ind w:left="300"/>
              <w:spacing w:after="0"/>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10.43 to our Annual Report on Form 10-K for the year</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33</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10.44 to our Annual Report on Form 10-K for the year</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ended December 31, 2018,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34</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10.45 to our Quarterly Report on Form 10-Q for the</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period ending September 30,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35</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6"/>
              </w:rPr>
              <w:t>This document, filed with the Securities and Exchange Commission in Washington, D.C. (file number 1-07183) as Exhibit 10.46 to our Quarterly Report on Form 10-Q for the</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period ending September 30,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37</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4"/>
              </w:rPr>
              <w:t>This document, filed with the Securities and Exchange Commission in Washington, D.C. (file number 333-231032) as Exhibit 4.6 to our Registration Statement on Form S-3 filed</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on April 25, 2019, is incorporated herein by reference.</w:t>
            </w:r>
          </w:p>
        </w:tc>
      </w:tr>
      <w:tr>
        <w:trPr>
          <w:trHeight w:val="138"/>
        </w:trPr>
        <w:tc>
          <w:tcPr>
            <w:tcW w:w="660" w:type="dxa"/>
            <w:vAlign w:val="bottom"/>
          </w:tcPr>
          <w:p>
            <w:pPr>
              <w:ind w:left="20"/>
              <w:spacing w:after="0" w:line="139" w:lineRule="exact"/>
              <w:rPr>
                <w:sz w:val="20"/>
                <w:szCs w:val="20"/>
                <w:color w:val="auto"/>
              </w:rPr>
            </w:pPr>
            <w:r>
              <w:rPr>
                <w:rFonts w:ascii="Arial" w:cs="Arial" w:eastAsia="Arial" w:hAnsi="Arial"/>
                <w:sz w:val="14"/>
                <w:szCs w:val="14"/>
                <w:color w:val="auto"/>
              </w:rPr>
              <w:t>FN 38</w:t>
            </w:r>
          </w:p>
        </w:tc>
        <w:tc>
          <w:tcPr>
            <w:tcW w:w="10620" w:type="dxa"/>
            <w:vAlign w:val="bottom"/>
          </w:tcPr>
          <w:p>
            <w:pPr>
              <w:ind w:left="300"/>
              <w:spacing w:after="0" w:line="139" w:lineRule="exact"/>
              <w:rPr>
                <w:sz w:val="20"/>
                <w:szCs w:val="20"/>
                <w:color w:val="auto"/>
              </w:rPr>
            </w:pPr>
            <w:r>
              <w:rPr>
                <w:rFonts w:ascii="Arial" w:cs="Arial" w:eastAsia="Arial" w:hAnsi="Arial"/>
                <w:sz w:val="14"/>
                <w:szCs w:val="14"/>
                <w:color w:val="auto"/>
                <w:w w:val="95"/>
              </w:rPr>
              <w:t>This document, filed with the Securities and Exchange Commission in Washington, D.C. (file number 1-07183) as Exhibit 10.47 to our Annual Report on Form 10-K for the year</w:t>
            </w:r>
          </w:p>
        </w:tc>
      </w:tr>
      <w:tr>
        <w:trPr>
          <w:trHeight w:val="180"/>
        </w:trPr>
        <w:tc>
          <w:tcPr>
            <w:tcW w:w="660" w:type="dxa"/>
            <w:vAlign w:val="bottom"/>
          </w:tcPr>
          <w:p>
            <w:pPr>
              <w:spacing w:after="0"/>
              <w:rPr>
                <w:sz w:val="15"/>
                <w:szCs w:val="15"/>
                <w:color w:val="auto"/>
              </w:rPr>
            </w:pPr>
          </w:p>
        </w:tc>
        <w:tc>
          <w:tcPr>
            <w:tcW w:w="10620" w:type="dxa"/>
            <w:vAlign w:val="bottom"/>
          </w:tcPr>
          <w:p>
            <w:pPr>
              <w:ind w:left="300"/>
              <w:spacing w:after="0"/>
              <w:rPr>
                <w:sz w:val="20"/>
                <w:szCs w:val="20"/>
                <w:color w:val="auto"/>
              </w:rPr>
            </w:pPr>
            <w:r>
              <w:rPr>
                <w:rFonts w:ascii="Arial" w:cs="Arial" w:eastAsia="Arial" w:hAnsi="Arial"/>
                <w:sz w:val="14"/>
                <w:szCs w:val="14"/>
                <w:color w:val="auto"/>
              </w:rPr>
              <w:t>ended December 31, 2019, is incorporated herein by reference.</w:t>
            </w:r>
          </w:p>
        </w:tc>
      </w:tr>
      <w:tr>
        <w:trPr>
          <w:trHeight w:val="668"/>
        </w:trPr>
        <w:tc>
          <w:tcPr>
            <w:tcW w:w="660" w:type="dxa"/>
            <w:vAlign w:val="bottom"/>
          </w:tcPr>
          <w:p>
            <w:pPr>
              <w:spacing w:after="0"/>
              <w:rPr>
                <w:sz w:val="24"/>
                <w:szCs w:val="24"/>
                <w:color w:val="auto"/>
              </w:rPr>
            </w:pPr>
          </w:p>
        </w:tc>
        <w:tc>
          <w:tcPr>
            <w:tcW w:w="10620" w:type="dxa"/>
            <w:vAlign w:val="bottom"/>
          </w:tcPr>
          <w:p>
            <w:pPr>
              <w:ind w:left="4920"/>
              <w:spacing w:after="0"/>
              <w:rPr>
                <w:sz w:val="20"/>
                <w:szCs w:val="20"/>
                <w:color w:val="auto"/>
              </w:rPr>
            </w:pPr>
            <w:r>
              <w:rPr>
                <w:rFonts w:ascii="Arial" w:cs="Arial" w:eastAsia="Arial" w:hAnsi="Arial"/>
                <w:sz w:val="14"/>
                <w:szCs w:val="14"/>
                <w:color w:val="auto"/>
              </w:rPr>
              <w:t>48</w:t>
            </w:r>
          </w:p>
        </w:tc>
      </w:tr>
      <w:tr>
        <w:trPr>
          <w:trHeight w:val="87"/>
        </w:trPr>
        <w:tc>
          <w:tcPr>
            <w:tcW w:w="660" w:type="dxa"/>
            <w:vAlign w:val="bottom"/>
            <w:tcBorders>
              <w:bottom w:val="single" w:sz="8" w:color="9A9A9A"/>
            </w:tcBorders>
          </w:tcPr>
          <w:p>
            <w:pPr>
              <w:spacing w:after="0"/>
              <w:rPr>
                <w:sz w:val="7"/>
                <w:szCs w:val="7"/>
                <w:color w:val="auto"/>
              </w:rPr>
            </w:pPr>
          </w:p>
        </w:tc>
        <w:tc>
          <w:tcPr>
            <w:tcW w:w="10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8" w:name="page49"/>
    <w:bookmarkEnd w:id="48"/>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TEJON RANCH CO.</w:t>
            </w:r>
          </w:p>
        </w:tc>
      </w:tr>
      <w:tr>
        <w:trPr>
          <w:trHeight w:val="584"/>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May 5, 2021</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Gregory S. Bielli</w:t>
            </w: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Gregory S. Bielli</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9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May 5, 2021</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Robert D. Velasquez</w:t>
            </w: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Robert D. Velasquez</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Senior Vice President of Finance and Chief Financial Officer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color w:val="auto"/>
              </w:rPr>
              <w:t>(Principal Financial and Accounting Officer)</w:t>
            </w:r>
          </w:p>
        </w:tc>
      </w:tr>
      <w:tr>
        <w:trPr>
          <w:trHeight w:val="668"/>
        </w:trPr>
        <w:tc>
          <w:tcPr>
            <w:tcW w:w="2960" w:type="dxa"/>
            <w:vAlign w:val="bottom"/>
          </w:tcPr>
          <w:p>
            <w:pPr>
              <w:spacing w:after="0"/>
              <w:rPr>
                <w:sz w:val="24"/>
                <w:szCs w:val="24"/>
                <w:color w:val="auto"/>
              </w:rPr>
            </w:pPr>
          </w:p>
        </w:tc>
        <w:tc>
          <w:tcPr>
            <w:tcW w:w="2860" w:type="dxa"/>
            <w:vAlign w:val="bottom"/>
            <w:gridSpan w:val="2"/>
          </w:tcPr>
          <w:p>
            <w:pPr>
              <w:jc w:val="right"/>
              <w:ind w:right="29"/>
              <w:spacing w:after="0"/>
              <w:rPr>
                <w:sz w:val="20"/>
                <w:szCs w:val="20"/>
                <w:color w:val="auto"/>
              </w:rPr>
            </w:pPr>
            <w:r>
              <w:rPr>
                <w:rFonts w:ascii="Arial" w:cs="Arial" w:eastAsia="Arial" w:hAnsi="Arial"/>
                <w:sz w:val="14"/>
                <w:szCs w:val="14"/>
                <w:color w:val="auto"/>
              </w:rPr>
              <w:t>49</w:t>
            </w:r>
          </w:p>
        </w:tc>
        <w:tc>
          <w:tcPr>
            <w:tcW w:w="5440" w:type="dxa"/>
            <w:vAlign w:val="bottom"/>
          </w:tcPr>
          <w:p>
            <w:pPr>
              <w:spacing w:after="0"/>
              <w:rPr>
                <w:sz w:val="24"/>
                <w:szCs w:val="24"/>
                <w:color w:val="auto"/>
              </w:rPr>
            </w:pPr>
          </w:p>
        </w:tc>
      </w:tr>
    </w:tbl>
    <w:p>
      <w:pPr>
        <w:sectPr>
          <w:pgSz w:w="11900" w:h="16838" w:orient="portrait"/>
          <w:cols w:equalWidth="0" w:num="1">
            <w:col w:w="11260"/>
          </w:cols>
          <w:pgMar w:left="300" w:top="730" w:right="339" w:bottom="1440"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80" w:hanging="260"/>
        <w:spacing w:after="0" w:line="321" w:lineRule="auto"/>
        <w:tabs>
          <w:tab w:leader="none" w:pos="512"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12"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20" w:val="left"/>
          <w:tab w:leader="none" w:pos="59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May 5, 2021</w:t>
      </w:r>
      <w:r>
        <w:rPr>
          <w:sz w:val="20"/>
          <w:szCs w:val="20"/>
          <w:color w:val="auto"/>
        </w:rPr>
        <w:tab/>
      </w:r>
      <w:r>
        <w:rPr>
          <w:rFonts w:ascii="Arial" w:cs="Arial" w:eastAsia="Arial" w:hAnsi="Arial"/>
          <w:sz w:val="13"/>
          <w:szCs w:val="13"/>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12065</wp:posOffset>
            </wp:positionV>
            <wp:extent cx="33553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Gregory S. Bielli</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80" w:hanging="260"/>
        <w:spacing w:after="0" w:line="321" w:lineRule="auto"/>
        <w:tabs>
          <w:tab w:leader="none" w:pos="512" w:val="left"/>
        </w:tabs>
        <w:numPr>
          <w:ilvl w:val="1"/>
          <w:numId w:val="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12"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20" w:val="left"/>
          <w:tab w:leader="none" w:pos="42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May 5, 2021</w:t>
      </w:r>
      <w:r>
        <w:rPr>
          <w:sz w:val="20"/>
          <w:szCs w:val="20"/>
          <w:color w:val="auto"/>
        </w:rPr>
        <w:tab/>
      </w:r>
      <w:r>
        <w:rPr>
          <w:rFonts w:ascii="Arial" w:cs="Arial" w:eastAsia="Arial" w:hAnsi="Arial"/>
          <w:sz w:val="12"/>
          <w:szCs w:val="12"/>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12065</wp:posOffset>
            </wp:positionV>
            <wp:extent cx="443992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4439920" cy="6985"/>
                    </a:xfrm>
                    <a:prstGeom prst="rect">
                      <a:avLst/>
                    </a:prstGeom>
                    <a:noFill/>
                  </pic:spPr>
                </pic:pic>
              </a:graphicData>
            </a:graphic>
          </wp:anchor>
        </w:drawing>
      </w:r>
    </w:p>
    <w:p>
      <w:pPr>
        <w:spacing w:after="0" w:line="10"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Robert D. Velasquez</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Senior Vice President of Finance and Chief Financial Officer</w:t>
      </w:r>
    </w:p>
    <w:p>
      <w:pPr>
        <w:sectPr>
          <w:pgSz w:w="11900" w:h="16838" w:orient="portrait"/>
          <w:cols w:equalWidth="0" w:num="1">
            <w:col w:w="11280"/>
          </w:cols>
          <w:pgMar w:left="300" w:top="729" w:right="319" w:bottom="1440" w:gutter="0" w:footer="0" w:header="0"/>
        </w:sectPr>
      </w:pPr>
    </w:p>
    <w:bookmarkStart w:id="152" w:name="page153"/>
    <w:bookmarkEnd w:id="152"/>
    <w:p>
      <w:pPr>
        <w:ind w:left="5260"/>
        <w:spacing w:after="0"/>
        <w:rPr>
          <w:sz w:val="20"/>
          <w:szCs w:val="20"/>
          <w:color w:val="auto"/>
        </w:rPr>
      </w:pPr>
      <w:r>
        <w:rPr>
          <w:rFonts w:ascii="Arial" w:cs="Arial" w:eastAsia="Arial" w:hAnsi="Arial"/>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Each of the undersigned hereby certifies, in his capacity as an officer of Tejon Ranch Co. (the “Company”), for purposes of 18 U.S.C. Section 1350, as adopted pursuant to Section 906 of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Sarbanes-Oxley Act of 2002, that to his own knowledge:</w:t>
      </w:r>
    </w:p>
    <w:p>
      <w:pPr>
        <w:spacing w:after="0" w:line="189"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Quarterly Report of the Company on Form 10-Q for the period ended March 31, 2021 fully complies with the requirements of Section 13(a) of the Securities Exchange Act of 1934; and</w:t>
      </w:r>
    </w:p>
    <w:p>
      <w:pPr>
        <w:spacing w:after="0" w:line="42" w:lineRule="exact"/>
        <w:rPr>
          <w:rFonts w:ascii="Arial" w:cs="Arial" w:eastAsia="Arial" w:hAnsi="Arial"/>
          <w:sz w:val="12"/>
          <w:szCs w:val="12"/>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such report fairly presents, in all material respects, the financial condition and results of operation of the Company.</w:t>
      </w:r>
    </w:p>
    <w:p>
      <w:pPr>
        <w:spacing w:after="0" w:line="126"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1500"/>
              <w:spacing w:after="0"/>
              <w:rPr>
                <w:sz w:val="20"/>
                <w:szCs w:val="20"/>
                <w:color w:val="auto"/>
              </w:rPr>
            </w:pPr>
            <w:r>
              <w:rPr>
                <w:rFonts w:ascii="Arial" w:cs="Arial" w:eastAsia="Arial" w:hAnsi="Arial"/>
                <w:sz w:val="14"/>
                <w:szCs w:val="14"/>
                <w:color w:val="auto"/>
                <w:w w:val="90"/>
              </w:rPr>
              <w:t>May 5, 2021</w:t>
            </w:r>
          </w:p>
        </w:tc>
      </w:tr>
    </w:tbl>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2849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S. Bielli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28498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D. Velasquez</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Vice President of Finance and Chief Financial Officer</w:t>
      </w:r>
    </w:p>
    <w:sectPr>
      <w:pgSz w:w="11900" w:h="16838" w:orient="portrait"/>
      <w:cols w:equalWidth="0" w:num="1">
        <w:col w:w="11240"/>
      </w:cols>
      <w:pgMar w:left="300" w:top="7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8"/>
    </w:lvl>
  </w:abstractNum>
  <w:abstractNum w:abstractNumId="6">
    <w:nsid w:val="257130A3"/>
    <w:multiLevelType w:val="hybridMultilevel"/>
    <w:lvl w:ilvl="0">
      <w:lvlJc w:val="left"/>
      <w:lvlText w:val="%1."/>
      <w:numFmt w:val="decimal"/>
      <w:start w:val="9"/>
    </w:lvl>
  </w:abstractNum>
  <w:abstractNum w:abstractNumId="7">
    <w:nsid w:val="62BBD95A"/>
    <w:multiLevelType w:val="hybridMultilevel"/>
    <w:lvl w:ilvl="0">
      <w:lvlJc w:val="left"/>
      <w:lvlText w:val="%1."/>
      <w:numFmt w:val="decimal"/>
      <w:start w:val="10"/>
    </w:lvl>
  </w:abstractNum>
  <w:abstractNum w:abstractNumId="8">
    <w:nsid w:val="436C6125"/>
    <w:multiLevelType w:val="hybridMultilevel"/>
    <w:lvl w:ilvl="0">
      <w:lvlJc w:val="left"/>
      <w:lvlText w:val="%1."/>
      <w:numFmt w:val="decimal"/>
      <w:start w:val="11"/>
    </w:lvl>
  </w:abstractNum>
  <w:abstractNum w:abstractNumId="9">
    <w:nsid w:val="628C895D"/>
    <w:multiLevelType w:val="hybridMultilevel"/>
    <w:lvl w:ilvl="0">
      <w:lvlJc w:val="left"/>
      <w:lvlText w:val="%1."/>
      <w:numFmt w:val="decimal"/>
      <w:start w:val="12"/>
    </w:lvl>
  </w:abstractNum>
  <w:abstractNum w:abstractNumId="10">
    <w:nsid w:val="333AB1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5"/>
    </w:lvl>
    <w:lvl w:ilvl="1">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lvl w:ilvl="1">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1"/>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2"/>
      <w:numFmt w:val="bullet"/>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decimal"/>
      <w:start w:val="10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64" Type="http://schemas.openxmlformats.org/officeDocument/2006/relationships/hyperlink" Target="http://www.sec.gov/Archives/edgar/data/96869/000119312519119877/d718363dex41.htm" TargetMode="External"/><Relationship Id="rId65" Type="http://schemas.openxmlformats.org/officeDocument/2006/relationships/hyperlink" Target="http://www.sec.gov/Archives/edgar/data/96869/000119312517288540/d451235dex991.htm" TargetMode="External"/><Relationship Id="rId66" Type="http://schemas.openxmlformats.org/officeDocument/2006/relationships/hyperlink" Target="http://www.sec.gov/Archives/edgar/data/96869/000119312505245123/dex41.htm" TargetMode="External"/><Relationship Id="rId67" Type="http://schemas.openxmlformats.org/officeDocument/2006/relationships/hyperlink" Target="http://www.sec.gov/Archives/edgar/data/96869/000119312519119877/d718363dex46.htm" TargetMode="External"/><Relationship Id="rId68" Type="http://schemas.openxmlformats.org/officeDocument/2006/relationships/hyperlink" Target="http://www.sec.gov/Archives/edgar/data/96869/0000096869-98-000002.txt" TargetMode="External"/><Relationship Id="rId69" Type="http://schemas.openxmlformats.org/officeDocument/2006/relationships/hyperlink" Target="http://www.sec.gov/Archives/edgar/data/96869/000119312509042772/dex109.htm" TargetMode="External"/><Relationship Id="rId70" Type="http://schemas.openxmlformats.org/officeDocument/2006/relationships/hyperlink" Target="http://www.sec.gov/Archives/edgar/data/96869/000119312509042772/dex1010.htm" TargetMode="External"/><Relationship Id="rId71" Type="http://schemas.openxmlformats.org/officeDocument/2006/relationships/hyperlink" Target="http://www.sec.gov/Archives/edgar/data/96869/000102140802004535/dex1016.txt" TargetMode="External"/><Relationship Id="rId72" Type="http://schemas.openxmlformats.org/officeDocument/2006/relationships/hyperlink" Target="http://www.sec.gov/Archives/edgar/data/96869/000119312504082310/dex41.htm" TargetMode="External"/><Relationship Id="rId73" Type="http://schemas.openxmlformats.org/officeDocument/2006/relationships/hyperlink" Target="http://www.sec.gov/Archives/edgar/data/96869/000119312504082310/dex42.htm" TargetMode="External"/><Relationship Id="rId74" Type="http://schemas.openxmlformats.org/officeDocument/2006/relationships/hyperlink" Target="http://www.sec.gov/Archives/edgar/data/96869/000119312505051499/dex1021.htm" TargetMode="External"/><Relationship Id="rId75" Type="http://schemas.openxmlformats.org/officeDocument/2006/relationships/hyperlink" Target="http://www.sec.gov/Archives/edgar/data/96869/000119312505051499/dex1023.htm" TargetMode="External"/><Relationship Id="rId76" Type="http://schemas.openxmlformats.org/officeDocument/2006/relationships/hyperlink" Target="http://www.sec.gov/Archives/edgar/data/96869/000119312505051499/dex1022.htm" TargetMode="External"/><Relationship Id="rId77" Type="http://schemas.openxmlformats.org/officeDocument/2006/relationships/hyperlink" Target="http://www.sec.gov/Archives/edgar/data/96869/000119312506118520/dex1024.htm" TargetMode="External"/><Relationship Id="rId78" Type="http://schemas.openxmlformats.org/officeDocument/2006/relationships/hyperlink" Target="http://www.sec.gov/Archives/edgar/data/96869/000119312508138009/dex1028.htm" TargetMode="External"/><Relationship Id="rId79" Type="http://schemas.openxmlformats.org/officeDocument/2006/relationships/hyperlink" Target="http://www.sec.gov/Archives/edgar/data/96869/000119312509170594/dex1025.htm" TargetMode="External"/><Relationship Id="rId80" Type="http://schemas.openxmlformats.org/officeDocument/2006/relationships/hyperlink" Target="http://www.sec.gov/Archives/edgar/data/96869/000144530513001209/exhibit1026-execagreementa.htm" TargetMode="External"/><Relationship Id="rId81" Type="http://schemas.openxmlformats.org/officeDocument/2006/relationships/hyperlink" Target="http://www.sec.gov/Archives/edgar/data/96869/000119312513246605/d549609dex1027.htm" TargetMode="External"/><Relationship Id="rId82" Type="http://schemas.openxmlformats.org/officeDocument/2006/relationships/hyperlink" Target="http://www.sec.gov/Archives/edgar/data/96869/000119312513326495/d581835dex101.htm" TargetMode="External"/><Relationship Id="rId83" Type="http://schemas.openxmlformats.org/officeDocument/2006/relationships/hyperlink" Target="http://www.sec.gov/Archives/edgar/data/96869/000009686914000009/exhibit1029tmvamendments20.htm" TargetMode="External"/><Relationship Id="rId84" Type="http://schemas.openxmlformats.org/officeDocument/2006/relationships/hyperlink" Target="http://www.sec.gov/Archives/edgar/data/96869/000119312514270067/d758856dex1030.htm" TargetMode="External"/><Relationship Id="rId85" Type="http://schemas.openxmlformats.org/officeDocument/2006/relationships/hyperlink" Target="http://www.sec.gov/Archives/edgar/data/96869/000119312514375013/d806135dex1031.htm" TargetMode="External"/><Relationship Id="rId88" Type="http://schemas.openxmlformats.org/officeDocument/2006/relationships/hyperlink" Target="http://www.sec.gov/Archives/edgar/data/96869/000119312514375013/d806135dex1032.htm" TargetMode="External"/><Relationship Id="rId89" Type="http://schemas.openxmlformats.org/officeDocument/2006/relationships/hyperlink" Target="http://www.sec.gov/Archives/edgar/data/96869/000119312514375013/d806135dex1033.htm" TargetMode="External"/><Relationship Id="rId90" Type="http://schemas.openxmlformats.org/officeDocument/2006/relationships/hyperlink" Target="http://www.sec.gov/Archives/edgar/data/96869/000009686915000003/exhibit1034calpineagreemen.htm" TargetMode="External"/><Relationship Id="rId91" Type="http://schemas.openxmlformats.org/officeDocument/2006/relationships/hyperlink" Target="http://www.sec.gov/Archives/edgar/data/96869/000009686915000010/ex1035q32015.htm" TargetMode="External"/><Relationship Id="rId92" Type="http://schemas.openxmlformats.org/officeDocument/2006/relationships/hyperlink" Target="http://www.sec.gov/Archives/edgar/data/96869/000009686916000017/ex1037limitedliabilityagre.htm" TargetMode="External"/><Relationship Id="rId93" Type="http://schemas.openxmlformats.org/officeDocument/2006/relationships/hyperlink" Target="http://www.sec.gov/Archives/edgar/data/96869/000009686916000019/ex1038llagreementoftrc-mrc1.htm" TargetMode="External"/><Relationship Id="rId94" Type="http://schemas.openxmlformats.org/officeDocument/2006/relationships/hyperlink" Target="http://www.sec.gov/Archives/edgar/data/96869/000009686917000002/exhibit1039centennialredem.htm" TargetMode="External"/><Relationship Id="rId95" Type="http://schemas.openxmlformats.org/officeDocument/2006/relationships/hyperlink" Target="http://www.sec.gov/Archives/edgar/data/96869/000009686917000002/exhibit1040firstamendmentt.htm" TargetMode="External"/><Relationship Id="rId96" Type="http://schemas.openxmlformats.org/officeDocument/2006/relationships/hyperlink" Target="http://www.sec.gov/Archives/edgar/data/96869/000009686917000002/exhibit1041secondamendment.htm" TargetMode="External"/><Relationship Id="rId97" Type="http://schemas.openxmlformats.org/officeDocument/2006/relationships/hyperlink" Target="http://www.sec.gov/Archives/edgar/data/96869/000009686918000015/ex1042trcmrc3llc.htm" TargetMode="External"/><Relationship Id="rId98" Type="http://schemas.openxmlformats.org/officeDocument/2006/relationships/hyperlink" Target="http://www.sec.gov/Archives/edgar/data/96869/000009686919000004/exhibit1043201810k.htm" TargetMode="External"/><Relationship Id="rId99" Type="http://schemas.openxmlformats.org/officeDocument/2006/relationships/hyperlink" Target="http://www.sec.gov/Archives/edgar/data/96869/000009686919000004/exhibit1044201810k.htm" TargetMode="External"/><Relationship Id="rId100" Type="http://schemas.openxmlformats.org/officeDocument/2006/relationships/hyperlink" Target="http://www.sec.gov/Archives/edgar/data/96869/000009686919000014/ex1046aloc.htm" TargetMode="External"/><Relationship Id="rId101" Type="http://schemas.openxmlformats.org/officeDocument/2006/relationships/hyperlink" Target="http://www.sec.gov/Archives/edgar/data/96869/000009686919000014/ex1045atn.htm" TargetMode="External"/><Relationship Id="rId102" Type="http://schemas.openxmlformats.org/officeDocument/2006/relationships/hyperlink" Target="http://www.sec.gov/Archives/edgar/data/96869/000009686920000007/exhibit1047-gregbsever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2021-05-05T13:12:22Z</dcterms:created>
  <dcterms:modified xsi:type="dcterms:W3CDTF">2021-05-05T13:12:22Z</dcterms:modified>
</cp:coreProperties>
</file>